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1309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0C1309">
      <w:pPr>
        <w:widowControl/>
        <w:jc w:val="left"/>
        <w:rPr>
          <w:rFonts w:ascii="仿宋" w:eastAsia="仿宋" w:hAnsi="仿宋"/>
          <w:b/>
          <w:sz w:val="40"/>
        </w:rPr>
      </w:pPr>
    </w:p>
    <w:p w:rsidR="000C1309">
      <w:pPr>
        <w:widowControl/>
        <w:jc w:val="left"/>
        <w:rPr>
          <w:rFonts w:ascii="仿宋" w:eastAsia="仿宋" w:hAnsi="仿宋"/>
          <w:b/>
          <w:sz w:val="40"/>
        </w:rPr>
      </w:pPr>
    </w:p>
    <w:p w:rsidR="000C1309" w:rsidRPr="000C130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1309">
        <w:rPr>
          <w:rFonts w:ascii="宋体" w:eastAsia="宋体" w:hAnsi="宋体" w:hint="eastAsia"/>
          <w:b/>
          <w:sz w:val="60"/>
        </w:rPr>
        <w:t>智慧堆场行业洞察报告及未来五至十年预测分析报告</w:t>
      </w:r>
    </w:p>
    <w:p w:rsidR="000C1309" w:rsidP="000C130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1309">
        <w:rPr>
          <w:rFonts w:ascii="仿宋" w:eastAsia="仿宋" w:hAnsi="仿宋" w:hint="eastAsia"/>
          <w:b/>
          <w:sz w:val="40"/>
        </w:rPr>
        <w:t>目录</w:t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2024-2029</w:t>
      </w:r>
      <w:r>
        <w:rPr>
          <w:rFonts w:hint="eastAsia"/>
          <w:noProof/>
        </w:rPr>
        <w:t>年智慧堆场企业市场突破具体策略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、密切关注竞争对手的策略，提高智慧堆场产品在行业内的竞争力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、使用智慧堆场行业市场渗透策略，不断开发新客户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、实施智慧堆场行业市场发展战略，不断开拓各类市场创新源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、实施线上线下融合，深化智慧堆场行业国内外市场拓展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二、智慧堆场产业未来发展前景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、我国智慧堆场行业市场规模前景预测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、智慧堆场进入大规模推广应用阶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、中国智慧堆场行业的市场增长点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、细分智慧堆场产品将具有最大优势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、智慧堆场行业与互联网等行业融合发展机遇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、智慧堆场人才培养市场广阔，国际合作前景广阔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、智慧堆场行业发展需要突破创新瓶颈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三、智慧堆场企业战略目标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四、智慧堆场行业政策环境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、政策持续利好智慧堆场行业发展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、智慧堆场行业政策体系日趋完善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、宏观环境下智慧堆场行业定位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期间智慧堆场业绩显著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五、智慧堆场行业发展状况及市场分析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、中国智慧堆场市场行业驱动因素分析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、智慧堆场行业结构分析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、智慧堆场行业各因素（</w:t>
      </w:r>
      <w:r>
        <w:rPr>
          <w:noProof/>
        </w:rPr>
        <w:t>PEST</w:t>
      </w:r>
      <w:r>
        <w:rPr>
          <w:rFonts w:hint="eastAsia"/>
          <w:noProof/>
        </w:rPr>
        <w:t>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13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13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13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13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、智慧堆场行业市场规模分析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、智慧堆场行业特征分析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智慧堆场行业相关政策体系不健全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六、智慧堆场行业政策背景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、政策将会持续利好智慧堆场行业发展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智慧堆场行业政策体系日趋完善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、智慧堆场行业一级市场火热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、宏观经济背景下智慧堆场行业的定位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七、智慧堆场业数据预测与分析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、智慧堆场业时间序列预测与分析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智慧堆场业时间曲线预测模型分析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、智慧堆场行业差分方程预测模型分析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年智慧堆场业预测结论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八、智慧堆场企业战略实施要点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、打造自主品牌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、重塑企业价值链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13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、规范研发设计流程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13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、优化生产制造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、重视市场营销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、整合线上线下平台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、宏观环境下智慧堆场行业的定位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、智慧堆场行业发展趋势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九、智慧堆场行业“专业化能力”对盈利模式的影响分析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、智慧堆场企业盈利模式运作的关键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13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</w:t>
      </w:r>
      <w:r>
        <w:rPr>
          <w:noProof/>
        </w:rPr>
        <w:t>”</w:t>
      </w:r>
      <w:r>
        <w:rPr>
          <w:rFonts w:hint="eastAsia"/>
          <w:noProof/>
        </w:rPr>
        <w:t>专业化能力</w:t>
      </w:r>
      <w:r>
        <w:rPr>
          <w:noProof/>
        </w:rPr>
        <w:t>“</w:t>
      </w:r>
      <w:r>
        <w:rPr>
          <w:rFonts w:hint="eastAsia"/>
          <w:noProof/>
        </w:rPr>
        <w:t>对智慧堆场行业的重要性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、怎样培养智慧堆场行业的业务能力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十、智慧堆场行业存在的问题分析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、基础工作薄弱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、地方认识不足</w:t>
      </w:r>
      <w:r>
        <w:rPr>
          <w:noProof/>
        </w:rPr>
        <w:t>,</w:t>
      </w:r>
      <w:r>
        <w:rPr>
          <w:rFonts w:hint="eastAsia"/>
          <w:noProof/>
        </w:rPr>
        <w:t>激励作用有限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、产业结构调整进展缓慢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、技术相对落后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、隐私安全问题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、与用户的互动需不断增强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、管理效率低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、盈利点单一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_Toc161835699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、过于依赖政府</w:t>
      </w:r>
      <w:r>
        <w:rPr>
          <w:noProof/>
        </w:rPr>
        <w:t>,</w:t>
      </w:r>
      <w:r>
        <w:rPr>
          <w:rFonts w:hint="eastAsia"/>
          <w:noProof/>
        </w:rPr>
        <w:t>缺乏主观能动性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、法律风险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、供给不足</w:t>
      </w:r>
      <w:r>
        <w:rPr>
          <w:noProof/>
        </w:rPr>
        <w:t>,</w:t>
      </w:r>
      <w:r>
        <w:rPr>
          <w:rFonts w:hint="eastAsia"/>
          <w:noProof/>
        </w:rPr>
        <w:t>产业化程度较低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十二</w:t>
      </w:r>
      <w:r>
        <w:rPr>
          <w:noProof/>
        </w:rPr>
        <w:t>)</w:t>
      </w:r>
      <w:r>
        <w:rPr>
          <w:rFonts w:hint="eastAsia"/>
          <w:noProof/>
        </w:rPr>
        <w:t>、人才问题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十三</w:t>
      </w:r>
      <w:r>
        <w:rPr>
          <w:noProof/>
        </w:rPr>
        <w:t>)</w:t>
      </w:r>
      <w:r>
        <w:rPr>
          <w:rFonts w:hint="eastAsia"/>
          <w:noProof/>
        </w:rPr>
        <w:t>、产品质量问题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十一、智慧堆场行业企业转型思考（</w:t>
      </w:r>
      <w:r>
        <w:rPr>
          <w:noProof/>
        </w:rPr>
        <w:t>2024-2029</w:t>
      </w:r>
      <w:r>
        <w:rPr>
          <w:rFonts w:hint="eastAsia"/>
          <w:noProof/>
        </w:rPr>
        <w:t>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、智慧堆场业的内生延伸</w:t>
      </w:r>
      <w:r>
        <w:rPr>
          <w:noProof/>
        </w:rPr>
        <w:t>——</w:t>
      </w:r>
      <w:r>
        <w:rPr>
          <w:rFonts w:hint="eastAsia"/>
          <w:noProof/>
        </w:rPr>
        <w:t>选择与定位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、智慧堆场跨行业转型延伸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、智慧堆场企业资本计划分析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、智慧堆场业的融资问题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、加强智慧堆场行业人才引进，优化人才结构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13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十二、智慧堆场行业竞争分析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、智慧堆场行业国内外对比分析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、中国智慧堆场行业品牌竞争格局分析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、中国智慧堆场行业竞争强度分析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13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、中国智慧堆场行业现有企业竞争情况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13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、中国智慧堆场行业上游议价能力分析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13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、中国智慧堆场行业下游议价能力分析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13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、中国智慧堆场行业新进入者威胁分析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13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5</w:t>
      </w:r>
      <w:r>
        <w:rPr>
          <w:rFonts w:hint="eastAsia"/>
          <w:noProof/>
        </w:rPr>
        <w:t>、中国智慧堆场行业替代品威胁分析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_Toc161835719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https://d.book118.com/765221101333011124</w:t>
        </w:r>
      </w:hyperlink>
    </w:p>
    <w:p w:rsidR="000C1309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 w:rsidP="00E820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13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 w:rsidP="00E820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13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 w:rsidP="00E820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130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 w:rsidP="00E820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130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 w:rsidP="00E820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130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 w:rsidP="00E820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C130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 w:rsidRPr="000C1309" w:rsidP="000C1309">
    <w:pPr>
      <w:pStyle w:val="Header"/>
      <w:rPr>
        <w:rFonts w:ascii="仿宋" w:eastAsia="仿宋" w:hAnsi="仿宋"/>
      </w:rPr>
    </w:pPr>
    <w:r w:rsidRPr="000C1309">
      <w:rPr>
        <w:rFonts w:ascii="仿宋" w:eastAsia="仿宋" w:hAnsi="仿宋" w:hint="eastAsia"/>
      </w:rPr>
      <w:t>智慧堆场行业报告/庞文报告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 w:rsidRPr="000C1309" w:rsidP="000C1309">
    <w:pPr>
      <w:pStyle w:val="Header"/>
      <w:rPr>
        <w:rFonts w:ascii="仿宋" w:eastAsia="仿宋" w:hAnsi="仿宋"/>
      </w:rPr>
    </w:pPr>
    <w:r w:rsidRPr="000C1309">
      <w:rPr>
        <w:rFonts w:ascii="仿宋" w:eastAsia="仿宋" w:hAnsi="仿宋" w:hint="eastAsia"/>
      </w:rPr>
      <w:t>智慧堆场行业报告/庞文报告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 w:rsidRPr="000C1309" w:rsidP="000C1309">
    <w:pPr>
      <w:pStyle w:val="Header"/>
      <w:rPr>
        <w:rFonts w:ascii="仿宋" w:eastAsia="仿宋" w:hAnsi="仿宋"/>
      </w:rPr>
    </w:pPr>
    <w:r w:rsidRPr="000C1309">
      <w:rPr>
        <w:rFonts w:ascii="仿宋" w:eastAsia="仿宋" w:hAnsi="仿宋" w:hint="eastAsia"/>
      </w:rPr>
      <w:t>智慧堆场行业报告/庞文报告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30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309"/>
    <w:rsid w:val="000C1309"/>
    <w:rsid w:val="00B96060"/>
    <w:rsid w:val="00E820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E60D2197-B81F-4370-AC12-DAB9EA857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0C13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0C13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0C130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0C1309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0C130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0C1309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0C1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C1309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0C13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C13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1309"/>
  </w:style>
  <w:style w:type="paragraph" w:styleId="TOC1">
    <w:name w:val="toc 1"/>
    <w:basedOn w:val="Normal"/>
    <w:next w:val="Normal"/>
    <w:autoRedefine/>
    <w:uiPriority w:val="39"/>
    <w:unhideWhenUsed/>
    <w:rsid w:val="000C1309"/>
  </w:style>
  <w:style w:type="paragraph" w:styleId="TOC2">
    <w:name w:val="toc 2"/>
    <w:basedOn w:val="Normal"/>
    <w:next w:val="Normal"/>
    <w:autoRedefine/>
    <w:uiPriority w:val="39"/>
    <w:unhideWhenUsed/>
    <w:rsid w:val="000C1309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0C1309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6522110133301112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4014</Words>
  <Characters>22883</Characters>
  <Application>Microsoft Office Word</Application>
  <DocSecurity>0</DocSecurity>
  <Lines>190</Lines>
  <Paragraphs>53</Paragraphs>
  <ScaleCrop>false</ScaleCrop>
  <Company/>
  <LinksUpToDate>false</LinksUpToDate>
  <CharactersWithSpaces>26844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2024-03-20T06:00:00Z</dcterms:created>
  <dcterms:modified xsi:type="dcterms:W3CDTF">2024-03-20T06:00:00Z</dcterms:modified>
</cp:coreProperties>
</file>