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798D9DD3" w14:textId="77777777">
          <w:pPr>
            <w:pStyle w:val="NoSpacing"/>
          </w:pPr>
        </w:p>
        <w:p w:rsidR="00C018A2" w14:paraId="48EC9BB7" w14:textId="77777777">
          <w:pPr>
            <w:pStyle w:val="NoSpacing"/>
          </w:pPr>
        </w:p>
        <w:p w:rsidR="00C018A2" w14:paraId="381EA342" w14:textId="77777777">
          <w:pPr>
            <w:pStyle w:val="NoSpacing"/>
          </w:pPr>
        </w:p>
        <w:p w:rsidR="00C018A2" w14:paraId="0A69E469" w14:textId="77777777">
          <w:pPr>
            <w:pStyle w:val="NoSpacing"/>
          </w:pPr>
        </w:p>
        <w:p w:rsidR="00C018A2" w14:paraId="1B6C43EC" w14:textId="77777777">
          <w:pPr>
            <w:pStyle w:val="NoSpacing"/>
          </w:pPr>
        </w:p>
        <w:p w:rsidR="00C018A2" w14:paraId="23767BEB" w14:textId="77777777">
          <w:pPr>
            <w:pStyle w:val="NoSpacing"/>
          </w:pPr>
        </w:p>
        <w:p w:rsidR="00C018A2" w14:paraId="137CAF48" w14:textId="77777777">
          <w:pPr>
            <w:pStyle w:val="NoSpacing"/>
          </w:pPr>
        </w:p>
        <w:p w:rsidR="00C018A2" w14:paraId="315D0685" w14:textId="77777777">
          <w:pPr>
            <w:pStyle w:val="NoSpacing"/>
          </w:pPr>
        </w:p>
        <w:p w:rsidR="00C018A2" w14:paraId="58CFD9FB" w14:textId="77777777">
          <w:pPr>
            <w:pStyle w:val="NoSpacing"/>
          </w:pPr>
        </w:p>
        <w:p w:rsidR="00C018A2" w14:paraId="38EA5ED5" w14:textId="77777777">
          <w:pPr>
            <w:pStyle w:val="NoSpacing"/>
          </w:pPr>
        </w:p>
        <w:p w:rsidR="00C018A2" w14:paraId="1244D365" w14:textId="77777777">
          <w:pPr>
            <w:pStyle w:val="NoSpacing"/>
          </w:pPr>
        </w:p>
        <w:p w:rsidR="00C018A2" w14:paraId="756E7E23" w14:textId="77777777">
          <w:pPr>
            <w:pStyle w:val="NoSpacing"/>
          </w:pPr>
        </w:p>
        <w:p w:rsidR="00C018A2" w14:paraId="2AEA0A9D"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7D9AA2D1" w14:textId="77777777">
                            <w:pPr>
                              <w:pStyle w:val="NoSpacing"/>
                              <w:jc w:val="right"/>
                              <w:rPr>
                                <w:color w:val="FFFFFF" w:themeColor="background1"/>
                                <w:sz w:val="28"/>
                                <w:szCs w:val="28"/>
                              </w:rPr>
                            </w:pPr>
                            <w:sdt>
                              <w:sdtPr>
                                <w:rPr>
                                  <w:color w:val="FFFFFF" w:themeColor="background1"/>
                                  <w:sz w:val="32"/>
                                  <w:szCs w:val="32"/>
                                </w:rPr>
                                <w:alias w:val="日期"/>
                                <w:id w:val="1509512765"/>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6FA5F349"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免疫球蛋白诊断血清</w:t>
          </w:r>
          <w:r w:rsidRPr="007A4CF7">
            <w:rPr>
              <w:rFonts w:ascii="仿宋" w:eastAsia="仿宋" w:hAnsi="仿宋" w:hint="eastAsia"/>
              <w:b/>
              <w:bCs/>
              <w:sz w:val="52"/>
              <w:szCs w:val="52"/>
            </w:rPr>
            <w:t>项目</w:t>
          </w:r>
        </w:p>
        <w:p w:rsidR="00C018A2" w:rsidP="007A4CF7" w14:paraId="4C7337F2"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02399D53">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33638ADC" w14:textId="02399D53">
                          <w:pPr>
                            <w:pStyle w:val="NoSpacing"/>
                            <w:rPr>
                              <w:color w:val="4472C4" w:themeColor="accent1"/>
                              <w:sz w:val="36"/>
                              <w:szCs w:val="36"/>
                            </w:rPr>
                          </w:pPr>
                          <w:sdt>
                            <w:sdtPr>
                              <w:rPr>
                                <w:color w:val="4472C4" w:themeColor="accent1"/>
                                <w:sz w:val="36"/>
                                <w:szCs w:val="36"/>
                              </w:rPr>
                              <w:alias w:val="作者"/>
                              <w:id w:val="1482848864"/>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0CD2DD10" w14:textId="77777777">
                          <w:pPr>
                            <w:pStyle w:val="NoSpacing"/>
                            <w:rPr>
                              <w:color w:val="595959" w:themeColor="text1" w:themeTint="A6"/>
                              <w:sz w:val="24"/>
                              <w:szCs w:val="24"/>
                            </w:rPr>
                          </w:pPr>
                          <w:sdt>
                            <w:sdtPr>
                              <w:rPr>
                                <w:caps/>
                                <w:color w:val="595959" w:themeColor="text1" w:themeTint="A6"/>
                                <w:sz w:val="24"/>
                                <w:szCs w:val="24"/>
                              </w:rPr>
                              <w:alias w:val="公司"/>
                              <w:id w:val="1276538398"/>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7B3625A3"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674EDF8A"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57E29EC0"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2BF121FD"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免疫球蛋白诊断血清项目商业计划书摘要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5CB1B283"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281A2FFF"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免疫球蛋白诊断血清产品或服务描述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0FB00C67"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6FD878D2"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免疫球蛋白诊断血清目标市场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5EA01356"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免疫球蛋白诊断血清市场竞争分析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3E12BE9B"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免疫球蛋白诊断血清行业趋势与机遇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70271D84"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27A44FA9"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6590BFDD"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免疫球蛋白诊断血清产品定价策略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7D1D6756"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免疫球蛋白诊断血清产品销售渠道与拓展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6C123737"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11DD2541"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6BEAF438"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2FA7FEBB"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5AE42579"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7D7E6F1E"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7679BBC5"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372567BB"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310951D1"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862124453"/>
        <w:docPartObj>
          <w:docPartGallery w:val="Table of Contents"/>
          <w:docPartUnique/>
        </w:docPartObj>
      </w:sdtPr>
      <w:sdtEndPr>
        <w:rPr>
          <w:b/>
          <w:bCs/>
        </w:rPr>
      </w:sdtEndPr>
      <w:sdtContent>
        <w:p w:rsidR="007A4CF7" w:rsidRPr="007A4CF7" w:rsidP="007A4CF7" w14:paraId="4D949372"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57E9520E"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2CFDD487"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20CF1909"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44002784"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54F8C419"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6687E86B"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06EC3BF3"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2FC47C0C"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1FD796A1"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2CBA4FCB"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0293E628"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7EF143FA"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08C9B78D"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3D934BA7"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56CA1EAF"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2307F153" w14:textId="77777777">
          <w:pPr>
            <w:spacing w:line="500" w:lineRule="exact"/>
          </w:pPr>
          <w:r w:rsidRPr="007A4CF7">
            <w:rPr>
              <w:b/>
              <w:bCs/>
              <w:sz w:val="28"/>
              <w:szCs w:val="28"/>
              <w:lang w:val="zh-CN"/>
            </w:rPr>
            <w:fldChar w:fldCharType="end"/>
          </w:r>
        </w:p>
      </w:sdtContent>
    </w:sdt>
    <w:p w:rsidR="007A4CF7" w:rsidP="00DA4121" w14:paraId="02C1B727"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5C9BF6E8" w14:textId="77777777">
      <w:pPr>
        <w:pStyle w:val="Heading2"/>
      </w:pPr>
      <w:r w:rsidRPr="009C12B5">
        <w:t>一、概述</w:t>
      </w:r>
      <w:bookmarkEnd w:id="0"/>
    </w:p>
    <w:p w:rsidR="009C12B5" w:rsidRPr="00DA4121" w:rsidP="00DA4121" w14:paraId="665C14C6" w14:textId="77777777">
      <w:pPr>
        <w:pStyle w:val="Heading3"/>
      </w:pPr>
      <w:bookmarkStart w:id="1" w:name="_Toc157814104"/>
      <w:r w:rsidRPr="00DA4121">
        <w:t xml:space="preserve">1.1 </w:t>
      </w:r>
      <w:r w:rsidR="007A4CF7">
        <w:t>免疫球蛋白诊断血清</w:t>
      </w:r>
      <w:r w:rsidR="007A4CF7">
        <w:rPr>
          <w:rFonts w:hint="eastAsia"/>
        </w:rPr>
        <w:t>项目</w:t>
      </w:r>
      <w:r w:rsidRPr="00DA4121">
        <w:t>商业计划书摘要</w:t>
      </w:r>
      <w:bookmarkEnd w:id="1"/>
    </w:p>
    <w:p w:rsidR="009C12B5" w:rsidRPr="009C12B5" w:rsidP="009C12B5" w14:paraId="7595CF6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免疫球蛋白诊断血清产品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免疫球蛋白诊断血清产品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免疫球蛋白诊断血清产品</w:t>
      </w:r>
      <w:r w:rsidRPr="009C12B5">
        <w:rPr>
          <w:rFonts w:ascii="仿宋" w:eastAsia="仿宋" w:hAnsi="仿宋"/>
          <w:sz w:val="28"/>
          <w:szCs w:val="28"/>
        </w:rPr>
        <w:t>有望成为市场上的畅销产品，并为公司带来可观的收益和市场份额。</w:t>
      </w:r>
    </w:p>
    <w:p w:rsidR="009C12B5" w:rsidRPr="009C12B5" w:rsidP="009C12B5" w14:paraId="0F41F28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免疫球蛋白诊断血清产品</w:t>
      </w:r>
      <w:r w:rsidRPr="009C12B5">
        <w:rPr>
          <w:rFonts w:ascii="仿宋" w:eastAsia="仿宋" w:hAnsi="仿宋"/>
          <w:sz w:val="28"/>
          <w:szCs w:val="28"/>
        </w:rPr>
        <w:t>商业计划书中，我们将详细阐述</w:t>
      </w:r>
      <w:r w:rsidR="00E75C7F">
        <w:rPr>
          <w:rFonts w:ascii="仿宋" w:eastAsia="仿宋" w:hAnsi="仿宋"/>
          <w:sz w:val="28"/>
          <w:szCs w:val="28"/>
        </w:rPr>
        <w:t>免疫球蛋白诊断血清产品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免疫球蛋白诊断血清产品</w:t>
      </w:r>
      <w:r w:rsidRPr="009C12B5">
        <w:rPr>
          <w:rFonts w:ascii="仿宋" w:eastAsia="仿宋" w:hAnsi="仿宋"/>
          <w:sz w:val="28"/>
          <w:szCs w:val="28"/>
        </w:rPr>
        <w:t>有一个全面而深入的了解，并认识到其巨大的商业价值和投资潜力。</w:t>
      </w:r>
    </w:p>
    <w:p w:rsidR="009C12B5" w:rsidRPr="009C12B5" w:rsidP="009C12B5" w14:paraId="70026F6C"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免疫球蛋白诊断血清产品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2879738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免疫球蛋白诊断血清产品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免疫球蛋白诊断血清产品</w:t>
      </w:r>
      <w:r w:rsidRPr="009C12B5">
        <w:rPr>
          <w:rFonts w:ascii="仿宋" w:eastAsia="仿宋" w:hAnsi="仿宋"/>
          <w:sz w:val="28"/>
          <w:szCs w:val="28"/>
        </w:rPr>
        <w:t>的美好未来。</w:t>
      </w:r>
    </w:p>
    <w:p w:rsidR="009C12B5" w:rsidRPr="009C12B5" w:rsidP="007A4CF7" w14:paraId="5651CE18" w14:textId="77777777">
      <w:pPr>
        <w:pStyle w:val="Heading3"/>
      </w:pPr>
      <w:bookmarkStart w:id="2" w:name="_Toc157814105"/>
      <w:r w:rsidRPr="009C12B5">
        <w:t xml:space="preserve">1.2 </w:t>
      </w:r>
      <w:r w:rsidRPr="009C12B5">
        <w:t>公司简介</w:t>
      </w:r>
      <w:bookmarkEnd w:id="2"/>
    </w:p>
    <w:p w:rsidR="009C12B5" w:rsidRPr="009C12B5" w:rsidP="009C12B5" w14:paraId="1B5C569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4071EF7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6DFB71B4"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6245F44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30BA6686" w14:textId="77777777">
      <w:pPr>
        <w:pStyle w:val="Heading3"/>
      </w:pPr>
      <w:bookmarkStart w:id="3" w:name="_Toc157814106"/>
      <w:r w:rsidRPr="007A4CF7">
        <w:t xml:space="preserve">1.3 </w:t>
      </w:r>
      <w:r w:rsidR="007A4CF7">
        <w:t>免疫球蛋白诊断血清</w:t>
      </w:r>
      <w:r w:rsidRPr="007A4CF7">
        <w:t>产品或服务描述</w:t>
      </w:r>
      <w:bookmarkEnd w:id="3"/>
    </w:p>
    <w:p w:rsidR="00C577F0" w14:paraId="79FBE4C3" w14:textId="610BC883">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免疫球蛋白诊断血清产品是一种用于检测和量化人体内免疫球蛋白水平的生物医学试剂。它通过与特定的免疫球蛋白结合，然后通过一系列的实验室检测技术，如酶联免疫吸附试验（</w:t>
      </w:r>
      <w:r>
        <w:rPr>
          <w:rFonts w:ascii="仿宋" w:eastAsia="仿宋" w:hAnsi="仿宋"/>
          <w:sz w:val="28"/>
        </w:rPr>
        <w:t>ELISA</w:t>
      </w:r>
      <w:r>
        <w:rPr>
          <w:rFonts w:ascii="仿宋" w:eastAsia="仿宋" w:hAnsi="仿宋"/>
          <w:sz w:val="28"/>
        </w:rPr>
        <w:t>）或放射免疫分析（</w:t>
      </w:r>
      <w:r>
        <w:rPr>
          <w:rFonts w:ascii="仿宋" w:eastAsia="仿宋" w:hAnsi="仿宋"/>
          <w:sz w:val="28"/>
        </w:rPr>
        <w:t>RIA</w:t>
      </w:r>
      <w:r>
        <w:rPr>
          <w:rFonts w:ascii="仿宋" w:eastAsia="仿宋" w:hAnsi="仿宋"/>
          <w:sz w:val="28"/>
        </w:rPr>
        <w:t>），来确定血清中免疫球蛋白的浓度。这种产品对于评估免疫系统的功能、诊断免疫相关疾病以及监测治疗效果具有重要意义。</w:t>
      </w:r>
      <w:r>
        <w:rPr>
          <w:rFonts w:ascii="仿宋" w:eastAsia="仿宋" w:hAnsi="仿宋"/>
          <w:sz w:val="28"/>
        </w:rPr>
        <w:br/>
      </w:r>
      <w:r>
        <w:rPr>
          <w:rFonts w:ascii="仿宋" w:eastAsia="仿宋" w:hAnsi="仿宋"/>
          <w:sz w:val="28"/>
        </w:rPr>
        <w:t>免疫球蛋白诊断血清产品的功能主要包括以下几个方面：</w:t>
      </w:r>
      <w:r>
        <w:rPr>
          <w:rFonts w:ascii="仿宋" w:eastAsia="仿宋" w:hAnsi="仿宋"/>
          <w:sz w:val="28"/>
        </w:rPr>
        <w:br/>
        <w:t xml:space="preserve">    1.</w:t>
      </w:r>
      <w:r>
        <w:rPr>
          <w:rFonts w:ascii="仿宋" w:eastAsia="仿宋" w:hAnsi="仿宋"/>
          <w:sz w:val="28"/>
        </w:rPr>
        <w:t>疾病诊断：通过检测免疫球蛋白水平，可以辅助诊断多种免疫系统疾病，如免疫缺陷病、自身免疫性疾病和炎症性疾病等。</w:t>
      </w:r>
      <w:r>
        <w:rPr>
          <w:rFonts w:ascii="仿宋" w:eastAsia="仿宋" w:hAnsi="仿宋"/>
          <w:sz w:val="28"/>
        </w:rPr>
        <w:br/>
        <w:t xml:space="preserve">    2.</w:t>
      </w:r>
      <w:r>
        <w:rPr>
          <w:rFonts w:ascii="仿宋" w:eastAsia="仿宋" w:hAnsi="仿宋"/>
          <w:sz w:val="28"/>
        </w:rPr>
        <w:t>疾病监测：在治疗过程中，定期检测免疫球蛋白水平可以帮助医生评估治疗效果和调整治疗方案。</w:t>
      </w:r>
      <w:r>
        <w:rPr>
          <w:rFonts w:ascii="仿宋" w:eastAsia="仿宋" w:hAnsi="仿宋"/>
          <w:sz w:val="28"/>
        </w:rPr>
        <w:br/>
        <w:t xml:space="preserve">    3.</w:t>
      </w:r>
      <w:r>
        <w:rPr>
          <w:rFonts w:ascii="仿宋" w:eastAsia="仿宋" w:hAnsi="仿宋"/>
          <w:sz w:val="28"/>
        </w:rPr>
        <w:t>疫苗接种后反应评估：免疫球蛋白诊断血清产品可以用来检测疫苗接种后人体产生的抗体反应，确保疫苗的有效性。</w:t>
      </w:r>
      <w:r>
        <w:rPr>
          <w:rFonts w:ascii="仿宋" w:eastAsia="仿宋" w:hAnsi="仿宋"/>
          <w:sz w:val="28"/>
        </w:rPr>
        <w:br/>
        <w:t xml:space="preserve">    4.</w:t>
      </w:r>
    </w:p>
    <w:p w:rsidR="00C577F0" w14:textId="610BC883">
      <w:pPr>
        <w:ind w:firstLine="560"/>
      </w:pPr>
      <w:r>
        <w:rPr>
          <w:rFonts w:ascii="仿宋" w:eastAsia="仿宋" w:hAnsi="仿宋"/>
          <w:sz w:val="28"/>
        </w:rPr>
        <w:t>科学研究：这些产品在免疫学研究中也是不可或缺的工具，用于了解免疫反应的机制和开发新的免疫疗法。</w:t>
      </w:r>
      <w:r>
        <w:rPr>
          <w:rFonts w:ascii="仿宋" w:eastAsia="仿宋" w:hAnsi="仿宋"/>
          <w:sz w:val="28"/>
        </w:rPr>
        <w:br/>
        <w:t xml:space="preserve">    5.</w:t>
      </w:r>
      <w:r>
        <w:rPr>
          <w:rFonts w:ascii="仿宋" w:eastAsia="仿宋" w:hAnsi="仿宋"/>
          <w:sz w:val="28"/>
        </w:rPr>
        <w:t>个性化医疗：通过分析个体免疫球蛋白水平，可以为患者提供个性化的医疗建议和治疗方案。</w:t>
      </w:r>
      <w:r>
        <w:rPr>
          <w:rFonts w:ascii="仿宋" w:eastAsia="仿宋" w:hAnsi="仿宋"/>
          <w:sz w:val="28"/>
        </w:rPr>
        <w:br/>
        <w:t xml:space="preserve">    6.</w:t>
      </w:r>
      <w:r>
        <w:rPr>
          <w:rFonts w:ascii="仿宋" w:eastAsia="仿宋" w:hAnsi="仿宋"/>
          <w:sz w:val="28"/>
        </w:rPr>
        <w:t>公共卫生：在流行病学调查和疾病筛查中，免疫球蛋白诊断血清产品可以提供关键数据，帮助制定公共卫生政策。</w:t>
      </w:r>
      <w:r>
        <w:rPr>
          <w:rFonts w:ascii="仿宋" w:eastAsia="仿宋" w:hAnsi="仿宋"/>
          <w:sz w:val="28"/>
        </w:rPr>
        <w:br/>
      </w:r>
      <w:r>
        <w:rPr>
          <w:rFonts w:ascii="仿宋" w:eastAsia="仿宋" w:hAnsi="仿宋"/>
          <w:sz w:val="28"/>
        </w:rPr>
        <w:t>免疫球蛋白诊断血清产品的精准性和可靠性对于临床决策和患者护理至关重要。随着技术的不断进步，这些产品将继续在医学研究和实践中发挥重要作用。</w:t>
      </w:r>
    </w:p>
    <w:p w:rsidR="009C12B5" w:rsidRPr="009C12B5" w:rsidP="009C12B5" w14:paraId="4F8414F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免疫球蛋白诊断血清产品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免疫球蛋白诊断血清产品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免疫球蛋白诊断血清产品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免疫球蛋白诊断血清产品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1925E309"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免疫球蛋白诊断血清产品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5D83A1CA" w14:textId="77777777">
      <w:pPr>
        <w:pStyle w:val="Heading2"/>
      </w:pPr>
      <w:bookmarkStart w:id="4" w:name="_Toc157814107"/>
      <w:r w:rsidRPr="009C12B5">
        <w:t>二、市场分析</w:t>
      </w:r>
      <w:bookmarkEnd w:id="4"/>
    </w:p>
    <w:p w:rsidR="009C12B5" w:rsidP="007A4CF7" w14:paraId="1DE2B434" w14:textId="77777777">
      <w:pPr>
        <w:pStyle w:val="Heading3"/>
      </w:pPr>
      <w:bookmarkStart w:id="5" w:name="_Toc157814108"/>
      <w:r w:rsidRPr="009C12B5">
        <w:t xml:space="preserve">2.1 </w:t>
      </w:r>
      <w:r w:rsidR="007A4CF7">
        <w:t>免疫球蛋白诊断血清</w:t>
      </w:r>
      <w:r w:rsidRPr="009C12B5">
        <w:t>目标市场</w:t>
      </w:r>
      <w:bookmarkEnd w:id="5"/>
    </w:p>
    <w:p w:rsidR="00C577F0" w14:paraId="1D27DEFF" w14:textId="3254BD3E">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免疫球蛋白诊断血清产品目标市场分析应重点评估以下关键因素：</w:t>
      </w:r>
      <w:r>
        <w:rPr>
          <w:rFonts w:ascii="仿宋" w:eastAsia="仿宋" w:hAnsi="仿宋"/>
          <w:sz w:val="28"/>
        </w:rPr>
        <w:br/>
        <w:t xml:space="preserve">    1.</w:t>
      </w:r>
      <w:r>
        <w:rPr>
          <w:rFonts w:ascii="仿宋" w:eastAsia="仿宋" w:hAnsi="仿宋"/>
          <w:sz w:val="28"/>
        </w:rPr>
        <w:t>市场需求：分析目标市场对免疫球蛋白诊断血清产品的需求量，包括现有需求和潜在需求。</w:t>
      </w:r>
      <w:r>
        <w:rPr>
          <w:rFonts w:ascii="仿宋" w:eastAsia="仿宋" w:hAnsi="仿宋"/>
          <w:sz w:val="28"/>
        </w:rPr>
        <w:br/>
        <w:t xml:space="preserve">    2.</w:t>
      </w:r>
      <w:r>
        <w:rPr>
          <w:rFonts w:ascii="仿宋" w:eastAsia="仿宋" w:hAnsi="仿宋"/>
          <w:sz w:val="28"/>
        </w:rPr>
        <w:t>市场趋势：研究市场的发展趋势，如技术进步、政策变化、竞争动态等，以预测未来市场走向。</w:t>
      </w:r>
      <w:r>
        <w:rPr>
          <w:rFonts w:ascii="仿宋" w:eastAsia="仿宋" w:hAnsi="仿宋"/>
          <w:sz w:val="28"/>
        </w:rPr>
        <w:br/>
        <w:t xml:space="preserve">    3.</w:t>
      </w:r>
      <w:r>
        <w:rPr>
          <w:rFonts w:ascii="仿宋" w:eastAsia="仿宋" w:hAnsi="仿宋"/>
          <w:sz w:val="28"/>
        </w:rPr>
        <w:t>目标客户：确定产品的目标客户群体，包括医院、科研机构、个人消费者等，分析他们的需求特点和购买行为。</w:t>
      </w:r>
      <w:r>
        <w:rPr>
          <w:rFonts w:ascii="仿宋" w:eastAsia="仿宋" w:hAnsi="仿宋"/>
          <w:sz w:val="28"/>
        </w:rPr>
        <w:br/>
        <w:t xml:space="preserve">    4.</w:t>
      </w:r>
      <w:r>
        <w:rPr>
          <w:rFonts w:ascii="仿宋" w:eastAsia="仿宋" w:hAnsi="仿宋"/>
          <w:sz w:val="28"/>
        </w:rPr>
        <w:t>竞争对手分析：评估现有和潜在竞争对手的产品、服务、市场定位和市场份额，识别竞争优势和劣势。</w:t>
      </w:r>
      <w:r>
        <w:rPr>
          <w:rFonts w:ascii="仿宋" w:eastAsia="仿宋" w:hAnsi="仿宋"/>
          <w:sz w:val="28"/>
        </w:rPr>
        <w:br/>
        <w:t xml:space="preserve">    5.</w:t>
      </w:r>
      <w:r>
        <w:rPr>
          <w:rFonts w:ascii="仿宋" w:eastAsia="仿宋" w:hAnsi="仿宋"/>
          <w:sz w:val="28"/>
        </w:rPr>
        <w:t>市场准入门槛：分析市场准入的法规要求、技术标准和成本等因素，评估产品进入市场的难易程度。</w:t>
      </w:r>
      <w:r>
        <w:rPr>
          <w:rFonts w:ascii="仿宋" w:eastAsia="仿宋" w:hAnsi="仿宋"/>
          <w:sz w:val="28"/>
        </w:rPr>
        <w:br/>
        <w:t xml:space="preserve">    6.</w:t>
      </w:r>
      <w:r>
        <w:rPr>
          <w:rFonts w:ascii="仿宋" w:eastAsia="仿宋" w:hAnsi="仿宋"/>
          <w:sz w:val="28"/>
        </w:rPr>
        <w:t>定价策略：根据成本分析、市场定位和竞争对手定价，制定合理的定价策略，确保产品在市场上的竞争力。</w:t>
      </w:r>
      <w:r>
        <w:rPr>
          <w:rFonts w:ascii="仿宋" w:eastAsia="仿宋" w:hAnsi="仿宋"/>
          <w:sz w:val="28"/>
        </w:rPr>
        <w:br/>
        <w:t xml:space="preserve">    7.</w:t>
      </w:r>
      <w:r>
        <w:rPr>
          <w:rFonts w:ascii="仿宋" w:eastAsia="仿宋" w:hAnsi="仿宋"/>
          <w:sz w:val="28"/>
        </w:rPr>
        <w:t>销售和营销策略：制定针对目标市场的销售和营销策略，包括渠道选择、广告宣传、品牌建设等，以有效触达和影响目标客户。</w:t>
      </w:r>
      <w:r>
        <w:rPr>
          <w:rFonts w:ascii="仿宋" w:eastAsia="仿宋" w:hAnsi="仿宋"/>
          <w:sz w:val="28"/>
        </w:rPr>
        <w:br/>
        <w:t xml:space="preserve">    8.</w:t>
      </w:r>
      <w:r>
        <w:rPr>
          <w:rFonts w:ascii="仿宋" w:eastAsia="仿宋" w:hAnsi="仿宋"/>
          <w:sz w:val="28"/>
        </w:rPr>
        <w:t>市场风险评估：识别并评估市场可能面临的风险，如政策变化、技术革新、替代产品出现等，并制定相应的风险管理措施。</w:t>
      </w:r>
      <w:r>
        <w:rPr>
          <w:rFonts w:ascii="仿宋" w:eastAsia="仿宋" w:hAnsi="仿宋"/>
          <w:sz w:val="28"/>
        </w:rPr>
        <w:br/>
      </w:r>
    </w:p>
    <w:p w:rsidR="00C577F0" w14:textId="3254BD3E">
      <w:pPr>
        <w:ind w:firstLine="560"/>
      </w:pPr>
      <w:r>
        <w:rPr>
          <w:rFonts w:ascii="仿宋" w:eastAsia="仿宋" w:hAnsi="仿宋"/>
          <w:sz w:val="28"/>
        </w:rPr>
        <w:t>通过上述分析，商业发展计划书能够为免疫球蛋白诊断血清产品的市场定位、营销策略和商业运营提供科学依据，确保产品能够顺利进入市场并获得成功。</w:t>
      </w:r>
    </w:p>
    <w:p w:rsidR="009C12B5" w:rsidRPr="009C12B5" w:rsidP="009C12B5" w14:paraId="1DA2A7A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0406119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免疫球蛋白诊断血清产品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免疫球蛋白诊断血清产品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免疫球蛋白诊断血清产品</w:t>
      </w:r>
      <w:r w:rsidRPr="009C12B5">
        <w:rPr>
          <w:rFonts w:ascii="仿宋" w:eastAsia="仿宋" w:hAnsi="仿宋"/>
          <w:sz w:val="28"/>
          <w:szCs w:val="28"/>
        </w:rPr>
        <w:t>始终与市场需求保持同步。</w:t>
      </w:r>
    </w:p>
    <w:p w:rsidR="009C12B5" w:rsidP="007A4CF7" w14:paraId="77DDFE4F" w14:textId="77777777">
      <w:pPr>
        <w:pStyle w:val="Heading3"/>
      </w:pPr>
      <w:bookmarkStart w:id="6" w:name="_Toc157814109"/>
      <w:r w:rsidRPr="009C12B5">
        <w:t xml:space="preserve">2.2 </w:t>
      </w:r>
      <w:r w:rsidR="007A4CF7">
        <w:t>免疫球蛋白诊断血清</w:t>
      </w:r>
      <w:r w:rsidR="007A4CF7">
        <w:rPr>
          <w:rFonts w:hint="eastAsia"/>
        </w:rPr>
        <w:t>市场</w:t>
      </w:r>
      <w:r w:rsidRPr="009C12B5">
        <w:t>竞争分析</w:t>
      </w:r>
      <w:bookmarkEnd w:id="6"/>
    </w:p>
    <w:p w:rsidR="00C577F0" w14:paraId="1A7213D6" w14:textId="19165E1A">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免疫球蛋白诊断血清产品市场竞争分析显示，该产品领域具有较高的技术壁垒和市场准入门槛，目前市场上的主要竞争者包括国内外大型生物医药企业和研究机构。这些竞争者通常拥有强大的研发能力和品牌影响力，能够提供多样化的产品和服务。然而，随着技术的进步和市场需求的不断变化，新兴企业也有机会通过创新产品和差异化服务策略进入市场并获得份额。</w:t>
      </w:r>
      <w:r>
        <w:rPr>
          <w:rFonts w:ascii="仿宋" w:eastAsia="仿宋" w:hAnsi="仿宋"/>
          <w:sz w:val="28"/>
        </w:rPr>
        <w:br/>
      </w:r>
    </w:p>
    <w:p w:rsidR="00C577F0" w14:textId="19165E1A">
      <w:pPr>
        <w:ind w:firstLine="560"/>
      </w:pPr>
      <w:r>
        <w:rPr>
          <w:rFonts w:ascii="仿宋" w:eastAsia="仿宋" w:hAnsi="仿宋"/>
          <w:sz w:val="28"/>
        </w:rPr>
        <w:t>为了在市场竞争中脱颖而出，本项目将重点发展以下策略：</w:t>
      </w:r>
      <w:r>
        <w:rPr>
          <w:rFonts w:ascii="仿宋" w:eastAsia="仿宋" w:hAnsi="仿宋"/>
          <w:sz w:val="28"/>
        </w:rPr>
        <w:br/>
        <w:t xml:space="preserve">    1.</w:t>
      </w:r>
      <w:r>
        <w:rPr>
          <w:rFonts w:ascii="仿宋" w:eastAsia="仿宋" w:hAnsi="仿宋"/>
          <w:sz w:val="28"/>
        </w:rPr>
        <w:t>技术创新：持续投入研发，提升产品的技术含量和检测准确性，以满足不断增长的高端市场需求。</w:t>
      </w:r>
      <w:r>
        <w:rPr>
          <w:rFonts w:ascii="仿宋" w:eastAsia="仿宋" w:hAnsi="仿宋"/>
          <w:sz w:val="28"/>
        </w:rPr>
        <w:br/>
        <w:t xml:space="preserve">    2.</w:t>
      </w:r>
      <w:r>
        <w:rPr>
          <w:rFonts w:ascii="仿宋" w:eastAsia="仿宋" w:hAnsi="仿宋"/>
          <w:sz w:val="28"/>
        </w:rPr>
        <w:t>市场定位：明确目标客户群体，针对性地提供定制化产品和服务，提高市场占有率。</w:t>
      </w:r>
      <w:r>
        <w:rPr>
          <w:rFonts w:ascii="仿宋" w:eastAsia="仿宋" w:hAnsi="仿宋"/>
          <w:sz w:val="28"/>
        </w:rPr>
        <w:br/>
        <w:t xml:space="preserve">    3.</w:t>
      </w:r>
      <w:r>
        <w:rPr>
          <w:rFonts w:ascii="仿宋" w:eastAsia="仿宋" w:hAnsi="仿宋"/>
          <w:sz w:val="28"/>
        </w:rPr>
        <w:t>营销策略：加强品牌建设，利用多种营销手段提升产品知名度和市场影响力。</w:t>
      </w:r>
      <w:r>
        <w:rPr>
          <w:rFonts w:ascii="仿宋" w:eastAsia="仿宋" w:hAnsi="仿宋"/>
          <w:sz w:val="28"/>
        </w:rPr>
        <w:br/>
        <w:t xml:space="preserve">    4.</w:t>
      </w:r>
      <w:r>
        <w:rPr>
          <w:rFonts w:ascii="仿宋" w:eastAsia="仿宋" w:hAnsi="仿宋"/>
          <w:sz w:val="28"/>
        </w:rPr>
        <w:t>战略合作：与医疗机构、科研院所建立长期合作关系，共同推动产品应用和市场拓展。</w:t>
      </w:r>
      <w:r>
        <w:rPr>
          <w:rFonts w:ascii="仿宋" w:eastAsia="仿宋" w:hAnsi="仿宋"/>
          <w:sz w:val="28"/>
        </w:rPr>
        <w:br/>
        <w:t xml:space="preserve">    5.</w:t>
      </w:r>
      <w:r>
        <w:rPr>
          <w:rFonts w:ascii="仿宋" w:eastAsia="仿宋" w:hAnsi="仿宋"/>
          <w:sz w:val="28"/>
        </w:rPr>
        <w:t>质量控制：严格把控产品质量，确保产品符合国际标准，提高用户信赖度。</w:t>
      </w:r>
      <w:r>
        <w:rPr>
          <w:rFonts w:ascii="仿宋" w:eastAsia="仿宋" w:hAnsi="仿宋"/>
          <w:sz w:val="28"/>
        </w:rPr>
        <w:br/>
      </w:r>
      <w:r>
        <w:rPr>
          <w:rFonts w:ascii="仿宋" w:eastAsia="仿宋" w:hAnsi="仿宋"/>
          <w:sz w:val="28"/>
        </w:rPr>
        <w:t>通过上述策略的实施，本项目预期能够有效应对市场竞争，并在免疫球蛋白诊断血清产品市场中占据有利地位。</w:t>
      </w:r>
    </w:p>
    <w:p w:rsidR="009C12B5" w:rsidRPr="009C12B5" w:rsidP="009C12B5" w14:paraId="256FCB6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免疫球蛋白诊断血清产品</w:t>
      </w:r>
      <w:r w:rsidRPr="009C12B5">
        <w:rPr>
          <w:rFonts w:ascii="仿宋" w:eastAsia="仿宋" w:hAnsi="仿宋"/>
          <w:sz w:val="28"/>
          <w:szCs w:val="28"/>
        </w:rPr>
        <w:t>的竞争优势和差异化策略。我们认为，</w:t>
      </w:r>
      <w:r w:rsidR="00E75C7F">
        <w:rPr>
          <w:rFonts w:ascii="仿宋" w:eastAsia="仿宋" w:hAnsi="仿宋"/>
          <w:sz w:val="28"/>
          <w:szCs w:val="28"/>
        </w:rPr>
        <w:t>免疫球蛋白诊断血清产品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4CDA7C37"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免疫球蛋白诊断血清产品</w:t>
      </w:r>
      <w:r w:rsidRPr="009C12B5">
        <w:rPr>
          <w:rFonts w:ascii="仿宋" w:eastAsia="仿宋" w:hAnsi="仿宋"/>
          <w:sz w:val="28"/>
          <w:szCs w:val="28"/>
        </w:rPr>
        <w:t>将在竞争激烈的市场中脱颖而出。</w:t>
      </w:r>
    </w:p>
    <w:p w:rsidR="009C12B5" w:rsidP="007A4CF7" w14:paraId="74DC2F5B" w14:textId="77777777">
      <w:pPr>
        <w:pStyle w:val="Heading3"/>
      </w:pPr>
      <w:bookmarkStart w:id="7" w:name="_Toc157814110"/>
      <w:r w:rsidRPr="009C12B5">
        <w:t xml:space="preserve">2.3 </w:t>
      </w:r>
      <w:r w:rsidR="007A4CF7">
        <w:t>免疫球蛋白诊断血清</w:t>
      </w:r>
      <w:r w:rsidRPr="009C12B5">
        <w:t>行业趋势与机遇</w:t>
      </w:r>
      <w:bookmarkEnd w:id="7"/>
    </w:p>
    <w:p w:rsidR="00C577F0" w14:paraId="3E11AD0C" w14:textId="4CBB351D">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免疫球蛋白诊断血清产品行业正经历着一系列积极的趋势和机遇，为商业发展提供了有利的环境。首先，随着全球人口老龄化的加剧，慢性疾病和免疫系统疾病的发病率不断上升，这推动了对于精准诊断的需求，从而促进了免疫球蛋白诊断血清产品市场的增长。其次，新兴国家经济的快速增长和医疗基础设施的改善，使得这些地区对于高质量诊断产品的需求日益增加，为国际企业提供了广阔的市场机遇。此外，技术的进步，特别是生物技术和分子诊断技术的发展，为免疫球蛋白诊断血清产品的创新和性能提升提供了可能，同时也推动了个性化医疗的发展，增加了市场对于此类产品的需求。</w:t>
      </w:r>
      <w:r>
        <w:rPr>
          <w:rFonts w:ascii="仿宋" w:eastAsia="仿宋" w:hAnsi="仿宋"/>
          <w:sz w:val="28"/>
        </w:rPr>
        <w:br/>
      </w:r>
      <w:r>
        <w:rPr>
          <w:rFonts w:ascii="仿宋" w:eastAsia="仿宋" w:hAnsi="仿宋"/>
          <w:sz w:val="28"/>
        </w:rPr>
        <w:t>此外，政策环境的变化也为行业发展提供了支持。许多国家政府都在加大对医疗卫生的投入，并推动医疗体制改革，这些措施有助于提高医疗服务的可及性和效率，从而带动相关诊断产品的需求。同时，监管环境的逐步完善和标准化，虽然对企业的研发和生产提出了更高的要求，但也有助于建立公平竞争的市场环境，促进整个行业的长期健康发展。</w:t>
      </w:r>
      <w:r>
        <w:rPr>
          <w:rFonts w:ascii="仿宋" w:eastAsia="仿宋" w:hAnsi="仿宋"/>
          <w:sz w:val="28"/>
        </w:rPr>
        <w:br/>
      </w:r>
    </w:p>
    <w:p w:rsidR="00C577F0" w14:textId="4CBB351D">
      <w:pPr>
        <w:ind w:firstLine="560"/>
      </w:pPr>
      <w:r>
        <w:rPr>
          <w:rFonts w:ascii="仿宋" w:eastAsia="仿宋" w:hAnsi="仿宋"/>
          <w:sz w:val="28"/>
        </w:rPr>
        <w:t>另外，消费者健康意识的提升和对于疾病早期检测的重视，使得免疫球蛋白诊断血清产品在疾病预防和管理中的作用日益凸显，这为行业带来了新的增长点。同时，随着人们对快速、便捷的诊断测试需求的增加，推动了行业向即时检测（</w:t>
      </w:r>
      <w:r>
        <w:rPr>
          <w:rFonts w:ascii="仿宋" w:eastAsia="仿宋" w:hAnsi="仿宋"/>
          <w:sz w:val="28"/>
        </w:rPr>
        <w:t>POCT</w:t>
      </w:r>
      <w:r>
        <w:rPr>
          <w:rFonts w:ascii="仿宋" w:eastAsia="仿宋" w:hAnsi="仿宋"/>
          <w:sz w:val="28"/>
        </w:rPr>
        <w:t>）方向发展，这为免疫球蛋白诊断血清产品提供了新的市场机遇。</w:t>
      </w:r>
      <w:r>
        <w:rPr>
          <w:rFonts w:ascii="仿宋" w:eastAsia="仿宋" w:hAnsi="仿宋"/>
          <w:sz w:val="28"/>
        </w:rPr>
        <w:br/>
      </w:r>
      <w:r>
        <w:rPr>
          <w:rFonts w:ascii="仿宋" w:eastAsia="仿宋" w:hAnsi="仿宋"/>
          <w:sz w:val="28"/>
        </w:rPr>
        <w:t>综上所述，免疫球蛋白诊断血清产品行业正处于一个充满活力的时期，市场需求的扩大、技术进步、政策支持和消费者观念的变化共同构成了行业发展的强大动力。对于企业来说，把握这些趋势和机遇，通过创新产品、优化市场策略和提升服务质量，将有助于在激烈的市场竞争中脱颖而出，实现可持续的商业发展。</w:t>
      </w:r>
    </w:p>
    <w:p w:rsidR="009C12B5" w:rsidRPr="009C12B5" w:rsidP="009C12B5" w14:paraId="472869E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免疫球蛋白诊断血清产品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免疫球蛋白诊断血清产品</w:t>
      </w:r>
      <w:r w:rsidRPr="009C12B5">
        <w:rPr>
          <w:rFonts w:ascii="仿宋" w:eastAsia="仿宋" w:hAnsi="仿宋"/>
          <w:sz w:val="28"/>
          <w:szCs w:val="28"/>
        </w:rPr>
        <w:t>始终走在行业的前沿并抓住每一个市场机遇。</w:t>
      </w:r>
    </w:p>
    <w:p w:rsidR="009C12B5" w:rsidRPr="009C12B5" w:rsidP="007A4CF7" w14:paraId="74743DED" w14:textId="77777777">
      <w:pPr>
        <w:pStyle w:val="Heading2"/>
      </w:pPr>
      <w:bookmarkStart w:id="8" w:name="_Toc157814111"/>
      <w:r w:rsidRPr="009C12B5">
        <w:t>三、营销策略</w:t>
      </w:r>
      <w:bookmarkEnd w:id="8"/>
    </w:p>
    <w:p w:rsidR="009C12B5" w:rsidRPr="009C12B5" w:rsidP="007A4CF7" w14:paraId="2A7899F8" w14:textId="77777777">
      <w:pPr>
        <w:pStyle w:val="Heading3"/>
      </w:pPr>
      <w:bookmarkStart w:id="9" w:name="_Toc157814112"/>
      <w:r w:rsidRPr="009C12B5">
        <w:t xml:space="preserve">3.1 </w:t>
      </w:r>
      <w:r w:rsidRPr="009C12B5">
        <w:t>品牌定位与传播</w:t>
      </w:r>
      <w:bookmarkEnd w:id="9"/>
    </w:p>
    <w:p w:rsidR="009C12B5" w:rsidRPr="009C12B5" w:rsidP="007A4CF7" w14:paraId="6FB79615" w14:textId="77777777">
      <w:pPr>
        <w:pStyle w:val="NormalWeb"/>
        <w:spacing w:before="0" w:beforeAutospacing="0" w:after="156" w:afterLines="50" w:afterAutospacing="0"/>
        <w:ind w:firstLine="560" w:firstLineChars="20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免疫球蛋白诊断血清产品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71059F6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免疫球蛋白诊断血清产品</w:t>
      </w:r>
      <w:r w:rsidRPr="009C12B5">
        <w:rPr>
          <w:rFonts w:ascii="仿宋" w:eastAsia="仿宋" w:hAnsi="仿宋"/>
          <w:sz w:val="28"/>
          <w:szCs w:val="28"/>
        </w:rPr>
        <w:t>的专业评测和推荐文章，以扩大品牌影响力。</w:t>
      </w:r>
    </w:p>
    <w:p w:rsidR="009C12B5" w:rsidRPr="009C12B5" w:rsidP="009C12B5" w14:paraId="7FC15BA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免疫球蛋白诊断血清产品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37E708A4" w14:textId="77777777">
      <w:pPr>
        <w:pStyle w:val="Heading3"/>
      </w:pPr>
      <w:bookmarkStart w:id="10" w:name="_Toc157814113"/>
      <w:r w:rsidRPr="009C12B5">
        <w:t xml:space="preserve">3.2 </w:t>
      </w:r>
      <w:r w:rsidR="007A4CF7">
        <w:t>免疫球蛋白诊断血清</w:t>
      </w:r>
      <w:r w:rsidRPr="009C12B5">
        <w:t>产品定价策略</w:t>
      </w:r>
      <w:bookmarkEnd w:id="10"/>
    </w:p>
    <w:p w:rsidR="009C12B5" w:rsidRPr="009C12B5" w:rsidP="00CA39FB" w14:paraId="35433AB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免疫球蛋白诊断血清产品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6F316995"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55AC5BC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免疫球蛋白诊断血清产品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504AF694" w14:textId="77777777">
      <w:pPr>
        <w:pStyle w:val="Heading3"/>
      </w:pPr>
      <w:bookmarkStart w:id="11" w:name="_Toc157814114"/>
      <w:r w:rsidRPr="009C12B5">
        <w:t xml:space="preserve">3.3 </w:t>
      </w:r>
      <w:r w:rsidR="007A4CF7">
        <w:t>免疫球蛋白诊断血清</w:t>
      </w:r>
      <w:r w:rsidR="007A4CF7">
        <w:rPr>
          <w:rFonts w:hint="eastAsia"/>
        </w:rPr>
        <w:t>产品</w:t>
      </w:r>
      <w:r w:rsidRPr="009C12B5">
        <w:t>销售渠道与拓展</w:t>
      </w:r>
      <w:bookmarkEnd w:id="11"/>
    </w:p>
    <w:p w:rsidR="009C12B5" w:rsidRPr="009C12B5" w:rsidP="009C12B5" w14:paraId="66E2788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免疫球蛋白诊断血清产品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1937FC4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免疫球蛋白诊断血清产品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13D568EA"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免疫球蛋白诊断血清产品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7D2692E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4BDF779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p>
    <w:p w:rsidR="009C12B5" w:rsidRPr="009C12B5" w:rsidP="007A4CF7" w14:paraId="56FBF8D4" w14:textId="77777777">
      <w:pPr>
        <w:pStyle w:val="Heading2"/>
      </w:pPr>
      <w:bookmarkStart w:id="12" w:name="_Toc157814115"/>
      <w:r w:rsidRPr="009C12B5">
        <w:t>四、运营计划</w:t>
      </w:r>
      <w:bookmarkEnd w:id="12"/>
    </w:p>
    <w:p w:rsidR="009C12B5" w:rsidRPr="009C12B5" w:rsidP="007A4CF7" w14:paraId="1B85CB76" w14:textId="77777777">
      <w:pPr>
        <w:pStyle w:val="Heading3"/>
      </w:pPr>
      <w:bookmarkStart w:id="13" w:name="_Toc157814116"/>
      <w:r w:rsidRPr="009C12B5">
        <w:t xml:space="preserve">4.1 </w:t>
      </w:r>
      <w:r w:rsidRPr="009C12B5">
        <w:t>运营目标与策略</w:t>
      </w:r>
      <w:bookmarkEnd w:id="13"/>
    </w:p>
    <w:p w:rsidR="009C12B5" w:rsidRPr="009C12B5" w:rsidP="009C12B5" w14:paraId="76DB3DA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首先，我们明确了</w:t>
      </w:r>
      <w:r w:rsidR="00E75C7F">
        <w:rPr>
          <w:rFonts w:ascii="仿宋" w:eastAsia="仿宋" w:hAnsi="仿宋"/>
          <w:sz w:val="28"/>
          <w:szCs w:val="28"/>
        </w:rPr>
        <w:t>免疫球蛋白诊断血清产品</w:t>
      </w:r>
      <w:r w:rsidRPr="009C12B5">
        <w:rPr>
          <w:rFonts w:ascii="仿宋" w:eastAsia="仿宋" w:hAnsi="仿宋"/>
          <w:sz w:val="28"/>
          <w:szCs w:val="28"/>
        </w:rPr>
        <w:t>的运营目标：在短期内实现产品的市场导入和品牌知名度提升;在中期内实现市场份额的稳步增长和用户忠诚度的提高;在长期内实现品牌领导地位的巩固和持续盈利能力的提升。</w:t>
      </w:r>
    </w:p>
    <w:p w:rsidR="009C12B5" w:rsidRPr="009C12B5" w:rsidP="009C12B5" w14:paraId="53D98DC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为了实现这些目标，我们制定了以下运营策略：</w:t>
      </w:r>
    </w:p>
    <w:p w:rsidR="009C12B5" w:rsidRPr="009C12B5" w:rsidP="009C12B5" w14:paraId="5C200DA3" w14:textId="71EA557E">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2B2D3A">
        <w:rPr>
          <w:rFonts w:ascii="仿宋" w:eastAsia="仿宋" w:hAnsi="仿宋"/>
          <w:sz w:val="28"/>
          <w:szCs w:val="28"/>
        </w:rPr>
        <w:t xml:space="preserve">    1.</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https://d.book118.com/765304011143011103</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0F2985EE" w14:textId="77777777">
    <w:pPr>
      <w:pStyle w:val="Footer"/>
      <w:jc w:val="center"/>
    </w:pPr>
  </w:p>
  <w:p w:rsidR="00FE7E16" w14:paraId="4703BBA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3FB268B9" w14:textId="77777777">
    <w:pPr>
      <w:pStyle w:val="Footer"/>
      <w:jc w:val="center"/>
    </w:pPr>
  </w:p>
  <w:p w:rsidR="007A4CF7" w14:paraId="3A6868D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17434365"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paraId="0A7D25F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2C230D22"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57BBA20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7868778"/>
      <w:docPartObj>
        <w:docPartGallery w:val="Page Numbers (Bottom of Page)"/>
        <w:docPartUnique/>
      </w:docPartObj>
    </w:sdtPr>
    <w:sdtContent>
      <w:sdt>
        <w:sdtPr>
          <w:id w:val="39282959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0945266"/>
      <w:docPartObj>
        <w:docPartGallery w:val="Page Numbers (Bottom of Page)"/>
        <w:docPartUnique/>
      </w:docPartObj>
    </w:sdtPr>
    <w:sdtContent>
      <w:sdt>
        <w:sdtPr>
          <w:id w:val="139594538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211203"/>
      <w:docPartObj>
        <w:docPartGallery w:val="Page Numbers (Bottom of Page)"/>
        <w:docPartUnique/>
      </w:docPartObj>
    </w:sdtPr>
    <w:sdtContent>
      <w:sdt>
        <w:sdtPr>
          <w:id w:val="154999767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6716150"/>
      <w:docPartObj>
        <w:docPartGallery w:val="Page Numbers (Bottom of Page)"/>
        <w:docPartUnique/>
      </w:docPartObj>
    </w:sdtPr>
    <w:sdtContent>
      <w:sdt>
        <w:sdtPr>
          <w:id w:val="7419242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1496936"/>
      <w:docPartObj>
        <w:docPartGallery w:val="Page Numbers (Bottom of Page)"/>
        <w:docPartUnique/>
      </w:docPartObj>
    </w:sdtPr>
    <w:sdtContent>
      <w:sdt>
        <w:sdtPr>
          <w:id w:val="176055667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6898697"/>
      <w:docPartObj>
        <w:docPartGallery w:val="Page Numbers (Bottom of Page)"/>
        <w:docPartUnique/>
      </w:docPartObj>
    </w:sdtPr>
    <w:sdtContent>
      <w:sdt>
        <w:sdtPr>
          <w:id w:val="129527185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0416218"/>
      <w:docPartObj>
        <w:docPartGallery w:val="Page Numbers (Bottom of Page)"/>
        <w:docPartUnique/>
      </w:docPartObj>
    </w:sdtPr>
    <w:sdtContent>
      <w:sdt>
        <w:sdtPr>
          <w:id w:val="98106432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1545935"/>
      <w:docPartObj>
        <w:docPartGallery w:val="Page Numbers (Bottom of Page)"/>
        <w:docPartUnique/>
      </w:docPartObj>
    </w:sdtPr>
    <w:sdtContent>
      <w:sdt>
        <w:sdtPr>
          <w:id w:val="78555743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0501344"/>
      <w:docPartObj>
        <w:docPartGallery w:val="Page Numbers (Bottom of Page)"/>
        <w:docPartUnique/>
      </w:docPartObj>
    </w:sdtPr>
    <w:sdtContent>
      <w:sdt>
        <w:sdtPr>
          <w:id w:val="31674358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0221571"/>
      <w:docPartObj>
        <w:docPartGallery w:val="Page Numbers (Bottom of Page)"/>
        <w:docPartUnique/>
      </w:docPartObj>
    </w:sdtPr>
    <w:sdtContent>
      <w:sdt>
        <w:sdtPr>
          <w:id w:val="53439974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6993804"/>
      <w:docPartObj>
        <w:docPartGallery w:val="Page Numbers (Bottom of Page)"/>
        <w:docPartUnique/>
      </w:docPartObj>
    </w:sdtPr>
    <w:sdtContent>
      <w:sdt>
        <w:sdtPr>
          <w:id w:val="112974311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3715629"/>
      <w:docPartObj>
        <w:docPartGallery w:val="Page Numbers (Bottom of Page)"/>
        <w:docPartUnique/>
      </w:docPartObj>
    </w:sdtPr>
    <w:sdtContent>
      <w:sdt>
        <w:sdtPr>
          <w:id w:val="11447965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5152738"/>
      <w:docPartObj>
        <w:docPartGallery w:val="Page Numbers (Bottom of Page)"/>
        <w:docPartUnique/>
      </w:docPartObj>
    </w:sdtPr>
    <w:sdtContent>
      <w:sdt>
        <w:sdtPr>
          <w:id w:val="132100762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9734299"/>
      <w:docPartObj>
        <w:docPartGallery w:val="Page Numbers (Bottom of Page)"/>
        <w:docPartUnique/>
      </w:docPartObj>
    </w:sdtPr>
    <w:sdtContent>
      <w:sdt>
        <w:sdtPr>
          <w:id w:val="40965145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33790252"/>
      <w:docPartObj>
        <w:docPartGallery w:val="Page Numbers (Bottom of Page)"/>
        <w:docPartUnique/>
      </w:docPartObj>
    </w:sdtPr>
    <w:sdtContent>
      <w:sdt>
        <w:sdtPr>
          <w:id w:val="26598198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266278"/>
      <w:docPartObj>
        <w:docPartGallery w:val="Page Numbers (Bottom of Page)"/>
        <w:docPartUnique/>
      </w:docPartObj>
    </w:sdtPr>
    <w:sdtContent>
      <w:sdt>
        <w:sdtPr>
          <w:id w:val="188194471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88241224"/>
      <w:docPartObj>
        <w:docPartGallery w:val="Page Numbers (Bottom of Page)"/>
        <w:docPartUnique/>
      </w:docPartObj>
    </w:sdtPr>
    <w:sdtContent>
      <w:sdt>
        <w:sdtPr>
          <w:id w:val="144613006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54726305"/>
      <w:docPartObj>
        <w:docPartGallery w:val="Page Numbers (Bottom of Page)"/>
        <w:docPartUnique/>
      </w:docPartObj>
    </w:sdtPr>
    <w:sdtContent>
      <w:sdt>
        <w:sdtPr>
          <w:id w:val="106287959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7052923"/>
      <w:docPartObj>
        <w:docPartGallery w:val="Page Numbers (Bottom of Page)"/>
        <w:docPartUnique/>
      </w:docPartObj>
    </w:sdtPr>
    <w:sdtContent>
      <w:sdt>
        <w:sdtPr>
          <w:id w:val="86922467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56018542"/>
      <w:docPartObj>
        <w:docPartGallery w:val="Page Numbers (Bottom of Page)"/>
        <w:docPartUnique/>
      </w:docPartObj>
    </w:sdtPr>
    <w:sdtContent>
      <w:sdt>
        <w:sdtPr>
          <w:id w:val="86427757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5800238"/>
      <w:docPartObj>
        <w:docPartGallery w:val="Page Numbers (Bottom of Page)"/>
        <w:docPartUnique/>
      </w:docPartObj>
    </w:sdtPr>
    <w:sdtContent>
      <w:sdt>
        <w:sdtPr>
          <w:id w:val="18398116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9557644"/>
      <w:docPartObj>
        <w:docPartGallery w:val="Page Numbers (Bottom of Page)"/>
        <w:docPartUnique/>
      </w:docPartObj>
    </w:sdtPr>
    <w:sdtContent>
      <w:sdt>
        <w:sdtPr>
          <w:id w:val="173155304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3312BCCA"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298C012E"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B2D3A"/>
    <w:rsid w:val="002F134B"/>
    <w:rsid w:val="00452FD7"/>
    <w:rsid w:val="004E5126"/>
    <w:rsid w:val="004F3055"/>
    <w:rsid w:val="004F564F"/>
    <w:rsid w:val="005C30B8"/>
    <w:rsid w:val="00652939"/>
    <w:rsid w:val="00724A78"/>
    <w:rsid w:val="007A4CF7"/>
    <w:rsid w:val="008B5822"/>
    <w:rsid w:val="00933FD3"/>
    <w:rsid w:val="00956FD6"/>
    <w:rsid w:val="009B5A44"/>
    <w:rsid w:val="009C12B5"/>
    <w:rsid w:val="009C3216"/>
    <w:rsid w:val="00A060A9"/>
    <w:rsid w:val="00B0001C"/>
    <w:rsid w:val="00B27B00"/>
    <w:rsid w:val="00B45771"/>
    <w:rsid w:val="00B57466"/>
    <w:rsid w:val="00C018A2"/>
    <w:rsid w:val="00C577F0"/>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221DD17"/>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765304011143011103"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20</Pages>
  <Words>2782</Words>
  <Characters>15858</Characters>
  <Application>Microsoft Office Word</Application>
  <DocSecurity>0</DocSecurity>
  <Lines>132</Lines>
  <Paragraphs>37</Paragraphs>
  <ScaleCrop>false</ScaleCrop>
  <Company/>
  <LinksUpToDate>false</LinksUpToDate>
  <CharactersWithSpaces>18603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2024-02-05T04:47:00Z</dcterms:modified>
</cp:coreProperties>
</file>