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立体仓库设备，相关物料搬运设备项目规划设计方案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526" w:history="1">
        <w:r>
          <w:rPr>
            <w:rFonts w:ascii="仿宋" w:eastAsia="仿宋" w:hAnsi="仿宋" w:cs="仿宋" w:hint="eastAsia"/>
            <w:lang w:eastAsia="zh-CN"/>
          </w:rPr>
          <w:t>序言</w:t>
        </w:r>
        <w:r>
          <w:tab/>
        </w:r>
        <w:r>
          <w:fldChar w:fldCharType="begin"/>
        </w:r>
        <w:r>
          <w:instrText xml:space="preserve"> PAGEREF _Toc8526 \h </w:instrText>
        </w:r>
        <w:r>
          <w:fldChar w:fldCharType="separate"/>
        </w:r>
        <w:r>
          <w:t>3</w:t>
        </w:r>
        <w:r>
          <w:fldChar w:fldCharType="end"/>
        </w:r>
      </w:hyperlink>
    </w:p>
    <w:p>
      <w:pPr>
        <w:pStyle w:val="TOC1"/>
        <w:tabs>
          <w:tab w:val="right" w:leader="dot" w:pos="8306"/>
        </w:tabs>
      </w:pPr>
      <w:hyperlink w:anchor="_Toc18200" w:history="1">
        <w:r>
          <w:rPr>
            <w:rFonts w:ascii="仿宋" w:eastAsia="仿宋" w:hAnsi="仿宋" w:cs="仿宋" w:hint="eastAsia"/>
            <w:lang w:eastAsia="zh-CN"/>
          </w:rPr>
          <w:t>一、立体仓库设备，相关物料搬运设备项目可持续发展</w:t>
        </w:r>
        <w:r>
          <w:tab/>
        </w:r>
        <w:r>
          <w:fldChar w:fldCharType="begin"/>
        </w:r>
        <w:r>
          <w:instrText xml:space="preserve"> PAGEREF _Toc18200 \h </w:instrText>
        </w:r>
        <w:r>
          <w:fldChar w:fldCharType="separate"/>
        </w:r>
        <w:r>
          <w:t>3</w:t>
        </w:r>
        <w:r>
          <w:fldChar w:fldCharType="end"/>
        </w:r>
      </w:hyperlink>
    </w:p>
    <w:p>
      <w:pPr>
        <w:pStyle w:val="TOC2"/>
        <w:tabs>
          <w:tab w:val="right" w:leader="dot" w:pos="8306"/>
        </w:tabs>
      </w:pPr>
      <w:hyperlink w:anchor="_Toc11208" w:history="1">
        <w:r>
          <w:rPr>
            <w:rFonts w:ascii="仿宋" w:eastAsia="仿宋" w:hAnsi="仿宋" w:cs="仿宋" w:hint="eastAsia"/>
            <w:lang w:eastAsia="zh-CN"/>
          </w:rPr>
          <w:t>(一)、可持续战略与实践</w:t>
        </w:r>
        <w:r>
          <w:tab/>
        </w:r>
        <w:r>
          <w:fldChar w:fldCharType="begin"/>
        </w:r>
        <w:r>
          <w:instrText xml:space="preserve"> PAGEREF _Toc11208 \h </w:instrText>
        </w:r>
        <w:r>
          <w:fldChar w:fldCharType="separate"/>
        </w:r>
        <w:r>
          <w:t>3</w:t>
        </w:r>
        <w:r>
          <w:fldChar w:fldCharType="end"/>
        </w:r>
      </w:hyperlink>
    </w:p>
    <w:p>
      <w:pPr>
        <w:pStyle w:val="TOC2"/>
        <w:tabs>
          <w:tab w:val="right" w:leader="dot" w:pos="8306"/>
        </w:tabs>
      </w:pPr>
      <w:hyperlink w:anchor="_Toc6525" w:history="1">
        <w:r>
          <w:rPr>
            <w:rFonts w:ascii="仿宋" w:eastAsia="仿宋" w:hAnsi="仿宋" w:cs="仿宋" w:hint="eastAsia"/>
            <w:lang w:eastAsia="zh-CN"/>
          </w:rPr>
          <w:t>(二)、环保与社会责任</w:t>
        </w:r>
        <w:r>
          <w:tab/>
        </w:r>
        <w:r>
          <w:fldChar w:fldCharType="begin"/>
        </w:r>
        <w:r>
          <w:instrText xml:space="preserve"> PAGEREF _Toc6525 \h </w:instrText>
        </w:r>
        <w:r>
          <w:fldChar w:fldCharType="separate"/>
        </w:r>
        <w:r>
          <w:t>4</w:t>
        </w:r>
        <w:r>
          <w:fldChar w:fldCharType="end"/>
        </w:r>
      </w:hyperlink>
    </w:p>
    <w:p>
      <w:pPr>
        <w:pStyle w:val="TOC1"/>
        <w:tabs>
          <w:tab w:val="right" w:leader="dot" w:pos="8306"/>
        </w:tabs>
      </w:pPr>
      <w:hyperlink w:anchor="_Toc25411" w:history="1">
        <w:r>
          <w:rPr>
            <w:rFonts w:ascii="仿宋" w:eastAsia="仿宋" w:hAnsi="仿宋" w:cs="仿宋" w:hint="eastAsia"/>
            <w:lang w:eastAsia="zh-CN"/>
          </w:rPr>
          <w:t>二、立体仓库设备，相关物料搬运设备项目建设单位说明</w:t>
        </w:r>
        <w:r>
          <w:tab/>
        </w:r>
        <w:r>
          <w:fldChar w:fldCharType="begin"/>
        </w:r>
        <w:r>
          <w:instrText xml:space="preserve"> PAGEREF _Toc25411 \h </w:instrText>
        </w:r>
        <w:r>
          <w:fldChar w:fldCharType="separate"/>
        </w:r>
        <w:r>
          <w:t>5</w:t>
        </w:r>
        <w:r>
          <w:fldChar w:fldCharType="end"/>
        </w:r>
      </w:hyperlink>
    </w:p>
    <w:p>
      <w:pPr>
        <w:pStyle w:val="TOC2"/>
        <w:tabs>
          <w:tab w:val="right" w:leader="dot" w:pos="8306"/>
        </w:tabs>
      </w:pPr>
      <w:hyperlink w:anchor="_Toc23219" w:history="1">
        <w:r>
          <w:rPr>
            <w:rFonts w:ascii="仿宋" w:eastAsia="仿宋" w:hAnsi="仿宋" w:cs="仿宋" w:hint="eastAsia"/>
            <w:lang w:eastAsia="zh-CN"/>
          </w:rPr>
          <w:t>(一)、立体仓库设备，相关物料搬运设备项目承办单位基本情况</w:t>
        </w:r>
        <w:r>
          <w:tab/>
        </w:r>
        <w:r>
          <w:fldChar w:fldCharType="begin"/>
        </w:r>
        <w:r>
          <w:instrText xml:space="preserve"> PAGEREF _Toc23219 \h </w:instrText>
        </w:r>
        <w:r>
          <w:fldChar w:fldCharType="separate"/>
        </w:r>
        <w:r>
          <w:t>5</w:t>
        </w:r>
        <w:r>
          <w:fldChar w:fldCharType="end"/>
        </w:r>
      </w:hyperlink>
    </w:p>
    <w:p>
      <w:pPr>
        <w:pStyle w:val="TOC2"/>
        <w:tabs>
          <w:tab w:val="right" w:leader="dot" w:pos="8306"/>
        </w:tabs>
      </w:pPr>
      <w:hyperlink w:anchor="_Toc3532" w:history="1">
        <w:r>
          <w:rPr>
            <w:rFonts w:ascii="仿宋" w:eastAsia="仿宋" w:hAnsi="仿宋" w:cs="仿宋" w:hint="eastAsia"/>
            <w:lang w:eastAsia="zh-CN"/>
          </w:rPr>
          <w:t>(二)、公司经济效益分析</w:t>
        </w:r>
        <w:r>
          <w:tab/>
        </w:r>
        <w:r>
          <w:fldChar w:fldCharType="begin"/>
        </w:r>
        <w:r>
          <w:instrText xml:space="preserve"> PAGEREF _Toc3532 \h </w:instrText>
        </w:r>
        <w:r>
          <w:fldChar w:fldCharType="separate"/>
        </w:r>
        <w:r>
          <w:t>6</w:t>
        </w:r>
        <w:r>
          <w:fldChar w:fldCharType="end"/>
        </w:r>
      </w:hyperlink>
    </w:p>
    <w:p>
      <w:pPr>
        <w:pStyle w:val="TOC1"/>
        <w:tabs>
          <w:tab w:val="right" w:leader="dot" w:pos="8306"/>
        </w:tabs>
      </w:pPr>
      <w:hyperlink w:anchor="_Toc8499" w:history="1">
        <w:r>
          <w:rPr>
            <w:rFonts w:ascii="仿宋" w:eastAsia="仿宋" w:hAnsi="仿宋" w:cs="仿宋" w:hint="eastAsia"/>
            <w:lang w:eastAsia="zh-CN"/>
          </w:rPr>
          <w:t>三、立体仓库设备，相关物料搬运设备项目建设背景及必要性分析</w:t>
        </w:r>
        <w:r>
          <w:tab/>
        </w:r>
        <w:r>
          <w:fldChar w:fldCharType="begin"/>
        </w:r>
        <w:r>
          <w:instrText xml:space="preserve"> PAGEREF _Toc8499 \h </w:instrText>
        </w:r>
        <w:r>
          <w:fldChar w:fldCharType="separate"/>
        </w:r>
        <w:r>
          <w:t>7</w:t>
        </w:r>
        <w:r>
          <w:fldChar w:fldCharType="end"/>
        </w:r>
      </w:hyperlink>
    </w:p>
    <w:p>
      <w:pPr>
        <w:pStyle w:val="TOC2"/>
        <w:tabs>
          <w:tab w:val="right" w:leader="dot" w:pos="8306"/>
        </w:tabs>
      </w:pPr>
      <w:hyperlink w:anchor="_Toc13844" w:history="1">
        <w:r>
          <w:rPr>
            <w:rFonts w:ascii="仿宋" w:eastAsia="仿宋" w:hAnsi="仿宋" w:cs="仿宋" w:hint="eastAsia"/>
            <w:lang w:eastAsia="zh-CN"/>
          </w:rPr>
          <w:t>(一)、立体仓库设备，相关物料搬运设备项目背景分析</w:t>
        </w:r>
        <w:r>
          <w:tab/>
        </w:r>
        <w:r>
          <w:fldChar w:fldCharType="begin"/>
        </w:r>
        <w:r>
          <w:instrText xml:space="preserve"> PAGEREF _Toc13844 \h </w:instrText>
        </w:r>
        <w:r>
          <w:fldChar w:fldCharType="separate"/>
        </w:r>
        <w:r>
          <w:t>7</w:t>
        </w:r>
        <w:r>
          <w:fldChar w:fldCharType="end"/>
        </w:r>
      </w:hyperlink>
    </w:p>
    <w:p>
      <w:pPr>
        <w:pStyle w:val="TOC2"/>
        <w:tabs>
          <w:tab w:val="right" w:leader="dot" w:pos="8306"/>
        </w:tabs>
      </w:pPr>
      <w:hyperlink w:anchor="_Toc19104" w:history="1">
        <w:r>
          <w:rPr>
            <w:rFonts w:ascii="仿宋" w:eastAsia="仿宋" w:hAnsi="仿宋" w:cs="仿宋" w:hint="eastAsia"/>
            <w:lang w:eastAsia="zh-CN"/>
          </w:rPr>
          <w:t>(二)、立体仓库设备，相关物料搬运设备项目建设必要性分析</w:t>
        </w:r>
        <w:r>
          <w:tab/>
        </w:r>
        <w:r>
          <w:fldChar w:fldCharType="begin"/>
        </w:r>
        <w:r>
          <w:instrText xml:space="preserve"> PAGEREF _Toc19104 \h </w:instrText>
        </w:r>
        <w:r>
          <w:fldChar w:fldCharType="separate"/>
        </w:r>
        <w:r>
          <w:t>9</w:t>
        </w:r>
        <w:r>
          <w:fldChar w:fldCharType="end"/>
        </w:r>
      </w:hyperlink>
    </w:p>
    <w:p>
      <w:pPr>
        <w:pStyle w:val="TOC1"/>
        <w:tabs>
          <w:tab w:val="right" w:leader="dot" w:pos="8306"/>
        </w:tabs>
      </w:pPr>
      <w:hyperlink w:anchor="_Toc4637" w:history="1">
        <w:r>
          <w:rPr>
            <w:rFonts w:ascii="仿宋" w:eastAsia="仿宋" w:hAnsi="仿宋" w:cs="仿宋" w:hint="eastAsia"/>
            <w:lang w:eastAsia="zh-CN"/>
          </w:rPr>
          <w:t>四、立体仓库设备，相关物料搬运设备项目土建工程</w:t>
        </w:r>
        <w:r>
          <w:tab/>
        </w:r>
        <w:r>
          <w:fldChar w:fldCharType="begin"/>
        </w:r>
        <w:r>
          <w:instrText xml:space="preserve"> PAGEREF _Toc4637 \h </w:instrText>
        </w:r>
        <w:r>
          <w:fldChar w:fldCharType="separate"/>
        </w:r>
        <w:r>
          <w:t>10</w:t>
        </w:r>
        <w:r>
          <w:fldChar w:fldCharType="end"/>
        </w:r>
      </w:hyperlink>
    </w:p>
    <w:p>
      <w:pPr>
        <w:pStyle w:val="TOC2"/>
        <w:tabs>
          <w:tab w:val="right" w:leader="dot" w:pos="8306"/>
        </w:tabs>
      </w:pPr>
      <w:hyperlink w:anchor="_Toc28727" w:history="1">
        <w:r>
          <w:rPr>
            <w:rFonts w:ascii="仿宋" w:eastAsia="仿宋" w:hAnsi="仿宋" w:cs="仿宋" w:hint="eastAsia"/>
            <w:lang w:eastAsia="zh-CN"/>
          </w:rPr>
          <w:t>(一)、建筑工程设计原则</w:t>
        </w:r>
        <w:r>
          <w:tab/>
        </w:r>
        <w:r>
          <w:fldChar w:fldCharType="begin"/>
        </w:r>
        <w:r>
          <w:instrText xml:space="preserve"> PAGEREF _Toc28727 \h </w:instrText>
        </w:r>
        <w:r>
          <w:fldChar w:fldCharType="separate"/>
        </w:r>
        <w:r>
          <w:t>10</w:t>
        </w:r>
        <w:r>
          <w:fldChar w:fldCharType="end"/>
        </w:r>
      </w:hyperlink>
    </w:p>
    <w:p>
      <w:pPr>
        <w:pStyle w:val="TOC2"/>
        <w:tabs>
          <w:tab w:val="right" w:leader="dot" w:pos="8306"/>
        </w:tabs>
      </w:pPr>
      <w:hyperlink w:anchor="_Toc11371" w:history="1">
        <w:r>
          <w:rPr>
            <w:rFonts w:ascii="仿宋" w:eastAsia="仿宋" w:hAnsi="仿宋" w:cs="仿宋" w:hint="eastAsia"/>
            <w:lang w:eastAsia="zh-CN"/>
          </w:rPr>
          <w:t>(二)、土建工程设计年限及安全等级</w:t>
        </w:r>
        <w:r>
          <w:tab/>
        </w:r>
        <w:r>
          <w:fldChar w:fldCharType="begin"/>
        </w:r>
        <w:r>
          <w:instrText xml:space="preserve"> PAGEREF _Toc11371 \h </w:instrText>
        </w:r>
        <w:r>
          <w:fldChar w:fldCharType="separate"/>
        </w:r>
        <w:r>
          <w:t>11</w:t>
        </w:r>
        <w:r>
          <w:fldChar w:fldCharType="end"/>
        </w:r>
      </w:hyperlink>
    </w:p>
    <w:p>
      <w:pPr>
        <w:pStyle w:val="TOC2"/>
        <w:tabs>
          <w:tab w:val="right" w:leader="dot" w:pos="8306"/>
        </w:tabs>
      </w:pPr>
      <w:hyperlink w:anchor="_Toc22457" w:history="1">
        <w:r>
          <w:rPr>
            <w:rFonts w:ascii="仿宋" w:eastAsia="仿宋" w:hAnsi="仿宋" w:cs="仿宋" w:hint="eastAsia"/>
            <w:lang w:eastAsia="zh-CN"/>
          </w:rPr>
          <w:t>(三)、建筑工程设计总体要求</w:t>
        </w:r>
        <w:r>
          <w:tab/>
        </w:r>
        <w:r>
          <w:fldChar w:fldCharType="begin"/>
        </w:r>
        <w:r>
          <w:instrText xml:space="preserve"> PAGEREF _Toc22457 \h </w:instrText>
        </w:r>
        <w:r>
          <w:fldChar w:fldCharType="separate"/>
        </w:r>
        <w:r>
          <w:t>13</w:t>
        </w:r>
        <w:r>
          <w:fldChar w:fldCharType="end"/>
        </w:r>
      </w:hyperlink>
    </w:p>
    <w:p>
      <w:pPr>
        <w:pStyle w:val="TOC2"/>
        <w:tabs>
          <w:tab w:val="right" w:leader="dot" w:pos="8306"/>
        </w:tabs>
      </w:pPr>
      <w:hyperlink w:anchor="_Toc19393" w:history="1">
        <w:r>
          <w:rPr>
            <w:rFonts w:ascii="仿宋" w:eastAsia="仿宋" w:hAnsi="仿宋" w:cs="仿宋" w:hint="eastAsia"/>
            <w:lang w:eastAsia="zh-CN"/>
          </w:rPr>
          <w:t>(四)、土建工程建设指标</w:t>
        </w:r>
        <w:r>
          <w:tab/>
        </w:r>
        <w:r>
          <w:fldChar w:fldCharType="begin"/>
        </w:r>
        <w:r>
          <w:instrText xml:space="preserve"> PAGEREF _Toc19393 \h </w:instrText>
        </w:r>
        <w:r>
          <w:fldChar w:fldCharType="separate"/>
        </w:r>
        <w:r>
          <w:t>13</w:t>
        </w:r>
        <w:r>
          <w:fldChar w:fldCharType="end"/>
        </w:r>
      </w:hyperlink>
    </w:p>
    <w:p>
      <w:pPr>
        <w:pStyle w:val="TOC1"/>
        <w:tabs>
          <w:tab w:val="right" w:leader="dot" w:pos="8306"/>
        </w:tabs>
      </w:pPr>
      <w:hyperlink w:anchor="_Toc3265" w:history="1">
        <w:r>
          <w:rPr>
            <w:rFonts w:ascii="仿宋" w:eastAsia="仿宋" w:hAnsi="仿宋" w:cs="仿宋" w:hint="eastAsia"/>
            <w:lang w:eastAsia="zh-CN"/>
          </w:rPr>
          <w:t>五、立体仓库设备，相关物料搬运设备项目绩效评估</w:t>
        </w:r>
        <w:r>
          <w:tab/>
        </w:r>
        <w:r>
          <w:fldChar w:fldCharType="begin"/>
        </w:r>
        <w:r>
          <w:instrText xml:space="preserve"> PAGEREF _Toc3265 \h </w:instrText>
        </w:r>
        <w:r>
          <w:fldChar w:fldCharType="separate"/>
        </w:r>
        <w:r>
          <w:t>14</w:t>
        </w:r>
        <w:r>
          <w:fldChar w:fldCharType="end"/>
        </w:r>
      </w:hyperlink>
    </w:p>
    <w:p>
      <w:pPr>
        <w:pStyle w:val="TOC2"/>
        <w:tabs>
          <w:tab w:val="right" w:leader="dot" w:pos="8306"/>
        </w:tabs>
      </w:pPr>
      <w:hyperlink w:anchor="_Toc13738" w:history="1">
        <w:r>
          <w:rPr>
            <w:rFonts w:ascii="仿宋" w:eastAsia="仿宋" w:hAnsi="仿宋" w:cs="仿宋" w:hint="eastAsia"/>
            <w:lang w:eastAsia="zh-CN"/>
          </w:rPr>
          <w:t>(一)、绩效评估指标</w:t>
        </w:r>
        <w:r>
          <w:tab/>
        </w:r>
        <w:r>
          <w:fldChar w:fldCharType="begin"/>
        </w:r>
        <w:r>
          <w:instrText xml:space="preserve"> PAGEREF _Toc13738 \h </w:instrText>
        </w:r>
        <w:r>
          <w:fldChar w:fldCharType="separate"/>
        </w:r>
        <w:r>
          <w:t>14</w:t>
        </w:r>
        <w:r>
          <w:fldChar w:fldCharType="end"/>
        </w:r>
      </w:hyperlink>
    </w:p>
    <w:p>
      <w:pPr>
        <w:pStyle w:val="TOC2"/>
        <w:tabs>
          <w:tab w:val="right" w:leader="dot" w:pos="8306"/>
        </w:tabs>
      </w:pPr>
      <w:hyperlink w:anchor="_Toc28065" w:history="1">
        <w:r>
          <w:rPr>
            <w:rFonts w:ascii="仿宋" w:eastAsia="仿宋" w:hAnsi="仿宋" w:cs="仿宋" w:hint="eastAsia"/>
            <w:lang w:eastAsia="zh-CN"/>
          </w:rPr>
          <w:t>(二)、绩效评估方法</w:t>
        </w:r>
        <w:r>
          <w:tab/>
        </w:r>
        <w:r>
          <w:fldChar w:fldCharType="begin"/>
        </w:r>
        <w:r>
          <w:instrText xml:space="preserve"> PAGEREF _Toc28065 \h </w:instrText>
        </w:r>
        <w:r>
          <w:fldChar w:fldCharType="separate"/>
        </w:r>
        <w:r>
          <w:t>15</w:t>
        </w:r>
        <w:r>
          <w:fldChar w:fldCharType="end"/>
        </w:r>
      </w:hyperlink>
    </w:p>
    <w:p>
      <w:pPr>
        <w:pStyle w:val="TOC2"/>
        <w:tabs>
          <w:tab w:val="right" w:leader="dot" w:pos="8306"/>
        </w:tabs>
      </w:pPr>
      <w:hyperlink w:anchor="_Toc2654" w:history="1">
        <w:r>
          <w:rPr>
            <w:rFonts w:ascii="仿宋" w:eastAsia="仿宋" w:hAnsi="仿宋" w:cs="仿宋" w:hint="eastAsia"/>
            <w:lang w:eastAsia="zh-CN"/>
          </w:rPr>
          <w:t>(三)、绩效评估周期</w:t>
        </w:r>
        <w:r>
          <w:tab/>
        </w:r>
        <w:r>
          <w:fldChar w:fldCharType="begin"/>
        </w:r>
        <w:r>
          <w:instrText xml:space="preserve"> PAGEREF _Toc2654 \h </w:instrText>
        </w:r>
        <w:r>
          <w:fldChar w:fldCharType="separate"/>
        </w:r>
        <w:r>
          <w:t>16</w:t>
        </w:r>
        <w:r>
          <w:fldChar w:fldCharType="end"/>
        </w:r>
      </w:hyperlink>
    </w:p>
    <w:p>
      <w:pPr>
        <w:pStyle w:val="TOC1"/>
        <w:tabs>
          <w:tab w:val="right" w:leader="dot" w:pos="8306"/>
        </w:tabs>
      </w:pPr>
      <w:hyperlink w:anchor="_Toc4145" w:history="1">
        <w:r>
          <w:rPr>
            <w:rFonts w:ascii="仿宋" w:eastAsia="仿宋" w:hAnsi="仿宋" w:cs="仿宋" w:hint="eastAsia"/>
            <w:lang w:eastAsia="zh-CN"/>
          </w:rPr>
          <w:t>六、产品规划分析</w:t>
        </w:r>
        <w:r>
          <w:tab/>
        </w:r>
        <w:r>
          <w:fldChar w:fldCharType="begin"/>
        </w:r>
        <w:r>
          <w:instrText xml:space="preserve"> PAGEREF _Toc4145 \h </w:instrText>
        </w:r>
        <w:r>
          <w:fldChar w:fldCharType="separate"/>
        </w:r>
        <w:r>
          <w:t>17</w:t>
        </w:r>
        <w:r>
          <w:fldChar w:fldCharType="end"/>
        </w:r>
      </w:hyperlink>
    </w:p>
    <w:p>
      <w:pPr>
        <w:pStyle w:val="TOC2"/>
        <w:tabs>
          <w:tab w:val="right" w:leader="dot" w:pos="8306"/>
        </w:tabs>
      </w:pPr>
      <w:hyperlink w:anchor="_Toc11462" w:history="1">
        <w:r>
          <w:rPr>
            <w:rFonts w:ascii="仿宋" w:eastAsia="仿宋" w:hAnsi="仿宋" w:cs="仿宋" w:hint="eastAsia"/>
            <w:lang w:eastAsia="zh-CN"/>
          </w:rPr>
          <w:t>(一)、产品规划</w:t>
        </w:r>
        <w:r>
          <w:tab/>
        </w:r>
        <w:r>
          <w:fldChar w:fldCharType="begin"/>
        </w:r>
        <w:r>
          <w:instrText xml:space="preserve"> PAGEREF _Toc11462 \h </w:instrText>
        </w:r>
        <w:r>
          <w:fldChar w:fldCharType="separate"/>
        </w:r>
        <w:r>
          <w:t>17</w:t>
        </w:r>
        <w:r>
          <w:fldChar w:fldCharType="end"/>
        </w:r>
      </w:hyperlink>
    </w:p>
    <w:p>
      <w:pPr>
        <w:pStyle w:val="TOC2"/>
        <w:tabs>
          <w:tab w:val="right" w:leader="dot" w:pos="8306"/>
        </w:tabs>
      </w:pPr>
      <w:hyperlink w:anchor="_Toc17993" w:history="1">
        <w:r>
          <w:rPr>
            <w:rFonts w:ascii="仿宋" w:eastAsia="仿宋" w:hAnsi="仿宋" w:cs="仿宋" w:hint="eastAsia"/>
            <w:lang w:eastAsia="zh-CN"/>
          </w:rPr>
          <w:t>(二)、建设规模</w:t>
        </w:r>
        <w:r>
          <w:tab/>
        </w:r>
        <w:r>
          <w:fldChar w:fldCharType="begin"/>
        </w:r>
        <w:r>
          <w:instrText xml:space="preserve"> PAGEREF _Toc17993 \h </w:instrText>
        </w:r>
        <w:r>
          <w:fldChar w:fldCharType="separate"/>
        </w:r>
        <w:r>
          <w:t>18</w:t>
        </w:r>
        <w:r>
          <w:fldChar w:fldCharType="end"/>
        </w:r>
      </w:hyperlink>
    </w:p>
    <w:p>
      <w:pPr>
        <w:pStyle w:val="TOC1"/>
        <w:tabs>
          <w:tab w:val="right" w:leader="dot" w:pos="8306"/>
        </w:tabs>
      </w:pPr>
      <w:hyperlink w:anchor="_Toc32684" w:history="1">
        <w:r>
          <w:rPr>
            <w:rFonts w:ascii="仿宋" w:eastAsia="仿宋" w:hAnsi="仿宋" w:cs="仿宋" w:hint="eastAsia"/>
            <w:lang w:eastAsia="zh-CN"/>
          </w:rPr>
          <w:t>七、立体仓库设备，相关物料搬运设备项目技术管理</w:t>
        </w:r>
        <w:r>
          <w:tab/>
        </w:r>
        <w:r>
          <w:fldChar w:fldCharType="begin"/>
        </w:r>
        <w:r>
          <w:instrText xml:space="preserve"> PAGEREF _Toc32684 \h </w:instrText>
        </w:r>
        <w:r>
          <w:fldChar w:fldCharType="separate"/>
        </w:r>
        <w:r>
          <w:t>20</w:t>
        </w:r>
        <w:r>
          <w:fldChar w:fldCharType="end"/>
        </w:r>
      </w:hyperlink>
    </w:p>
    <w:p>
      <w:pPr>
        <w:pStyle w:val="TOC2"/>
        <w:tabs>
          <w:tab w:val="right" w:leader="dot" w:pos="8306"/>
        </w:tabs>
      </w:pPr>
      <w:hyperlink w:anchor="_Toc1710" w:history="1">
        <w:r>
          <w:rPr>
            <w:rFonts w:ascii="仿宋" w:eastAsia="仿宋" w:hAnsi="仿宋" w:cs="仿宋" w:hint="eastAsia"/>
            <w:lang w:eastAsia="zh-CN"/>
          </w:rPr>
          <w:t>(一)、技术方案选用方向</w:t>
        </w:r>
        <w:r>
          <w:tab/>
        </w:r>
        <w:r>
          <w:fldChar w:fldCharType="begin"/>
        </w:r>
        <w:r>
          <w:instrText xml:space="preserve"> PAGEREF _Toc1710 \h </w:instrText>
        </w:r>
        <w:r>
          <w:fldChar w:fldCharType="separate"/>
        </w:r>
        <w:r>
          <w:t>20</w:t>
        </w:r>
        <w:r>
          <w:fldChar w:fldCharType="end"/>
        </w:r>
      </w:hyperlink>
    </w:p>
    <w:p>
      <w:pPr>
        <w:pStyle w:val="TOC2"/>
        <w:tabs>
          <w:tab w:val="right" w:leader="dot" w:pos="8306"/>
        </w:tabs>
      </w:pPr>
      <w:hyperlink w:anchor="_Toc18776" w:history="1">
        <w:r>
          <w:rPr>
            <w:rFonts w:ascii="仿宋" w:eastAsia="仿宋" w:hAnsi="仿宋" w:cs="仿宋" w:hint="eastAsia"/>
            <w:lang w:eastAsia="zh-CN"/>
          </w:rPr>
          <w:t>(二)、工艺技术方案选用原则</w:t>
        </w:r>
        <w:r>
          <w:tab/>
        </w:r>
        <w:r>
          <w:fldChar w:fldCharType="begin"/>
        </w:r>
        <w:r>
          <w:instrText xml:space="preserve"> PAGEREF _Toc18776 \h </w:instrText>
        </w:r>
        <w:r>
          <w:fldChar w:fldCharType="separate"/>
        </w:r>
        <w:r>
          <w:t>22</w:t>
        </w:r>
        <w:r>
          <w:fldChar w:fldCharType="end"/>
        </w:r>
      </w:hyperlink>
    </w:p>
    <w:p>
      <w:pPr>
        <w:pStyle w:val="TOC2"/>
        <w:tabs>
          <w:tab w:val="right" w:leader="dot" w:pos="8306"/>
        </w:tabs>
      </w:pPr>
      <w:hyperlink w:anchor="_Toc26297" w:history="1">
        <w:r>
          <w:rPr>
            <w:rFonts w:ascii="仿宋" w:eastAsia="仿宋" w:hAnsi="仿宋" w:cs="仿宋" w:hint="eastAsia"/>
            <w:lang w:eastAsia="zh-CN"/>
          </w:rPr>
          <w:t>(三)、工艺技术方案要求</w:t>
        </w:r>
        <w:r>
          <w:tab/>
        </w:r>
        <w:r>
          <w:fldChar w:fldCharType="begin"/>
        </w:r>
        <w:r>
          <w:instrText xml:space="preserve"> PAGEREF _Toc26297 \h </w:instrText>
        </w:r>
        <w:r>
          <w:fldChar w:fldCharType="separate"/>
        </w:r>
        <w:r>
          <w:t>24</w:t>
        </w:r>
        <w:r>
          <w:fldChar w:fldCharType="end"/>
        </w:r>
      </w:hyperlink>
    </w:p>
    <w:p>
      <w:pPr>
        <w:pStyle w:val="TOC1"/>
        <w:tabs>
          <w:tab w:val="right" w:leader="dot" w:pos="8306"/>
        </w:tabs>
      </w:pPr>
      <w:hyperlink w:anchor="_Toc22826" w:history="1">
        <w:r>
          <w:rPr>
            <w:rFonts w:ascii="仿宋" w:eastAsia="仿宋" w:hAnsi="仿宋" w:cs="仿宋" w:hint="eastAsia"/>
            <w:lang w:eastAsia="zh-CN"/>
          </w:rPr>
          <w:t>八、立体仓库设备，相关物料搬运设备项目经营效益</w:t>
        </w:r>
        <w:r>
          <w:tab/>
        </w:r>
        <w:r>
          <w:fldChar w:fldCharType="begin"/>
        </w:r>
        <w:r>
          <w:instrText xml:space="preserve"> PAGEREF _Toc22826 \h </w:instrText>
        </w:r>
        <w:r>
          <w:fldChar w:fldCharType="separate"/>
        </w:r>
        <w:r>
          <w:t>26</w:t>
        </w:r>
        <w:r>
          <w:fldChar w:fldCharType="end"/>
        </w:r>
      </w:hyperlink>
    </w:p>
    <w:p>
      <w:pPr>
        <w:pStyle w:val="TOC2"/>
        <w:tabs>
          <w:tab w:val="right" w:leader="dot" w:pos="8306"/>
        </w:tabs>
      </w:pPr>
      <w:hyperlink w:anchor="_Toc29197" w:history="1">
        <w:r>
          <w:rPr>
            <w:rFonts w:ascii="仿宋" w:eastAsia="仿宋" w:hAnsi="仿宋" w:cs="仿宋" w:hint="eastAsia"/>
            <w:lang w:eastAsia="zh-CN"/>
          </w:rPr>
          <w:t>(一)、经济评价财务测算</w:t>
        </w:r>
        <w:r>
          <w:tab/>
        </w:r>
        <w:r>
          <w:fldChar w:fldCharType="begin"/>
        </w:r>
        <w:r>
          <w:instrText xml:space="preserve"> PAGEREF _Toc29197 \h </w:instrText>
        </w:r>
        <w:r>
          <w:fldChar w:fldCharType="separate"/>
        </w:r>
        <w:r>
          <w:t>26</w:t>
        </w:r>
        <w:r>
          <w:fldChar w:fldCharType="end"/>
        </w:r>
      </w:hyperlink>
    </w:p>
    <w:p>
      <w:pPr>
        <w:pStyle w:val="TOC2"/>
        <w:tabs>
          <w:tab w:val="right" w:leader="dot" w:pos="8306"/>
        </w:tabs>
      </w:pPr>
      <w:hyperlink w:anchor="_Toc9969" w:history="1">
        <w:r>
          <w:rPr>
            <w:rFonts w:ascii="仿宋" w:eastAsia="仿宋" w:hAnsi="仿宋" w:cs="仿宋" w:hint="eastAsia"/>
            <w:lang w:eastAsia="zh-CN"/>
          </w:rPr>
          <w:t>(二)、立体仓库设备，相关物料搬运设备项目盈利能力分析</w:t>
        </w:r>
        <w:r>
          <w:tab/>
        </w:r>
        <w:r>
          <w:fldChar w:fldCharType="begin"/>
        </w:r>
        <w:r>
          <w:instrText xml:space="preserve"> PAGEREF _Toc9969 \h </w:instrText>
        </w:r>
        <w:r>
          <w:fldChar w:fldCharType="separate"/>
        </w:r>
        <w:r>
          <w:t>28</w:t>
        </w:r>
        <w:r>
          <w:fldChar w:fldCharType="end"/>
        </w:r>
      </w:hyperlink>
    </w:p>
    <w:p>
      <w:pPr>
        <w:pStyle w:val="TOC1"/>
        <w:tabs>
          <w:tab w:val="right" w:leader="dot" w:pos="8306"/>
        </w:tabs>
      </w:pPr>
      <w:hyperlink w:anchor="_Toc22797" w:history="1">
        <w:r>
          <w:rPr>
            <w:rFonts w:ascii="仿宋" w:eastAsia="仿宋" w:hAnsi="仿宋" w:cs="仿宋" w:hint="eastAsia"/>
            <w:lang w:eastAsia="zh-CN"/>
          </w:rPr>
          <w:t>九、立体仓库设备，相关物料搬运设备项目环境影响分析</w:t>
        </w:r>
        <w:r>
          <w:tab/>
        </w:r>
        <w:r>
          <w:fldChar w:fldCharType="begin"/>
        </w:r>
        <w:r>
          <w:instrText xml:space="preserve"> PAGEREF _Toc22797 \h </w:instrText>
        </w:r>
        <w:r>
          <w:fldChar w:fldCharType="separate"/>
        </w:r>
        <w:r>
          <w:t>28</w:t>
        </w:r>
        <w:r>
          <w:fldChar w:fldCharType="end"/>
        </w:r>
      </w:hyperlink>
    </w:p>
    <w:p>
      <w:pPr>
        <w:pStyle w:val="TOC2"/>
        <w:tabs>
          <w:tab w:val="right" w:leader="dot" w:pos="8306"/>
        </w:tabs>
      </w:pPr>
      <w:hyperlink w:anchor="_Toc8720" w:history="1">
        <w:r>
          <w:rPr>
            <w:rFonts w:ascii="仿宋" w:eastAsia="仿宋" w:hAnsi="仿宋" w:cs="仿宋" w:hint="eastAsia"/>
            <w:lang w:eastAsia="zh-CN"/>
          </w:rPr>
          <w:t>(一)、建设区域环境质量现状</w:t>
        </w:r>
        <w:r>
          <w:tab/>
        </w:r>
        <w:r>
          <w:fldChar w:fldCharType="begin"/>
        </w:r>
        <w:r>
          <w:instrText xml:space="preserve"> PAGEREF _Toc8720 \h </w:instrText>
        </w:r>
        <w:r>
          <w:fldChar w:fldCharType="separate"/>
        </w:r>
        <w:r>
          <w:t>28</w:t>
        </w:r>
        <w:r>
          <w:fldChar w:fldCharType="end"/>
        </w:r>
      </w:hyperlink>
    </w:p>
    <w:p>
      <w:pPr>
        <w:pStyle w:val="TOC2"/>
        <w:tabs>
          <w:tab w:val="right" w:leader="dot" w:pos="8306"/>
        </w:tabs>
      </w:pPr>
      <w:hyperlink w:anchor="_Toc29684" w:history="1">
        <w:r>
          <w:rPr>
            <w:rFonts w:ascii="仿宋" w:eastAsia="仿宋" w:hAnsi="仿宋" w:cs="仿宋" w:hint="eastAsia"/>
            <w:lang w:eastAsia="zh-CN"/>
          </w:rPr>
          <w:t>(二)、建设期环境保护</w:t>
        </w:r>
        <w:r>
          <w:tab/>
        </w:r>
        <w:r>
          <w:fldChar w:fldCharType="begin"/>
        </w:r>
        <w:r>
          <w:instrText xml:space="preserve"> PAGEREF _Toc29684 \h </w:instrText>
        </w:r>
        <w:r>
          <w:fldChar w:fldCharType="separate"/>
        </w:r>
        <w:r>
          <w:t>30</w:t>
        </w:r>
        <w:r>
          <w:fldChar w:fldCharType="end"/>
        </w:r>
      </w:hyperlink>
    </w:p>
    <w:p>
      <w:pPr>
        <w:pStyle w:val="TOC2"/>
        <w:tabs>
          <w:tab w:val="right" w:leader="dot" w:pos="8306"/>
        </w:tabs>
      </w:pPr>
      <w:hyperlink w:anchor="_Toc22190" w:history="1">
        <w:r>
          <w:rPr>
            <w:rFonts w:ascii="仿宋" w:eastAsia="仿宋" w:hAnsi="仿宋" w:cs="仿宋" w:hint="eastAsia"/>
            <w:lang w:eastAsia="zh-CN"/>
          </w:rPr>
          <w:t>(三)、运营期环境保护</w:t>
        </w:r>
        <w:r>
          <w:tab/>
        </w:r>
        <w:r>
          <w:fldChar w:fldCharType="begin"/>
        </w:r>
        <w:r>
          <w:instrText xml:space="preserve"> PAGEREF _Toc22190 \h </w:instrText>
        </w:r>
        <w:r>
          <w:fldChar w:fldCharType="separate"/>
        </w:r>
        <w:r>
          <w:t>32</w:t>
        </w:r>
        <w:r>
          <w:fldChar w:fldCharType="end"/>
        </w:r>
      </w:hyperlink>
    </w:p>
    <w:p>
      <w:pPr>
        <w:pStyle w:val="TOC2"/>
        <w:tabs>
          <w:tab w:val="right" w:leader="dot" w:pos="8306"/>
        </w:tabs>
      </w:pPr>
      <w:hyperlink w:anchor="_Toc18365" w:history="1">
        <w:r>
          <w:rPr>
            <w:rFonts w:ascii="仿宋" w:eastAsia="仿宋" w:hAnsi="仿宋" w:cs="仿宋" w:hint="eastAsia"/>
            <w:lang w:eastAsia="zh-CN"/>
          </w:rPr>
          <w:t>(四)、立体仓库设备，相关物料搬运设备项目建设对区域经济的影响</w:t>
        </w:r>
        <w:r>
          <w:tab/>
        </w:r>
        <w:r>
          <w:fldChar w:fldCharType="begin"/>
        </w:r>
        <w:r>
          <w:instrText xml:space="preserve"> PAGEREF _Toc18365 \h </w:instrText>
        </w:r>
        <w:r>
          <w:fldChar w:fldCharType="separate"/>
        </w:r>
        <w:r>
          <w:t>33</w:t>
        </w:r>
        <w:r>
          <w:fldChar w:fldCharType="end"/>
        </w:r>
      </w:hyperlink>
    </w:p>
    <w:p>
      <w:pPr>
        <w:pStyle w:val="TOC2"/>
        <w:tabs>
          <w:tab w:val="right" w:leader="dot" w:pos="8306"/>
        </w:tabs>
      </w:pPr>
      <w:hyperlink w:anchor="_Toc389" w:history="1">
        <w:r>
          <w:rPr>
            <w:rFonts w:ascii="仿宋" w:eastAsia="仿宋" w:hAnsi="仿宋" w:cs="仿宋" w:hint="eastAsia"/>
            <w:lang w:eastAsia="zh-CN"/>
          </w:rPr>
          <w:t>(五)、废弃物处理</w:t>
        </w:r>
        <w:r>
          <w:tab/>
        </w:r>
        <w:r>
          <w:fldChar w:fldCharType="begin"/>
        </w:r>
        <w:r>
          <w:instrText xml:space="preserve"> PAGEREF _Toc389 \h </w:instrText>
        </w:r>
        <w:r>
          <w:fldChar w:fldCharType="separate"/>
        </w:r>
        <w:r>
          <w:t>35</w:t>
        </w:r>
        <w:r>
          <w:fldChar w:fldCharType="end"/>
        </w:r>
      </w:hyperlink>
    </w:p>
    <w:p>
      <w:pPr>
        <w:pStyle w:val="TOC2"/>
        <w:tabs>
          <w:tab w:val="right" w:leader="dot" w:pos="8306"/>
        </w:tabs>
      </w:pPr>
      <w:hyperlink w:anchor="_Toc25407" w:history="1">
        <w:r>
          <w:rPr>
            <w:rFonts w:ascii="仿宋" w:eastAsia="仿宋" w:hAnsi="仿宋" w:cs="仿宋" w:hint="eastAsia"/>
            <w:lang w:eastAsia="zh-CN"/>
          </w:rPr>
          <w:t>(六)、特殊环境影响分析</w:t>
        </w:r>
        <w:r>
          <w:tab/>
        </w:r>
        <w:r>
          <w:fldChar w:fldCharType="begin"/>
        </w:r>
        <w:r>
          <w:instrText xml:space="preserve"> PAGEREF _Toc25407 \h </w:instrText>
        </w:r>
        <w:r>
          <w:fldChar w:fldCharType="separate"/>
        </w:r>
        <w:r>
          <w:t>36</w:t>
        </w:r>
        <w:r>
          <w:fldChar w:fldCharType="end"/>
        </w:r>
      </w:hyperlink>
    </w:p>
    <w:p>
      <w:pPr>
        <w:pStyle w:val="TOC2"/>
        <w:tabs>
          <w:tab w:val="right" w:leader="dot" w:pos="8306"/>
        </w:tabs>
      </w:pPr>
      <w:hyperlink w:anchor="_Toc12045" w:history="1">
        <w:r>
          <w:rPr>
            <w:rFonts w:ascii="仿宋" w:eastAsia="仿宋" w:hAnsi="仿宋" w:cs="仿宋" w:hint="eastAsia"/>
            <w:lang w:eastAsia="zh-CN"/>
          </w:rPr>
          <w:t>(七)、清洁生产</w:t>
        </w:r>
        <w:r>
          <w:tab/>
        </w:r>
        <w:r>
          <w:fldChar w:fldCharType="begin"/>
        </w:r>
        <w:r>
          <w:instrText xml:space="preserve"> PAGEREF _Toc12045 \h </w:instrText>
        </w:r>
        <w:r>
          <w:fldChar w:fldCharType="separate"/>
        </w:r>
        <w:r>
          <w:t>38</w:t>
        </w:r>
        <w:r>
          <w:fldChar w:fldCharType="end"/>
        </w:r>
      </w:hyperlink>
    </w:p>
    <w:p>
      <w:pPr>
        <w:pStyle w:val="TOC2"/>
        <w:tabs>
          <w:tab w:val="right" w:leader="dot" w:pos="8306"/>
        </w:tabs>
      </w:pPr>
      <w:hyperlink w:anchor="_Toc24098" w:history="1">
        <w:r>
          <w:rPr>
            <w:rFonts w:ascii="仿宋" w:eastAsia="仿宋" w:hAnsi="仿宋" w:cs="仿宋" w:hint="eastAsia"/>
            <w:lang w:eastAsia="zh-CN"/>
          </w:rPr>
          <w:t>(八)、环境保护综合评价</w:t>
        </w:r>
        <w:r>
          <w:tab/>
        </w:r>
        <w:r>
          <w:fldChar w:fldCharType="begin"/>
        </w:r>
        <w:r>
          <w:instrText xml:space="preserve"> PAGEREF _Toc24098 \h </w:instrText>
        </w:r>
        <w:r>
          <w:fldChar w:fldCharType="separate"/>
        </w:r>
        <w:r>
          <w:t>39</w:t>
        </w:r>
        <w:r>
          <w:fldChar w:fldCharType="end"/>
        </w:r>
      </w:hyperlink>
    </w:p>
    <w:p>
      <w:pPr>
        <w:pStyle w:val="TOC1"/>
        <w:tabs>
          <w:tab w:val="right" w:leader="dot" w:pos="8306"/>
        </w:tabs>
      </w:pPr>
      <w:hyperlink w:anchor="_Toc10515" w:history="1">
        <w:r>
          <w:rPr>
            <w:rFonts w:ascii="仿宋" w:eastAsia="仿宋" w:hAnsi="仿宋" w:cs="仿宋" w:hint="eastAsia"/>
            <w:lang w:eastAsia="zh-CN"/>
          </w:rPr>
          <w:t>十、立体仓库设备，相关物料搬运设备项目创新与研发</w:t>
        </w:r>
        <w:r>
          <w:tab/>
        </w:r>
        <w:r>
          <w:fldChar w:fldCharType="begin"/>
        </w:r>
        <w:r>
          <w:instrText xml:space="preserve"> PAGEREF _Toc10515 \h </w:instrText>
        </w:r>
        <w:r>
          <w:fldChar w:fldCharType="separate"/>
        </w:r>
        <w:r>
          <w:t>40</w:t>
        </w:r>
        <w:r>
          <w:fldChar w:fldCharType="end"/>
        </w:r>
      </w:hyperlink>
    </w:p>
    <w:p>
      <w:pPr>
        <w:pStyle w:val="TOC2"/>
        <w:tabs>
          <w:tab w:val="right" w:leader="dot" w:pos="8306"/>
        </w:tabs>
      </w:pPr>
      <w:hyperlink w:anchor="_Toc20642" w:history="1">
        <w:r>
          <w:rPr>
            <w:rFonts w:ascii="仿宋" w:eastAsia="仿宋" w:hAnsi="仿宋" w:cs="仿宋" w:hint="eastAsia"/>
            <w:lang w:eastAsia="zh-CN"/>
          </w:rPr>
          <w:t>(一)、创新策略与方向</w:t>
        </w:r>
        <w:r>
          <w:tab/>
        </w:r>
        <w:r>
          <w:fldChar w:fldCharType="begin"/>
        </w:r>
        <w:r>
          <w:instrText xml:space="preserve"> PAGEREF _Toc20642 \h </w:instrText>
        </w:r>
        <w:r>
          <w:fldChar w:fldCharType="separate"/>
        </w:r>
        <w:r>
          <w:t>40</w:t>
        </w:r>
        <w:r>
          <w:fldChar w:fldCharType="end"/>
        </w:r>
      </w:hyperlink>
    </w:p>
    <w:p>
      <w:pPr>
        <w:pStyle w:val="TOC2"/>
        <w:tabs>
          <w:tab w:val="right" w:leader="dot" w:pos="8306"/>
        </w:tabs>
      </w:pPr>
      <w:hyperlink w:anchor="_Toc19967" w:history="1">
        <w:r>
          <w:rPr>
            <w:rFonts w:ascii="仿宋" w:eastAsia="仿宋" w:hAnsi="仿宋" w:cs="仿宋" w:hint="eastAsia"/>
            <w:lang w:eastAsia="zh-CN"/>
          </w:rPr>
          <w:t>(二)、研发规划与投入</w:t>
        </w:r>
        <w:r>
          <w:tab/>
        </w:r>
        <w:r>
          <w:fldChar w:fldCharType="begin"/>
        </w:r>
        <w:r>
          <w:instrText xml:space="preserve"> PAGEREF _Toc19967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662" w:history="1">
        <w:r>
          <w:rPr>
            <w:rFonts w:ascii="仿宋" w:eastAsia="仿宋" w:hAnsi="仿宋" w:cs="仿宋" w:hint="eastAsia"/>
            <w:lang w:eastAsia="zh-CN"/>
          </w:rPr>
          <w:t>十一、立体仓库设备，相关物料搬运设备项目人力资源管理</w:t>
        </w:r>
        <w:r>
          <w:tab/>
        </w:r>
        <w:r>
          <w:fldChar w:fldCharType="begin"/>
        </w:r>
        <w:r>
          <w:instrText xml:space="preserve"> PAGEREF _Toc4662 \h </w:instrText>
        </w:r>
        <w:r>
          <w:fldChar w:fldCharType="separate"/>
        </w:r>
        <w:r>
          <w:t>44</w:t>
        </w:r>
        <w:r>
          <w:fldChar w:fldCharType="end"/>
        </w:r>
      </w:hyperlink>
    </w:p>
    <w:p>
      <w:pPr>
        <w:pStyle w:val="TOC2"/>
        <w:tabs>
          <w:tab w:val="right" w:leader="dot" w:pos="8306"/>
        </w:tabs>
      </w:pPr>
      <w:hyperlink w:anchor="_Toc1880" w:history="1">
        <w:r>
          <w:rPr>
            <w:rFonts w:ascii="仿宋" w:eastAsia="仿宋" w:hAnsi="仿宋" w:cs="仿宋" w:hint="eastAsia"/>
            <w:lang w:eastAsia="zh-CN"/>
          </w:rPr>
          <w:t>(一)、建立健全的预算管理制度</w:t>
        </w:r>
        <w:r>
          <w:tab/>
        </w:r>
        <w:r>
          <w:fldChar w:fldCharType="begin"/>
        </w:r>
        <w:r>
          <w:instrText xml:space="preserve"> PAGEREF _Toc1880 \h </w:instrText>
        </w:r>
        <w:r>
          <w:fldChar w:fldCharType="separate"/>
        </w:r>
        <w:r>
          <w:t>44</w:t>
        </w:r>
        <w:r>
          <w:fldChar w:fldCharType="end"/>
        </w:r>
      </w:hyperlink>
    </w:p>
    <w:p>
      <w:pPr>
        <w:pStyle w:val="TOC2"/>
        <w:tabs>
          <w:tab w:val="right" w:leader="dot" w:pos="8306"/>
        </w:tabs>
      </w:pPr>
      <w:hyperlink w:anchor="_Toc16016" w:history="1">
        <w:r>
          <w:rPr>
            <w:rFonts w:ascii="仿宋" w:eastAsia="仿宋" w:hAnsi="仿宋" w:cs="仿宋" w:hint="eastAsia"/>
            <w:lang w:eastAsia="zh-CN"/>
          </w:rPr>
          <w:t>(二)、加强资金流动监控</w:t>
        </w:r>
        <w:r>
          <w:tab/>
        </w:r>
        <w:r>
          <w:fldChar w:fldCharType="begin"/>
        </w:r>
        <w:r>
          <w:instrText xml:space="preserve"> PAGEREF _Toc16016 \h </w:instrText>
        </w:r>
        <w:r>
          <w:fldChar w:fldCharType="separate"/>
        </w:r>
        <w:r>
          <w:t>46</w:t>
        </w:r>
        <w:r>
          <w:fldChar w:fldCharType="end"/>
        </w:r>
      </w:hyperlink>
    </w:p>
    <w:p>
      <w:pPr>
        <w:pStyle w:val="TOC2"/>
        <w:tabs>
          <w:tab w:val="right" w:leader="dot" w:pos="8306"/>
        </w:tabs>
      </w:pPr>
      <w:hyperlink w:anchor="_Toc319" w:history="1">
        <w:r>
          <w:rPr>
            <w:rFonts w:ascii="仿宋" w:eastAsia="仿宋" w:hAnsi="仿宋" w:cs="仿宋" w:hint="eastAsia"/>
            <w:lang w:eastAsia="zh-CN"/>
          </w:rPr>
          <w:t>(三)、制定完善的风险控制机制</w:t>
        </w:r>
        <w:r>
          <w:tab/>
        </w:r>
        <w:r>
          <w:fldChar w:fldCharType="begin"/>
        </w:r>
        <w:r>
          <w:instrText xml:space="preserve"> PAGEREF _Toc319 \h </w:instrText>
        </w:r>
        <w:r>
          <w:fldChar w:fldCharType="separate"/>
        </w:r>
        <w:r>
          <w:t>47</w:t>
        </w:r>
        <w:r>
          <w:fldChar w:fldCharType="end"/>
        </w:r>
      </w:hyperlink>
    </w:p>
    <w:p>
      <w:pPr>
        <w:pStyle w:val="TOC2"/>
        <w:tabs>
          <w:tab w:val="right" w:leader="dot" w:pos="8306"/>
        </w:tabs>
      </w:pPr>
      <w:hyperlink w:anchor="_Toc15260" w:history="1">
        <w:r>
          <w:rPr>
            <w:rFonts w:ascii="仿宋" w:eastAsia="仿宋" w:hAnsi="仿宋" w:cs="仿宋" w:hint="eastAsia"/>
            <w:lang w:eastAsia="zh-CN"/>
          </w:rPr>
          <w:t>(四)、优化成本管理</w:t>
        </w:r>
        <w:r>
          <w:tab/>
        </w:r>
        <w:r>
          <w:fldChar w:fldCharType="begin"/>
        </w:r>
        <w:r>
          <w:instrText xml:space="preserve"> PAGEREF _Toc15260 \h </w:instrText>
        </w:r>
        <w:r>
          <w:fldChar w:fldCharType="separate"/>
        </w:r>
        <w:r>
          <w:t>49</w:t>
        </w:r>
        <w:r>
          <w:fldChar w:fldCharType="end"/>
        </w:r>
      </w:hyperlink>
    </w:p>
    <w:p>
      <w:pPr>
        <w:pStyle w:val="TOC1"/>
        <w:tabs>
          <w:tab w:val="right" w:leader="dot" w:pos="8306"/>
        </w:tabs>
      </w:pPr>
      <w:hyperlink w:anchor="_Toc4862" w:history="1">
        <w:r>
          <w:rPr>
            <w:rFonts w:ascii="仿宋" w:eastAsia="仿宋" w:hAnsi="仿宋" w:cs="仿宋" w:hint="eastAsia"/>
            <w:lang w:eastAsia="zh-CN"/>
          </w:rPr>
          <w:t>十二、生产安全保护</w:t>
        </w:r>
        <w:r>
          <w:tab/>
        </w:r>
        <w:r>
          <w:fldChar w:fldCharType="begin"/>
        </w:r>
        <w:r>
          <w:instrText xml:space="preserve"> PAGEREF _Toc4862 \h </w:instrText>
        </w:r>
        <w:r>
          <w:fldChar w:fldCharType="separate"/>
        </w:r>
        <w:r>
          <w:t>50</w:t>
        </w:r>
        <w:r>
          <w:fldChar w:fldCharType="end"/>
        </w:r>
      </w:hyperlink>
    </w:p>
    <w:p>
      <w:pPr>
        <w:pStyle w:val="TOC2"/>
        <w:tabs>
          <w:tab w:val="right" w:leader="dot" w:pos="8306"/>
        </w:tabs>
      </w:pPr>
      <w:hyperlink w:anchor="_Toc4188" w:history="1">
        <w:r>
          <w:rPr>
            <w:rFonts w:ascii="仿宋" w:eastAsia="仿宋" w:hAnsi="仿宋" w:cs="仿宋" w:hint="eastAsia"/>
            <w:lang w:eastAsia="zh-CN"/>
          </w:rPr>
          <w:t>(一)、消防安全</w:t>
        </w:r>
        <w:r>
          <w:tab/>
        </w:r>
        <w:r>
          <w:fldChar w:fldCharType="begin"/>
        </w:r>
        <w:r>
          <w:instrText xml:space="preserve"> PAGEREF _Toc4188 \h </w:instrText>
        </w:r>
        <w:r>
          <w:fldChar w:fldCharType="separate"/>
        </w:r>
        <w:r>
          <w:t>50</w:t>
        </w:r>
        <w:r>
          <w:fldChar w:fldCharType="end"/>
        </w:r>
      </w:hyperlink>
    </w:p>
    <w:p>
      <w:pPr>
        <w:pStyle w:val="TOC2"/>
        <w:tabs>
          <w:tab w:val="right" w:leader="dot" w:pos="8306"/>
        </w:tabs>
      </w:pPr>
      <w:hyperlink w:anchor="_Toc2273" w:history="1">
        <w:r>
          <w:rPr>
            <w:rFonts w:ascii="仿宋" w:eastAsia="仿宋" w:hAnsi="仿宋" w:cs="仿宋" w:hint="eastAsia"/>
            <w:lang w:eastAsia="zh-CN"/>
          </w:rPr>
          <w:t>(二)、防火防爆总图布置措施</w:t>
        </w:r>
        <w:r>
          <w:tab/>
        </w:r>
        <w:r>
          <w:fldChar w:fldCharType="begin"/>
        </w:r>
        <w:r>
          <w:instrText xml:space="preserve"> PAGEREF _Toc2273 \h </w:instrText>
        </w:r>
        <w:r>
          <w:fldChar w:fldCharType="separate"/>
        </w:r>
        <w:r>
          <w:t>52</w:t>
        </w:r>
        <w:r>
          <w:fldChar w:fldCharType="end"/>
        </w:r>
      </w:hyperlink>
    </w:p>
    <w:p>
      <w:pPr>
        <w:pStyle w:val="TOC2"/>
        <w:tabs>
          <w:tab w:val="right" w:leader="dot" w:pos="8306"/>
        </w:tabs>
      </w:pPr>
      <w:hyperlink w:anchor="_Toc7136" w:history="1">
        <w:r>
          <w:rPr>
            <w:rFonts w:ascii="仿宋" w:eastAsia="仿宋" w:hAnsi="仿宋" w:cs="仿宋" w:hint="eastAsia"/>
            <w:lang w:eastAsia="zh-CN"/>
          </w:rPr>
          <w:t>(三)、自然灾害防范措施</w:t>
        </w:r>
        <w:r>
          <w:tab/>
        </w:r>
        <w:r>
          <w:fldChar w:fldCharType="begin"/>
        </w:r>
        <w:r>
          <w:instrText xml:space="preserve"> PAGEREF _Toc7136 \h </w:instrText>
        </w:r>
        <w:r>
          <w:fldChar w:fldCharType="separate"/>
        </w:r>
        <w:r>
          <w:t>53</w:t>
        </w:r>
        <w:r>
          <w:fldChar w:fldCharType="end"/>
        </w:r>
      </w:hyperlink>
    </w:p>
    <w:p>
      <w:pPr>
        <w:pStyle w:val="TOC2"/>
        <w:tabs>
          <w:tab w:val="right" w:leader="dot" w:pos="8306"/>
        </w:tabs>
      </w:pPr>
      <w:hyperlink w:anchor="_Toc16877" w:history="1">
        <w:r>
          <w:rPr>
            <w:rFonts w:ascii="仿宋" w:eastAsia="仿宋" w:hAnsi="仿宋" w:cs="仿宋" w:hint="eastAsia"/>
            <w:lang w:eastAsia="zh-CN"/>
          </w:rPr>
          <w:t>(四)、安全色及安全标志使用要求</w:t>
        </w:r>
        <w:r>
          <w:tab/>
        </w:r>
        <w:r>
          <w:fldChar w:fldCharType="begin"/>
        </w:r>
        <w:r>
          <w:instrText xml:space="preserve"> PAGEREF _Toc16877 \h </w:instrText>
        </w:r>
        <w:r>
          <w:fldChar w:fldCharType="separate"/>
        </w:r>
        <w:r>
          <w:t>54</w:t>
        </w:r>
        <w:r>
          <w:fldChar w:fldCharType="end"/>
        </w:r>
      </w:hyperlink>
    </w:p>
    <w:p>
      <w:pPr>
        <w:pStyle w:val="TOC2"/>
        <w:tabs>
          <w:tab w:val="right" w:leader="dot" w:pos="8306"/>
        </w:tabs>
      </w:pPr>
      <w:hyperlink w:anchor="_Toc29855" w:history="1">
        <w:r>
          <w:rPr>
            <w:rFonts w:ascii="仿宋" w:eastAsia="仿宋" w:hAnsi="仿宋" w:cs="仿宋" w:hint="eastAsia"/>
            <w:lang w:eastAsia="zh-CN"/>
          </w:rPr>
          <w:t>(五)、防尘防毒措施</w:t>
        </w:r>
        <w:r>
          <w:tab/>
        </w:r>
        <w:r>
          <w:fldChar w:fldCharType="begin"/>
        </w:r>
        <w:r>
          <w:instrText xml:space="preserve"> PAGEREF _Toc29855 \h </w:instrText>
        </w:r>
        <w:r>
          <w:fldChar w:fldCharType="separate"/>
        </w:r>
        <w:r>
          <w:t>55</w:t>
        </w:r>
        <w:r>
          <w:fldChar w:fldCharType="end"/>
        </w:r>
      </w:hyperlink>
    </w:p>
    <w:p>
      <w:pPr>
        <w:pStyle w:val="TOC2"/>
        <w:tabs>
          <w:tab w:val="right" w:leader="dot" w:pos="8306"/>
        </w:tabs>
      </w:pPr>
      <w:hyperlink w:anchor="_Toc26670" w:history="1">
        <w:r>
          <w:rPr>
            <w:rFonts w:ascii="仿宋" w:eastAsia="仿宋" w:hAnsi="仿宋" w:cs="仿宋" w:hint="eastAsia"/>
            <w:lang w:eastAsia="zh-CN"/>
          </w:rPr>
          <w:t>(六)、防静电、触电防护及防雷措施</w:t>
        </w:r>
        <w:r>
          <w:tab/>
        </w:r>
        <w:r>
          <w:fldChar w:fldCharType="begin"/>
        </w:r>
        <w:r>
          <w:instrText xml:space="preserve"> PAGEREF _Toc26670 \h </w:instrText>
        </w:r>
        <w:r>
          <w:fldChar w:fldCharType="separate"/>
        </w:r>
        <w:r>
          <w:t>56</w:t>
        </w:r>
        <w:r>
          <w:fldChar w:fldCharType="end"/>
        </w:r>
      </w:hyperlink>
    </w:p>
    <w:p>
      <w:pPr>
        <w:pStyle w:val="TOC2"/>
        <w:tabs>
          <w:tab w:val="right" w:leader="dot" w:pos="8306"/>
        </w:tabs>
      </w:pPr>
      <w:hyperlink w:anchor="_Toc15359" w:history="1">
        <w:r>
          <w:rPr>
            <w:rFonts w:ascii="仿宋" w:eastAsia="仿宋" w:hAnsi="仿宋" w:cs="仿宋" w:hint="eastAsia"/>
            <w:lang w:eastAsia="zh-CN"/>
          </w:rPr>
          <w:t>(七)、机械设备安全保障措施</w:t>
        </w:r>
        <w:r>
          <w:tab/>
        </w:r>
        <w:r>
          <w:fldChar w:fldCharType="begin"/>
        </w:r>
        <w:r>
          <w:instrText xml:space="preserve"> PAGEREF _Toc15359 \h </w:instrText>
        </w:r>
        <w:r>
          <w:fldChar w:fldCharType="separate"/>
        </w:r>
        <w:r>
          <w:t>58</w:t>
        </w:r>
        <w:r>
          <w:fldChar w:fldCharType="end"/>
        </w:r>
      </w:hyperlink>
    </w:p>
    <w:p>
      <w:pPr>
        <w:pStyle w:val="TOC1"/>
        <w:tabs>
          <w:tab w:val="right" w:leader="dot" w:pos="8306"/>
        </w:tabs>
      </w:pPr>
      <w:hyperlink w:anchor="_Toc190" w:history="1">
        <w:r>
          <w:rPr>
            <w:rFonts w:ascii="仿宋" w:eastAsia="仿宋" w:hAnsi="仿宋" w:cs="仿宋" w:hint="eastAsia"/>
            <w:lang w:eastAsia="zh-CN"/>
          </w:rPr>
          <w:t>十三、供应链管理</w:t>
        </w:r>
        <w:r>
          <w:tab/>
        </w:r>
        <w:r>
          <w:fldChar w:fldCharType="begin"/>
        </w:r>
        <w:r>
          <w:instrText xml:space="preserve"> PAGEREF _Toc190 \h </w:instrText>
        </w:r>
        <w:r>
          <w:fldChar w:fldCharType="separate"/>
        </w:r>
        <w:r>
          <w:t>60</w:t>
        </w:r>
        <w:r>
          <w:fldChar w:fldCharType="end"/>
        </w:r>
      </w:hyperlink>
    </w:p>
    <w:p>
      <w:pPr>
        <w:pStyle w:val="TOC2"/>
        <w:tabs>
          <w:tab w:val="right" w:leader="dot" w:pos="8306"/>
        </w:tabs>
      </w:pPr>
      <w:hyperlink w:anchor="_Toc20185" w:history="1">
        <w:r>
          <w:rPr>
            <w:rFonts w:ascii="仿宋" w:eastAsia="仿宋" w:hAnsi="仿宋" w:cs="仿宋" w:hint="eastAsia"/>
            <w:lang w:eastAsia="zh-CN"/>
          </w:rPr>
          <w:t>(一)、供应链战略规划</w:t>
        </w:r>
        <w:r>
          <w:tab/>
        </w:r>
        <w:r>
          <w:fldChar w:fldCharType="begin"/>
        </w:r>
        <w:r>
          <w:instrText xml:space="preserve"> PAGEREF _Toc20185 \h </w:instrText>
        </w:r>
        <w:r>
          <w:fldChar w:fldCharType="separate"/>
        </w:r>
        <w:r>
          <w:t>60</w:t>
        </w:r>
        <w:r>
          <w:fldChar w:fldCharType="end"/>
        </w:r>
      </w:hyperlink>
    </w:p>
    <w:p>
      <w:pPr>
        <w:pStyle w:val="TOC2"/>
        <w:tabs>
          <w:tab w:val="right" w:leader="dot" w:pos="8306"/>
        </w:tabs>
      </w:pPr>
      <w:hyperlink w:anchor="_Toc14511" w:history="1">
        <w:r>
          <w:rPr>
            <w:rFonts w:ascii="仿宋" w:eastAsia="仿宋" w:hAnsi="仿宋" w:cs="仿宋" w:hint="eastAsia"/>
            <w:lang w:eastAsia="zh-CN"/>
          </w:rPr>
          <w:t>(二)、供应商选择与合作</w:t>
        </w:r>
        <w:r>
          <w:tab/>
        </w:r>
        <w:r>
          <w:fldChar w:fldCharType="begin"/>
        </w:r>
        <w:r>
          <w:instrText xml:space="preserve"> PAGEREF _Toc14511 \h </w:instrText>
        </w:r>
        <w:r>
          <w:fldChar w:fldCharType="separate"/>
        </w:r>
        <w:r>
          <w:t>61</w:t>
        </w:r>
        <w:r>
          <w:fldChar w:fldCharType="end"/>
        </w:r>
      </w:hyperlink>
    </w:p>
    <w:p>
      <w:pPr>
        <w:pStyle w:val="TOC2"/>
        <w:tabs>
          <w:tab w:val="right" w:leader="dot" w:pos="8306"/>
        </w:tabs>
      </w:pPr>
      <w:hyperlink w:anchor="_Toc17194" w:history="1">
        <w:r>
          <w:rPr>
            <w:rFonts w:ascii="仿宋" w:eastAsia="仿宋" w:hAnsi="仿宋" w:cs="仿宋" w:hint="eastAsia"/>
            <w:lang w:eastAsia="zh-CN"/>
          </w:rPr>
          <w:t>(三)、物流与库存管理</w:t>
        </w:r>
        <w:r>
          <w:tab/>
        </w:r>
        <w:r>
          <w:fldChar w:fldCharType="begin"/>
        </w:r>
        <w:r>
          <w:instrText xml:space="preserve"> PAGEREF _Toc17194 \h </w:instrText>
        </w:r>
        <w:r>
          <w:fldChar w:fldCharType="separate"/>
        </w:r>
        <w:r>
          <w:t>63</w:t>
        </w:r>
        <w:r>
          <w:fldChar w:fldCharType="end"/>
        </w:r>
      </w:hyperlink>
    </w:p>
    <w:p>
      <w:pPr>
        <w:pStyle w:val="TOC1"/>
        <w:tabs>
          <w:tab w:val="right" w:leader="dot" w:pos="8306"/>
        </w:tabs>
      </w:pPr>
      <w:hyperlink w:anchor="_Toc15987" w:history="1">
        <w:r>
          <w:rPr>
            <w:rFonts w:ascii="仿宋" w:eastAsia="仿宋" w:hAnsi="仿宋" w:cs="仿宋" w:hint="eastAsia"/>
            <w:lang w:eastAsia="zh-CN"/>
          </w:rPr>
          <w:t>十四、立体仓库设备，相关物料搬运设备项目实施时间节点</w:t>
        </w:r>
        <w:r>
          <w:tab/>
        </w:r>
        <w:r>
          <w:fldChar w:fldCharType="begin"/>
        </w:r>
        <w:r>
          <w:instrText xml:space="preserve"> PAGEREF _Toc15987 \h </w:instrText>
        </w:r>
        <w:r>
          <w:fldChar w:fldCharType="separate"/>
        </w:r>
        <w:r>
          <w:t>64</w:t>
        </w:r>
        <w:r>
          <w:fldChar w:fldCharType="end"/>
        </w:r>
      </w:hyperlink>
    </w:p>
    <w:p>
      <w:pPr>
        <w:pStyle w:val="TOC2"/>
        <w:tabs>
          <w:tab w:val="right" w:leader="dot" w:pos="8306"/>
        </w:tabs>
      </w:pPr>
      <w:hyperlink w:anchor="_Toc25691" w:history="1">
        <w:r>
          <w:rPr>
            <w:rFonts w:ascii="仿宋" w:eastAsia="仿宋" w:hAnsi="仿宋" w:cs="仿宋" w:hint="eastAsia"/>
            <w:lang w:eastAsia="zh-CN"/>
          </w:rPr>
          <w:t>(一)、立体仓库设备，相关物料搬运设备项目启动阶段时间节点</w:t>
        </w:r>
        <w:r>
          <w:tab/>
        </w:r>
        <w:r>
          <w:fldChar w:fldCharType="begin"/>
        </w:r>
        <w:r>
          <w:instrText xml:space="preserve"> PAGEREF _Toc25691 \h </w:instrText>
        </w:r>
        <w:r>
          <w:fldChar w:fldCharType="separate"/>
        </w:r>
        <w:r>
          <w:t>64</w:t>
        </w:r>
        <w:r>
          <w:fldChar w:fldCharType="end"/>
        </w:r>
      </w:hyperlink>
    </w:p>
    <w:p>
      <w:pPr>
        <w:pStyle w:val="TOC2"/>
        <w:tabs>
          <w:tab w:val="right" w:leader="dot" w:pos="8306"/>
        </w:tabs>
      </w:pPr>
      <w:hyperlink w:anchor="_Toc13192" w:history="1">
        <w:r>
          <w:rPr>
            <w:rFonts w:ascii="仿宋" w:eastAsia="仿宋" w:hAnsi="仿宋" w:cs="仿宋" w:hint="eastAsia"/>
            <w:lang w:eastAsia="zh-CN"/>
          </w:rPr>
          <w:t>(二)、立体仓库设备，相关物料搬运设备项目执行阶段时间节点</w:t>
        </w:r>
        <w:r>
          <w:tab/>
        </w:r>
        <w:r>
          <w:fldChar w:fldCharType="begin"/>
        </w:r>
        <w:r>
          <w:instrText xml:space="preserve"> PAGEREF _Toc13192 \h </w:instrText>
        </w:r>
        <w:r>
          <w:fldChar w:fldCharType="separate"/>
        </w:r>
        <w:r>
          <w:t>66</w:t>
        </w:r>
        <w:r>
          <w:fldChar w:fldCharType="end"/>
        </w:r>
      </w:hyperlink>
    </w:p>
    <w:p>
      <w:pPr>
        <w:pStyle w:val="TOC2"/>
        <w:tabs>
          <w:tab w:val="right" w:leader="dot" w:pos="8306"/>
        </w:tabs>
      </w:pPr>
      <w:hyperlink w:anchor="_Toc10951" w:history="1">
        <w:r>
          <w:rPr>
            <w:rFonts w:ascii="仿宋" w:eastAsia="仿宋" w:hAnsi="仿宋" w:cs="仿宋" w:hint="eastAsia"/>
            <w:lang w:eastAsia="zh-CN"/>
          </w:rPr>
          <w:t>(三)、立体仓库设备，相关物料搬运设备项目完成阶段时间节点</w:t>
        </w:r>
        <w:r>
          <w:tab/>
        </w:r>
        <w:r>
          <w:fldChar w:fldCharType="begin"/>
        </w:r>
        <w:r>
          <w:instrText xml:space="preserve"> PAGEREF _Toc10951 \h </w:instrText>
        </w:r>
        <w:r>
          <w:fldChar w:fldCharType="separate"/>
        </w:r>
        <w:r>
          <w:t>67</w:t>
        </w:r>
        <w:r>
          <w:fldChar w:fldCharType="end"/>
        </w:r>
      </w:hyperlink>
    </w:p>
    <w:p>
      <w:pPr>
        <w:pStyle w:val="TOC1"/>
        <w:tabs>
          <w:tab w:val="right" w:leader="dot" w:pos="8306"/>
        </w:tabs>
      </w:pPr>
      <w:hyperlink w:anchor="_Toc24678" w:history="1">
        <w:r>
          <w:rPr>
            <w:rFonts w:ascii="仿宋" w:eastAsia="仿宋" w:hAnsi="仿宋" w:cs="仿宋" w:hint="eastAsia"/>
            <w:lang w:eastAsia="zh-CN"/>
          </w:rPr>
          <w:t>十五、立体仓库设备，相关物料搬运设备项目治理与监督</w:t>
        </w:r>
        <w:r>
          <w:tab/>
        </w:r>
        <w:r>
          <w:fldChar w:fldCharType="begin"/>
        </w:r>
        <w:r>
          <w:instrText xml:space="preserve"> PAGEREF _Toc24678 \h </w:instrText>
        </w:r>
        <w:r>
          <w:fldChar w:fldCharType="separate"/>
        </w:r>
        <w:r>
          <w:t>68</w:t>
        </w:r>
        <w:r>
          <w:fldChar w:fldCharType="end"/>
        </w:r>
      </w:hyperlink>
    </w:p>
    <w:p>
      <w:pPr>
        <w:pStyle w:val="TOC2"/>
        <w:tabs>
          <w:tab w:val="right" w:leader="dot" w:pos="8306"/>
        </w:tabs>
      </w:pPr>
      <w:hyperlink w:anchor="_Toc20580" w:history="1">
        <w:r>
          <w:rPr>
            <w:rFonts w:ascii="仿宋" w:eastAsia="仿宋" w:hAnsi="仿宋" w:cs="仿宋" w:hint="eastAsia"/>
            <w:lang w:eastAsia="zh-CN"/>
          </w:rPr>
          <w:t>(一)、立体仓库设备，相关物料搬运设备项目治理结构</w:t>
        </w:r>
        <w:r>
          <w:tab/>
        </w:r>
        <w:r>
          <w:fldChar w:fldCharType="begin"/>
        </w:r>
        <w:r>
          <w:instrText xml:space="preserve"> PAGEREF _Toc20580 \h </w:instrText>
        </w:r>
        <w:r>
          <w:fldChar w:fldCharType="separate"/>
        </w:r>
        <w:r>
          <w:t>68</w:t>
        </w:r>
        <w:r>
          <w:fldChar w:fldCharType="end"/>
        </w:r>
      </w:hyperlink>
    </w:p>
    <w:p>
      <w:pPr>
        <w:pStyle w:val="TOC2"/>
        <w:tabs>
          <w:tab w:val="right" w:leader="dot" w:pos="8306"/>
        </w:tabs>
      </w:pPr>
      <w:hyperlink w:anchor="_Toc25864" w:history="1">
        <w:r>
          <w:rPr>
            <w:rFonts w:ascii="仿宋" w:eastAsia="仿宋" w:hAnsi="仿宋" w:cs="仿宋" w:hint="eastAsia"/>
            <w:lang w:eastAsia="zh-CN"/>
          </w:rPr>
          <w:t>(二)、监督与审计</w:t>
        </w:r>
        <w:r>
          <w:tab/>
        </w:r>
        <w:r>
          <w:fldChar w:fldCharType="begin"/>
        </w:r>
        <w:r>
          <w:instrText xml:space="preserve"> PAGEREF _Toc25864 \h </w:instrText>
        </w:r>
        <w:r>
          <w:fldChar w:fldCharType="separate"/>
        </w:r>
        <w:r>
          <w:t>70</w:t>
        </w:r>
        <w:r>
          <w:fldChar w:fldCharType="end"/>
        </w:r>
      </w:hyperlink>
    </w:p>
    <w:p>
      <w:pPr>
        <w:pStyle w:val="TOC1"/>
        <w:tabs>
          <w:tab w:val="right" w:leader="dot" w:pos="8306"/>
        </w:tabs>
      </w:pPr>
      <w:hyperlink w:anchor="_Toc29625" w:history="1">
        <w:r>
          <w:rPr>
            <w:rFonts w:ascii="仿宋" w:eastAsia="仿宋" w:hAnsi="仿宋" w:cs="仿宋" w:hint="eastAsia"/>
            <w:lang w:eastAsia="zh-CN"/>
          </w:rPr>
          <w:t>十六、立体仓库设备，相关物料搬运设备项目实施保障措施</w:t>
        </w:r>
        <w:r>
          <w:tab/>
        </w:r>
        <w:r>
          <w:fldChar w:fldCharType="begin"/>
        </w:r>
        <w:r>
          <w:instrText xml:space="preserve"> PAGEREF _Toc29625 \h </w:instrText>
        </w:r>
        <w:r>
          <w:fldChar w:fldCharType="separate"/>
        </w:r>
        <w:r>
          <w:t>71</w:t>
        </w:r>
        <w:r>
          <w:fldChar w:fldCharType="end"/>
        </w:r>
      </w:hyperlink>
    </w:p>
    <w:p>
      <w:pPr>
        <w:pStyle w:val="TOC2"/>
        <w:tabs>
          <w:tab w:val="right" w:leader="dot" w:pos="8306"/>
        </w:tabs>
      </w:pPr>
      <w:hyperlink w:anchor="_Toc12928" w:history="1">
        <w:r>
          <w:rPr>
            <w:rFonts w:ascii="仿宋" w:eastAsia="仿宋" w:hAnsi="仿宋" w:cs="仿宋" w:hint="eastAsia"/>
            <w:lang w:eastAsia="zh-CN"/>
          </w:rPr>
          <w:t>(一)、立体仓库设备，相关物料搬运设备项目实施保障机制</w:t>
        </w:r>
        <w:r>
          <w:tab/>
        </w:r>
        <w:r>
          <w:fldChar w:fldCharType="begin"/>
        </w:r>
        <w:r>
          <w:instrText xml:space="preserve"> PAGEREF _Toc12928 \h </w:instrText>
        </w:r>
        <w:r>
          <w:fldChar w:fldCharType="separate"/>
        </w:r>
        <w:r>
          <w:t>71</w:t>
        </w:r>
        <w:r>
          <w:fldChar w:fldCharType="end"/>
        </w:r>
      </w:hyperlink>
    </w:p>
    <w:p>
      <w:pPr>
        <w:pStyle w:val="TOC2"/>
        <w:tabs>
          <w:tab w:val="right" w:leader="dot" w:pos="8306"/>
        </w:tabs>
      </w:pPr>
      <w:hyperlink w:anchor="_Toc906" w:history="1">
        <w:r>
          <w:rPr>
            <w:rFonts w:ascii="仿宋" w:eastAsia="仿宋" w:hAnsi="仿宋" w:cs="仿宋" w:hint="eastAsia"/>
            <w:lang w:eastAsia="zh-CN"/>
          </w:rPr>
          <w:t>(二)、立体仓库设备，相关物料搬运设备项目法律合规要求</w:t>
        </w:r>
        <w:r>
          <w:tab/>
        </w:r>
        <w:r>
          <w:fldChar w:fldCharType="begin"/>
        </w:r>
        <w:r>
          <w:instrText xml:space="preserve"> PAGEREF _Toc906 \h </w:instrText>
        </w:r>
        <w:r>
          <w:fldChar w:fldCharType="separate"/>
        </w:r>
        <w:r>
          <w:t>75</w:t>
        </w:r>
        <w:r>
          <w:fldChar w:fldCharType="end"/>
        </w:r>
      </w:hyperlink>
    </w:p>
    <w:p>
      <w:pPr>
        <w:pStyle w:val="TOC2"/>
        <w:tabs>
          <w:tab w:val="right" w:leader="dot" w:pos="8306"/>
        </w:tabs>
      </w:pPr>
      <w:hyperlink w:anchor="_Toc15997" w:history="1">
        <w:r>
          <w:rPr>
            <w:rFonts w:ascii="仿宋" w:eastAsia="仿宋" w:hAnsi="仿宋" w:cs="仿宋" w:hint="eastAsia"/>
            <w:lang w:eastAsia="zh-CN"/>
          </w:rPr>
          <w:t>(三)、立体仓库设备，相关物料搬运设备项目合同管理与法律事务</w:t>
        </w:r>
        <w:r>
          <w:tab/>
        </w:r>
        <w:r>
          <w:fldChar w:fldCharType="begin"/>
        </w:r>
        <w:r>
          <w:instrText xml:space="preserve"> PAGEREF _Toc15997 \h </w:instrText>
        </w:r>
        <w:r>
          <w:fldChar w:fldCharType="separate"/>
        </w:r>
        <w:r>
          <w:t>80</w:t>
        </w:r>
        <w:r>
          <w:fldChar w:fldCharType="end"/>
        </w:r>
      </w:hyperlink>
    </w:p>
    <w:p>
      <w:pPr>
        <w:pStyle w:val="TOC2"/>
        <w:tabs>
          <w:tab w:val="right" w:leader="dot" w:pos="8306"/>
        </w:tabs>
      </w:pPr>
      <w:hyperlink w:anchor="_Toc16609" w:history="1">
        <w:r>
          <w:rPr>
            <w:rFonts w:ascii="仿宋" w:eastAsia="仿宋" w:hAnsi="仿宋" w:cs="仿宋" w:hint="eastAsia"/>
            <w:lang w:eastAsia="zh-CN"/>
          </w:rPr>
          <w:t>(四)、立体仓库设备，相关物料搬运设备项目知识产权保护策略</w:t>
        </w:r>
        <w:r>
          <w:tab/>
        </w:r>
        <w:r>
          <w:fldChar w:fldCharType="begin"/>
        </w:r>
        <w:r>
          <w:instrText xml:space="preserve"> PAGEREF _Toc16609 \h </w:instrText>
        </w:r>
        <w:r>
          <w:fldChar w:fldCharType="separate"/>
        </w:r>
        <w:r>
          <w:t>87</w:t>
        </w:r>
        <w:r>
          <w:fldChar w:fldCharType="end"/>
        </w:r>
      </w:hyperlink>
    </w:p>
    <w:p>
      <w:pPr>
        <w:pStyle w:val="TOC1"/>
        <w:tabs>
          <w:tab w:val="right" w:leader="dot" w:pos="8306"/>
        </w:tabs>
      </w:pPr>
      <w:hyperlink w:anchor="_Toc10155" w:history="1">
        <w:r>
          <w:rPr>
            <w:rFonts w:ascii="仿宋" w:eastAsia="仿宋" w:hAnsi="仿宋" w:cs="仿宋" w:hint="eastAsia"/>
            <w:lang w:eastAsia="zh-CN"/>
          </w:rPr>
          <w:t>十七、利益相关者分析与沟通计划</w:t>
        </w:r>
        <w:r>
          <w:tab/>
        </w:r>
        <w:r>
          <w:fldChar w:fldCharType="begin"/>
        </w:r>
        <w:r>
          <w:instrText xml:space="preserve"> PAGEREF _Toc10155 \h </w:instrText>
        </w:r>
        <w:r>
          <w:fldChar w:fldCharType="separate"/>
        </w:r>
        <w:r>
          <w:t>90</w:t>
        </w:r>
        <w:r>
          <w:fldChar w:fldCharType="end"/>
        </w:r>
      </w:hyperlink>
    </w:p>
    <w:p>
      <w:pPr>
        <w:pStyle w:val="TOC2"/>
        <w:tabs>
          <w:tab w:val="right" w:leader="dot" w:pos="8306"/>
        </w:tabs>
      </w:pPr>
      <w:hyperlink w:anchor="_Toc21083" w:history="1">
        <w:r>
          <w:rPr>
            <w:rFonts w:ascii="仿宋" w:eastAsia="仿宋" w:hAnsi="仿宋" w:cs="仿宋" w:hint="eastAsia"/>
            <w:lang w:eastAsia="zh-CN"/>
          </w:rPr>
          <w:t>(一)、利益相关者分析</w:t>
        </w:r>
        <w:r>
          <w:tab/>
        </w:r>
        <w:r>
          <w:fldChar w:fldCharType="begin"/>
        </w:r>
        <w:r>
          <w:instrText xml:space="preserve"> PAGEREF _Toc21083 \h </w:instrText>
        </w:r>
        <w:r>
          <w:fldChar w:fldCharType="separate"/>
        </w:r>
        <w:r>
          <w:t>90</w:t>
        </w:r>
        <w:r>
          <w:fldChar w:fldCharType="end"/>
        </w:r>
      </w:hyperlink>
    </w:p>
    <w:p>
      <w:pPr>
        <w:pStyle w:val="TOC2"/>
        <w:tabs>
          <w:tab w:val="right" w:leader="dot" w:pos="8306"/>
        </w:tabs>
      </w:pPr>
      <w:hyperlink w:anchor="_Toc31309" w:history="1">
        <w:r>
          <w:rPr>
            <w:rFonts w:ascii="仿宋" w:eastAsia="仿宋" w:hAnsi="仿宋" w:cs="仿宋" w:hint="eastAsia"/>
            <w:lang w:eastAsia="zh-CN"/>
          </w:rPr>
          <w:t>(二)、沟通计划</w:t>
        </w:r>
        <w:r>
          <w:tab/>
        </w:r>
        <w:r>
          <w:fldChar w:fldCharType="begin"/>
        </w:r>
        <w:r>
          <w:instrText xml:space="preserve"> PAGEREF _Toc31309 \h </w:instrText>
        </w:r>
        <w:r>
          <w:fldChar w:fldCharType="separate"/>
        </w:r>
        <w:r>
          <w:t>91</w:t>
        </w:r>
        <w:r>
          <w:fldChar w:fldCharType="end"/>
        </w:r>
      </w:hyperlink>
    </w:p>
    <w:p>
      <w:pPr>
        <w:pStyle w:val="TOC1"/>
        <w:tabs>
          <w:tab w:val="right" w:leader="dot" w:pos="8306"/>
        </w:tabs>
      </w:pPr>
      <w:hyperlink w:anchor="_Toc31460" w:history="1">
        <w:r>
          <w:rPr>
            <w:rFonts w:ascii="仿宋" w:eastAsia="仿宋" w:hAnsi="仿宋" w:cs="仿宋" w:hint="eastAsia"/>
            <w:lang w:eastAsia="zh-CN"/>
          </w:rPr>
          <w:t>十八、立体仓库设备，相关物料搬运设备项目工程方案分析</w:t>
        </w:r>
        <w:r>
          <w:tab/>
        </w:r>
        <w:r>
          <w:fldChar w:fldCharType="begin"/>
        </w:r>
        <w:r>
          <w:instrText xml:space="preserve"> PAGEREF _Toc31460 \h </w:instrText>
        </w:r>
        <w:r>
          <w:fldChar w:fldCharType="separate"/>
        </w:r>
        <w:r>
          <w:t>92</w:t>
        </w:r>
        <w:r>
          <w:fldChar w:fldCharType="end"/>
        </w:r>
      </w:hyperlink>
    </w:p>
    <w:p>
      <w:pPr>
        <w:pStyle w:val="TOC2"/>
        <w:tabs>
          <w:tab w:val="right" w:leader="dot" w:pos="8306"/>
        </w:tabs>
      </w:pPr>
      <w:hyperlink w:anchor="_Toc32394" w:history="1">
        <w:r>
          <w:rPr>
            <w:rFonts w:ascii="仿宋" w:eastAsia="仿宋" w:hAnsi="仿宋" w:cs="仿宋" w:hint="eastAsia"/>
            <w:lang w:eastAsia="zh-CN"/>
          </w:rPr>
          <w:t>(一)、建筑工程设计原则</w:t>
        </w:r>
        <w:r>
          <w:tab/>
        </w:r>
        <w:r>
          <w:fldChar w:fldCharType="begin"/>
        </w:r>
        <w:r>
          <w:instrText xml:space="preserve"> PAGEREF _Toc32394 \h </w:instrText>
        </w:r>
        <w:r>
          <w:fldChar w:fldCharType="separate"/>
        </w:r>
        <w:r>
          <w:t>92</w:t>
        </w:r>
        <w:r>
          <w:fldChar w:fldCharType="end"/>
        </w:r>
      </w:hyperlink>
    </w:p>
    <w:p>
      <w:pPr>
        <w:pStyle w:val="TOC2"/>
        <w:tabs>
          <w:tab w:val="right" w:leader="dot" w:pos="8306"/>
        </w:tabs>
      </w:pPr>
      <w:hyperlink w:anchor="_Toc22341" w:history="1">
        <w:r>
          <w:rPr>
            <w:rFonts w:ascii="仿宋" w:eastAsia="仿宋" w:hAnsi="仿宋" w:cs="仿宋" w:hint="eastAsia"/>
            <w:lang w:eastAsia="zh-CN"/>
          </w:rPr>
          <w:t>(二)、土建工程建设指标</w:t>
        </w:r>
        <w:r>
          <w:tab/>
        </w:r>
        <w:r>
          <w:fldChar w:fldCharType="begin"/>
        </w:r>
        <w:r>
          <w:instrText xml:space="preserve"> PAGEREF _Toc22341 \h </w:instrText>
        </w:r>
        <w:r>
          <w:fldChar w:fldCharType="separate"/>
        </w:r>
        <w:r>
          <w:t>96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52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200"/>
      <w:r>
        <w:rPr>
          <w:rFonts w:ascii="仿宋" w:eastAsia="仿宋" w:hAnsi="仿宋" w:cs="仿宋" w:hint="eastAsia"/>
          <w:sz w:val="28"/>
          <w:lang w:eastAsia="zh-CN"/>
        </w:rPr>
        <w:t>一、立体仓库设备，相关物料搬运设备项目可持续发展</w:t>
      </w:r>
      <w:bookmarkEnd w:id="2"/>
    </w:p>
    <w:p>
      <w:pPr>
        <w:pStyle w:val="Heading2"/>
        <w:rPr>
          <w:rFonts w:ascii="仿宋" w:eastAsia="仿宋" w:hAnsi="仿宋" w:cs="仿宋" w:hint="eastAsia"/>
          <w:lang w:eastAsia="zh-CN"/>
        </w:rPr>
      </w:pPr>
      <w:bookmarkStart w:id="3" w:name="_Toc1120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立体仓库设备，相关物料搬运设备项目中，立体仓库设备，相关物料搬运设备项目团队着眼于未来，明确了可持续发展的战略方向。制定的具体可持续发展目标包括降低资源使用、采用环保技术、最大化社会效益等。这一步骤不仅有助于立体仓库设备，相关物料搬运设备项目在环保和社会责任方面达到最高标准，也为未来提供了明确的指引，确保立体仓库设备，相关物料搬运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可持续实践的融入立体仓库设备，相关物料搬运设备项目管理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立体仓库设备，相关物料搬运设备项目管理周期。从立体仓库设备，相关物料搬运设备项目规划开始，立体仓库设备，相关物料搬运设备项目团队就考虑了环境和社会的因素。在执行阶段，立体仓库设备，相关物料搬运设备项目团队积极推动绿色技术的应用，优化资源利用。此外，关注员工的社会责任，通过培训和沟通活动提高员工对可持续发展的认知，使他们能够在日常工作中践行可持续实践。这些举措不仅为立体仓库设备，相关物料搬运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6525"/>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立体仓库设备，相关物料搬运设备项目的可持续发展理念，我们深信环保与社会责任是立体仓库设备，相关物料搬运设备项目成功的关键支柱。在立体仓库设备，相关物料搬运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立体仓库设备，相关物料搬运设备项目团队通过引入先进的环保技术、建立高效的废物处理系统以及推动能源节约措施，积极履行环保责任。定期的环保监测和评估确保立体仓库设备，相关物料搬运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立体仓库设备，相关物料搬运设备项目不仅致力于自身可持续发展，还注重对社会的回馈。通过支持社区立体仓库设备，相关物料搬运设备项目、参与慈善事业、提供培训机会等方式，立体仓库设备，相关物料搬运设备项目积极履行社会责任。与当地社区建立积极互动，关注员工的工作与生活平衡，以及员工的身心健康，是立体仓库设备，相关物料搬运设备项目在社会责任层面的关键举措。这样的实践不仅增强了立体仓库设备，相关物料搬运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5411"/>
      <w:r>
        <w:rPr>
          <w:rFonts w:ascii="仿宋" w:eastAsia="仿宋" w:hAnsi="仿宋" w:cs="仿宋" w:hint="eastAsia"/>
          <w:sz w:val="28"/>
          <w:lang w:eastAsia="zh-CN"/>
        </w:rPr>
        <w:t>二、立体仓库设备，相关物料搬运设备项目建设单位说明</w:t>
      </w:r>
      <w:bookmarkEnd w:id="5"/>
    </w:p>
    <w:p>
      <w:pPr>
        <w:pStyle w:val="Heading2"/>
        <w:rPr>
          <w:rFonts w:ascii="仿宋" w:eastAsia="仿宋" w:hAnsi="仿宋" w:cs="仿宋" w:hint="eastAsia"/>
          <w:lang w:eastAsia="zh-CN"/>
        </w:rPr>
      </w:pPr>
      <w:bookmarkStart w:id="6" w:name="_Toc23219"/>
      <w:r>
        <w:rPr>
          <w:rFonts w:ascii="仿宋" w:eastAsia="仿宋" w:hAnsi="仿宋" w:cs="仿宋" w:hint="eastAsia"/>
          <w:lang w:eastAsia="zh-CN"/>
        </w:rPr>
        <w:t>(一)、立体仓库设备，相关物料搬运设备项目承办单位基本情况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3532"/>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立体仓库设备，相关物料搬运设备项目承办单位的XXXX，我们着眼于实现可持续的经济效益。通过技术创新和解决方案的提供，公司预计在立体仓库设备，相关物料搬运设备项目执行期间将获得可观的收入增长。这一收入来源主要包括立体仓库设备，相关物料搬运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同时，我们注重成本控制和效率提升，以确保立体仓库设备，相关物料搬运设备项目的可持续盈利。透过精细的管理和资源优化，公司期望实现立体仓库设备，相关物料搬运设备项目利润最大化。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立体仓库设备，相关物料搬运设备项目实施进行全面的投资评估，包括立体仓库设备，相关物料搬运设备项目启动阶段的资金投入和后续运营成本。通过对立体仓库设备，相关物料搬运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确保公司在立体仓库设备，相关物料搬运设备项目实施过程中具备足够的资金流动性，公司将进行详尽的现金流分析。这包括资金需求的合理预测、立体仓库设备，相关物料搬运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8499"/>
      <w:r>
        <w:rPr>
          <w:rFonts w:ascii="仿宋" w:eastAsia="仿宋" w:hAnsi="仿宋" w:cs="仿宋" w:hint="eastAsia"/>
          <w:sz w:val="28"/>
          <w:lang w:eastAsia="zh-CN"/>
        </w:rPr>
        <w:t>三、立体仓库设备，相关物料搬运设备项目建设背景及必要性分析</w:t>
      </w:r>
      <w:bookmarkEnd w:id="8"/>
    </w:p>
    <w:p>
      <w:pPr>
        <w:pStyle w:val="Heading2"/>
        <w:rPr>
          <w:rFonts w:ascii="仿宋" w:eastAsia="仿宋" w:hAnsi="仿宋" w:cs="仿宋" w:hint="eastAsia"/>
          <w:lang w:eastAsia="zh-CN"/>
        </w:rPr>
      </w:pPr>
      <w:bookmarkStart w:id="9" w:name="_Toc13844"/>
      <w:r>
        <w:rPr>
          <w:rFonts w:ascii="仿宋" w:eastAsia="仿宋" w:hAnsi="仿宋" w:cs="仿宋" w:hint="eastAsia"/>
          <w:lang w:eastAsia="zh-CN"/>
        </w:rPr>
        <w:t>(一)、立体仓库设备，相关物料搬运设备项目背景分析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立体仓库设备，相关物料搬运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立体仓库设备，相关物料搬运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立体仓库设备，相关物料搬运设备项目在这个潮流中的定位。同时，我们将关注行业内涌现的新兴机遇，以便立体仓库设备，相关物料搬运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技术的飞速进步为立体仓库设备，相关物料搬运设备项目提供了强大的发展动力。我们将聚焦于行业内最新的技术发展趋势，包括但不限于人工智能、大数据分析、物联网等领域。通过深度的技术研究，我们将确保立体仓库设备，相关物料搬运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立体仓库设备，相关物料搬运设备项目发展的源泉。我们将投入更多的精力对市场需求进行深入剖析，超越表面的需求，深入挖掘潜在的市场痛点和机遇。通过对市场需求的细致了解，立体仓库设备，相关物料搬运设备项目将更有针对性地设计解决方案，满足市场的多样化需求，从而更好地促进立体仓库设备，相关物料搬运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立体仓库设备，相关物料搬运设备项目战略至关重要。我们将对竞争态势进行更为深入的分析，包括但不限于市场份额、产品特点、客户满意度等多个维度。通过深度的竞争分析，立体仓库设备，相关物料搬运设备项目将能够更准确地把握市场脉搏，制定具有竞争力的立体仓库设备，相关物料搬运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行业内的法规和政策环境对立体仓库设备，相关物料搬运设备项目的发展具有直接的影响。我们将进行更为全面的法规和政策分析，了解行业发展中的潜在法律风险和合规挑战。通过充分了解和遵守相关法规，立体仓库设备，相关物料搬运设备项目将确保在法律框架内合法合规运营，为立体仓库设备，相关物料搬运设备项目的稳健发展提供有力支持。</w:t>
      </w:r>
    </w:p>
    <w:p>
      <w:pPr>
        <w:pStyle w:val="Heading2"/>
        <w:ind w:firstLine="560" w:firstLineChars="200"/>
        <w:rPr>
          <w:rFonts w:ascii="仿宋" w:eastAsia="仿宋" w:hAnsi="仿宋" w:cs="仿宋" w:hint="eastAsia"/>
          <w:sz w:val="28"/>
          <w:lang w:eastAsia="zh-CN"/>
        </w:rPr>
      </w:pPr>
      <w:bookmarkStart w:id="10" w:name="_Toc19104"/>
      <w:r>
        <w:rPr>
          <w:rFonts w:ascii="仿宋" w:eastAsia="仿宋" w:hAnsi="仿宋" w:cs="仿宋" w:hint="eastAsia"/>
          <w:sz w:val="28"/>
          <w:lang w:eastAsia="zh-CN"/>
        </w:rPr>
        <w:t>(二)、立体仓库设备，相关物料搬运设备项目建设必要性分析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立体仓库设备，相关物料搬运设备项目建设的迫切性源于对行业发展趋势的深刻洞察。我们正处于一个行业变革的时代，科技创新、数字化转型成为企业发展的关键动力。立体仓库设备，相关物料搬运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立体仓库设备，相关物料搬运设备项目建设不仅仅是为了跟上潮流，更是为了通过技术创新推动企业的持续发展。通过引入先进的技术和解决方案，立体仓库设备，相关物料搬运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立体仓库设备，相关物料搬运设备项目的建设成为必然选择，通过提高产品质量、拓展服务领域，从而在竞争中获得更多的机会。立体仓库设备，相关物料搬运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立体仓库设备，相关物料搬运设备项目建设的必要性体现在对客户需求更精准的满足。通过立体仓库设备，相关物料搬运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立体仓库设备，相关物料搬运设备项目建设的背后是对企业持续创新的追求。只有通过不断创新，企业才能在竞争中立于不败之地。立体仓库设备，相关物料搬运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4637"/>
      <w:r>
        <w:rPr>
          <w:rFonts w:ascii="仿宋" w:eastAsia="仿宋" w:hAnsi="仿宋" w:cs="仿宋" w:hint="eastAsia"/>
          <w:sz w:val="28"/>
          <w:lang w:eastAsia="zh-CN"/>
        </w:rPr>
        <w:t>四、立体仓库设备，相关物料搬运设备项目土建工程</w:t>
      </w:r>
      <w:bookmarkEnd w:id="11"/>
    </w:p>
    <w:p>
      <w:pPr>
        <w:pStyle w:val="Heading2"/>
        <w:rPr>
          <w:rFonts w:ascii="仿宋" w:eastAsia="仿宋" w:hAnsi="仿宋" w:cs="仿宋" w:hint="eastAsia"/>
          <w:lang w:eastAsia="zh-CN"/>
        </w:rPr>
      </w:pPr>
      <w:bookmarkStart w:id="12" w:name="_Toc28727"/>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在立体仓库设备，相关物料搬运设备项目的建筑工程设计中，我们将秉承一系列重要的设计原则，以确保立体仓库设备，相关物料搬运设备项目建筑在功能、美观、可持续性等方面达到最佳效果。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首要原则是确保建筑的功能性得到最大化的发挥。我们将充分理解立体仓库设备，相关物料搬运设备项目的实际需求，合理布局各个功能区域，保证建筑在满足业务需求的同时，提供高效的工作环境。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在建筑设计中，我们将综合考虑建设和运营成本。通过精细的经济效益分析，确保设计方案在高效利用资源的同时，对立体仓库设备，相关物料搬运设备项目的长期盈利能力有积极的贡献。</w:t>
      </w:r>
    </w:p>
    <w:p>
      <w:pPr>
        <w:pStyle w:val="Heading2"/>
        <w:ind w:firstLine="560" w:firstLineChars="200"/>
        <w:rPr>
          <w:rFonts w:ascii="仿宋" w:eastAsia="仿宋" w:hAnsi="仿宋" w:cs="仿宋" w:hint="eastAsia"/>
          <w:sz w:val="28"/>
          <w:lang w:eastAsia="zh-CN"/>
        </w:rPr>
      </w:pPr>
      <w:bookmarkStart w:id="13" w:name="_Toc11371"/>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立体仓库设备，相关物料搬运设备项目的土建工程设计中，我们将精准设定设计年限，结合立体仓库设备，相关物料搬运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立体仓库设备，相关物料搬运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22457"/>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立体仓库设备，相关物料搬运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立体仓库设备，相关物料搬运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立体仓库设备，相关物料搬运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19393"/>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本期工程立体仓库设备，相关物料搬运设备项目预计总建筑面积XXX平方米，其中：计容建筑面积XXX平方米，计划建筑工程投资XX万元，占立体仓库设备，相关物料搬运设备项目总投资的XX%。</w:t>
      </w:r>
    </w:p>
    <w:p>
      <w:pPr>
        <w:pStyle w:val="Heading1"/>
        <w:ind w:firstLine="560" w:firstLineChars="200"/>
        <w:rPr>
          <w:rFonts w:ascii="仿宋" w:eastAsia="仿宋" w:hAnsi="仿宋" w:cs="仿宋" w:hint="eastAsia"/>
          <w:sz w:val="28"/>
          <w:lang w:eastAsia="zh-CN"/>
        </w:rPr>
      </w:pPr>
      <w:bookmarkStart w:id="16" w:name="_Toc3265"/>
      <w:r>
        <w:rPr>
          <w:rFonts w:ascii="仿宋" w:eastAsia="仿宋" w:hAnsi="仿宋" w:cs="仿宋" w:hint="eastAsia"/>
          <w:sz w:val="28"/>
          <w:lang w:eastAsia="zh-CN"/>
        </w:rPr>
        <w:t>五、立体仓库设备，相关物料搬运设备项目绩效评估</w:t>
      </w:r>
      <w:bookmarkEnd w:id="16"/>
    </w:p>
    <w:p>
      <w:pPr>
        <w:pStyle w:val="Heading2"/>
        <w:rPr>
          <w:rFonts w:ascii="仿宋" w:eastAsia="仿宋" w:hAnsi="仿宋" w:cs="仿宋" w:hint="eastAsia"/>
          <w:lang w:eastAsia="zh-CN"/>
        </w:rPr>
      </w:pPr>
      <w:bookmarkStart w:id="17" w:name="_Toc13738"/>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立体仓库设备，相关物料搬运设备项目中，我们设计了一套全面的绩效评估指标，以确保立体仓库设备，相关物料搬运设备项目的可控和成功交付。这些指标跨足立体仓库设备，相关物料搬运设备项目目标、成本、进度和质量等多个维度，为我们提供了全面洞察立体仓库设备，相关物料搬运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立体仓库设备，相关物料搬运设备项目目标达成率是我们关注的首要指标。我们设定了明确的目标，并通过定期监测和评估，迅速发现并应对潜在的目标偏差。这为立体仓库设备，相关物料搬运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成本绩效是另一个核心关注点。通过实际成本与预算成本的对比分析，我们深入了解成本差异的原因，及时调整资源分配，保持立体仓库设备，相关物料搬运设备项目在经济效益方面的合理水平。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立体仓库设备，相关物料搬运设备项目进度作为关键的绩效指标之一，得到了精心的关注。我们制定了详细的立体仓库设备，相关物料搬运设备项目进度计划，并设立了进度符合度指标，确保实际进度与计划进度保持一致。这使我们能够快速发现和解决潜在的进度问题，保持立体仓库设备，相关物料搬运设备项目的正常推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立体仓库设备，相关物料搬运设备项目绩效的不可或缺的一环。我们引入了一系列的质量标准和客户满意度指标，以确保立体仓库设备，相关物料搬运设备项目交付的成果在质量上达到或超越预期水平。通过持续监测这些指标，我们努力提升立体仓库设备，相关物料搬运设备项目整体质量水平，为立体仓库设备，相关物料搬运设备项目的成功交付提供有力保障。通过这些科学且全面的绩效评估，我们能够更好地引导立体仓库设备，相关物料搬运设备项目的持续改进，确保立体仓库设备，相关物料搬运设备项目目标的顺利达成。</w:t>
      </w:r>
    </w:p>
    <w:p>
      <w:pPr>
        <w:pStyle w:val="Heading2"/>
        <w:ind w:firstLine="560" w:firstLineChars="200"/>
        <w:rPr>
          <w:rFonts w:ascii="仿宋" w:eastAsia="仿宋" w:hAnsi="仿宋" w:cs="仿宋" w:hint="eastAsia"/>
          <w:sz w:val="28"/>
          <w:lang w:eastAsia="zh-CN"/>
        </w:rPr>
      </w:pPr>
      <w:bookmarkStart w:id="18" w:name="_Toc28065"/>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绩效评估是立体仓库设备，相关物料搬运设备项目中的关键环节，为确保立体仓库设备，相关物料搬运设备项目达到预期目标，我们采用了多层次、多维度的绩效评估方法。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立体仓库设备，相关物料搬运设备项目的战略目标对齐，确保每个决策和行动都与立体仓库设备，相关物料搬运设备项目整体目标保持一致。团队会定期召开战略对齐会议，审视当前工作与立体仓库设备，相关物料搬运设备项目战略是否保持一致，以及是否需要调整战略方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立体仓库设备，相关物料搬运设备项目进度、质量、成本和风险等方面。这些指标通过数据收集和分析，为立体仓库设备，相关物料搬运设备项目管理团队提供了客观的评估依据。例如，我们通过立体仓库设备，相关物料搬运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立体仓库设备，相关物料搬运设备项目内部，还考虑了立体仓库设备，相关物料搬运设备项目对外部环境的影响。我们定期进行干系人满意度调查，以了解各利益相关方对立体仓库设备，相关物料搬运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这种多层次、多角度的绩效评估方法，使得我们能够全面了解立体仓库设备，相关物料搬运设备项目的运行状态，及时做出调整，确保立体仓库设备，相关物料搬运设备项目在不断变化的环境中保持稳健前行。</w:t>
      </w:r>
    </w:p>
    <w:p>
      <w:pPr>
        <w:pStyle w:val="Heading2"/>
        <w:ind w:firstLine="560" w:firstLineChars="200"/>
        <w:rPr>
          <w:rFonts w:ascii="仿宋" w:eastAsia="仿宋" w:hAnsi="仿宋" w:cs="仿宋" w:hint="eastAsia"/>
          <w:sz w:val="28"/>
          <w:lang w:eastAsia="zh-CN"/>
        </w:rPr>
      </w:pPr>
      <w:bookmarkStart w:id="19" w:name="_Toc2654"/>
      <w:r>
        <w:rPr>
          <w:rFonts w:ascii="仿宋" w:eastAsia="仿宋" w:hAnsi="仿宋" w:cs="仿宋" w:hint="eastAsia"/>
          <w:sz w:val="28"/>
          <w:lang w:eastAsia="zh-CN"/>
        </w:rPr>
        <w:t>(三)、绩效评估周期</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立体仓库设备，相关物料搬运设备项目的有效管理和不断优化，我们采用了精心设计的绩效评估周期。这个周期旨在实现灵活、实时和全面的评估，以适应立体仓库设备，相关物料搬运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https://d.book118.com/765310230023011041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立体仓库设备，相关物料搬运设备项目规划设计方案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立体仓库设备，相关物料搬运设备项目规划设计方案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立体仓库设备，相关物料搬运设备项目规划设计方案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立体仓库设备，相关物料搬运设备项目规划设计方案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立体仓库设备，相关物料搬运设备项目规划设计方案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立体仓库设备，相关物料搬运设备项目规划设计方案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立体仓库设备，相关物料搬运设备项目规划设计方案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立体仓库设备，相关物料搬运设备项目规划设计方案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立体仓库设备，相关物料搬运设备项目规划设计方案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立体仓库设备，相关物料搬运设备项目规划设计方案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立体仓库设备，相关物料搬运设备项目规划设计方案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立体仓库设备，相关物料搬运设备项目规划设计方案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立体仓库设备，相关物料搬运设备项目规划设计方案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立体仓库设备，相关物料搬运设备项目规划设计方案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立体仓库设备，相关物料搬运设备项目规划设计方案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立体仓库设备，相关物料搬运设备项目规划设计方案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立体仓库设备，相关物料搬运设备项目规划设计方案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6718E6"/>
    <w:rsid w:val="626718E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531023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2024-01-08T21:43:00Z</dcterms:created>
  <dcterms:modified xsi:type="dcterms:W3CDTF">2024-01-08T21:43:22Z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06E55039E9FF4157A4B417877FBFA7F3_11</vt:lpwstr>
  </property>
  <property fmtid="{D5CDD505-2E9C-101B-9397-08002B2CF9AE}" pid="3" name="KSOProductBuildVer">
    <vt:lpwstr>2052-12.1.0.16120</vt:lpwstr>
  </property>
</Properties>
</file>