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转基因耐贮藏番茄项目规划设计纲要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88" w:history="1">
        <w:r>
          <w:rPr>
            <w:rFonts w:ascii="仿宋" w:eastAsia="仿宋" w:hAnsi="仿宋" w:cs="仿宋" w:hint="eastAsia"/>
            <w:lang w:eastAsia="zh-CN"/>
          </w:rPr>
          <w:t>序言</w:t>
        </w:r>
        <w:r>
          <w:tab/>
        </w:r>
        <w:r>
          <w:fldChar w:fldCharType="begin"/>
        </w:r>
        <w:r>
          <w:instrText xml:space="preserve"> PAGEREF _Toc29488 \h </w:instrText>
        </w:r>
        <w:r>
          <w:fldChar w:fldCharType="separate"/>
        </w:r>
        <w:r>
          <w:t>3</w:t>
        </w:r>
        <w:r>
          <w:fldChar w:fldCharType="end"/>
        </w:r>
      </w:hyperlink>
    </w:p>
    <w:p>
      <w:pPr>
        <w:pStyle w:val="TOC1"/>
        <w:tabs>
          <w:tab w:val="right" w:leader="dot" w:pos="8306"/>
        </w:tabs>
      </w:pPr>
      <w:hyperlink w:anchor="_Toc31673" w:history="1">
        <w:r>
          <w:rPr>
            <w:rFonts w:ascii="仿宋" w:eastAsia="仿宋" w:hAnsi="仿宋" w:cs="仿宋" w:hint="eastAsia"/>
            <w:lang w:eastAsia="zh-CN"/>
          </w:rPr>
          <w:t>一、转基因耐贮藏番茄项目绩效评估</w:t>
        </w:r>
        <w:r>
          <w:tab/>
        </w:r>
        <w:r>
          <w:fldChar w:fldCharType="begin"/>
        </w:r>
        <w:r>
          <w:instrText xml:space="preserve"> PAGEREF _Toc31673 \h </w:instrText>
        </w:r>
        <w:r>
          <w:fldChar w:fldCharType="separate"/>
        </w:r>
        <w:r>
          <w:t>3</w:t>
        </w:r>
        <w:r>
          <w:fldChar w:fldCharType="end"/>
        </w:r>
      </w:hyperlink>
    </w:p>
    <w:p>
      <w:pPr>
        <w:pStyle w:val="TOC2"/>
        <w:tabs>
          <w:tab w:val="right" w:leader="dot" w:pos="8306"/>
        </w:tabs>
      </w:pPr>
      <w:hyperlink w:anchor="_Toc11375" w:history="1">
        <w:r>
          <w:rPr>
            <w:rFonts w:ascii="仿宋" w:eastAsia="仿宋" w:hAnsi="仿宋" w:cs="仿宋" w:hint="eastAsia"/>
            <w:lang w:eastAsia="zh-CN"/>
          </w:rPr>
          <w:t>(一)、绩效评估指标</w:t>
        </w:r>
        <w:r>
          <w:tab/>
        </w:r>
        <w:r>
          <w:fldChar w:fldCharType="begin"/>
        </w:r>
        <w:r>
          <w:instrText xml:space="preserve"> PAGEREF _Toc11375 \h </w:instrText>
        </w:r>
        <w:r>
          <w:fldChar w:fldCharType="separate"/>
        </w:r>
        <w:r>
          <w:t>3</w:t>
        </w:r>
        <w:r>
          <w:fldChar w:fldCharType="end"/>
        </w:r>
      </w:hyperlink>
    </w:p>
    <w:p>
      <w:pPr>
        <w:pStyle w:val="TOC2"/>
        <w:tabs>
          <w:tab w:val="right" w:leader="dot" w:pos="8306"/>
        </w:tabs>
      </w:pPr>
      <w:hyperlink w:anchor="_Toc25549" w:history="1">
        <w:r>
          <w:rPr>
            <w:rFonts w:ascii="仿宋" w:eastAsia="仿宋" w:hAnsi="仿宋" w:cs="仿宋" w:hint="eastAsia"/>
            <w:lang w:eastAsia="zh-CN"/>
          </w:rPr>
          <w:t>(二)、绩效评估方法</w:t>
        </w:r>
        <w:r>
          <w:tab/>
        </w:r>
        <w:r>
          <w:fldChar w:fldCharType="begin"/>
        </w:r>
        <w:r>
          <w:instrText xml:space="preserve"> PAGEREF _Toc25549 \h </w:instrText>
        </w:r>
        <w:r>
          <w:fldChar w:fldCharType="separate"/>
        </w:r>
        <w:r>
          <w:t>4</w:t>
        </w:r>
        <w:r>
          <w:fldChar w:fldCharType="end"/>
        </w:r>
      </w:hyperlink>
    </w:p>
    <w:p>
      <w:pPr>
        <w:pStyle w:val="TOC2"/>
        <w:tabs>
          <w:tab w:val="right" w:leader="dot" w:pos="8306"/>
        </w:tabs>
      </w:pPr>
      <w:hyperlink w:anchor="_Toc10206" w:history="1">
        <w:r>
          <w:rPr>
            <w:rFonts w:ascii="仿宋" w:eastAsia="仿宋" w:hAnsi="仿宋" w:cs="仿宋" w:hint="eastAsia"/>
            <w:lang w:eastAsia="zh-CN"/>
          </w:rPr>
          <w:t>(三)、绩效评估周期</w:t>
        </w:r>
        <w:r>
          <w:tab/>
        </w:r>
        <w:r>
          <w:fldChar w:fldCharType="begin"/>
        </w:r>
        <w:r>
          <w:instrText xml:space="preserve"> PAGEREF _Toc10206 \h </w:instrText>
        </w:r>
        <w:r>
          <w:fldChar w:fldCharType="separate"/>
        </w:r>
        <w:r>
          <w:t>5</w:t>
        </w:r>
        <w:r>
          <w:fldChar w:fldCharType="end"/>
        </w:r>
      </w:hyperlink>
    </w:p>
    <w:p>
      <w:pPr>
        <w:pStyle w:val="TOC1"/>
        <w:tabs>
          <w:tab w:val="right" w:leader="dot" w:pos="8306"/>
        </w:tabs>
      </w:pPr>
      <w:hyperlink w:anchor="_Toc2332" w:history="1">
        <w:r>
          <w:rPr>
            <w:rFonts w:ascii="仿宋" w:eastAsia="仿宋" w:hAnsi="仿宋" w:cs="仿宋" w:hint="eastAsia"/>
            <w:lang w:eastAsia="zh-CN"/>
          </w:rPr>
          <w:t>二、转基因耐贮藏番茄项目建设单位说明</w:t>
        </w:r>
        <w:r>
          <w:tab/>
        </w:r>
        <w:r>
          <w:fldChar w:fldCharType="begin"/>
        </w:r>
        <w:r>
          <w:instrText xml:space="preserve"> PAGEREF _Toc2332 \h </w:instrText>
        </w:r>
        <w:r>
          <w:fldChar w:fldCharType="separate"/>
        </w:r>
        <w:r>
          <w:t>6</w:t>
        </w:r>
        <w:r>
          <w:fldChar w:fldCharType="end"/>
        </w:r>
      </w:hyperlink>
    </w:p>
    <w:p>
      <w:pPr>
        <w:pStyle w:val="TOC2"/>
        <w:tabs>
          <w:tab w:val="right" w:leader="dot" w:pos="8306"/>
        </w:tabs>
      </w:pPr>
      <w:hyperlink w:anchor="_Toc22847" w:history="1">
        <w:r>
          <w:rPr>
            <w:rFonts w:ascii="仿宋" w:eastAsia="仿宋" w:hAnsi="仿宋" w:cs="仿宋" w:hint="eastAsia"/>
            <w:lang w:eastAsia="zh-CN"/>
          </w:rPr>
          <w:t>(一)、转基因耐贮藏番茄项目承办单位基本情况</w:t>
        </w:r>
        <w:r>
          <w:tab/>
        </w:r>
        <w:r>
          <w:fldChar w:fldCharType="begin"/>
        </w:r>
        <w:r>
          <w:instrText xml:space="preserve"> PAGEREF _Toc22847 \h </w:instrText>
        </w:r>
        <w:r>
          <w:fldChar w:fldCharType="separate"/>
        </w:r>
        <w:r>
          <w:t>6</w:t>
        </w:r>
        <w:r>
          <w:fldChar w:fldCharType="end"/>
        </w:r>
      </w:hyperlink>
    </w:p>
    <w:p>
      <w:pPr>
        <w:pStyle w:val="TOC2"/>
        <w:tabs>
          <w:tab w:val="right" w:leader="dot" w:pos="8306"/>
        </w:tabs>
      </w:pPr>
      <w:hyperlink w:anchor="_Toc22706" w:history="1">
        <w:r>
          <w:rPr>
            <w:rFonts w:ascii="仿宋" w:eastAsia="仿宋" w:hAnsi="仿宋" w:cs="仿宋" w:hint="eastAsia"/>
            <w:lang w:eastAsia="zh-CN"/>
          </w:rPr>
          <w:t>(二)、公司经济效益分析</w:t>
        </w:r>
        <w:r>
          <w:tab/>
        </w:r>
        <w:r>
          <w:fldChar w:fldCharType="begin"/>
        </w:r>
        <w:r>
          <w:instrText xml:space="preserve"> PAGEREF _Toc22706 \h </w:instrText>
        </w:r>
        <w:r>
          <w:fldChar w:fldCharType="separate"/>
        </w:r>
        <w:r>
          <w:t>7</w:t>
        </w:r>
        <w:r>
          <w:fldChar w:fldCharType="end"/>
        </w:r>
      </w:hyperlink>
    </w:p>
    <w:p>
      <w:pPr>
        <w:pStyle w:val="TOC1"/>
        <w:tabs>
          <w:tab w:val="right" w:leader="dot" w:pos="8306"/>
        </w:tabs>
      </w:pPr>
      <w:hyperlink w:anchor="_Toc26743" w:history="1">
        <w:r>
          <w:rPr>
            <w:rFonts w:ascii="仿宋" w:eastAsia="仿宋" w:hAnsi="仿宋" w:cs="仿宋" w:hint="eastAsia"/>
            <w:lang w:eastAsia="zh-CN"/>
          </w:rPr>
          <w:t>三、转基因耐贮藏番茄项目选址可行性分析</w:t>
        </w:r>
        <w:r>
          <w:tab/>
        </w:r>
        <w:r>
          <w:fldChar w:fldCharType="begin"/>
        </w:r>
        <w:r>
          <w:instrText xml:space="preserve"> PAGEREF _Toc26743 \h </w:instrText>
        </w:r>
        <w:r>
          <w:fldChar w:fldCharType="separate"/>
        </w:r>
        <w:r>
          <w:t>8</w:t>
        </w:r>
        <w:r>
          <w:fldChar w:fldCharType="end"/>
        </w:r>
      </w:hyperlink>
    </w:p>
    <w:p>
      <w:pPr>
        <w:pStyle w:val="TOC2"/>
        <w:tabs>
          <w:tab w:val="right" w:leader="dot" w:pos="8306"/>
        </w:tabs>
      </w:pPr>
      <w:hyperlink w:anchor="_Toc13760" w:history="1">
        <w:r>
          <w:rPr>
            <w:rFonts w:ascii="仿宋" w:eastAsia="仿宋" w:hAnsi="仿宋" w:cs="仿宋" w:hint="eastAsia"/>
            <w:lang w:eastAsia="zh-CN"/>
          </w:rPr>
          <w:t>(一)、转基因耐贮藏番茄项目选址</w:t>
        </w:r>
        <w:r>
          <w:tab/>
        </w:r>
        <w:r>
          <w:fldChar w:fldCharType="begin"/>
        </w:r>
        <w:r>
          <w:instrText xml:space="preserve"> PAGEREF _Toc13760 \h </w:instrText>
        </w:r>
        <w:r>
          <w:fldChar w:fldCharType="separate"/>
        </w:r>
        <w:r>
          <w:t>8</w:t>
        </w:r>
        <w:r>
          <w:fldChar w:fldCharType="end"/>
        </w:r>
      </w:hyperlink>
    </w:p>
    <w:p>
      <w:pPr>
        <w:pStyle w:val="TOC2"/>
        <w:tabs>
          <w:tab w:val="right" w:leader="dot" w:pos="8306"/>
        </w:tabs>
      </w:pPr>
      <w:hyperlink w:anchor="_Toc9034" w:history="1">
        <w:r>
          <w:rPr>
            <w:rFonts w:ascii="仿宋" w:eastAsia="仿宋" w:hAnsi="仿宋" w:cs="仿宋" w:hint="eastAsia"/>
            <w:lang w:eastAsia="zh-CN"/>
          </w:rPr>
          <w:t>(二)、用地控制指标</w:t>
        </w:r>
        <w:r>
          <w:tab/>
        </w:r>
        <w:r>
          <w:fldChar w:fldCharType="begin"/>
        </w:r>
        <w:r>
          <w:instrText xml:space="preserve"> PAGEREF _Toc9034 \h </w:instrText>
        </w:r>
        <w:r>
          <w:fldChar w:fldCharType="separate"/>
        </w:r>
        <w:r>
          <w:t>8</w:t>
        </w:r>
        <w:r>
          <w:fldChar w:fldCharType="end"/>
        </w:r>
      </w:hyperlink>
    </w:p>
    <w:p>
      <w:pPr>
        <w:pStyle w:val="TOC2"/>
        <w:tabs>
          <w:tab w:val="right" w:leader="dot" w:pos="8306"/>
        </w:tabs>
      </w:pPr>
      <w:hyperlink w:anchor="_Toc14573" w:history="1">
        <w:r>
          <w:rPr>
            <w:rFonts w:ascii="仿宋" w:eastAsia="仿宋" w:hAnsi="仿宋" w:cs="仿宋" w:hint="eastAsia"/>
            <w:lang w:eastAsia="zh-CN"/>
          </w:rPr>
          <w:t>(三)、节约用地措施</w:t>
        </w:r>
        <w:r>
          <w:tab/>
        </w:r>
        <w:r>
          <w:fldChar w:fldCharType="begin"/>
        </w:r>
        <w:r>
          <w:instrText xml:space="preserve"> PAGEREF _Toc14573 \h </w:instrText>
        </w:r>
        <w:r>
          <w:fldChar w:fldCharType="separate"/>
        </w:r>
        <w:r>
          <w:t>10</w:t>
        </w:r>
        <w:r>
          <w:fldChar w:fldCharType="end"/>
        </w:r>
      </w:hyperlink>
    </w:p>
    <w:p>
      <w:pPr>
        <w:pStyle w:val="TOC2"/>
        <w:tabs>
          <w:tab w:val="right" w:leader="dot" w:pos="8306"/>
        </w:tabs>
      </w:pPr>
      <w:hyperlink w:anchor="_Toc494" w:history="1">
        <w:r>
          <w:rPr>
            <w:rFonts w:ascii="仿宋" w:eastAsia="仿宋" w:hAnsi="仿宋" w:cs="仿宋" w:hint="eastAsia"/>
            <w:lang w:eastAsia="zh-CN"/>
          </w:rPr>
          <w:t>(四)、总图布置方案</w:t>
        </w:r>
        <w:r>
          <w:tab/>
        </w:r>
        <w:r>
          <w:fldChar w:fldCharType="begin"/>
        </w:r>
        <w:r>
          <w:instrText xml:space="preserve"> PAGEREF _Toc494 \h </w:instrText>
        </w:r>
        <w:r>
          <w:fldChar w:fldCharType="separate"/>
        </w:r>
        <w:r>
          <w:t>11</w:t>
        </w:r>
        <w:r>
          <w:fldChar w:fldCharType="end"/>
        </w:r>
      </w:hyperlink>
    </w:p>
    <w:p>
      <w:pPr>
        <w:pStyle w:val="TOC2"/>
        <w:tabs>
          <w:tab w:val="right" w:leader="dot" w:pos="8306"/>
        </w:tabs>
      </w:pPr>
      <w:hyperlink w:anchor="_Toc23321" w:history="1">
        <w:r>
          <w:rPr>
            <w:rFonts w:ascii="仿宋" w:eastAsia="仿宋" w:hAnsi="仿宋" w:cs="仿宋" w:hint="eastAsia"/>
            <w:lang w:eastAsia="zh-CN"/>
          </w:rPr>
          <w:t>(五)、选址综合评价</w:t>
        </w:r>
        <w:r>
          <w:tab/>
        </w:r>
        <w:r>
          <w:fldChar w:fldCharType="begin"/>
        </w:r>
        <w:r>
          <w:instrText xml:space="preserve"> PAGEREF _Toc23321 \h </w:instrText>
        </w:r>
        <w:r>
          <w:fldChar w:fldCharType="separate"/>
        </w:r>
        <w:r>
          <w:t>12</w:t>
        </w:r>
        <w:r>
          <w:fldChar w:fldCharType="end"/>
        </w:r>
      </w:hyperlink>
    </w:p>
    <w:p>
      <w:pPr>
        <w:pStyle w:val="TOC1"/>
        <w:tabs>
          <w:tab w:val="right" w:leader="dot" w:pos="8306"/>
        </w:tabs>
      </w:pPr>
      <w:hyperlink w:anchor="_Toc32066" w:history="1">
        <w:r>
          <w:rPr>
            <w:rFonts w:ascii="仿宋" w:eastAsia="仿宋" w:hAnsi="仿宋" w:cs="仿宋" w:hint="eastAsia"/>
            <w:lang w:eastAsia="zh-CN"/>
          </w:rPr>
          <w:t>四、转基因耐贮藏番茄项目建设背景及必要性分析</w:t>
        </w:r>
        <w:r>
          <w:tab/>
        </w:r>
        <w:r>
          <w:fldChar w:fldCharType="begin"/>
        </w:r>
        <w:r>
          <w:instrText xml:space="preserve"> PAGEREF _Toc32066 \h </w:instrText>
        </w:r>
        <w:r>
          <w:fldChar w:fldCharType="separate"/>
        </w:r>
        <w:r>
          <w:t>13</w:t>
        </w:r>
        <w:r>
          <w:fldChar w:fldCharType="end"/>
        </w:r>
      </w:hyperlink>
    </w:p>
    <w:p>
      <w:pPr>
        <w:pStyle w:val="TOC2"/>
        <w:tabs>
          <w:tab w:val="right" w:leader="dot" w:pos="8306"/>
        </w:tabs>
      </w:pPr>
      <w:hyperlink w:anchor="_Toc28474" w:history="1">
        <w:r>
          <w:rPr>
            <w:rFonts w:ascii="仿宋" w:eastAsia="仿宋" w:hAnsi="仿宋" w:cs="仿宋" w:hint="eastAsia"/>
            <w:lang w:eastAsia="zh-CN"/>
          </w:rPr>
          <w:t>(一)、转基因耐贮藏番茄项目背景分析</w:t>
        </w:r>
        <w:r>
          <w:tab/>
        </w:r>
        <w:r>
          <w:fldChar w:fldCharType="begin"/>
        </w:r>
        <w:r>
          <w:instrText xml:space="preserve"> PAGEREF _Toc28474 \h </w:instrText>
        </w:r>
        <w:r>
          <w:fldChar w:fldCharType="separate"/>
        </w:r>
        <w:r>
          <w:t>13</w:t>
        </w:r>
        <w:r>
          <w:fldChar w:fldCharType="end"/>
        </w:r>
      </w:hyperlink>
    </w:p>
    <w:p>
      <w:pPr>
        <w:pStyle w:val="TOC2"/>
        <w:tabs>
          <w:tab w:val="right" w:leader="dot" w:pos="8306"/>
        </w:tabs>
      </w:pPr>
      <w:hyperlink w:anchor="_Toc11178" w:history="1">
        <w:r>
          <w:rPr>
            <w:rFonts w:ascii="仿宋" w:eastAsia="仿宋" w:hAnsi="仿宋" w:cs="仿宋" w:hint="eastAsia"/>
            <w:lang w:eastAsia="zh-CN"/>
          </w:rPr>
          <w:t>(二)、转基因耐贮藏番茄项目建设必要性分析</w:t>
        </w:r>
        <w:r>
          <w:tab/>
        </w:r>
        <w:r>
          <w:fldChar w:fldCharType="begin"/>
        </w:r>
        <w:r>
          <w:instrText xml:space="preserve"> PAGEREF _Toc11178 \h </w:instrText>
        </w:r>
        <w:r>
          <w:fldChar w:fldCharType="separate"/>
        </w:r>
        <w:r>
          <w:t>15</w:t>
        </w:r>
        <w:r>
          <w:fldChar w:fldCharType="end"/>
        </w:r>
      </w:hyperlink>
    </w:p>
    <w:p>
      <w:pPr>
        <w:pStyle w:val="TOC1"/>
        <w:tabs>
          <w:tab w:val="right" w:leader="dot" w:pos="8306"/>
        </w:tabs>
      </w:pPr>
      <w:hyperlink w:anchor="_Toc11333" w:history="1">
        <w:r>
          <w:rPr>
            <w:rFonts w:ascii="仿宋" w:eastAsia="仿宋" w:hAnsi="仿宋" w:cs="仿宋" w:hint="eastAsia"/>
            <w:lang w:eastAsia="zh-CN"/>
          </w:rPr>
          <w:t>五、产品规划分析</w:t>
        </w:r>
        <w:r>
          <w:tab/>
        </w:r>
        <w:r>
          <w:fldChar w:fldCharType="begin"/>
        </w:r>
        <w:r>
          <w:instrText xml:space="preserve"> PAGEREF _Toc11333 \h </w:instrText>
        </w:r>
        <w:r>
          <w:fldChar w:fldCharType="separate"/>
        </w:r>
        <w:r>
          <w:t>17</w:t>
        </w:r>
        <w:r>
          <w:fldChar w:fldCharType="end"/>
        </w:r>
      </w:hyperlink>
    </w:p>
    <w:p>
      <w:pPr>
        <w:pStyle w:val="TOC2"/>
        <w:tabs>
          <w:tab w:val="right" w:leader="dot" w:pos="8306"/>
        </w:tabs>
      </w:pPr>
      <w:hyperlink w:anchor="_Toc479" w:history="1">
        <w:r>
          <w:rPr>
            <w:rFonts w:ascii="仿宋" w:eastAsia="仿宋" w:hAnsi="仿宋" w:cs="仿宋" w:hint="eastAsia"/>
            <w:lang w:eastAsia="zh-CN"/>
          </w:rPr>
          <w:t>(一)、产品规划</w:t>
        </w:r>
        <w:r>
          <w:tab/>
        </w:r>
        <w:r>
          <w:fldChar w:fldCharType="begin"/>
        </w:r>
        <w:r>
          <w:instrText xml:space="preserve"> PAGEREF _Toc479 \h </w:instrText>
        </w:r>
        <w:r>
          <w:fldChar w:fldCharType="separate"/>
        </w:r>
        <w:r>
          <w:t>17</w:t>
        </w:r>
        <w:r>
          <w:fldChar w:fldCharType="end"/>
        </w:r>
      </w:hyperlink>
    </w:p>
    <w:p>
      <w:pPr>
        <w:pStyle w:val="TOC2"/>
        <w:tabs>
          <w:tab w:val="right" w:leader="dot" w:pos="8306"/>
        </w:tabs>
      </w:pPr>
      <w:hyperlink w:anchor="_Toc20290" w:history="1">
        <w:r>
          <w:rPr>
            <w:rFonts w:ascii="仿宋" w:eastAsia="仿宋" w:hAnsi="仿宋" w:cs="仿宋" w:hint="eastAsia"/>
            <w:lang w:eastAsia="zh-CN"/>
          </w:rPr>
          <w:t>(二)、建设规模</w:t>
        </w:r>
        <w:r>
          <w:tab/>
        </w:r>
        <w:r>
          <w:fldChar w:fldCharType="begin"/>
        </w:r>
        <w:r>
          <w:instrText xml:space="preserve"> PAGEREF _Toc20290 \h </w:instrText>
        </w:r>
        <w:r>
          <w:fldChar w:fldCharType="separate"/>
        </w:r>
        <w:r>
          <w:t>17</w:t>
        </w:r>
        <w:r>
          <w:fldChar w:fldCharType="end"/>
        </w:r>
      </w:hyperlink>
    </w:p>
    <w:p>
      <w:pPr>
        <w:pStyle w:val="TOC1"/>
        <w:tabs>
          <w:tab w:val="right" w:leader="dot" w:pos="8306"/>
        </w:tabs>
      </w:pPr>
      <w:hyperlink w:anchor="_Toc16183" w:history="1">
        <w:r>
          <w:rPr>
            <w:rFonts w:ascii="仿宋" w:eastAsia="仿宋" w:hAnsi="仿宋" w:cs="仿宋" w:hint="eastAsia"/>
            <w:lang w:eastAsia="zh-CN"/>
          </w:rPr>
          <w:t>六、转基因耐贮藏番茄项目危机管理</w:t>
        </w:r>
        <w:r>
          <w:tab/>
        </w:r>
        <w:r>
          <w:fldChar w:fldCharType="begin"/>
        </w:r>
        <w:r>
          <w:instrText xml:space="preserve"> PAGEREF _Toc16183 \h </w:instrText>
        </w:r>
        <w:r>
          <w:fldChar w:fldCharType="separate"/>
        </w:r>
        <w:r>
          <w:t>19</w:t>
        </w:r>
        <w:r>
          <w:fldChar w:fldCharType="end"/>
        </w:r>
      </w:hyperlink>
    </w:p>
    <w:p>
      <w:pPr>
        <w:pStyle w:val="TOC2"/>
        <w:tabs>
          <w:tab w:val="right" w:leader="dot" w:pos="8306"/>
        </w:tabs>
      </w:pPr>
      <w:hyperlink w:anchor="_Toc24303" w:history="1">
        <w:r>
          <w:rPr>
            <w:rFonts w:ascii="仿宋" w:eastAsia="仿宋" w:hAnsi="仿宋" w:cs="仿宋" w:hint="eastAsia"/>
            <w:lang w:eastAsia="zh-CN"/>
          </w:rPr>
          <w:t>(一)、危机预警与识别</w:t>
        </w:r>
        <w:r>
          <w:tab/>
        </w:r>
        <w:r>
          <w:fldChar w:fldCharType="begin"/>
        </w:r>
        <w:r>
          <w:instrText xml:space="preserve"> PAGEREF _Toc24303 \h </w:instrText>
        </w:r>
        <w:r>
          <w:fldChar w:fldCharType="separate"/>
        </w:r>
        <w:r>
          <w:t>19</w:t>
        </w:r>
        <w:r>
          <w:fldChar w:fldCharType="end"/>
        </w:r>
      </w:hyperlink>
    </w:p>
    <w:p>
      <w:pPr>
        <w:pStyle w:val="TOC2"/>
        <w:tabs>
          <w:tab w:val="right" w:leader="dot" w:pos="8306"/>
        </w:tabs>
      </w:pPr>
      <w:hyperlink w:anchor="_Toc2351" w:history="1">
        <w:r>
          <w:rPr>
            <w:rFonts w:ascii="仿宋" w:eastAsia="仿宋" w:hAnsi="仿宋" w:cs="仿宋" w:hint="eastAsia"/>
            <w:lang w:eastAsia="zh-CN"/>
          </w:rPr>
          <w:t>(二)、危机应对与恢复</w:t>
        </w:r>
        <w:r>
          <w:tab/>
        </w:r>
        <w:r>
          <w:fldChar w:fldCharType="begin"/>
        </w:r>
        <w:r>
          <w:instrText xml:space="preserve"> PAGEREF _Toc2351 \h </w:instrText>
        </w:r>
        <w:r>
          <w:fldChar w:fldCharType="separate"/>
        </w:r>
        <w:r>
          <w:t>20</w:t>
        </w:r>
        <w:r>
          <w:fldChar w:fldCharType="end"/>
        </w:r>
      </w:hyperlink>
    </w:p>
    <w:p>
      <w:pPr>
        <w:pStyle w:val="TOC1"/>
        <w:tabs>
          <w:tab w:val="right" w:leader="dot" w:pos="8306"/>
        </w:tabs>
      </w:pPr>
      <w:hyperlink w:anchor="_Toc9641" w:history="1">
        <w:r>
          <w:rPr>
            <w:rFonts w:ascii="仿宋" w:eastAsia="仿宋" w:hAnsi="仿宋" w:cs="仿宋" w:hint="eastAsia"/>
            <w:lang w:eastAsia="zh-CN"/>
          </w:rPr>
          <w:t>七、生产安全保护</w:t>
        </w:r>
        <w:r>
          <w:tab/>
        </w:r>
        <w:r>
          <w:fldChar w:fldCharType="begin"/>
        </w:r>
        <w:r>
          <w:instrText xml:space="preserve"> PAGEREF _Toc9641 \h </w:instrText>
        </w:r>
        <w:r>
          <w:fldChar w:fldCharType="separate"/>
        </w:r>
        <w:r>
          <w:t>21</w:t>
        </w:r>
        <w:r>
          <w:fldChar w:fldCharType="end"/>
        </w:r>
      </w:hyperlink>
    </w:p>
    <w:p>
      <w:pPr>
        <w:pStyle w:val="TOC2"/>
        <w:tabs>
          <w:tab w:val="right" w:leader="dot" w:pos="8306"/>
        </w:tabs>
      </w:pPr>
      <w:hyperlink w:anchor="_Toc6204" w:history="1">
        <w:r>
          <w:rPr>
            <w:rFonts w:ascii="仿宋" w:eastAsia="仿宋" w:hAnsi="仿宋" w:cs="仿宋" w:hint="eastAsia"/>
            <w:lang w:eastAsia="zh-CN"/>
          </w:rPr>
          <w:t>(一)、消防安全</w:t>
        </w:r>
        <w:r>
          <w:tab/>
        </w:r>
        <w:r>
          <w:fldChar w:fldCharType="begin"/>
        </w:r>
        <w:r>
          <w:instrText xml:space="preserve"> PAGEREF _Toc6204 \h </w:instrText>
        </w:r>
        <w:r>
          <w:fldChar w:fldCharType="separate"/>
        </w:r>
        <w:r>
          <w:t>21</w:t>
        </w:r>
        <w:r>
          <w:fldChar w:fldCharType="end"/>
        </w:r>
      </w:hyperlink>
    </w:p>
    <w:p>
      <w:pPr>
        <w:pStyle w:val="TOC2"/>
        <w:tabs>
          <w:tab w:val="right" w:leader="dot" w:pos="8306"/>
        </w:tabs>
      </w:pPr>
      <w:hyperlink w:anchor="_Toc23411" w:history="1">
        <w:r>
          <w:rPr>
            <w:rFonts w:ascii="仿宋" w:eastAsia="仿宋" w:hAnsi="仿宋" w:cs="仿宋" w:hint="eastAsia"/>
            <w:lang w:eastAsia="zh-CN"/>
          </w:rPr>
          <w:t>(二)、防火防爆总图布置措施</w:t>
        </w:r>
        <w:r>
          <w:tab/>
        </w:r>
        <w:r>
          <w:fldChar w:fldCharType="begin"/>
        </w:r>
        <w:r>
          <w:instrText xml:space="preserve"> PAGEREF _Toc23411 \h </w:instrText>
        </w:r>
        <w:r>
          <w:fldChar w:fldCharType="separate"/>
        </w:r>
        <w:r>
          <w:t>23</w:t>
        </w:r>
        <w:r>
          <w:fldChar w:fldCharType="end"/>
        </w:r>
      </w:hyperlink>
    </w:p>
    <w:p>
      <w:pPr>
        <w:pStyle w:val="TOC2"/>
        <w:tabs>
          <w:tab w:val="right" w:leader="dot" w:pos="8306"/>
        </w:tabs>
      </w:pPr>
      <w:hyperlink w:anchor="_Toc10286" w:history="1">
        <w:r>
          <w:rPr>
            <w:rFonts w:ascii="仿宋" w:eastAsia="仿宋" w:hAnsi="仿宋" w:cs="仿宋" w:hint="eastAsia"/>
            <w:lang w:eastAsia="zh-CN"/>
          </w:rPr>
          <w:t>(三)、自然灾害防范措施</w:t>
        </w:r>
        <w:r>
          <w:tab/>
        </w:r>
        <w:r>
          <w:fldChar w:fldCharType="begin"/>
        </w:r>
        <w:r>
          <w:instrText xml:space="preserve"> PAGEREF _Toc10286 \h </w:instrText>
        </w:r>
        <w:r>
          <w:fldChar w:fldCharType="separate"/>
        </w:r>
        <w:r>
          <w:t>24</w:t>
        </w:r>
        <w:r>
          <w:fldChar w:fldCharType="end"/>
        </w:r>
      </w:hyperlink>
    </w:p>
    <w:p>
      <w:pPr>
        <w:pStyle w:val="TOC2"/>
        <w:tabs>
          <w:tab w:val="right" w:leader="dot" w:pos="8306"/>
        </w:tabs>
      </w:pPr>
      <w:hyperlink w:anchor="_Toc2381" w:history="1">
        <w:r>
          <w:rPr>
            <w:rFonts w:ascii="仿宋" w:eastAsia="仿宋" w:hAnsi="仿宋" w:cs="仿宋" w:hint="eastAsia"/>
            <w:lang w:eastAsia="zh-CN"/>
          </w:rPr>
          <w:t>(四)、安全色及安全标志使用要求</w:t>
        </w:r>
        <w:r>
          <w:tab/>
        </w:r>
        <w:r>
          <w:fldChar w:fldCharType="begin"/>
        </w:r>
        <w:r>
          <w:instrText xml:space="preserve"> PAGEREF _Toc2381 \h </w:instrText>
        </w:r>
        <w:r>
          <w:fldChar w:fldCharType="separate"/>
        </w:r>
        <w:r>
          <w:t>25</w:t>
        </w:r>
        <w:r>
          <w:fldChar w:fldCharType="end"/>
        </w:r>
      </w:hyperlink>
    </w:p>
    <w:p>
      <w:pPr>
        <w:pStyle w:val="TOC2"/>
        <w:tabs>
          <w:tab w:val="right" w:leader="dot" w:pos="8306"/>
        </w:tabs>
      </w:pPr>
      <w:hyperlink w:anchor="_Toc12461" w:history="1">
        <w:r>
          <w:rPr>
            <w:rFonts w:ascii="仿宋" w:eastAsia="仿宋" w:hAnsi="仿宋" w:cs="仿宋" w:hint="eastAsia"/>
            <w:lang w:eastAsia="zh-CN"/>
          </w:rPr>
          <w:t>(五)、防尘防毒措施</w:t>
        </w:r>
        <w:r>
          <w:tab/>
        </w:r>
        <w:r>
          <w:fldChar w:fldCharType="begin"/>
        </w:r>
        <w:r>
          <w:instrText xml:space="preserve"> PAGEREF _Toc12461 \h </w:instrText>
        </w:r>
        <w:r>
          <w:fldChar w:fldCharType="separate"/>
        </w:r>
        <w:r>
          <w:t>26</w:t>
        </w:r>
        <w:r>
          <w:fldChar w:fldCharType="end"/>
        </w:r>
      </w:hyperlink>
    </w:p>
    <w:p>
      <w:pPr>
        <w:pStyle w:val="TOC2"/>
        <w:tabs>
          <w:tab w:val="right" w:leader="dot" w:pos="8306"/>
        </w:tabs>
      </w:pPr>
      <w:hyperlink w:anchor="_Toc14402" w:history="1">
        <w:r>
          <w:rPr>
            <w:rFonts w:ascii="仿宋" w:eastAsia="仿宋" w:hAnsi="仿宋" w:cs="仿宋" w:hint="eastAsia"/>
            <w:lang w:eastAsia="zh-CN"/>
          </w:rPr>
          <w:t>(六)、防静电、触电防护及防雷措施</w:t>
        </w:r>
        <w:r>
          <w:tab/>
        </w:r>
        <w:r>
          <w:fldChar w:fldCharType="begin"/>
        </w:r>
        <w:r>
          <w:instrText xml:space="preserve"> PAGEREF _Toc14402 \h </w:instrText>
        </w:r>
        <w:r>
          <w:fldChar w:fldCharType="separate"/>
        </w:r>
        <w:r>
          <w:t>27</w:t>
        </w:r>
        <w:r>
          <w:fldChar w:fldCharType="end"/>
        </w:r>
      </w:hyperlink>
    </w:p>
    <w:p>
      <w:pPr>
        <w:pStyle w:val="TOC2"/>
        <w:tabs>
          <w:tab w:val="right" w:leader="dot" w:pos="8306"/>
        </w:tabs>
      </w:pPr>
      <w:hyperlink w:anchor="_Toc20118" w:history="1">
        <w:r>
          <w:rPr>
            <w:rFonts w:ascii="仿宋" w:eastAsia="仿宋" w:hAnsi="仿宋" w:cs="仿宋" w:hint="eastAsia"/>
            <w:lang w:eastAsia="zh-CN"/>
          </w:rPr>
          <w:t>(七)、机械设备安全保障措施</w:t>
        </w:r>
        <w:r>
          <w:tab/>
        </w:r>
        <w:r>
          <w:fldChar w:fldCharType="begin"/>
        </w:r>
        <w:r>
          <w:instrText xml:space="preserve"> PAGEREF _Toc20118 \h </w:instrText>
        </w:r>
        <w:r>
          <w:fldChar w:fldCharType="separate"/>
        </w:r>
        <w:r>
          <w:t>28</w:t>
        </w:r>
        <w:r>
          <w:fldChar w:fldCharType="end"/>
        </w:r>
      </w:hyperlink>
    </w:p>
    <w:p>
      <w:pPr>
        <w:pStyle w:val="TOC1"/>
        <w:tabs>
          <w:tab w:val="right" w:leader="dot" w:pos="8306"/>
        </w:tabs>
      </w:pPr>
      <w:hyperlink w:anchor="_Toc20941" w:history="1">
        <w:r>
          <w:rPr>
            <w:rFonts w:ascii="仿宋" w:eastAsia="仿宋" w:hAnsi="仿宋" w:cs="仿宋" w:hint="eastAsia"/>
            <w:lang w:eastAsia="zh-CN"/>
          </w:rPr>
          <w:t>八、转基因耐贮藏番茄项目技术管理</w:t>
        </w:r>
        <w:r>
          <w:tab/>
        </w:r>
        <w:r>
          <w:fldChar w:fldCharType="begin"/>
        </w:r>
        <w:r>
          <w:instrText xml:space="preserve"> PAGEREF _Toc20941 \h </w:instrText>
        </w:r>
        <w:r>
          <w:fldChar w:fldCharType="separate"/>
        </w:r>
        <w:r>
          <w:t>30</w:t>
        </w:r>
        <w:r>
          <w:fldChar w:fldCharType="end"/>
        </w:r>
      </w:hyperlink>
    </w:p>
    <w:p>
      <w:pPr>
        <w:pStyle w:val="TOC2"/>
        <w:tabs>
          <w:tab w:val="right" w:leader="dot" w:pos="8306"/>
        </w:tabs>
      </w:pPr>
      <w:hyperlink w:anchor="_Toc19777" w:history="1">
        <w:r>
          <w:rPr>
            <w:rFonts w:ascii="仿宋" w:eastAsia="仿宋" w:hAnsi="仿宋" w:cs="仿宋" w:hint="eastAsia"/>
            <w:lang w:eastAsia="zh-CN"/>
          </w:rPr>
          <w:t>(一)、技术方案选用方向</w:t>
        </w:r>
        <w:r>
          <w:tab/>
        </w:r>
        <w:r>
          <w:fldChar w:fldCharType="begin"/>
        </w:r>
        <w:r>
          <w:instrText xml:space="preserve"> PAGEREF _Toc19777 \h </w:instrText>
        </w:r>
        <w:r>
          <w:fldChar w:fldCharType="separate"/>
        </w:r>
        <w:r>
          <w:t>30</w:t>
        </w:r>
        <w:r>
          <w:fldChar w:fldCharType="end"/>
        </w:r>
      </w:hyperlink>
    </w:p>
    <w:p>
      <w:pPr>
        <w:pStyle w:val="TOC2"/>
        <w:tabs>
          <w:tab w:val="right" w:leader="dot" w:pos="8306"/>
        </w:tabs>
      </w:pPr>
      <w:hyperlink w:anchor="_Toc1161" w:history="1">
        <w:r>
          <w:rPr>
            <w:rFonts w:ascii="仿宋" w:eastAsia="仿宋" w:hAnsi="仿宋" w:cs="仿宋" w:hint="eastAsia"/>
            <w:lang w:eastAsia="zh-CN"/>
          </w:rPr>
          <w:t>(二)、工艺技术方案选用原则</w:t>
        </w:r>
        <w:r>
          <w:tab/>
        </w:r>
        <w:r>
          <w:fldChar w:fldCharType="begin"/>
        </w:r>
        <w:r>
          <w:instrText xml:space="preserve"> PAGEREF _Toc1161 \h </w:instrText>
        </w:r>
        <w:r>
          <w:fldChar w:fldCharType="separate"/>
        </w:r>
        <w:r>
          <w:t>31</w:t>
        </w:r>
        <w:r>
          <w:fldChar w:fldCharType="end"/>
        </w:r>
      </w:hyperlink>
    </w:p>
    <w:p>
      <w:pPr>
        <w:pStyle w:val="TOC2"/>
        <w:tabs>
          <w:tab w:val="right" w:leader="dot" w:pos="8306"/>
        </w:tabs>
      </w:pPr>
      <w:hyperlink w:anchor="_Toc30456" w:history="1">
        <w:r>
          <w:rPr>
            <w:rFonts w:ascii="仿宋" w:eastAsia="仿宋" w:hAnsi="仿宋" w:cs="仿宋" w:hint="eastAsia"/>
            <w:lang w:eastAsia="zh-CN"/>
          </w:rPr>
          <w:t>(三)、工艺技术方案要求</w:t>
        </w:r>
        <w:r>
          <w:tab/>
        </w:r>
        <w:r>
          <w:fldChar w:fldCharType="begin"/>
        </w:r>
        <w:r>
          <w:instrText xml:space="preserve"> PAGEREF _Toc30456 \h </w:instrText>
        </w:r>
        <w:r>
          <w:fldChar w:fldCharType="separate"/>
        </w:r>
        <w:r>
          <w:t>34</w:t>
        </w:r>
        <w:r>
          <w:fldChar w:fldCharType="end"/>
        </w:r>
      </w:hyperlink>
    </w:p>
    <w:p>
      <w:pPr>
        <w:pStyle w:val="TOC1"/>
        <w:tabs>
          <w:tab w:val="right" w:leader="dot" w:pos="8306"/>
        </w:tabs>
      </w:pPr>
      <w:hyperlink w:anchor="_Toc22345" w:history="1">
        <w:r>
          <w:rPr>
            <w:rFonts w:ascii="仿宋" w:eastAsia="仿宋" w:hAnsi="仿宋" w:cs="仿宋" w:hint="eastAsia"/>
            <w:lang w:eastAsia="zh-CN"/>
          </w:rPr>
          <w:t>九、转基因耐贮藏番茄项目创新与研发</w:t>
        </w:r>
        <w:r>
          <w:tab/>
        </w:r>
        <w:r>
          <w:fldChar w:fldCharType="begin"/>
        </w:r>
        <w:r>
          <w:instrText xml:space="preserve"> PAGEREF _Toc22345 \h </w:instrText>
        </w:r>
        <w:r>
          <w:fldChar w:fldCharType="separate"/>
        </w:r>
        <w:r>
          <w:t>36</w:t>
        </w:r>
        <w:r>
          <w:fldChar w:fldCharType="end"/>
        </w:r>
      </w:hyperlink>
    </w:p>
    <w:p>
      <w:pPr>
        <w:pStyle w:val="TOC2"/>
        <w:tabs>
          <w:tab w:val="right" w:leader="dot" w:pos="8306"/>
        </w:tabs>
      </w:pPr>
      <w:hyperlink w:anchor="_Toc20007" w:history="1">
        <w:r>
          <w:rPr>
            <w:rFonts w:ascii="仿宋" w:eastAsia="仿宋" w:hAnsi="仿宋" w:cs="仿宋" w:hint="eastAsia"/>
            <w:lang w:eastAsia="zh-CN"/>
          </w:rPr>
          <w:t>(一)、创新策略与方向</w:t>
        </w:r>
        <w:r>
          <w:tab/>
        </w:r>
        <w:r>
          <w:fldChar w:fldCharType="begin"/>
        </w:r>
        <w:r>
          <w:instrText xml:space="preserve"> PAGEREF _Toc20007 \h </w:instrText>
        </w:r>
        <w:r>
          <w:fldChar w:fldCharType="separate"/>
        </w:r>
        <w:r>
          <w:t>36</w:t>
        </w:r>
        <w:r>
          <w:fldChar w:fldCharType="end"/>
        </w:r>
      </w:hyperlink>
    </w:p>
    <w:p>
      <w:pPr>
        <w:pStyle w:val="TOC2"/>
        <w:tabs>
          <w:tab w:val="right" w:leader="dot" w:pos="8306"/>
        </w:tabs>
      </w:pPr>
      <w:hyperlink w:anchor="_Toc9741" w:history="1">
        <w:r>
          <w:rPr>
            <w:rFonts w:ascii="仿宋" w:eastAsia="仿宋" w:hAnsi="仿宋" w:cs="仿宋" w:hint="eastAsia"/>
            <w:lang w:eastAsia="zh-CN"/>
          </w:rPr>
          <w:t>(二)、研发规划与投入</w:t>
        </w:r>
        <w:r>
          <w:tab/>
        </w:r>
        <w:r>
          <w:fldChar w:fldCharType="begin"/>
        </w:r>
        <w:r>
          <w:instrText xml:space="preserve"> PAGEREF _Toc9741 \h </w:instrText>
        </w:r>
        <w:r>
          <w:fldChar w:fldCharType="separate"/>
        </w:r>
        <w:r>
          <w:t>37</w:t>
        </w:r>
        <w:r>
          <w:fldChar w:fldCharType="end"/>
        </w:r>
      </w:hyperlink>
    </w:p>
    <w:p>
      <w:pPr>
        <w:pStyle w:val="TOC1"/>
        <w:tabs>
          <w:tab w:val="right" w:leader="dot" w:pos="8306"/>
        </w:tabs>
      </w:pPr>
      <w:hyperlink w:anchor="_Toc7436" w:history="1">
        <w:r>
          <w:rPr>
            <w:rFonts w:ascii="仿宋" w:eastAsia="仿宋" w:hAnsi="仿宋" w:cs="仿宋" w:hint="eastAsia"/>
            <w:lang w:eastAsia="zh-CN"/>
          </w:rPr>
          <w:t>十、转基因耐贮藏番茄项目计划安排</w:t>
        </w:r>
        <w:r>
          <w:tab/>
        </w:r>
        <w:r>
          <w:fldChar w:fldCharType="begin"/>
        </w:r>
        <w:r>
          <w:instrText xml:space="preserve"> PAGEREF _Toc7436 \h </w:instrText>
        </w:r>
        <w:r>
          <w:fldChar w:fldCharType="separate"/>
        </w:r>
        <w:r>
          <w:t>39</w:t>
        </w:r>
        <w:r>
          <w:fldChar w:fldCharType="end"/>
        </w:r>
      </w:hyperlink>
    </w:p>
    <w:p>
      <w:pPr>
        <w:pStyle w:val="TOC2"/>
        <w:tabs>
          <w:tab w:val="right" w:leader="dot" w:pos="8306"/>
        </w:tabs>
      </w:pPr>
      <w:hyperlink w:anchor="_Toc24425" w:history="1">
        <w:r>
          <w:rPr>
            <w:rFonts w:ascii="仿宋" w:eastAsia="仿宋" w:hAnsi="仿宋" w:cs="仿宋" w:hint="eastAsia"/>
            <w:lang w:eastAsia="zh-CN"/>
          </w:rPr>
          <w:t>(一)、建设周期</w:t>
        </w:r>
        <w:r>
          <w:tab/>
        </w:r>
        <w:r>
          <w:fldChar w:fldCharType="begin"/>
        </w:r>
        <w:r>
          <w:instrText xml:space="preserve"> PAGEREF _Toc24425 \h </w:instrText>
        </w:r>
        <w:r>
          <w:fldChar w:fldCharType="separate"/>
        </w:r>
        <w:r>
          <w:t>39</w:t>
        </w:r>
        <w:r>
          <w:fldChar w:fldCharType="end"/>
        </w:r>
      </w:hyperlink>
    </w:p>
    <w:p>
      <w:pPr>
        <w:pStyle w:val="TOC2"/>
        <w:tabs>
          <w:tab w:val="right" w:leader="dot" w:pos="8306"/>
        </w:tabs>
      </w:pPr>
      <w:hyperlink w:anchor="_Toc30709" w:history="1">
        <w:r>
          <w:rPr>
            <w:rFonts w:ascii="仿宋" w:eastAsia="仿宋" w:hAnsi="仿宋" w:cs="仿宋" w:hint="eastAsia"/>
            <w:lang w:eastAsia="zh-CN"/>
          </w:rPr>
          <w:t>(二)、建设进度</w:t>
        </w:r>
        <w:r>
          <w:tab/>
        </w:r>
        <w:r>
          <w:fldChar w:fldCharType="begin"/>
        </w:r>
        <w:r>
          <w:instrText xml:space="preserve"> PAGEREF _Toc30709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57" w:history="1">
        <w:r>
          <w:rPr>
            <w:rFonts w:ascii="仿宋" w:eastAsia="仿宋" w:hAnsi="仿宋" w:cs="仿宋" w:hint="eastAsia"/>
            <w:lang w:eastAsia="zh-CN"/>
          </w:rPr>
          <w:t>(三)、进度安排注意事项</w:t>
        </w:r>
        <w:r>
          <w:tab/>
        </w:r>
        <w:r>
          <w:fldChar w:fldCharType="begin"/>
        </w:r>
        <w:r>
          <w:instrText xml:space="preserve"> PAGEREF _Toc20057 \h </w:instrText>
        </w:r>
        <w:r>
          <w:fldChar w:fldCharType="separate"/>
        </w:r>
        <w:r>
          <w:t>41</w:t>
        </w:r>
        <w:r>
          <w:fldChar w:fldCharType="end"/>
        </w:r>
      </w:hyperlink>
    </w:p>
    <w:p>
      <w:pPr>
        <w:pStyle w:val="TOC2"/>
        <w:tabs>
          <w:tab w:val="right" w:leader="dot" w:pos="8306"/>
        </w:tabs>
      </w:pPr>
      <w:hyperlink w:anchor="_Toc28230" w:history="1">
        <w:r>
          <w:rPr>
            <w:rFonts w:ascii="仿宋" w:eastAsia="仿宋" w:hAnsi="仿宋" w:cs="仿宋" w:hint="eastAsia"/>
            <w:lang w:eastAsia="zh-CN"/>
          </w:rPr>
          <w:t>(四)、人力资源配置</w:t>
        </w:r>
        <w:r>
          <w:tab/>
        </w:r>
        <w:r>
          <w:fldChar w:fldCharType="begin"/>
        </w:r>
        <w:r>
          <w:instrText xml:space="preserve"> PAGEREF _Toc28230 \h </w:instrText>
        </w:r>
        <w:r>
          <w:fldChar w:fldCharType="separate"/>
        </w:r>
        <w:r>
          <w:t>43</w:t>
        </w:r>
        <w:r>
          <w:fldChar w:fldCharType="end"/>
        </w:r>
      </w:hyperlink>
    </w:p>
    <w:p>
      <w:pPr>
        <w:pStyle w:val="TOC1"/>
        <w:tabs>
          <w:tab w:val="right" w:leader="dot" w:pos="8306"/>
        </w:tabs>
      </w:pPr>
      <w:hyperlink w:anchor="_Toc23457" w:history="1">
        <w:r>
          <w:rPr>
            <w:rFonts w:ascii="仿宋" w:eastAsia="仿宋" w:hAnsi="仿宋" w:cs="仿宋" w:hint="eastAsia"/>
            <w:lang w:eastAsia="zh-CN"/>
          </w:rPr>
          <w:t>十一、转基因耐贮藏番茄项目环境影响分析</w:t>
        </w:r>
        <w:r>
          <w:tab/>
        </w:r>
        <w:r>
          <w:fldChar w:fldCharType="begin"/>
        </w:r>
        <w:r>
          <w:instrText xml:space="preserve"> PAGEREF _Toc23457 \h </w:instrText>
        </w:r>
        <w:r>
          <w:fldChar w:fldCharType="separate"/>
        </w:r>
        <w:r>
          <w:t>43</w:t>
        </w:r>
        <w:r>
          <w:fldChar w:fldCharType="end"/>
        </w:r>
      </w:hyperlink>
    </w:p>
    <w:p>
      <w:pPr>
        <w:pStyle w:val="TOC2"/>
        <w:tabs>
          <w:tab w:val="right" w:leader="dot" w:pos="8306"/>
        </w:tabs>
      </w:pPr>
      <w:hyperlink w:anchor="_Toc18657" w:history="1">
        <w:r>
          <w:rPr>
            <w:rFonts w:ascii="仿宋" w:eastAsia="仿宋" w:hAnsi="仿宋" w:cs="仿宋" w:hint="eastAsia"/>
            <w:lang w:eastAsia="zh-CN"/>
          </w:rPr>
          <w:t>(一)、建设区域环境质量现状</w:t>
        </w:r>
        <w:r>
          <w:tab/>
        </w:r>
        <w:r>
          <w:fldChar w:fldCharType="begin"/>
        </w:r>
        <w:r>
          <w:instrText xml:space="preserve"> PAGEREF _Toc18657 \h </w:instrText>
        </w:r>
        <w:r>
          <w:fldChar w:fldCharType="separate"/>
        </w:r>
        <w:r>
          <w:t>43</w:t>
        </w:r>
        <w:r>
          <w:fldChar w:fldCharType="end"/>
        </w:r>
      </w:hyperlink>
    </w:p>
    <w:p>
      <w:pPr>
        <w:pStyle w:val="TOC2"/>
        <w:tabs>
          <w:tab w:val="right" w:leader="dot" w:pos="8306"/>
        </w:tabs>
      </w:pPr>
      <w:hyperlink w:anchor="_Toc19228" w:history="1">
        <w:r>
          <w:rPr>
            <w:rFonts w:ascii="仿宋" w:eastAsia="仿宋" w:hAnsi="仿宋" w:cs="仿宋" w:hint="eastAsia"/>
            <w:lang w:eastAsia="zh-CN"/>
          </w:rPr>
          <w:t>(二)、建设期环境保护</w:t>
        </w:r>
        <w:r>
          <w:tab/>
        </w:r>
        <w:r>
          <w:fldChar w:fldCharType="begin"/>
        </w:r>
        <w:r>
          <w:instrText xml:space="preserve"> PAGEREF _Toc19228 \h </w:instrText>
        </w:r>
        <w:r>
          <w:fldChar w:fldCharType="separate"/>
        </w:r>
        <w:r>
          <w:t>45</w:t>
        </w:r>
        <w:r>
          <w:fldChar w:fldCharType="end"/>
        </w:r>
      </w:hyperlink>
    </w:p>
    <w:p>
      <w:pPr>
        <w:pStyle w:val="TOC2"/>
        <w:tabs>
          <w:tab w:val="right" w:leader="dot" w:pos="8306"/>
        </w:tabs>
      </w:pPr>
      <w:hyperlink w:anchor="_Toc26793" w:history="1">
        <w:r>
          <w:rPr>
            <w:rFonts w:ascii="仿宋" w:eastAsia="仿宋" w:hAnsi="仿宋" w:cs="仿宋" w:hint="eastAsia"/>
            <w:lang w:eastAsia="zh-CN"/>
          </w:rPr>
          <w:t>(三)、运营期环境保护</w:t>
        </w:r>
        <w:r>
          <w:tab/>
        </w:r>
        <w:r>
          <w:fldChar w:fldCharType="begin"/>
        </w:r>
        <w:r>
          <w:instrText xml:space="preserve"> PAGEREF _Toc26793 \h </w:instrText>
        </w:r>
        <w:r>
          <w:fldChar w:fldCharType="separate"/>
        </w:r>
        <w:r>
          <w:t>46</w:t>
        </w:r>
        <w:r>
          <w:fldChar w:fldCharType="end"/>
        </w:r>
      </w:hyperlink>
    </w:p>
    <w:p>
      <w:pPr>
        <w:pStyle w:val="TOC2"/>
        <w:tabs>
          <w:tab w:val="right" w:leader="dot" w:pos="8306"/>
        </w:tabs>
      </w:pPr>
      <w:hyperlink w:anchor="_Toc23731" w:history="1">
        <w:r>
          <w:rPr>
            <w:rFonts w:ascii="仿宋" w:eastAsia="仿宋" w:hAnsi="仿宋" w:cs="仿宋" w:hint="eastAsia"/>
            <w:lang w:eastAsia="zh-CN"/>
          </w:rPr>
          <w:t>(四)、转基因耐贮藏番茄项目建设对区域经济的影响</w:t>
        </w:r>
        <w:r>
          <w:tab/>
        </w:r>
        <w:r>
          <w:fldChar w:fldCharType="begin"/>
        </w:r>
        <w:r>
          <w:instrText xml:space="preserve"> PAGEREF _Toc23731 \h </w:instrText>
        </w:r>
        <w:r>
          <w:fldChar w:fldCharType="separate"/>
        </w:r>
        <w:r>
          <w:t>48</w:t>
        </w:r>
        <w:r>
          <w:fldChar w:fldCharType="end"/>
        </w:r>
      </w:hyperlink>
    </w:p>
    <w:p>
      <w:pPr>
        <w:pStyle w:val="TOC2"/>
        <w:tabs>
          <w:tab w:val="right" w:leader="dot" w:pos="8306"/>
        </w:tabs>
      </w:pPr>
      <w:hyperlink w:anchor="_Toc11827" w:history="1">
        <w:r>
          <w:rPr>
            <w:rFonts w:ascii="仿宋" w:eastAsia="仿宋" w:hAnsi="仿宋" w:cs="仿宋" w:hint="eastAsia"/>
            <w:lang w:eastAsia="zh-CN"/>
          </w:rPr>
          <w:t>(五)、废弃物处理</w:t>
        </w:r>
        <w:r>
          <w:tab/>
        </w:r>
        <w:r>
          <w:fldChar w:fldCharType="begin"/>
        </w:r>
        <w:r>
          <w:instrText xml:space="preserve"> PAGEREF _Toc11827 \h </w:instrText>
        </w:r>
        <w:r>
          <w:fldChar w:fldCharType="separate"/>
        </w:r>
        <w:r>
          <w:t>49</w:t>
        </w:r>
        <w:r>
          <w:fldChar w:fldCharType="end"/>
        </w:r>
      </w:hyperlink>
    </w:p>
    <w:p>
      <w:pPr>
        <w:pStyle w:val="TOC2"/>
        <w:tabs>
          <w:tab w:val="right" w:leader="dot" w:pos="8306"/>
        </w:tabs>
      </w:pPr>
      <w:hyperlink w:anchor="_Toc13773" w:history="1">
        <w:r>
          <w:rPr>
            <w:rFonts w:ascii="仿宋" w:eastAsia="仿宋" w:hAnsi="仿宋" w:cs="仿宋" w:hint="eastAsia"/>
            <w:lang w:eastAsia="zh-CN"/>
          </w:rPr>
          <w:t>(六)、特殊环境影响分析</w:t>
        </w:r>
        <w:r>
          <w:tab/>
        </w:r>
        <w:r>
          <w:fldChar w:fldCharType="begin"/>
        </w:r>
        <w:r>
          <w:instrText xml:space="preserve"> PAGEREF _Toc13773 \h </w:instrText>
        </w:r>
        <w:r>
          <w:fldChar w:fldCharType="separate"/>
        </w:r>
        <w:r>
          <w:t>51</w:t>
        </w:r>
        <w:r>
          <w:fldChar w:fldCharType="end"/>
        </w:r>
      </w:hyperlink>
    </w:p>
    <w:p>
      <w:pPr>
        <w:pStyle w:val="TOC2"/>
        <w:tabs>
          <w:tab w:val="right" w:leader="dot" w:pos="8306"/>
        </w:tabs>
      </w:pPr>
      <w:hyperlink w:anchor="_Toc23520" w:history="1">
        <w:r>
          <w:rPr>
            <w:rFonts w:ascii="仿宋" w:eastAsia="仿宋" w:hAnsi="仿宋" w:cs="仿宋" w:hint="eastAsia"/>
            <w:lang w:eastAsia="zh-CN"/>
          </w:rPr>
          <w:t>(七)、清洁生产</w:t>
        </w:r>
        <w:r>
          <w:tab/>
        </w:r>
        <w:r>
          <w:fldChar w:fldCharType="begin"/>
        </w:r>
        <w:r>
          <w:instrText xml:space="preserve"> PAGEREF _Toc23520 \h </w:instrText>
        </w:r>
        <w:r>
          <w:fldChar w:fldCharType="separate"/>
        </w:r>
        <w:r>
          <w:t>52</w:t>
        </w:r>
        <w:r>
          <w:fldChar w:fldCharType="end"/>
        </w:r>
      </w:hyperlink>
    </w:p>
    <w:p>
      <w:pPr>
        <w:pStyle w:val="TOC2"/>
        <w:tabs>
          <w:tab w:val="right" w:leader="dot" w:pos="8306"/>
        </w:tabs>
      </w:pPr>
      <w:hyperlink w:anchor="_Toc24437" w:history="1">
        <w:r>
          <w:rPr>
            <w:rFonts w:ascii="仿宋" w:eastAsia="仿宋" w:hAnsi="仿宋" w:cs="仿宋" w:hint="eastAsia"/>
            <w:lang w:eastAsia="zh-CN"/>
          </w:rPr>
          <w:t>(八)、环境保护综合评价</w:t>
        </w:r>
        <w:r>
          <w:tab/>
        </w:r>
        <w:r>
          <w:fldChar w:fldCharType="begin"/>
        </w:r>
        <w:r>
          <w:instrText xml:space="preserve"> PAGEREF _Toc24437 \h </w:instrText>
        </w:r>
        <w:r>
          <w:fldChar w:fldCharType="separate"/>
        </w:r>
        <w:r>
          <w:t>53</w:t>
        </w:r>
        <w:r>
          <w:fldChar w:fldCharType="end"/>
        </w:r>
      </w:hyperlink>
    </w:p>
    <w:p>
      <w:pPr>
        <w:pStyle w:val="TOC1"/>
        <w:tabs>
          <w:tab w:val="right" w:leader="dot" w:pos="8306"/>
        </w:tabs>
      </w:pPr>
      <w:hyperlink w:anchor="_Toc11770" w:history="1">
        <w:r>
          <w:rPr>
            <w:rFonts w:ascii="仿宋" w:eastAsia="仿宋" w:hAnsi="仿宋" w:cs="仿宋" w:hint="eastAsia"/>
            <w:lang w:eastAsia="zh-CN"/>
          </w:rPr>
          <w:t>十二、转基因耐贮藏番茄项目人力资源培养与发展</w:t>
        </w:r>
        <w:r>
          <w:tab/>
        </w:r>
        <w:r>
          <w:fldChar w:fldCharType="begin"/>
        </w:r>
        <w:r>
          <w:instrText xml:space="preserve"> PAGEREF _Toc11770 \h </w:instrText>
        </w:r>
        <w:r>
          <w:fldChar w:fldCharType="separate"/>
        </w:r>
        <w:r>
          <w:t>55</w:t>
        </w:r>
        <w:r>
          <w:fldChar w:fldCharType="end"/>
        </w:r>
      </w:hyperlink>
    </w:p>
    <w:p>
      <w:pPr>
        <w:pStyle w:val="TOC2"/>
        <w:tabs>
          <w:tab w:val="right" w:leader="dot" w:pos="8306"/>
        </w:tabs>
      </w:pPr>
      <w:hyperlink w:anchor="_Toc18064" w:history="1">
        <w:r>
          <w:rPr>
            <w:rFonts w:ascii="仿宋" w:eastAsia="仿宋" w:hAnsi="仿宋" w:cs="仿宋" w:hint="eastAsia"/>
            <w:lang w:eastAsia="zh-CN"/>
          </w:rPr>
          <w:t>(一)、人才需求与规划</w:t>
        </w:r>
        <w:r>
          <w:tab/>
        </w:r>
        <w:r>
          <w:fldChar w:fldCharType="begin"/>
        </w:r>
        <w:r>
          <w:instrText xml:space="preserve"> PAGEREF _Toc18064 \h </w:instrText>
        </w:r>
        <w:r>
          <w:fldChar w:fldCharType="separate"/>
        </w:r>
        <w:r>
          <w:t>55</w:t>
        </w:r>
        <w:r>
          <w:fldChar w:fldCharType="end"/>
        </w:r>
      </w:hyperlink>
    </w:p>
    <w:p>
      <w:pPr>
        <w:pStyle w:val="TOC2"/>
        <w:tabs>
          <w:tab w:val="right" w:leader="dot" w:pos="8306"/>
        </w:tabs>
      </w:pPr>
      <w:hyperlink w:anchor="_Toc139" w:history="1">
        <w:r>
          <w:rPr>
            <w:rFonts w:ascii="仿宋" w:eastAsia="仿宋" w:hAnsi="仿宋" w:cs="仿宋" w:hint="eastAsia"/>
            <w:lang w:eastAsia="zh-CN"/>
          </w:rPr>
          <w:t>(二)、培训与发展计划</w:t>
        </w:r>
        <w:r>
          <w:tab/>
        </w:r>
        <w:r>
          <w:fldChar w:fldCharType="begin"/>
        </w:r>
        <w:r>
          <w:instrText xml:space="preserve"> PAGEREF _Toc139 \h </w:instrText>
        </w:r>
        <w:r>
          <w:fldChar w:fldCharType="separate"/>
        </w:r>
        <w:r>
          <w:t>55</w:t>
        </w:r>
        <w:r>
          <w:fldChar w:fldCharType="end"/>
        </w:r>
      </w:hyperlink>
    </w:p>
    <w:p>
      <w:pPr>
        <w:pStyle w:val="TOC1"/>
        <w:tabs>
          <w:tab w:val="right" w:leader="dot" w:pos="8306"/>
        </w:tabs>
      </w:pPr>
      <w:hyperlink w:anchor="_Toc22228" w:history="1">
        <w:r>
          <w:rPr>
            <w:rFonts w:ascii="仿宋" w:eastAsia="仿宋" w:hAnsi="仿宋" w:cs="仿宋" w:hint="eastAsia"/>
            <w:lang w:eastAsia="zh-CN"/>
          </w:rPr>
          <w:t>十三、风险识别与分类</w:t>
        </w:r>
        <w:r>
          <w:tab/>
        </w:r>
        <w:r>
          <w:fldChar w:fldCharType="begin"/>
        </w:r>
        <w:r>
          <w:instrText xml:space="preserve"> PAGEREF _Toc22228 \h </w:instrText>
        </w:r>
        <w:r>
          <w:fldChar w:fldCharType="separate"/>
        </w:r>
        <w:r>
          <w:t>56</w:t>
        </w:r>
        <w:r>
          <w:fldChar w:fldCharType="end"/>
        </w:r>
      </w:hyperlink>
    </w:p>
    <w:p>
      <w:pPr>
        <w:pStyle w:val="TOC2"/>
        <w:tabs>
          <w:tab w:val="right" w:leader="dot" w:pos="8306"/>
        </w:tabs>
      </w:pPr>
      <w:hyperlink w:anchor="_Toc22782" w:history="1">
        <w:r>
          <w:rPr>
            <w:rFonts w:ascii="仿宋" w:eastAsia="仿宋" w:hAnsi="仿宋" w:cs="仿宋" w:hint="eastAsia"/>
            <w:lang w:eastAsia="zh-CN"/>
          </w:rPr>
          <w:t>(一)、风险识别</w:t>
        </w:r>
        <w:r>
          <w:tab/>
        </w:r>
        <w:r>
          <w:fldChar w:fldCharType="begin"/>
        </w:r>
        <w:r>
          <w:instrText xml:space="preserve"> PAGEREF _Toc22782 \h </w:instrText>
        </w:r>
        <w:r>
          <w:fldChar w:fldCharType="separate"/>
        </w:r>
        <w:r>
          <w:t>56</w:t>
        </w:r>
        <w:r>
          <w:fldChar w:fldCharType="end"/>
        </w:r>
      </w:hyperlink>
    </w:p>
    <w:p>
      <w:pPr>
        <w:pStyle w:val="TOC2"/>
        <w:tabs>
          <w:tab w:val="right" w:leader="dot" w:pos="8306"/>
        </w:tabs>
      </w:pPr>
      <w:hyperlink w:anchor="_Toc20061" w:history="1">
        <w:r>
          <w:rPr>
            <w:rFonts w:ascii="仿宋" w:eastAsia="仿宋" w:hAnsi="仿宋" w:cs="仿宋" w:hint="eastAsia"/>
            <w:lang w:eastAsia="zh-CN"/>
          </w:rPr>
          <w:t>(二)、风险分类</w:t>
        </w:r>
        <w:r>
          <w:tab/>
        </w:r>
        <w:r>
          <w:fldChar w:fldCharType="begin"/>
        </w:r>
        <w:r>
          <w:instrText xml:space="preserve"> PAGEREF _Toc20061 \h </w:instrText>
        </w:r>
        <w:r>
          <w:fldChar w:fldCharType="separate"/>
        </w:r>
        <w:r>
          <w:t>57</w:t>
        </w:r>
        <w:r>
          <w:fldChar w:fldCharType="end"/>
        </w:r>
      </w:hyperlink>
    </w:p>
    <w:p>
      <w:pPr>
        <w:pStyle w:val="TOC1"/>
        <w:tabs>
          <w:tab w:val="right" w:leader="dot" w:pos="8306"/>
        </w:tabs>
      </w:pPr>
      <w:hyperlink w:anchor="_Toc6615" w:history="1">
        <w:r>
          <w:rPr>
            <w:rFonts w:ascii="仿宋" w:eastAsia="仿宋" w:hAnsi="仿宋" w:cs="仿宋" w:hint="eastAsia"/>
            <w:lang w:eastAsia="zh-CN"/>
          </w:rPr>
          <w:t>十四、转基因耐贮藏番茄项目治理与监督</w:t>
        </w:r>
        <w:r>
          <w:tab/>
        </w:r>
        <w:r>
          <w:fldChar w:fldCharType="begin"/>
        </w:r>
        <w:r>
          <w:instrText xml:space="preserve"> PAGEREF _Toc6615 \h </w:instrText>
        </w:r>
        <w:r>
          <w:fldChar w:fldCharType="separate"/>
        </w:r>
        <w:r>
          <w:t>59</w:t>
        </w:r>
        <w:r>
          <w:fldChar w:fldCharType="end"/>
        </w:r>
      </w:hyperlink>
    </w:p>
    <w:p>
      <w:pPr>
        <w:pStyle w:val="TOC2"/>
        <w:tabs>
          <w:tab w:val="right" w:leader="dot" w:pos="8306"/>
        </w:tabs>
      </w:pPr>
      <w:hyperlink w:anchor="_Toc5913" w:history="1">
        <w:r>
          <w:rPr>
            <w:rFonts w:ascii="仿宋" w:eastAsia="仿宋" w:hAnsi="仿宋" w:cs="仿宋" w:hint="eastAsia"/>
            <w:lang w:eastAsia="zh-CN"/>
          </w:rPr>
          <w:t>(一)、转基因耐贮藏番茄项目治理结构</w:t>
        </w:r>
        <w:r>
          <w:tab/>
        </w:r>
        <w:r>
          <w:fldChar w:fldCharType="begin"/>
        </w:r>
        <w:r>
          <w:instrText xml:space="preserve"> PAGEREF _Toc5913 \h </w:instrText>
        </w:r>
        <w:r>
          <w:fldChar w:fldCharType="separate"/>
        </w:r>
        <w:r>
          <w:t>59</w:t>
        </w:r>
        <w:r>
          <w:fldChar w:fldCharType="end"/>
        </w:r>
      </w:hyperlink>
    </w:p>
    <w:p>
      <w:pPr>
        <w:pStyle w:val="TOC2"/>
        <w:tabs>
          <w:tab w:val="right" w:leader="dot" w:pos="8306"/>
        </w:tabs>
      </w:pPr>
      <w:hyperlink w:anchor="_Toc6391" w:history="1">
        <w:r>
          <w:rPr>
            <w:rFonts w:ascii="仿宋" w:eastAsia="仿宋" w:hAnsi="仿宋" w:cs="仿宋" w:hint="eastAsia"/>
            <w:lang w:eastAsia="zh-CN"/>
          </w:rPr>
          <w:t>(二)、监督与审计</w:t>
        </w:r>
        <w:r>
          <w:tab/>
        </w:r>
        <w:r>
          <w:fldChar w:fldCharType="begin"/>
        </w:r>
        <w:r>
          <w:instrText xml:space="preserve"> PAGEREF _Toc6391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673"/>
      <w:r>
        <w:rPr>
          <w:rFonts w:ascii="仿宋" w:eastAsia="仿宋" w:hAnsi="仿宋" w:cs="仿宋" w:hint="eastAsia"/>
          <w:sz w:val="28"/>
          <w:lang w:eastAsia="zh-CN"/>
        </w:rPr>
        <w:t>一、转基因耐贮藏番茄项目绩效评估</w:t>
      </w:r>
      <w:bookmarkEnd w:id="2"/>
    </w:p>
    <w:p>
      <w:pPr>
        <w:pStyle w:val="Heading2"/>
        <w:rPr>
          <w:rFonts w:ascii="仿宋" w:eastAsia="仿宋" w:hAnsi="仿宋" w:cs="仿宋" w:hint="eastAsia"/>
          <w:lang w:eastAsia="zh-CN"/>
        </w:rPr>
      </w:pPr>
      <w:bookmarkStart w:id="3" w:name="_Toc1137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转基因耐贮藏番茄项目中，我们设计了一套全面的绩效评估指标，以确保转基因耐贮藏番茄项目的可控和成功交付。这些指标跨足转基因耐贮藏番茄项目目标、成本、进度和质量等多个维度，为我们提供了全面洞察转基因耐贮藏番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耐贮藏番茄项目目标达成率是我们关注的首要指标。我们设定了明确的目标，并通过定期监测和评估，迅速发现并应对潜在的目标偏差。这为转基因耐贮藏番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成本绩效是另一个核心关注点。通过实际成本与预算成本的对比分析，我们深入了解成本差异的原因，及时调整资源分配，保持转基因耐贮藏番茄项目在经济效益方面的合理水平。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耐贮藏番茄项目进度作为关键的绩效指标之一，得到了精心的关注。我们制定了详细的转基因耐贮藏番茄项目进度计划，并设立了进度符合度指标，确保实际进度与计划进度保持一致。这使我们能够快速发现和解决潜在的进度问题，保持转基因耐贮藏番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转基因耐贮藏番茄项目绩效的不可或缺的一环。我们引入了一系列的质量标准和客户满意度指标，以确保转基因耐贮藏番茄项目交付的成果在质量上达到或超越预期水平。通过持续监测这些指标，我们努力提升转基因耐贮藏番茄项目整体质量水平，为转基因耐贮藏番茄项目的成功交付提供有力保障。通过这些科学且全面的绩效评估，我们能够更好地引导转基因耐贮藏番茄项目的持续改进，确保转基因耐贮藏番茄项目目标的顺利达成。</w:t>
      </w:r>
    </w:p>
    <w:p>
      <w:pPr>
        <w:pStyle w:val="Heading2"/>
        <w:ind w:firstLine="560" w:firstLineChars="200"/>
        <w:rPr>
          <w:rFonts w:ascii="仿宋" w:eastAsia="仿宋" w:hAnsi="仿宋" w:cs="仿宋" w:hint="eastAsia"/>
          <w:sz w:val="28"/>
          <w:lang w:eastAsia="zh-CN"/>
        </w:rPr>
      </w:pPr>
      <w:bookmarkStart w:id="4" w:name="_Toc2554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绩效评估是转基因耐贮藏番茄项目中的关键环节，为确保转基因耐贮藏番茄项目达到预期目标，我们采用了多层次、多维度的绩效评估方法。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转基因耐贮藏番茄项目的战略目标对齐，确保每个决策和行动都与转基因耐贮藏番茄项目整体目标保持一致。团队会定期召开战略对齐会议，审视当前工作与转基因耐贮藏番茄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转基因耐贮藏番茄项目进度、质量、成本和风险等方面。这些指标通过数据收集和分析，为转基因耐贮藏番茄项目管理团队提供了客观的评估依据。例如，我们通过转基因耐贮藏番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转基因耐贮藏番茄项目内部，还考虑了转基因耐贮藏番茄项目对外部环境的影响。我们定期进行干系人满意度调查，以了解各利益相关方对转基因耐贮藏番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这种多层次、多角度的绩效评估方法，使得我们能够全面了解转基因耐贮藏番茄项目的运行状态，及时做出调整，确保转基因耐贮藏番茄项目在不断变化的环境中保持稳健前行。</w:t>
      </w:r>
    </w:p>
    <w:p>
      <w:pPr>
        <w:pStyle w:val="Heading2"/>
        <w:ind w:firstLine="560" w:firstLineChars="200"/>
        <w:rPr>
          <w:rFonts w:ascii="仿宋" w:eastAsia="仿宋" w:hAnsi="仿宋" w:cs="仿宋" w:hint="eastAsia"/>
          <w:sz w:val="28"/>
          <w:lang w:eastAsia="zh-CN"/>
        </w:rPr>
      </w:pPr>
      <w:bookmarkStart w:id="5" w:name="_Toc1020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为了确保转基因耐贮藏番茄项目的有效管理和不断优化，我们采用了精心设计的绩效评估周期。这个周期旨在实现灵活、实时和全面的评估，以适应转基因耐贮藏番茄项目执行中的各种挑战。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转基因耐贮藏番茄项目的不同需求，分为短期、中期和长期。短期评估关注每个迭代或工作周期，以及时发现和解决当前任务中的问题。中期评估涵盖几个迭代，深入了解整体转基因耐贮藏番茄项目的趋势和性能。长期评估则着眼于整个转基因耐贮藏番茄项目阶段，确保转基因耐贮藏番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转基因耐贮藏番茄项目管理工具和协作平台，团队成员能够随时更新和分享转基因耐贮藏番茄项目数据。这种实时性的反馈机制使我们能够及时察觉潜在问题，快速调整，保持转基因耐贮藏番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转基因耐贮藏番茄项目的决策制定密不可分。每个周期的转基因耐贮藏番茄项目回顾会议成为集体总结经验、识别问题深层次原因并找到创新解决方案的平台。这种定期的反思与调整机制使转基因耐贮藏番茄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32"/>
      <w:r>
        <w:rPr>
          <w:rFonts w:ascii="仿宋" w:eastAsia="仿宋" w:hAnsi="仿宋" w:cs="仿宋" w:hint="eastAsia"/>
          <w:sz w:val="28"/>
          <w:lang w:eastAsia="zh-CN"/>
        </w:rPr>
        <w:t>二、转基因耐贮藏番茄项目建设单位说明</w:t>
      </w:r>
      <w:bookmarkEnd w:id="6"/>
    </w:p>
    <w:p>
      <w:pPr>
        <w:pStyle w:val="Heading2"/>
        <w:rPr>
          <w:rFonts w:ascii="仿宋" w:eastAsia="仿宋" w:hAnsi="仿宋" w:cs="仿宋" w:hint="eastAsia"/>
          <w:lang w:eastAsia="zh-CN"/>
        </w:rPr>
      </w:pPr>
      <w:bookmarkStart w:id="7" w:name="_Toc22847"/>
      <w:r>
        <w:rPr>
          <w:rFonts w:ascii="仿宋" w:eastAsia="仿宋" w:hAnsi="仿宋" w:cs="仿宋" w:hint="eastAsia"/>
          <w:lang w:eastAsia="zh-CN"/>
        </w:rPr>
        <w:t>(一)、转基因耐贮藏番茄项目承办单位基本情况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270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转基因耐贮藏番茄项目承办单位的XXXX，我们着眼于实现可持续的经济效益。通过技术创新和解决方案的提供，公司预计在转基因耐贮藏番茄项目执行期间将获得可观的收入增长。这一收入来源主要包括转基因耐贮藏番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同时，我们注重成本控制和效率提升，以确保转基因耐贮藏番茄项目的可持续盈利。透过精细的管理和资源优化，公司期望实现转基因耐贮藏番茄项目利润最大化。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转基因耐贮藏番茄项目实施进行全面的投资评估，包括转基因耐贮藏番茄项目启动阶段的资金投入和后续运营成本。通过对转基因耐贮藏番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转基因耐贮藏番茄项目实施过程中具备足够的资金流动性，公司将进行详尽的现金流分析。这包括资金需求的合理预测、转基因耐贮藏番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6743"/>
      <w:r>
        <w:rPr>
          <w:rFonts w:ascii="仿宋" w:eastAsia="仿宋" w:hAnsi="仿宋" w:cs="仿宋" w:hint="eastAsia"/>
          <w:sz w:val="28"/>
          <w:lang w:eastAsia="zh-CN"/>
        </w:rPr>
        <w:t>三、转基因耐贮藏番茄项目选址可行性分析</w:t>
      </w:r>
      <w:bookmarkEnd w:id="9"/>
    </w:p>
    <w:p>
      <w:pPr>
        <w:pStyle w:val="Heading2"/>
        <w:rPr>
          <w:rFonts w:ascii="仿宋" w:eastAsia="仿宋" w:hAnsi="仿宋" w:cs="仿宋" w:hint="eastAsia"/>
          <w:lang w:eastAsia="zh-CN"/>
        </w:rPr>
      </w:pPr>
      <w:bookmarkStart w:id="10" w:name="_Toc13760"/>
      <w:r>
        <w:rPr>
          <w:rFonts w:ascii="仿宋" w:eastAsia="仿宋" w:hAnsi="仿宋" w:cs="仿宋" w:hint="eastAsia"/>
          <w:lang w:eastAsia="zh-CN"/>
        </w:rPr>
        <w:t>(一)、转基因耐贮藏番茄项目选址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该转基因耐贮藏番茄项目选址位于XX省XX市XX区XXX街道</w:t>
      </w:r>
    </w:p>
    <w:p>
      <w:pPr>
        <w:pStyle w:val="Heading2"/>
        <w:ind w:firstLine="560" w:firstLineChars="200"/>
        <w:rPr>
          <w:rFonts w:ascii="仿宋" w:eastAsia="仿宋" w:hAnsi="仿宋" w:cs="仿宋" w:hint="eastAsia"/>
          <w:sz w:val="28"/>
          <w:lang w:eastAsia="zh-CN"/>
        </w:rPr>
      </w:pPr>
      <w:bookmarkStart w:id="11" w:name="_Toc903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转基因耐贮藏番茄项目的征地面积将根据转基因耐贮藏番茄项目的实际规模和需求进行精确规划。具体面积XXX平方米，旨在确保转基因耐贮藏番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净用地面积是在征地面积基础上去除不可利用面积后的实际可开发用地。具体面积XXX平方米，考虑到环保、交通、安全等多方面因素，以确保转基因耐贮藏番茄项目在整体利用效率上达到最优。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转基因耐贮藏番茄项目计划建设的建筑总规模具体面积XXX平方米。这一规模的确定综合考虑了转基因耐贮藏番茄项目的性质、规模，以及城市规划的相关要求，确保建筑布局与周边环境协调一致。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绿地率是转基因耐贮藏番茄项目用地中被规划为绿地的比例。具体面积XXX平方米，旨在通过合理规划绿地，改善转基因耐贮藏番茄项目周边环境，提升居民生活质量，并符合城市整体绿化规划。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容积率是用地上可以建设的建筑总体积与用地面积之比。具体面积XXX，通过合理的容积率规划，确保转基因耐贮藏番茄项目建筑规模与周边环境和谐共生。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转基因耐贮藏番茄项目选址与当地城市规划相一致，具体面积XXX平方米。通过与城市规划部门深入沟通，确保转基因耐贮藏番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转基因耐贮藏番茄项目选址符合当地产业政策，具体面积XXX平方米。这包括转基因耐贮藏番茄项目对当地经济的促进作用，以及对相关产业的带动效应，确保转基因耐贮藏番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用地总体要求必须符合环保和可持续发展的原则，具体面积XXX平方米。通过采用绿色建筑设计、节能减排等措施，确保转基因耐贮藏番茄项目在建设和运营过程中对环境的影响最小化，达到可持续发展的要求。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确保转基因耐贮藏番茄项目选址具备必要的公共设施配套，具体面积XXX平方米。这包括交通便利性、教育、医疗等基础设施，以提高居民生活品质，使得转基因耐贮藏番茄项目选址更具吸引力。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考虑用地总体要求对当地社会稳定性的影响，具体面积XXX平方米。通过深入了解当地社区反馈，确保转基因耐贮藏番茄项目的选址和建设过程对当地社会和谐稳定产生积极作用。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转基因耐贮藏番茄项目选址不仅符合法规和规划，还在实际操作中具有可行性。这一全面规划将为转基因耐贮藏番茄项目的成功实施提供坚实的基础，确保转基因耐贮藏番茄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457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基因耐贮藏番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转基因耐贮藏番茄项目的设备规划和空间设计中，我们将采取灵活设备布局的措施。设备布局将根据实际需求进行灵活设计，避免不必要的浪费。通过合理规划设备摆放位置，我们将提高设备的利用率，减少设备间距，以确保转基因耐贮藏番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转基因耐贮藏番茄项目内部引入共享设施的概念，例如共享会议室、办公区等。通过这种方式，我们可以减少对资源的重复建设，提高资源共享效率，从而减小转基因耐贮藏番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49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转基因耐贮藏番茄项目的总图布置中，我们将不同功能区域进行明确的规划，以最大程度满足转基因耐贮藏番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332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转基因耐贮藏番茄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转基因耐贮藏番茄项目对环境的影响是综合评价的重要因素之一。我们将详细考虑选址周边的自然环境、生态保护区、水源地等情况，确保转基因耐贮藏番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对选址的评价还需充分考虑当地政府的产业政策和法规。我们将详细了解转基因耐贮藏番茄项目所在地的相关政策，确保转基因耐贮藏番茄项目的规划和运营与当地法规相符，降低不必要的法律风险。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考虑到社会稳定性对企业运营的重要性，我们将评估选址地区的社会安全情况、劳工关系、社区反馈等方面，以确保转基因耐贮藏番茄项目的建设和运营不会受到社会稳定性的负面影响。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最后，我们将综合考虑用地成本，包括土地购置费用、土地开发成本等。通过对用地成本的详细评估，我们能够做出更为精确的经济效益分析，为转基因耐贮藏番茄项目的投资决策提供有力支持。</w:t>
      </w:r>
    </w:p>
    <w:p>
      <w:pPr>
        <w:pStyle w:val="Heading1"/>
        <w:ind w:firstLine="560" w:firstLineChars="200"/>
        <w:rPr>
          <w:rFonts w:ascii="仿宋" w:eastAsia="仿宋" w:hAnsi="仿宋" w:cs="仿宋" w:hint="eastAsia"/>
          <w:sz w:val="28"/>
          <w:lang w:eastAsia="zh-CN"/>
        </w:rPr>
      </w:pPr>
      <w:bookmarkStart w:id="15" w:name="_Toc32066"/>
      <w:r>
        <w:rPr>
          <w:rFonts w:ascii="仿宋" w:eastAsia="仿宋" w:hAnsi="仿宋" w:cs="仿宋" w:hint="eastAsia"/>
          <w:sz w:val="28"/>
          <w:lang w:eastAsia="zh-CN"/>
        </w:rPr>
        <w:t>四、转基因耐贮藏番茄项目建设背景及必要性分析</w:t>
      </w:r>
      <w:bookmarkEnd w:id="15"/>
    </w:p>
    <w:p>
      <w:pPr>
        <w:pStyle w:val="Heading2"/>
        <w:rPr>
          <w:rFonts w:ascii="仿宋" w:eastAsia="仿宋" w:hAnsi="仿宋" w:cs="仿宋" w:hint="eastAsia"/>
          <w:lang w:eastAsia="zh-CN"/>
        </w:rPr>
      </w:pPr>
      <w:bookmarkStart w:id="16" w:name="_Toc28474"/>
      <w:r>
        <w:rPr>
          <w:rFonts w:ascii="仿宋" w:eastAsia="仿宋" w:hAnsi="仿宋" w:cs="仿宋" w:hint="eastAsia"/>
          <w:lang w:eastAsia="zh-CN"/>
        </w:rPr>
        <w:t>(一)、转基因耐贮藏番茄项目背景分析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耐贮藏番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转基因耐贮藏番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转基因耐贮藏番茄项目在这个潮流中的定位。同时，我们将关注行业内涌现的新兴机遇，以便转基因耐贮藏番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转基因耐贮藏番茄项目提供了强大的发展动力。我们将聚焦于行业内最新的技术发展趋势，包括但不限于人工智能、大数据分析、物联网等领域。通过深度的技术研究，我们将确保转基因耐贮藏番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转基因耐贮藏番茄项目发展的源泉。我们将投入更多的精力对市场需求进行深入剖析，超越表面的需求，深入挖掘潜在的市场痛点和机遇。通过对市场需求的细致了解，转基因耐贮藏番茄项目将更有针对性地设计解决方案，满足市场的多样化需求，从而更好地促进转基因耐贮藏番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转基因耐贮藏番茄项目战略至关重要。我们将对竞争态势进行更为深入的分析，包括但不限于市场份额、产品特点、客户满意度等多个维度。通过深度的竞争分析，转基因耐贮藏番茄项目将能够更准确地把握市场脉搏，制定具有竞争力的转基因耐贮藏番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转基因耐贮藏番茄项目的发展具有直接的影响。我们将进行更为全面的法规和政策分析，了解行业发展中的潜在法律风险和合规挑战。通过充分了解和遵守相关法规，转基因耐贮藏番茄项目将确保在法律框架内合法合规运营，为转基因耐贮藏番茄项目的稳健发展提供有力支持。</w:t>
      </w:r>
    </w:p>
    <w:p>
      <w:pPr>
        <w:pStyle w:val="Heading2"/>
        <w:ind w:firstLine="560" w:firstLineChars="200"/>
        <w:rPr>
          <w:rFonts w:ascii="仿宋" w:eastAsia="仿宋" w:hAnsi="仿宋" w:cs="仿宋" w:hint="eastAsia"/>
          <w:sz w:val="28"/>
          <w:lang w:eastAsia="zh-CN"/>
        </w:rPr>
      </w:pPr>
      <w:bookmarkStart w:id="17" w:name="_Toc11178"/>
      <w:r>
        <w:rPr>
          <w:rFonts w:ascii="仿宋" w:eastAsia="仿宋" w:hAnsi="仿宋" w:cs="仿宋" w:hint="eastAsia"/>
          <w:sz w:val="28"/>
          <w:lang w:eastAsia="zh-CN"/>
        </w:rPr>
        <w:t>(二)、转基因耐贮藏番茄项目建设必要性分析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耐贮藏番茄项目建设的迫切性源于对行业发展趋势的深刻洞察。我们正处于一个行业变革的时代，科技创新、数字化转型成为企业发展的关键动力。转基因耐贮藏番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耐贮藏番茄项目建设不仅仅是为了跟上潮流，更是为了通过技术创新推动企业的持续发展。通过引入先进的技术和解决方案，转基因耐贮藏番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转基因耐贮藏番茄项目的建设成为必然选择，通过提高产品质量、拓展服务领域，从而在竞争中获得更多的机会。转基因耐贮藏番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转基因耐贮藏番茄项目建设的必要性体现在对客户需求更精准的满足。通过转基因耐贮藏番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耐贮藏番茄项目建设的背后是对企业持续创新的追求。只有通过不断创新，企业才能在竞争中立于不败之地。转基因耐贮藏番茄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https://d.book118.com/766133130113010042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E84C2E"/>
    <w:rsid w:val="66E84C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13313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2024-01-29T04:29:00Z</dcterms:created>
  <dcterms:modified xsi:type="dcterms:W3CDTF">2024-01-29T04:29:53Z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9009462A2AB04515B8752F8CF9C2C928_11</vt:lpwstr>
  </property>
  <property fmtid="{D5CDD505-2E9C-101B-9397-08002B2CF9AE}" pid="3" name="KSOProductBuildVer">
    <vt:lpwstr>2052-12.1.0.16250</vt:lpwstr>
  </property>
</Properties>
</file>