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480" w:lineRule="exact"/>
        <w:outlineLvl w:val="0"/>
        <w:rPr>
          <w:rFonts w:eastAsia="黑体"/>
          <w:b/>
          <w:bCs/>
        </w:rPr>
      </w:pPr>
      <w:r>
        <w:rPr>
          <w:rFonts w:eastAsia="黑体"/>
          <w:b/>
          <w:bCs/>
        </w:rPr>
        <w:t>建设项目基本情况</w:t>
      </w: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Look w:val="0000"/>
      </w:tblPr>
      <w:tblGrid>
        <w:gridCol w:w="1543"/>
        <w:gridCol w:w="1544"/>
        <w:gridCol w:w="11"/>
        <w:gridCol w:w="1544"/>
        <w:gridCol w:w="17"/>
        <w:gridCol w:w="16"/>
        <w:gridCol w:w="1558"/>
        <w:gridCol w:w="32"/>
        <w:gridCol w:w="1545"/>
        <w:gridCol w:w="1544"/>
      </w:tblGrid>
      <w:tr>
        <w:tblPrEx>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Look w:val="0000"/>
        </w:tblPrEx>
        <w:trPr>
          <w:trHeight w:hRule="exact" w:val="510"/>
          <w:jc w:val="center"/>
        </w:trPr>
        <w:tc>
          <w:tcPr>
            <w:tcW w:w="1543" w:type="dxa"/>
            <w:tcMar>
              <w:left w:w="0" w:type="dxa"/>
              <w:right w:w="0" w:type="dxa"/>
            </w:tcMar>
            <w:vAlign w:val="center"/>
          </w:tcPr>
          <w:p>
            <w:pPr>
              <w:adjustRightInd w:val="0"/>
              <w:snapToGrid w:val="0"/>
              <w:jc w:val="center"/>
              <w:rPr>
                <w:b/>
                <w:sz w:val="24"/>
              </w:rPr>
            </w:pPr>
            <w:r>
              <w:rPr>
                <w:b/>
                <w:sz w:val="24"/>
              </w:rPr>
              <w:t>项目名称</w:t>
            </w:r>
          </w:p>
        </w:tc>
        <w:tc>
          <w:tcPr>
            <w:tcW w:w="7811" w:type="dxa"/>
            <w:gridSpan w:val="9"/>
            <w:tcMar>
              <w:left w:w="0" w:type="dxa"/>
              <w:right w:w="0" w:type="dxa"/>
            </w:tcMar>
            <w:vAlign w:val="center"/>
          </w:tcPr>
          <w:p>
            <w:pPr>
              <w:jc w:val="center"/>
              <w:rPr>
                <w:rFonts w:hAnsi="宋体" w:hint="eastAsia"/>
                <w:spacing w:val="-4"/>
                <w:sz w:val="24"/>
                <w:szCs w:val="24"/>
              </w:rPr>
            </w:pPr>
            <w:r>
              <w:rPr>
                <w:rFonts w:hAnsi="宋体" w:hint="eastAsia"/>
                <w:spacing w:val="-4"/>
                <w:sz w:val="24"/>
                <w:szCs w:val="24"/>
              </w:rPr>
              <w:t>抚州市万达广场建设项目</w:t>
            </w:r>
          </w:p>
        </w:tc>
      </w:tr>
      <w:tr>
        <w:tblPrEx>
          <w:jc w:val="center"/>
          <w:tblInd w:w="-15" w:type="dxa"/>
          <w:tblLayout w:type="fixed"/>
          <w:tblCellMar>
            <w:top w:w="0" w:type="dxa"/>
            <w:left w:w="0" w:type="dxa"/>
            <w:bottom w:w="0" w:type="dxa"/>
            <w:right w:w="0" w:type="dxa"/>
          </w:tblCellMar>
          <w:tblLook w:val="0000"/>
        </w:tblPrEx>
        <w:trPr>
          <w:trHeight w:hRule="exact" w:val="510"/>
          <w:jc w:val="center"/>
        </w:trPr>
        <w:tc>
          <w:tcPr>
            <w:tcW w:w="1543" w:type="dxa"/>
            <w:tcMar>
              <w:left w:w="0" w:type="dxa"/>
              <w:right w:w="0" w:type="dxa"/>
            </w:tcMar>
            <w:vAlign w:val="center"/>
          </w:tcPr>
          <w:p>
            <w:pPr>
              <w:adjustRightInd w:val="0"/>
              <w:snapToGrid w:val="0"/>
              <w:jc w:val="center"/>
              <w:rPr>
                <w:b/>
                <w:sz w:val="24"/>
              </w:rPr>
            </w:pPr>
            <w:r>
              <w:rPr>
                <w:b/>
                <w:sz w:val="24"/>
              </w:rPr>
              <w:t>建设单位</w:t>
            </w:r>
          </w:p>
        </w:tc>
        <w:tc>
          <w:tcPr>
            <w:tcW w:w="7811" w:type="dxa"/>
            <w:gridSpan w:val="9"/>
            <w:tcMar>
              <w:left w:w="0" w:type="dxa"/>
              <w:right w:w="0" w:type="dxa"/>
            </w:tcMar>
            <w:vAlign w:val="center"/>
          </w:tcPr>
          <w:p>
            <w:pPr>
              <w:adjustRightInd w:val="0"/>
              <w:snapToGrid w:val="0"/>
              <w:jc w:val="center"/>
              <w:rPr>
                <w:rFonts w:hint="eastAsia"/>
                <w:sz w:val="24"/>
                <w:szCs w:val="24"/>
              </w:rPr>
            </w:pPr>
            <w:r>
              <w:rPr>
                <w:rFonts w:hint="eastAsia"/>
                <w:sz w:val="24"/>
                <w:szCs w:val="24"/>
              </w:rPr>
              <w:t>抚州万达广场投资有限公司</w:t>
            </w:r>
          </w:p>
        </w:tc>
      </w:tr>
      <w:tr>
        <w:tblPrEx>
          <w:jc w:val="center"/>
          <w:tblInd w:w="-15" w:type="dxa"/>
          <w:tblLayout w:type="fixed"/>
          <w:tblCellMar>
            <w:top w:w="0" w:type="dxa"/>
            <w:left w:w="0" w:type="dxa"/>
            <w:bottom w:w="0" w:type="dxa"/>
            <w:right w:w="0" w:type="dxa"/>
          </w:tblCellMar>
          <w:tblLook w:val="0000"/>
        </w:tblPrEx>
        <w:trPr>
          <w:trHeight w:hRule="exact" w:val="510"/>
          <w:jc w:val="center"/>
        </w:trPr>
        <w:tc>
          <w:tcPr>
            <w:tcW w:w="1543" w:type="dxa"/>
            <w:tcMar>
              <w:left w:w="0" w:type="dxa"/>
              <w:right w:w="0" w:type="dxa"/>
            </w:tcMar>
            <w:vAlign w:val="center"/>
          </w:tcPr>
          <w:p>
            <w:pPr>
              <w:adjustRightInd w:val="0"/>
              <w:snapToGrid w:val="0"/>
              <w:jc w:val="center"/>
              <w:rPr>
                <w:b/>
                <w:sz w:val="24"/>
              </w:rPr>
            </w:pPr>
            <w:r>
              <w:rPr>
                <w:b/>
                <w:sz w:val="24"/>
              </w:rPr>
              <w:t>法人代表</w:t>
            </w:r>
          </w:p>
        </w:tc>
        <w:tc>
          <w:tcPr>
            <w:tcW w:w="3116" w:type="dxa"/>
            <w:gridSpan w:val="4"/>
            <w:tcMar>
              <w:left w:w="0" w:type="dxa"/>
              <w:right w:w="0" w:type="dxa"/>
            </w:tcMar>
            <w:vAlign w:val="center"/>
          </w:tcPr>
          <w:p>
            <w:pPr>
              <w:adjustRightInd w:val="0"/>
              <w:snapToGrid w:val="0"/>
              <w:jc w:val="center"/>
              <w:rPr>
                <w:rFonts w:hint="eastAsia"/>
                <w:sz w:val="24"/>
              </w:rPr>
            </w:pPr>
          </w:p>
        </w:tc>
        <w:tc>
          <w:tcPr>
            <w:tcW w:w="1574" w:type="dxa"/>
            <w:gridSpan w:val="2"/>
            <w:tcMar>
              <w:left w:w="0" w:type="dxa"/>
              <w:right w:w="0" w:type="dxa"/>
            </w:tcMar>
            <w:vAlign w:val="center"/>
          </w:tcPr>
          <w:p>
            <w:pPr>
              <w:adjustRightInd w:val="0"/>
              <w:snapToGrid w:val="0"/>
              <w:jc w:val="center"/>
              <w:rPr>
                <w:b/>
                <w:sz w:val="24"/>
              </w:rPr>
            </w:pPr>
          </w:p>
        </w:tc>
        <w:tc>
          <w:tcPr>
            <w:tcW w:w="3121" w:type="dxa"/>
            <w:gridSpan w:val="3"/>
            <w:tcMar>
              <w:left w:w="0" w:type="dxa"/>
              <w:right w:w="0" w:type="dxa"/>
            </w:tcMar>
            <w:vAlign w:val="center"/>
          </w:tcPr>
          <w:p>
            <w:pPr>
              <w:adjustRightInd w:val="0"/>
              <w:snapToGrid w:val="0"/>
              <w:jc w:val="center"/>
              <w:rPr>
                <w:rFonts w:hint="eastAsia"/>
                <w:sz w:val="24"/>
              </w:rPr>
            </w:pPr>
          </w:p>
        </w:tc>
      </w:tr>
      <w:tr>
        <w:tblPrEx>
          <w:jc w:val="center"/>
          <w:tblInd w:w="-15" w:type="dxa"/>
          <w:tblLayout w:type="fixed"/>
          <w:tblCellMar>
            <w:top w:w="0" w:type="dxa"/>
            <w:left w:w="0" w:type="dxa"/>
            <w:bottom w:w="0" w:type="dxa"/>
            <w:right w:w="0" w:type="dxa"/>
          </w:tblCellMar>
          <w:tblLook w:val="0000"/>
        </w:tblPrEx>
        <w:trPr>
          <w:trHeight w:hRule="exact" w:val="510"/>
          <w:jc w:val="center"/>
        </w:trPr>
        <w:tc>
          <w:tcPr>
            <w:tcW w:w="1543" w:type="dxa"/>
            <w:tcMar>
              <w:left w:w="0" w:type="dxa"/>
              <w:right w:w="0" w:type="dxa"/>
            </w:tcMar>
            <w:vAlign w:val="center"/>
          </w:tcPr>
          <w:p>
            <w:pPr>
              <w:adjustRightInd w:val="0"/>
              <w:snapToGrid w:val="0"/>
              <w:jc w:val="center"/>
              <w:rPr>
                <w:b/>
                <w:sz w:val="24"/>
              </w:rPr>
            </w:pPr>
            <w:r>
              <w:rPr>
                <w:b/>
                <w:sz w:val="24"/>
              </w:rPr>
              <w:t>通讯地址</w:t>
            </w:r>
          </w:p>
        </w:tc>
        <w:tc>
          <w:tcPr>
            <w:tcW w:w="7811" w:type="dxa"/>
            <w:gridSpan w:val="9"/>
            <w:tcMar>
              <w:left w:w="0" w:type="dxa"/>
              <w:right w:w="0" w:type="dxa"/>
            </w:tcMar>
            <w:vAlign w:val="center"/>
          </w:tcPr>
          <w:p>
            <w:pPr>
              <w:adjustRightInd w:val="0"/>
              <w:snapToGrid w:val="0"/>
              <w:jc w:val="center"/>
              <w:rPr>
                <w:rFonts w:hint="eastAsia"/>
                <w:sz w:val="24"/>
              </w:rPr>
            </w:pPr>
            <w:r>
              <w:rPr>
                <w:rFonts w:hint="eastAsia"/>
                <w:sz w:val="24"/>
              </w:rPr>
              <w:t>抚州市迎宾大道999号</w:t>
            </w:r>
          </w:p>
        </w:tc>
      </w:tr>
      <w:tr>
        <w:tblPrEx>
          <w:jc w:val="center"/>
          <w:tblInd w:w="-15" w:type="dxa"/>
          <w:tblLayout w:type="fixed"/>
          <w:tblCellMar>
            <w:top w:w="0" w:type="dxa"/>
            <w:left w:w="0" w:type="dxa"/>
            <w:bottom w:w="0" w:type="dxa"/>
            <w:right w:w="0" w:type="dxa"/>
          </w:tblCellMar>
          <w:tblLook w:val="0000"/>
        </w:tblPrEx>
        <w:trPr>
          <w:trHeight w:hRule="exact" w:val="510"/>
          <w:jc w:val="center"/>
        </w:trPr>
        <w:tc>
          <w:tcPr>
            <w:tcW w:w="1543" w:type="dxa"/>
            <w:tcMar>
              <w:left w:w="0" w:type="dxa"/>
              <w:right w:w="0" w:type="dxa"/>
            </w:tcMar>
            <w:vAlign w:val="center"/>
          </w:tcPr>
          <w:p>
            <w:pPr>
              <w:adjustRightInd w:val="0"/>
              <w:snapToGrid w:val="0"/>
              <w:jc w:val="center"/>
              <w:rPr>
                <w:b/>
                <w:sz w:val="24"/>
              </w:rPr>
            </w:pPr>
            <w:r>
              <w:rPr>
                <w:b/>
                <w:sz w:val="24"/>
              </w:rPr>
              <w:t>联系电话</w:t>
            </w:r>
          </w:p>
        </w:tc>
        <w:tc>
          <w:tcPr>
            <w:tcW w:w="1555" w:type="dxa"/>
            <w:gridSpan w:val="2"/>
            <w:tcMar>
              <w:left w:w="0" w:type="dxa"/>
              <w:right w:w="0" w:type="dxa"/>
            </w:tcMar>
            <w:vAlign w:val="center"/>
          </w:tcPr>
          <w:p>
            <w:pPr>
              <w:adjustRightInd w:val="0"/>
              <w:snapToGrid w:val="0"/>
              <w:jc w:val="center"/>
              <w:rPr>
                <w:rFonts w:hint="eastAsia"/>
                <w:sz w:val="24"/>
              </w:rPr>
            </w:pPr>
            <w:r>
              <w:rPr>
                <w:rFonts w:hint="eastAsia"/>
                <w:sz w:val="24"/>
              </w:rPr>
              <w:t>18</w:t>
            </w:r>
          </w:p>
        </w:tc>
        <w:tc>
          <w:tcPr>
            <w:tcW w:w="1544" w:type="dxa"/>
            <w:tcMar>
              <w:left w:w="0" w:type="dxa"/>
              <w:right w:w="0" w:type="dxa"/>
            </w:tcMar>
            <w:vAlign w:val="center"/>
          </w:tcPr>
          <w:p>
            <w:pPr>
              <w:adjustRightInd w:val="0"/>
              <w:snapToGrid w:val="0"/>
              <w:jc w:val="center"/>
              <w:rPr>
                <w:b/>
                <w:sz w:val="24"/>
              </w:rPr>
            </w:pPr>
            <w:r>
              <w:rPr>
                <w:b/>
                <w:sz w:val="24"/>
              </w:rPr>
              <w:t>传真</w:t>
            </w:r>
          </w:p>
        </w:tc>
        <w:tc>
          <w:tcPr>
            <w:tcW w:w="1623" w:type="dxa"/>
            <w:gridSpan w:val="4"/>
            <w:tcMar>
              <w:left w:w="0" w:type="dxa"/>
              <w:right w:w="0" w:type="dxa"/>
            </w:tcMar>
            <w:vAlign w:val="center"/>
          </w:tcPr>
          <w:p>
            <w:pPr>
              <w:adjustRightInd w:val="0"/>
              <w:snapToGrid w:val="0"/>
              <w:jc w:val="center"/>
              <w:rPr>
                <w:sz w:val="24"/>
              </w:rPr>
            </w:pPr>
            <w:r>
              <w:rPr>
                <w:rFonts w:hint="eastAsia"/>
                <w:sz w:val="24"/>
              </w:rPr>
              <w:t>---</w:t>
            </w:r>
          </w:p>
        </w:tc>
        <w:tc>
          <w:tcPr>
            <w:tcW w:w="1545" w:type="dxa"/>
            <w:tcMar>
              <w:left w:w="0" w:type="dxa"/>
              <w:right w:w="0" w:type="dxa"/>
            </w:tcMar>
            <w:vAlign w:val="center"/>
          </w:tcPr>
          <w:p>
            <w:pPr>
              <w:adjustRightInd w:val="0"/>
              <w:snapToGrid w:val="0"/>
              <w:jc w:val="center"/>
              <w:rPr>
                <w:b/>
                <w:sz w:val="24"/>
              </w:rPr>
            </w:pPr>
            <w:r>
              <w:rPr>
                <w:b/>
                <w:sz w:val="24"/>
              </w:rPr>
              <w:t>邮政编码</w:t>
            </w:r>
          </w:p>
        </w:tc>
        <w:tc>
          <w:tcPr>
            <w:tcW w:w="1544" w:type="dxa"/>
            <w:tcMar>
              <w:left w:w="0" w:type="dxa"/>
              <w:right w:w="0" w:type="dxa"/>
            </w:tcMar>
            <w:vAlign w:val="center"/>
          </w:tcPr>
          <w:p>
            <w:pPr>
              <w:adjustRightInd w:val="0"/>
              <w:snapToGrid w:val="0"/>
              <w:jc w:val="center"/>
              <w:rPr>
                <w:rFonts w:hint="eastAsia"/>
                <w:sz w:val="24"/>
              </w:rPr>
            </w:pPr>
            <w:r>
              <w:rPr>
                <w:rFonts w:hint="eastAsia"/>
                <w:sz w:val="24"/>
              </w:rPr>
              <w:t>344000</w:t>
            </w:r>
          </w:p>
        </w:tc>
      </w:tr>
      <w:tr>
        <w:tblPrEx>
          <w:jc w:val="center"/>
          <w:tblInd w:w="-15" w:type="dxa"/>
          <w:tblLayout w:type="fixed"/>
          <w:tblCellMar>
            <w:top w:w="0" w:type="dxa"/>
            <w:left w:w="0" w:type="dxa"/>
            <w:bottom w:w="0" w:type="dxa"/>
            <w:right w:w="0" w:type="dxa"/>
          </w:tblCellMar>
          <w:tblLook w:val="0000"/>
        </w:tblPrEx>
        <w:trPr>
          <w:trHeight w:hRule="exact" w:val="510"/>
          <w:jc w:val="center"/>
        </w:trPr>
        <w:tc>
          <w:tcPr>
            <w:tcW w:w="1543" w:type="dxa"/>
            <w:tcMar>
              <w:left w:w="0" w:type="dxa"/>
              <w:right w:w="0" w:type="dxa"/>
            </w:tcMar>
            <w:vAlign w:val="center"/>
          </w:tcPr>
          <w:p>
            <w:pPr>
              <w:adjustRightInd w:val="0"/>
              <w:snapToGrid w:val="0"/>
              <w:jc w:val="center"/>
              <w:rPr>
                <w:b/>
                <w:sz w:val="24"/>
              </w:rPr>
            </w:pPr>
            <w:r>
              <w:rPr>
                <w:b/>
                <w:sz w:val="24"/>
              </w:rPr>
              <w:t>建设地点</w:t>
            </w:r>
          </w:p>
        </w:tc>
        <w:tc>
          <w:tcPr>
            <w:tcW w:w="7811" w:type="dxa"/>
            <w:gridSpan w:val="9"/>
            <w:tcMar>
              <w:left w:w="0" w:type="dxa"/>
              <w:right w:w="0" w:type="dxa"/>
            </w:tcMar>
            <w:vAlign w:val="center"/>
          </w:tcPr>
          <w:p>
            <w:pPr>
              <w:adjustRightInd w:val="0"/>
              <w:snapToGrid w:val="0"/>
              <w:jc w:val="center"/>
              <w:rPr>
                <w:rFonts w:hint="eastAsia"/>
                <w:sz w:val="24"/>
              </w:rPr>
            </w:pPr>
            <w:r>
              <w:rPr>
                <w:rFonts w:hint="eastAsia"/>
                <w:sz w:val="24"/>
                <w:szCs w:val="24"/>
              </w:rPr>
              <w:t>抚州市迎宾</w:t>
            </w:r>
            <w:r>
              <w:rPr>
                <w:rFonts w:ascii="宋体" w:hAnsi="Arial" w:hint="eastAsia"/>
                <w:sz w:val="24"/>
                <w:szCs w:val="24"/>
              </w:rPr>
              <w:t>大道以南、曾巩大道以东地块</w:t>
            </w:r>
          </w:p>
        </w:tc>
      </w:tr>
      <w:tr>
        <w:tblPrEx>
          <w:jc w:val="center"/>
          <w:tblInd w:w="-15" w:type="dxa"/>
          <w:tblLayout w:type="fixed"/>
          <w:tblCellMar>
            <w:top w:w="0" w:type="dxa"/>
            <w:left w:w="0" w:type="dxa"/>
            <w:bottom w:w="0" w:type="dxa"/>
            <w:right w:w="0" w:type="dxa"/>
          </w:tblCellMar>
          <w:tblLook w:val="0000"/>
        </w:tblPrEx>
        <w:trPr>
          <w:trHeight w:hRule="exact" w:val="522"/>
          <w:jc w:val="center"/>
        </w:trPr>
        <w:tc>
          <w:tcPr>
            <w:tcW w:w="1543" w:type="dxa"/>
            <w:tcMar>
              <w:left w:w="0" w:type="dxa"/>
              <w:right w:w="0" w:type="dxa"/>
            </w:tcMar>
            <w:vAlign w:val="center"/>
          </w:tcPr>
          <w:p>
            <w:pPr>
              <w:adjustRightInd w:val="0"/>
              <w:snapToGrid w:val="0"/>
              <w:jc w:val="center"/>
              <w:rPr>
                <w:b/>
                <w:sz w:val="24"/>
              </w:rPr>
            </w:pPr>
            <w:r>
              <w:rPr>
                <w:b/>
                <w:sz w:val="24"/>
              </w:rPr>
              <w:t>立项审批部门</w:t>
            </w:r>
          </w:p>
        </w:tc>
        <w:tc>
          <w:tcPr>
            <w:tcW w:w="3132" w:type="dxa"/>
            <w:gridSpan w:val="5"/>
            <w:tcMar>
              <w:left w:w="0" w:type="dxa"/>
              <w:right w:w="0" w:type="dxa"/>
            </w:tcMar>
            <w:vAlign w:val="center"/>
          </w:tcPr>
          <w:p>
            <w:pPr>
              <w:adjustRightInd w:val="0"/>
              <w:snapToGrid w:val="0"/>
              <w:jc w:val="center"/>
              <w:rPr>
                <w:rFonts w:hint="eastAsia"/>
                <w:sz w:val="24"/>
              </w:rPr>
            </w:pPr>
            <w:r>
              <w:rPr>
                <w:rFonts w:hint="eastAsia"/>
                <w:sz w:val="24"/>
              </w:rPr>
              <w:t>抚州市发展和改革委员会</w:t>
            </w:r>
          </w:p>
        </w:tc>
        <w:tc>
          <w:tcPr>
            <w:tcW w:w="1558" w:type="dxa"/>
            <w:tcMar>
              <w:left w:w="0" w:type="dxa"/>
              <w:right w:w="0" w:type="dxa"/>
            </w:tcMar>
            <w:vAlign w:val="center"/>
          </w:tcPr>
          <w:p>
            <w:pPr>
              <w:adjustRightInd w:val="0"/>
              <w:snapToGrid w:val="0"/>
              <w:jc w:val="center"/>
              <w:rPr>
                <w:b/>
                <w:sz w:val="24"/>
              </w:rPr>
            </w:pPr>
            <w:r>
              <w:rPr>
                <w:b/>
                <w:sz w:val="24"/>
              </w:rPr>
              <w:t>批准文号</w:t>
            </w:r>
          </w:p>
        </w:tc>
        <w:tc>
          <w:tcPr>
            <w:tcW w:w="3121" w:type="dxa"/>
            <w:gridSpan w:val="3"/>
            <w:tcMar>
              <w:left w:w="0" w:type="dxa"/>
              <w:right w:w="0" w:type="dxa"/>
            </w:tcMar>
            <w:vAlign w:val="center"/>
          </w:tcPr>
          <w:p>
            <w:pPr>
              <w:adjustRightInd w:val="0"/>
              <w:snapToGrid w:val="0"/>
              <w:jc w:val="center"/>
              <w:rPr>
                <w:rFonts w:hint="eastAsia"/>
                <w:sz w:val="24"/>
              </w:rPr>
            </w:pPr>
            <w:r>
              <w:rPr>
                <w:rFonts w:hint="eastAsia"/>
                <w:sz w:val="24"/>
              </w:rPr>
              <w:t>抚发改行备字【2015】1号</w:t>
            </w:r>
          </w:p>
        </w:tc>
      </w:tr>
      <w:tr>
        <w:tblPrEx>
          <w:jc w:val="center"/>
          <w:tblInd w:w="-15" w:type="dxa"/>
          <w:tblLayout w:type="fixed"/>
          <w:tblCellMar>
            <w:top w:w="0" w:type="dxa"/>
            <w:left w:w="0" w:type="dxa"/>
            <w:bottom w:w="0" w:type="dxa"/>
            <w:right w:w="0" w:type="dxa"/>
          </w:tblCellMar>
          <w:tblLook w:val="0000"/>
        </w:tblPrEx>
        <w:trPr>
          <w:trHeight w:val="624"/>
          <w:jc w:val="center"/>
        </w:trPr>
        <w:tc>
          <w:tcPr>
            <w:tcW w:w="1543" w:type="dxa"/>
            <w:tcMar>
              <w:left w:w="0" w:type="dxa"/>
              <w:right w:w="0" w:type="dxa"/>
            </w:tcMar>
            <w:vAlign w:val="center"/>
          </w:tcPr>
          <w:p>
            <w:pPr>
              <w:spacing w:line="400" w:lineRule="exact"/>
              <w:jc w:val="center"/>
              <w:rPr>
                <w:b/>
                <w:sz w:val="24"/>
              </w:rPr>
            </w:pPr>
            <w:r>
              <w:rPr>
                <w:b/>
                <w:sz w:val="24"/>
              </w:rPr>
              <w:t>建设性质</w:t>
            </w:r>
          </w:p>
        </w:tc>
        <w:tc>
          <w:tcPr>
            <w:tcW w:w="3132" w:type="dxa"/>
            <w:gridSpan w:val="5"/>
            <w:tcMar>
              <w:left w:w="0" w:type="dxa"/>
              <w:right w:w="0" w:type="dxa"/>
            </w:tcMar>
            <w:vAlign w:val="center"/>
          </w:tcPr>
          <w:p>
            <w:pPr>
              <w:spacing w:line="400" w:lineRule="exact"/>
              <w:jc w:val="center"/>
              <w:rPr>
                <w:sz w:val="24"/>
              </w:rPr>
            </w:pPr>
            <w:r>
              <w:rPr>
                <w:sz w:val="24"/>
              </w:rPr>
              <w:t>新建</w:t>
            </w:r>
            <w:r>
              <w:rPr>
                <w:b/>
                <w:sz w:val="24"/>
                <w:szCs w:val="24"/>
              </w:rPr>
              <w:t>■</w:t>
            </w:r>
            <w:r>
              <w:rPr>
                <w:sz w:val="24"/>
              </w:rPr>
              <w:t>改扩建□技改□</w:t>
            </w:r>
          </w:p>
        </w:tc>
        <w:tc>
          <w:tcPr>
            <w:tcW w:w="1558" w:type="dxa"/>
            <w:tcMar>
              <w:left w:w="0" w:type="dxa"/>
              <w:right w:w="0" w:type="dxa"/>
            </w:tcMar>
            <w:vAlign w:val="center"/>
          </w:tcPr>
          <w:p>
            <w:pPr>
              <w:jc w:val="center"/>
              <w:rPr>
                <w:b/>
                <w:sz w:val="24"/>
              </w:rPr>
            </w:pPr>
            <w:r>
              <w:rPr>
                <w:b/>
                <w:sz w:val="24"/>
              </w:rPr>
              <w:t>行业类别</w:t>
            </w:r>
          </w:p>
          <w:p>
            <w:pPr>
              <w:jc w:val="center"/>
              <w:rPr>
                <w:b/>
                <w:sz w:val="24"/>
              </w:rPr>
            </w:pPr>
            <w:r>
              <w:rPr>
                <w:b/>
                <w:sz w:val="24"/>
              </w:rPr>
              <w:t>及代码</w:t>
            </w:r>
          </w:p>
        </w:tc>
        <w:tc>
          <w:tcPr>
            <w:tcW w:w="3121" w:type="dxa"/>
            <w:gridSpan w:val="3"/>
            <w:tcMar>
              <w:left w:w="0" w:type="dxa"/>
              <w:right w:w="0" w:type="dxa"/>
            </w:tcMar>
            <w:vAlign w:val="center"/>
          </w:tcPr>
          <w:p>
            <w:pPr>
              <w:pStyle w:val="01"/>
              <w:tabs>
                <w:tab w:val="left" w:pos="2880"/>
              </w:tabs>
              <w:spacing w:line="240" w:lineRule="auto"/>
              <w:rPr>
                <w:rFonts w:ascii="Times New Roman" w:hAnsi="Times New Roman"/>
              </w:rPr>
            </w:pPr>
            <w:r>
              <w:rPr>
                <w:rFonts w:ascii="Times New Roman" w:hAnsi="Times New Roman"/>
              </w:rPr>
              <w:t>房地产开发经营</w:t>
            </w:r>
          </w:p>
          <w:p>
            <w:pPr>
              <w:jc w:val="center"/>
              <w:rPr>
                <w:sz w:val="24"/>
              </w:rPr>
            </w:pPr>
            <w:r>
              <w:rPr>
                <w:sz w:val="24"/>
              </w:rPr>
              <w:t>K7010</w:t>
            </w:r>
          </w:p>
        </w:tc>
      </w:tr>
      <w:tr>
        <w:tblPrEx>
          <w:jc w:val="center"/>
          <w:tblInd w:w="-15" w:type="dxa"/>
          <w:tblLayout w:type="fixed"/>
          <w:tblCellMar>
            <w:top w:w="0" w:type="dxa"/>
            <w:left w:w="0" w:type="dxa"/>
            <w:bottom w:w="0" w:type="dxa"/>
            <w:right w:w="0" w:type="dxa"/>
          </w:tblCellMar>
          <w:tblLook w:val="0000"/>
        </w:tblPrEx>
        <w:trPr>
          <w:trHeight w:val="624"/>
          <w:jc w:val="center"/>
        </w:trPr>
        <w:tc>
          <w:tcPr>
            <w:tcW w:w="1543" w:type="dxa"/>
            <w:tcMar>
              <w:left w:w="0" w:type="dxa"/>
              <w:right w:w="0" w:type="dxa"/>
            </w:tcMar>
            <w:vAlign w:val="center"/>
          </w:tcPr>
          <w:p>
            <w:pPr>
              <w:adjustRightInd w:val="0"/>
              <w:snapToGrid w:val="0"/>
              <w:jc w:val="center"/>
              <w:rPr>
                <w:b/>
                <w:sz w:val="24"/>
              </w:rPr>
            </w:pPr>
            <w:r>
              <w:rPr>
                <w:b/>
                <w:sz w:val="24"/>
              </w:rPr>
              <w:t>占地面积</w:t>
            </w:r>
          </w:p>
          <w:p>
            <w:pPr>
              <w:adjustRightInd w:val="0"/>
              <w:snapToGrid w:val="0"/>
              <w:jc w:val="center"/>
              <w:rPr>
                <w:b/>
                <w:sz w:val="24"/>
              </w:rPr>
            </w:pPr>
            <w:r>
              <w:rPr>
                <w:b/>
                <w:sz w:val="24"/>
              </w:rPr>
              <w:t>(平方米)</w:t>
            </w:r>
          </w:p>
        </w:tc>
        <w:tc>
          <w:tcPr>
            <w:tcW w:w="3132" w:type="dxa"/>
            <w:gridSpan w:val="5"/>
            <w:tcMar>
              <w:left w:w="0" w:type="dxa"/>
              <w:right w:w="0" w:type="dxa"/>
            </w:tcMar>
            <w:vAlign w:val="center"/>
          </w:tcPr>
          <w:p>
            <w:pPr>
              <w:adjustRightInd w:val="0"/>
              <w:snapToGrid w:val="0"/>
              <w:jc w:val="center"/>
              <w:rPr>
                <w:rFonts w:hint="eastAsia"/>
                <w:sz w:val="24"/>
                <w:szCs w:val="24"/>
              </w:rPr>
            </w:pPr>
            <w:r>
              <w:rPr>
                <w:rFonts w:hint="eastAsia"/>
                <w:sz w:val="24"/>
                <w:szCs w:val="24"/>
              </w:rPr>
              <w:t>50536.06</w:t>
            </w:r>
          </w:p>
        </w:tc>
        <w:tc>
          <w:tcPr>
            <w:tcW w:w="1558" w:type="dxa"/>
            <w:tcMar>
              <w:left w:w="0" w:type="dxa"/>
              <w:right w:w="0" w:type="dxa"/>
            </w:tcMar>
            <w:vAlign w:val="center"/>
          </w:tcPr>
          <w:p>
            <w:pPr>
              <w:adjustRightInd w:val="0"/>
              <w:snapToGrid w:val="0"/>
              <w:jc w:val="center"/>
              <w:rPr>
                <w:b/>
                <w:sz w:val="24"/>
                <w:szCs w:val="24"/>
              </w:rPr>
            </w:pPr>
            <w:r>
              <w:rPr>
                <w:rFonts w:hint="eastAsia"/>
                <w:b/>
                <w:sz w:val="24"/>
                <w:szCs w:val="24"/>
              </w:rPr>
              <w:t>建筑</w:t>
            </w:r>
            <w:r>
              <w:rPr>
                <w:b/>
                <w:sz w:val="24"/>
                <w:szCs w:val="24"/>
              </w:rPr>
              <w:t>面积</w:t>
            </w:r>
          </w:p>
          <w:p>
            <w:pPr>
              <w:adjustRightInd w:val="0"/>
              <w:snapToGrid w:val="0"/>
              <w:jc w:val="center"/>
              <w:rPr>
                <w:b/>
                <w:sz w:val="24"/>
                <w:szCs w:val="24"/>
              </w:rPr>
            </w:pPr>
            <w:r>
              <w:rPr>
                <w:b/>
                <w:sz w:val="24"/>
                <w:szCs w:val="24"/>
              </w:rPr>
              <w:t>(平方米)</w:t>
            </w:r>
          </w:p>
        </w:tc>
        <w:tc>
          <w:tcPr>
            <w:tcW w:w="3121" w:type="dxa"/>
            <w:gridSpan w:val="3"/>
            <w:tcMar>
              <w:left w:w="0" w:type="dxa"/>
              <w:right w:w="0" w:type="dxa"/>
            </w:tcMar>
            <w:vAlign w:val="center"/>
          </w:tcPr>
          <w:p>
            <w:pPr>
              <w:adjustRightInd w:val="0"/>
              <w:snapToGrid w:val="0"/>
              <w:jc w:val="center"/>
              <w:rPr>
                <w:rFonts w:hint="eastAsia"/>
                <w:sz w:val="24"/>
                <w:szCs w:val="24"/>
              </w:rPr>
            </w:pPr>
            <w:r>
              <w:rPr>
                <w:rFonts w:hint="eastAsia"/>
                <w:sz w:val="24"/>
                <w:szCs w:val="24"/>
              </w:rPr>
              <w:t>140184.9</w:t>
            </w:r>
          </w:p>
        </w:tc>
      </w:tr>
      <w:tr>
        <w:tblPrEx>
          <w:jc w:val="center"/>
          <w:tblInd w:w="-15" w:type="dxa"/>
          <w:tblLayout w:type="fixed"/>
          <w:tblCellMar>
            <w:top w:w="0" w:type="dxa"/>
            <w:left w:w="0" w:type="dxa"/>
            <w:bottom w:w="0" w:type="dxa"/>
            <w:right w:w="0" w:type="dxa"/>
          </w:tblCellMar>
          <w:tblLook w:val="0000"/>
        </w:tblPrEx>
        <w:trPr>
          <w:trHeight w:val="624"/>
          <w:jc w:val="center"/>
        </w:trPr>
        <w:tc>
          <w:tcPr>
            <w:tcW w:w="1543" w:type="dxa"/>
            <w:tcMar>
              <w:left w:w="0" w:type="dxa"/>
              <w:right w:w="0" w:type="dxa"/>
            </w:tcMar>
            <w:vAlign w:val="center"/>
          </w:tcPr>
          <w:p>
            <w:pPr>
              <w:adjustRightInd w:val="0"/>
              <w:snapToGrid w:val="0"/>
              <w:jc w:val="center"/>
              <w:rPr>
                <w:rFonts w:hint="eastAsia"/>
                <w:b/>
                <w:sz w:val="24"/>
              </w:rPr>
            </w:pPr>
            <w:r>
              <w:rPr>
                <w:b/>
                <w:sz w:val="24"/>
              </w:rPr>
              <w:t>总投</w:t>
            </w:r>
          </w:p>
          <w:p>
            <w:pPr>
              <w:adjustRightInd w:val="0"/>
              <w:snapToGrid w:val="0"/>
              <w:jc w:val="center"/>
              <w:rPr>
                <w:b/>
                <w:sz w:val="24"/>
              </w:rPr>
            </w:pPr>
            <w:r>
              <w:rPr>
                <w:b/>
                <w:sz w:val="24"/>
              </w:rPr>
              <w:t>（万元）</w:t>
            </w:r>
          </w:p>
        </w:tc>
        <w:tc>
          <w:tcPr>
            <w:tcW w:w="1544" w:type="dxa"/>
            <w:tcMar>
              <w:left w:w="0" w:type="dxa"/>
              <w:right w:w="0" w:type="dxa"/>
            </w:tcMar>
            <w:vAlign w:val="center"/>
          </w:tcPr>
          <w:p>
            <w:pPr>
              <w:adjustRightInd w:val="0"/>
              <w:snapToGrid w:val="0"/>
              <w:jc w:val="center"/>
              <w:rPr>
                <w:rFonts w:hint="eastAsia"/>
                <w:sz w:val="24"/>
                <w:szCs w:val="24"/>
              </w:rPr>
            </w:pPr>
            <w:r>
              <w:rPr>
                <w:rFonts w:hint="eastAsia"/>
                <w:sz w:val="24"/>
                <w:szCs w:val="24"/>
              </w:rPr>
              <w:t>29984.68</w:t>
            </w:r>
          </w:p>
        </w:tc>
        <w:tc>
          <w:tcPr>
            <w:tcW w:w="1588" w:type="dxa"/>
            <w:gridSpan w:val="4"/>
            <w:tcMar>
              <w:left w:w="0" w:type="dxa"/>
              <w:right w:w="0" w:type="dxa"/>
            </w:tcMar>
            <w:vAlign w:val="center"/>
          </w:tcPr>
          <w:p>
            <w:pPr>
              <w:adjustRightInd w:val="0"/>
              <w:snapToGrid w:val="0"/>
              <w:jc w:val="center"/>
              <w:rPr>
                <w:b/>
                <w:sz w:val="24"/>
                <w:szCs w:val="24"/>
              </w:rPr>
            </w:pPr>
            <w:r>
              <w:rPr>
                <w:b/>
                <w:sz w:val="24"/>
                <w:szCs w:val="24"/>
              </w:rPr>
              <w:t>其中环保投资(万元)</w:t>
            </w:r>
          </w:p>
        </w:tc>
        <w:tc>
          <w:tcPr>
            <w:tcW w:w="1558" w:type="dxa"/>
            <w:tcMar>
              <w:left w:w="0" w:type="dxa"/>
              <w:right w:w="0" w:type="dxa"/>
            </w:tcMar>
            <w:vAlign w:val="center"/>
          </w:tcPr>
          <w:p>
            <w:pPr>
              <w:adjustRightInd w:val="0"/>
              <w:snapToGrid w:val="0"/>
              <w:jc w:val="center"/>
              <w:rPr>
                <w:rFonts w:hint="eastAsia"/>
                <w:sz w:val="24"/>
                <w:szCs w:val="24"/>
              </w:rPr>
            </w:pPr>
            <w:r>
              <w:rPr>
                <w:rFonts w:hint="eastAsia"/>
                <w:sz w:val="24"/>
                <w:szCs w:val="24"/>
              </w:rPr>
              <w:t>245</w:t>
            </w:r>
          </w:p>
        </w:tc>
        <w:tc>
          <w:tcPr>
            <w:tcW w:w="1577" w:type="dxa"/>
            <w:gridSpan w:val="2"/>
            <w:tcMar>
              <w:left w:w="0" w:type="dxa"/>
              <w:right w:w="0" w:type="dxa"/>
            </w:tcMar>
            <w:vAlign w:val="center"/>
          </w:tcPr>
          <w:p>
            <w:pPr>
              <w:adjustRightInd w:val="0"/>
              <w:snapToGrid w:val="0"/>
              <w:jc w:val="center"/>
              <w:rPr>
                <w:b/>
                <w:sz w:val="24"/>
                <w:szCs w:val="24"/>
              </w:rPr>
            </w:pPr>
            <w:r>
              <w:rPr>
                <w:b/>
                <w:sz w:val="24"/>
                <w:szCs w:val="24"/>
              </w:rPr>
              <w:t>环保投资占</w:t>
            </w:r>
          </w:p>
          <w:p>
            <w:pPr>
              <w:adjustRightInd w:val="0"/>
              <w:snapToGrid w:val="0"/>
              <w:jc w:val="center"/>
              <w:rPr>
                <w:sz w:val="24"/>
                <w:szCs w:val="24"/>
              </w:rPr>
            </w:pPr>
            <w:r>
              <w:rPr>
                <w:b/>
                <w:sz w:val="24"/>
                <w:szCs w:val="24"/>
              </w:rPr>
              <w:t>总投资比例</w:t>
            </w:r>
          </w:p>
        </w:tc>
        <w:tc>
          <w:tcPr>
            <w:tcW w:w="1544" w:type="dxa"/>
            <w:tcMar>
              <w:left w:w="0" w:type="dxa"/>
              <w:right w:w="0" w:type="dxa"/>
            </w:tcMar>
            <w:vAlign w:val="center"/>
          </w:tcPr>
          <w:p>
            <w:pPr>
              <w:adjustRightInd w:val="0"/>
              <w:snapToGrid w:val="0"/>
              <w:jc w:val="center"/>
              <w:rPr>
                <w:rFonts w:hint="eastAsia"/>
                <w:sz w:val="24"/>
                <w:szCs w:val="24"/>
              </w:rPr>
            </w:pPr>
            <w:r>
              <w:rPr>
                <w:rFonts w:hint="eastAsia"/>
                <w:sz w:val="24"/>
                <w:szCs w:val="24"/>
              </w:rPr>
              <w:t>0.8%</w:t>
            </w:r>
          </w:p>
        </w:tc>
      </w:tr>
      <w:tr>
        <w:tblPrEx>
          <w:jc w:val="center"/>
          <w:tblInd w:w="-15" w:type="dxa"/>
          <w:tblLayout w:type="fixed"/>
          <w:tblCellMar>
            <w:top w:w="0" w:type="dxa"/>
            <w:left w:w="0" w:type="dxa"/>
            <w:bottom w:w="0" w:type="dxa"/>
            <w:right w:w="0" w:type="dxa"/>
          </w:tblCellMar>
          <w:tblLook w:val="0000"/>
        </w:tblPrEx>
        <w:trPr>
          <w:trHeight w:val="624"/>
          <w:jc w:val="center"/>
        </w:trPr>
        <w:tc>
          <w:tcPr>
            <w:tcW w:w="1543" w:type="dxa"/>
            <w:tcMar>
              <w:left w:w="0" w:type="dxa"/>
              <w:right w:w="0" w:type="dxa"/>
            </w:tcMar>
            <w:vAlign w:val="center"/>
          </w:tcPr>
          <w:p>
            <w:pPr>
              <w:adjustRightInd w:val="0"/>
              <w:snapToGrid w:val="0"/>
              <w:jc w:val="center"/>
              <w:rPr>
                <w:b/>
                <w:sz w:val="24"/>
              </w:rPr>
            </w:pPr>
            <w:r>
              <w:rPr>
                <w:b/>
                <w:sz w:val="24"/>
              </w:rPr>
              <w:t>评价经费</w:t>
            </w:r>
          </w:p>
          <w:p>
            <w:pPr>
              <w:adjustRightInd w:val="0"/>
              <w:snapToGrid w:val="0"/>
              <w:jc w:val="center"/>
              <w:rPr>
                <w:b/>
                <w:sz w:val="24"/>
              </w:rPr>
            </w:pPr>
            <w:r>
              <w:rPr>
                <w:b/>
                <w:sz w:val="24"/>
              </w:rPr>
              <w:t>（万元）</w:t>
            </w:r>
          </w:p>
        </w:tc>
        <w:tc>
          <w:tcPr>
            <w:tcW w:w="1544" w:type="dxa"/>
            <w:tcMar>
              <w:left w:w="0" w:type="dxa"/>
              <w:right w:w="0" w:type="dxa"/>
            </w:tcMar>
            <w:vAlign w:val="center"/>
          </w:tcPr>
          <w:p>
            <w:pPr>
              <w:adjustRightInd w:val="0"/>
              <w:snapToGrid w:val="0"/>
              <w:jc w:val="center"/>
              <w:rPr>
                <w:rFonts w:hint="eastAsia"/>
                <w:sz w:val="24"/>
              </w:rPr>
            </w:pPr>
            <w:r>
              <w:rPr>
                <w:rFonts w:hint="eastAsia"/>
                <w:sz w:val="24"/>
              </w:rPr>
              <w:t>---</w:t>
            </w:r>
          </w:p>
        </w:tc>
        <w:tc>
          <w:tcPr>
            <w:tcW w:w="1588" w:type="dxa"/>
            <w:gridSpan w:val="4"/>
            <w:tcMar>
              <w:left w:w="0" w:type="dxa"/>
              <w:right w:w="0" w:type="dxa"/>
            </w:tcMar>
            <w:vAlign w:val="center"/>
          </w:tcPr>
          <w:p>
            <w:pPr>
              <w:adjustRightInd w:val="0"/>
              <w:snapToGrid w:val="0"/>
              <w:jc w:val="center"/>
              <w:rPr>
                <w:b/>
                <w:sz w:val="24"/>
              </w:rPr>
            </w:pPr>
            <w:r>
              <w:rPr>
                <w:b/>
                <w:sz w:val="24"/>
              </w:rPr>
              <w:t>预计</w:t>
            </w:r>
            <w:r>
              <w:rPr>
                <w:rFonts w:hint="eastAsia"/>
                <w:b/>
                <w:sz w:val="24"/>
              </w:rPr>
              <w:t>运营</w:t>
            </w:r>
            <w:r>
              <w:rPr>
                <w:b/>
                <w:sz w:val="24"/>
              </w:rPr>
              <w:t>日期</w:t>
            </w:r>
          </w:p>
        </w:tc>
        <w:tc>
          <w:tcPr>
            <w:tcW w:w="4679" w:type="dxa"/>
            <w:gridSpan w:val="4"/>
            <w:tcMar>
              <w:left w:w="0" w:type="dxa"/>
              <w:right w:w="0" w:type="dxa"/>
            </w:tcMar>
            <w:vAlign w:val="center"/>
          </w:tcPr>
          <w:p>
            <w:pPr>
              <w:adjustRightInd w:val="0"/>
              <w:snapToGrid w:val="0"/>
              <w:jc w:val="center"/>
              <w:rPr>
                <w:sz w:val="24"/>
              </w:rPr>
            </w:pPr>
            <w:r>
              <w:rPr>
                <w:sz w:val="24"/>
              </w:rPr>
              <w:t>201</w:t>
            </w:r>
            <w:r>
              <w:rPr>
                <w:rFonts w:hint="eastAsia"/>
                <w:sz w:val="24"/>
              </w:rPr>
              <w:t>7</w:t>
            </w:r>
            <w:r>
              <w:rPr>
                <w:sz w:val="24"/>
              </w:rPr>
              <w:t>年</w:t>
            </w:r>
            <w:r>
              <w:rPr>
                <w:rFonts w:hint="eastAsia"/>
                <w:sz w:val="24"/>
              </w:rPr>
              <w:t>3</w:t>
            </w:r>
            <w:r>
              <w:rPr>
                <w:sz w:val="24"/>
              </w:rPr>
              <w:t>月</w:t>
            </w:r>
          </w:p>
        </w:tc>
      </w:tr>
      <w:tr>
        <w:tblPrEx>
          <w:jc w:val="center"/>
          <w:tblInd w:w="-15" w:type="dxa"/>
          <w:tblLayout w:type="fixed"/>
          <w:tblCellMar>
            <w:top w:w="0" w:type="dxa"/>
            <w:left w:w="0" w:type="dxa"/>
            <w:bottom w:w="0" w:type="dxa"/>
            <w:right w:w="0" w:type="dxa"/>
          </w:tblCellMar>
          <w:tblLook w:val="0000"/>
        </w:tblPrEx>
        <w:trPr>
          <w:trHeight w:val="2482"/>
          <w:jc w:val="center"/>
        </w:trPr>
        <w:tc>
          <w:tcPr>
            <w:tcW w:w="9354" w:type="dxa"/>
            <w:gridSpan w:val="10"/>
            <w:tcMar>
              <w:left w:w="0" w:type="dxa"/>
              <w:right w:w="0" w:type="dxa"/>
            </w:tcMar>
          </w:tcPr>
          <w:p>
            <w:pPr>
              <w:adjustRightInd w:val="0"/>
              <w:snapToGrid w:val="0"/>
              <w:spacing w:line="360" w:lineRule="auto"/>
              <w:ind w:firstLine="480" w:firstLineChars="200"/>
              <w:rPr>
                <w:b/>
                <w:bCs/>
                <w:sz w:val="24"/>
                <w:szCs w:val="24"/>
              </w:rPr>
            </w:pPr>
            <w:r>
              <w:rPr>
                <w:rFonts w:hAnsi="宋体"/>
                <w:b/>
                <w:bCs/>
                <w:sz w:val="24"/>
                <w:szCs w:val="24"/>
              </w:rPr>
              <w:t>一、项目</w:t>
            </w:r>
            <w:r>
              <w:rPr>
                <w:rFonts w:hAnsi="宋体" w:hint="eastAsia"/>
                <w:b/>
                <w:bCs/>
                <w:sz w:val="24"/>
                <w:szCs w:val="24"/>
              </w:rPr>
              <w:t>由来</w:t>
            </w:r>
          </w:p>
          <w:p>
            <w:pPr>
              <w:adjustRightInd w:val="0"/>
              <w:snapToGrid w:val="0"/>
              <w:spacing w:line="360" w:lineRule="auto"/>
              <w:ind w:firstLine="470" w:firstLineChars="196"/>
              <w:rPr>
                <w:sz w:val="24"/>
                <w:szCs w:val="24"/>
              </w:rPr>
            </w:pPr>
            <w:r>
              <w:rPr>
                <w:rFonts w:hint="eastAsia"/>
                <w:sz w:val="24"/>
                <w:szCs w:val="24"/>
              </w:rPr>
              <w:t>抚州万达广场投资有限公司</w:t>
            </w:r>
            <w:r>
              <w:rPr>
                <w:sz w:val="24"/>
                <w:szCs w:val="24"/>
              </w:rPr>
              <w:t>拟选址于</w:t>
            </w:r>
            <w:r>
              <w:rPr>
                <w:rFonts w:hint="eastAsia"/>
                <w:sz w:val="24"/>
                <w:szCs w:val="24"/>
              </w:rPr>
              <w:t>抚州市迎宾</w:t>
            </w:r>
            <w:r>
              <w:rPr>
                <w:rFonts w:ascii="宋体" w:hAnsi="Arial" w:hint="eastAsia"/>
                <w:sz w:val="24"/>
                <w:szCs w:val="24"/>
              </w:rPr>
              <w:t>大道以南、曾巩大道以东地块</w:t>
            </w:r>
            <w:r>
              <w:rPr>
                <w:sz w:val="24"/>
                <w:szCs w:val="24"/>
              </w:rPr>
              <w:t>投资</w:t>
            </w:r>
            <w:r>
              <w:rPr>
                <w:rFonts w:hint="eastAsia"/>
                <w:sz w:val="24"/>
                <w:szCs w:val="24"/>
              </w:rPr>
              <w:t>29984.68</w:t>
            </w:r>
            <w:r>
              <w:rPr>
                <w:sz w:val="24"/>
                <w:szCs w:val="24"/>
              </w:rPr>
              <w:t>万元建设“</w:t>
            </w:r>
            <w:r>
              <w:rPr>
                <w:rFonts w:hAnsi="宋体" w:hint="eastAsia"/>
                <w:spacing w:val="-4"/>
                <w:sz w:val="24"/>
                <w:szCs w:val="24"/>
              </w:rPr>
              <w:t>抚州市万达广场建设项目</w:t>
            </w:r>
            <w:r>
              <w:rPr>
                <w:spacing w:val="-4"/>
                <w:sz w:val="24"/>
                <w:szCs w:val="24"/>
              </w:rPr>
              <w:t>”。</w:t>
            </w:r>
            <w:r>
              <w:rPr>
                <w:rFonts w:hint="eastAsia"/>
                <w:spacing w:val="-4"/>
                <w:sz w:val="24"/>
                <w:szCs w:val="24"/>
              </w:rPr>
              <w:t>项目规划用地面积</w:t>
            </w:r>
            <w:r>
              <w:rPr>
                <w:rFonts w:hint="eastAsia"/>
                <w:sz w:val="24"/>
                <w:szCs w:val="24"/>
              </w:rPr>
              <w:t>50536.06m</w:t>
            </w:r>
            <w:r>
              <w:rPr>
                <w:rFonts w:hint="eastAsia"/>
                <w:sz w:val="24"/>
                <w:szCs w:val="24"/>
                <w:vertAlign w:val="superscript"/>
              </w:rPr>
              <w:t>2</w:t>
            </w:r>
            <w:r>
              <w:rPr>
                <w:rFonts w:hint="eastAsia"/>
                <w:spacing w:val="-4"/>
                <w:sz w:val="24"/>
                <w:szCs w:val="24"/>
              </w:rPr>
              <w:t>（约75.8亩）</w:t>
            </w:r>
            <w:r>
              <w:rPr>
                <w:rFonts w:hint="eastAsia"/>
                <w:sz w:val="24"/>
                <w:szCs w:val="24"/>
              </w:rPr>
              <w:t>，总建筑面积140184.9m</w:t>
            </w:r>
            <w:r>
              <w:rPr>
                <w:rFonts w:hint="eastAsia"/>
                <w:sz w:val="24"/>
                <w:szCs w:val="24"/>
                <w:vertAlign w:val="superscript"/>
              </w:rPr>
              <w:t>2</w:t>
            </w:r>
            <w:r>
              <w:rPr>
                <w:rFonts w:hint="eastAsia"/>
                <w:sz w:val="24"/>
                <w:szCs w:val="24"/>
              </w:rPr>
              <w:t>，主要建设1栋地上5层多功能商业建筑、道路以及绿化等，商业建筑内含电影院、餐饮业及其他商业，地下车库、设备用房等配套设施等。</w:t>
            </w:r>
          </w:p>
          <w:p>
            <w:pPr>
              <w:adjustRightInd w:val="0"/>
              <w:snapToGrid w:val="0"/>
              <w:spacing w:line="360" w:lineRule="auto"/>
              <w:ind w:firstLine="470" w:firstLineChars="196"/>
              <w:rPr>
                <w:rFonts w:ascii="Arial" w:hAnsi="Arial" w:cs="Arial" w:hint="eastAsia"/>
                <w:sz w:val="24"/>
              </w:rPr>
            </w:pPr>
            <w:r>
              <w:rPr>
                <w:sz w:val="24"/>
              </w:rPr>
              <w:t>根据《中</w:t>
            </w:r>
            <w:r>
              <w:rPr>
                <w:rFonts w:ascii="宋体" w:hAnsi="宋体"/>
                <w:sz w:val="24"/>
              </w:rPr>
              <w:t>华人民共和国环</w:t>
            </w:r>
            <w:r>
              <w:rPr>
                <w:sz w:val="24"/>
              </w:rPr>
              <w:t>境影响评价法》、《建设项目环境保护管理条例》（国务院1998年253号令）、《建设项目环境影响评价分类管理名录》（环境保护部令第</w:t>
            </w:r>
            <w:r>
              <w:rPr>
                <w:rFonts w:hint="eastAsia"/>
                <w:sz w:val="24"/>
              </w:rPr>
              <w:t>33</w:t>
            </w:r>
            <w:r>
              <w:rPr>
                <w:sz w:val="24"/>
              </w:rPr>
              <w:t>号）及《江西省建设项目环境保护条例》的有关规定，本项目应进行环境影响评价，编制环境影响报告表。</w:t>
            </w:r>
            <w:r>
              <w:rPr>
                <w:rFonts w:hint="eastAsia"/>
                <w:sz w:val="24"/>
                <w:szCs w:val="24"/>
              </w:rPr>
              <w:t>抚州万达广场投资有限公司</w:t>
            </w:r>
            <w:r>
              <w:rPr>
                <w:sz w:val="24"/>
              </w:rPr>
              <w:t>委托</w:t>
            </w:r>
            <w:r>
              <w:rPr>
                <w:rFonts w:hAnsi="宋体"/>
                <w:sz w:val="24"/>
              </w:rPr>
              <w:t>广州市环境保护工程设计院有限公司</w:t>
            </w:r>
            <w:r>
              <w:rPr>
                <w:sz w:val="24"/>
              </w:rPr>
              <w:t>承担该项目的环境影响评价工作。我公司接受委托后，即组织有关</w:t>
            </w:r>
            <w:r>
              <w:rPr>
                <w:rFonts w:ascii="宋体" w:hAnsi="宋体"/>
                <w:sz w:val="24"/>
              </w:rPr>
              <w:t>技术人员对建设项目进行调研、现场勘察和收集有关资料，依照环境影响评价技术导则的要求编制本环境影响报告表</w:t>
            </w:r>
            <w:r>
              <w:rPr>
                <w:rFonts w:ascii="宋体" w:hAnsi="宋体" w:hint="eastAsia"/>
                <w:sz w:val="24"/>
              </w:rPr>
              <w:t>，</w:t>
            </w:r>
            <w:r>
              <w:rPr>
                <w:rFonts w:ascii="Arial" w:hAnsi="Arial" w:cs="Arial" w:hint="eastAsia"/>
                <w:sz w:val="24"/>
              </w:rPr>
              <w:t>供环保部门审批。</w:t>
            </w:r>
          </w:p>
          <w:p>
            <w:pPr>
              <w:adjustRightInd w:val="0"/>
              <w:snapToGrid w:val="0"/>
              <w:spacing w:line="360" w:lineRule="auto"/>
              <w:ind w:firstLine="470" w:firstLineChars="196"/>
              <w:rPr>
                <w:rFonts w:ascii="Arial" w:hAnsi="Arial" w:cs="Arial" w:hint="eastAsia"/>
                <w:sz w:val="24"/>
              </w:rPr>
            </w:pPr>
            <w:r>
              <w:rPr>
                <w:rFonts w:ascii="宋体" w:hAnsi="宋体" w:cs="宋体" w:hint="eastAsia"/>
                <w:sz w:val="24"/>
                <w:szCs w:val="24"/>
              </w:rPr>
              <w:t>本次评价只针对项目整体施工及开发经营进行环境影响分析，项目投产运营后，各经营场所应分别按照《建设项目环境影响评价分类管理名录》</w:t>
            </w:r>
            <w:r>
              <w:rPr>
                <w:sz w:val="24"/>
              </w:rPr>
              <w:t>（环境保护部令第</w:t>
            </w:r>
            <w:r>
              <w:rPr>
                <w:rFonts w:hint="eastAsia"/>
                <w:sz w:val="24"/>
              </w:rPr>
              <w:t>33</w:t>
            </w:r>
            <w:r>
              <w:rPr>
                <w:sz w:val="24"/>
              </w:rPr>
              <w:t>号）</w:t>
            </w:r>
            <w:r>
              <w:rPr>
                <w:rFonts w:ascii="宋体" w:hAnsi="宋体" w:cs="宋体" w:hint="eastAsia"/>
                <w:sz w:val="24"/>
                <w:szCs w:val="24"/>
              </w:rPr>
              <w:t>办理相应环保手续。</w:t>
            </w:r>
          </w:p>
          <w:p>
            <w:pPr>
              <w:numPr>
                <w:ilvl w:val="0"/>
                <w:numId w:val="1"/>
              </w:numPr>
              <w:adjustRightInd w:val="0"/>
              <w:snapToGrid w:val="0"/>
              <w:spacing w:line="360" w:lineRule="auto"/>
              <w:ind w:firstLine="480" w:firstLineChars="200"/>
              <w:rPr>
                <w:rFonts w:hAnsi="宋体" w:hint="eastAsia"/>
                <w:b/>
                <w:bCs/>
                <w:sz w:val="24"/>
                <w:szCs w:val="24"/>
              </w:rPr>
            </w:pPr>
            <w:r>
              <w:rPr>
                <w:rFonts w:hAnsi="宋体" w:hint="eastAsia"/>
                <w:b/>
                <w:bCs/>
                <w:sz w:val="24"/>
                <w:szCs w:val="24"/>
              </w:rPr>
              <w:t>项目基本情况</w:t>
            </w:r>
          </w:p>
        </w:tc>
      </w:tr>
    </w:tbl>
    <w:p>
      <w:pPr>
        <w:sectPr>
          <w:footerReference w:type="even" r:id="rId4"/>
          <w:footerReference w:type="default" r:id="rId5"/>
          <w:footerReference w:type="first" r:id="rId6"/>
          <w:pgSz w:w="11906" w:h="16838"/>
          <w:pgMar w:top="1134" w:right="1418" w:bottom="1134" w:left="1418" w:header="851" w:footer="992" w:gutter="0"/>
          <w:pgNumType w:start="1"/>
          <w:cols w:space="708"/>
          <w:titlePg/>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Look w:val="0000"/>
      </w:tblPr>
      <w:tblGrid>
        <w:gridCol w:w="9354"/>
      </w:tblGrid>
      <w:tr>
        <w:tblPrEx>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Look w:val="0000"/>
        </w:tblPrEx>
        <w:trPr>
          <w:trHeight w:val="2482"/>
          <w:jc w:val="center"/>
        </w:trPr>
        <w:tc>
          <w:tcPr>
            <w:tcW w:w="9354" w:type="dxa"/>
            <w:tcMar>
              <w:left w:w="0" w:type="dxa"/>
              <w:right w:w="0" w:type="dxa"/>
            </w:tcMar>
          </w:tcPr>
          <w:p>
            <w:pPr>
              <w:spacing w:line="360" w:lineRule="auto"/>
              <w:rPr>
                <w:sz w:val="24"/>
                <w:szCs w:val="24"/>
              </w:rPr>
            </w:pPr>
            <w:r>
              <w:rPr>
                <w:sz w:val="24"/>
                <w:szCs w:val="24"/>
              </w:rPr>
              <w:t xml:space="preserve">    1、项目名称：</w:t>
            </w:r>
            <w:r>
              <w:rPr>
                <w:rFonts w:hAnsi="宋体" w:hint="eastAsia"/>
                <w:spacing w:val="-4"/>
                <w:sz w:val="24"/>
                <w:szCs w:val="24"/>
              </w:rPr>
              <w:t>抚州市万达广场建设项目</w:t>
            </w:r>
            <w:r>
              <w:rPr>
                <w:sz w:val="24"/>
                <w:szCs w:val="24"/>
              </w:rPr>
              <w:t>；</w:t>
            </w:r>
          </w:p>
          <w:p>
            <w:pPr>
              <w:spacing w:line="360" w:lineRule="auto"/>
              <w:ind w:firstLine="480" w:firstLineChars="200"/>
              <w:rPr>
                <w:sz w:val="24"/>
                <w:szCs w:val="24"/>
              </w:rPr>
            </w:pPr>
            <w:r>
              <w:rPr>
                <w:sz w:val="24"/>
                <w:szCs w:val="24"/>
              </w:rPr>
              <w:t>2、项目建设性质：新建；</w:t>
            </w:r>
          </w:p>
          <w:p>
            <w:pPr>
              <w:spacing w:line="360" w:lineRule="auto"/>
              <w:ind w:firstLine="480" w:firstLineChars="200"/>
              <w:rPr>
                <w:sz w:val="24"/>
                <w:szCs w:val="24"/>
              </w:rPr>
            </w:pPr>
            <w:r>
              <w:rPr>
                <w:sz w:val="24"/>
                <w:szCs w:val="24"/>
              </w:rPr>
              <w:t>3、项目</w:t>
            </w:r>
            <w:r>
              <w:rPr>
                <w:rFonts w:hint="eastAsia"/>
                <w:sz w:val="24"/>
                <w:szCs w:val="24"/>
              </w:rPr>
              <w:t>总</w:t>
            </w:r>
            <w:r>
              <w:rPr>
                <w:sz w:val="24"/>
                <w:szCs w:val="24"/>
              </w:rPr>
              <w:t>投资额</w:t>
            </w:r>
            <w:r>
              <w:rPr>
                <w:rFonts w:hint="eastAsia"/>
                <w:sz w:val="24"/>
                <w:szCs w:val="24"/>
              </w:rPr>
              <w:t>：29984.68万元</w:t>
            </w:r>
          </w:p>
          <w:p>
            <w:pPr>
              <w:spacing w:line="360" w:lineRule="auto"/>
              <w:ind w:firstLine="480" w:firstLineChars="200"/>
              <w:rPr>
                <w:rFonts w:hint="eastAsia"/>
                <w:b/>
                <w:sz w:val="24"/>
              </w:rPr>
            </w:pPr>
            <w:r>
              <w:rPr>
                <w:sz w:val="24"/>
                <w:szCs w:val="24"/>
              </w:rPr>
              <w:t>4、</w:t>
            </w:r>
            <w:r>
              <w:rPr>
                <w:spacing w:val="6"/>
                <w:sz w:val="24"/>
                <w:szCs w:val="24"/>
              </w:rPr>
              <w:t>建设地点及周围概况</w:t>
            </w:r>
            <w:r>
              <w:rPr>
                <w:rFonts w:hint="eastAsia"/>
                <w:spacing w:val="6"/>
                <w:sz w:val="24"/>
                <w:szCs w:val="24"/>
              </w:rPr>
              <w:t>：</w:t>
            </w:r>
            <w:r>
              <w:rPr>
                <w:rFonts w:ascii="宋体" w:hAnsi="宋体" w:cs="宋体" w:hint="eastAsia"/>
                <w:bCs/>
                <w:sz w:val="24"/>
                <w:szCs w:val="24"/>
              </w:rPr>
              <w:t>本项目选址位于</w:t>
            </w:r>
            <w:r>
              <w:rPr>
                <w:rFonts w:hint="eastAsia"/>
                <w:sz w:val="24"/>
                <w:szCs w:val="24"/>
              </w:rPr>
              <w:t>抚州市迎宾</w:t>
            </w:r>
            <w:r>
              <w:rPr>
                <w:rFonts w:ascii="宋体" w:hAnsi="Arial" w:hint="eastAsia"/>
                <w:sz w:val="24"/>
                <w:szCs w:val="24"/>
              </w:rPr>
              <w:t>大道以南、曾巩大道以东地块</w:t>
            </w:r>
            <w:r>
              <w:rPr>
                <w:rFonts w:ascii="宋体" w:hAnsi="宋体" w:cs="宋体" w:hint="eastAsia"/>
                <w:bCs/>
                <w:sz w:val="24"/>
                <w:szCs w:val="24"/>
              </w:rPr>
              <w:t>，用地</w:t>
            </w:r>
            <w:r>
              <w:rPr>
                <w:rFonts w:hint="eastAsia"/>
                <w:sz w:val="24"/>
                <w:szCs w:val="24"/>
              </w:rPr>
              <w:t>中心</w:t>
            </w:r>
            <w:r>
              <w:rPr>
                <w:sz w:val="24"/>
                <w:szCs w:val="24"/>
              </w:rPr>
              <w:t>地理坐标为</w:t>
            </w:r>
            <w:r>
              <w:rPr>
                <w:sz w:val="24"/>
              </w:rPr>
              <w:t>N：2</w:t>
            </w:r>
            <w:r>
              <w:rPr>
                <w:rFonts w:hint="eastAsia"/>
                <w:sz w:val="24"/>
              </w:rPr>
              <w:t>7</w:t>
            </w:r>
            <w:r>
              <w:rPr>
                <w:sz w:val="24"/>
              </w:rPr>
              <w:t>°</w:t>
            </w:r>
            <w:r>
              <w:rPr>
                <w:rFonts w:hint="eastAsia"/>
                <w:sz w:val="24"/>
              </w:rPr>
              <w:t>57</w:t>
            </w:r>
            <w:r>
              <w:rPr>
                <w:sz w:val="24"/>
              </w:rPr>
              <w:t>′</w:t>
            </w:r>
            <w:r>
              <w:rPr>
                <w:rFonts w:hint="eastAsia"/>
                <w:sz w:val="24"/>
              </w:rPr>
              <w:t>35.04</w:t>
            </w:r>
            <w:r>
              <w:rPr>
                <w:sz w:val="24"/>
              </w:rPr>
              <w:t>″，E：11</w:t>
            </w:r>
            <w:r>
              <w:rPr>
                <w:rFonts w:hint="eastAsia"/>
                <w:sz w:val="24"/>
              </w:rPr>
              <w:t>6</w:t>
            </w:r>
            <w:r>
              <w:rPr>
                <w:sz w:val="24"/>
              </w:rPr>
              <w:t>°</w:t>
            </w:r>
            <w:r>
              <w:rPr>
                <w:rFonts w:hint="eastAsia"/>
                <w:sz w:val="24"/>
              </w:rPr>
              <w:t>20</w:t>
            </w:r>
            <w:r>
              <w:rPr>
                <w:sz w:val="24"/>
              </w:rPr>
              <w:t>′</w:t>
            </w:r>
            <w:r>
              <w:rPr>
                <w:rFonts w:hint="eastAsia"/>
                <w:sz w:val="24"/>
              </w:rPr>
              <w:t>32</w:t>
            </w:r>
            <w:r>
              <w:rPr>
                <w:sz w:val="24"/>
              </w:rPr>
              <w:t>.</w:t>
            </w:r>
            <w:r>
              <w:rPr>
                <w:rFonts w:hint="eastAsia"/>
                <w:sz w:val="24"/>
              </w:rPr>
              <w:t>76</w:t>
            </w:r>
            <w:r>
              <w:rPr>
                <w:sz w:val="24"/>
              </w:rPr>
              <w:t>″</w:t>
            </w:r>
            <w:r>
              <w:rPr>
                <w:rFonts w:ascii="宋体" w:hAnsi="宋体" w:cs="宋体" w:hint="eastAsia"/>
                <w:bCs/>
                <w:sz w:val="24"/>
                <w:szCs w:val="24"/>
              </w:rPr>
              <w:t>。</w:t>
            </w:r>
            <w:r>
              <w:rPr>
                <w:rFonts w:ascii="宋体" w:hAnsi="宋体" w:cs="宋体" w:hint="eastAsia"/>
                <w:sz w:val="24"/>
                <w:szCs w:val="24"/>
              </w:rPr>
              <w:t>根据现场踏查，项目东侧为邮政银行规划用地，南侧为空地，西侧为曾巩大道，北</w:t>
            </w:r>
            <w:r>
              <w:rPr>
                <w:rFonts w:cs="宋体" w:hint="eastAsia"/>
                <w:sz w:val="24"/>
                <w:szCs w:val="24"/>
              </w:rPr>
              <w:t>侧为伟星西凤华都小区；</w:t>
            </w:r>
            <w:r>
              <w:rPr>
                <w:sz w:val="24"/>
                <w:szCs w:val="24"/>
              </w:rPr>
              <w:t>项目周边</w:t>
            </w:r>
            <w:r>
              <w:rPr>
                <w:rFonts w:hint="eastAsia"/>
                <w:sz w:val="24"/>
                <w:szCs w:val="24"/>
              </w:rPr>
              <w:t>主要敏感点为北面91m处的</w:t>
            </w:r>
            <w:r>
              <w:rPr>
                <w:rFonts w:cs="宋体" w:hint="eastAsia"/>
                <w:sz w:val="24"/>
                <w:szCs w:val="24"/>
              </w:rPr>
              <w:t>伟星西凤华都小区，</w:t>
            </w:r>
            <w:r>
              <w:rPr>
                <w:rFonts w:hint="eastAsia"/>
                <w:sz w:val="24"/>
                <w:szCs w:val="24"/>
              </w:rPr>
              <w:t>西南面138m处的港背刘家，西北</w:t>
            </w:r>
            <w:r>
              <w:rPr>
                <w:sz w:val="24"/>
                <w:szCs w:val="24"/>
              </w:rPr>
              <w:t>面</w:t>
            </w:r>
            <w:r>
              <w:rPr>
                <w:rFonts w:hint="eastAsia"/>
                <w:sz w:val="24"/>
                <w:szCs w:val="24"/>
              </w:rPr>
              <w:t>11</w:t>
            </w:r>
            <w:r>
              <w:rPr>
                <w:sz w:val="24"/>
                <w:szCs w:val="24"/>
              </w:rPr>
              <w:t>0m处</w:t>
            </w:r>
            <w:r>
              <w:rPr>
                <w:rFonts w:hint="eastAsia"/>
                <w:sz w:val="24"/>
                <w:szCs w:val="24"/>
              </w:rPr>
              <w:t>的市质监局等</w:t>
            </w:r>
            <w:r>
              <w:rPr>
                <w:sz w:val="24"/>
                <w:szCs w:val="24"/>
              </w:rPr>
              <w:t>。项目具体地理位置</w:t>
            </w:r>
            <w:r>
              <w:rPr>
                <w:rFonts w:hint="eastAsia"/>
                <w:sz w:val="24"/>
                <w:szCs w:val="24"/>
              </w:rPr>
              <w:t>、周边敏感点分布及四至现状</w:t>
            </w:r>
            <w:r>
              <w:rPr>
                <w:sz w:val="24"/>
                <w:szCs w:val="24"/>
              </w:rPr>
              <w:t>图</w:t>
            </w:r>
            <w:r>
              <w:rPr>
                <w:rFonts w:hint="eastAsia"/>
                <w:sz w:val="24"/>
                <w:szCs w:val="24"/>
              </w:rPr>
              <w:t>详</w:t>
            </w:r>
            <w:r>
              <w:rPr>
                <w:sz w:val="24"/>
                <w:szCs w:val="24"/>
              </w:rPr>
              <w:t>见附图一、附图二</w:t>
            </w:r>
            <w:r>
              <w:rPr>
                <w:rFonts w:hint="eastAsia"/>
                <w:sz w:val="24"/>
                <w:szCs w:val="24"/>
              </w:rPr>
              <w:t>和附图三</w:t>
            </w:r>
            <w:r>
              <w:rPr>
                <w:sz w:val="24"/>
                <w:szCs w:val="24"/>
              </w:rPr>
              <w:t>。</w:t>
            </w:r>
          </w:p>
          <w:p>
            <w:pPr>
              <w:adjustRightInd w:val="0"/>
              <w:snapToGrid w:val="0"/>
              <w:spacing w:line="360" w:lineRule="auto"/>
              <w:rPr>
                <w:rFonts w:hint="eastAsia"/>
                <w:b/>
                <w:bCs/>
                <w:spacing w:val="6"/>
                <w:sz w:val="24"/>
              </w:rPr>
            </w:pPr>
            <w:r>
              <w:rPr>
                <w:rFonts w:hint="eastAsia"/>
                <w:b/>
                <w:bCs/>
                <w:spacing w:val="6"/>
                <w:sz w:val="24"/>
              </w:rPr>
              <w:t xml:space="preserve">    三、工程内容及规模</w:t>
            </w:r>
          </w:p>
          <w:p>
            <w:pPr>
              <w:adjustRightInd w:val="0"/>
              <w:snapToGrid w:val="0"/>
              <w:spacing w:line="360" w:lineRule="auto"/>
              <w:ind w:firstLine="470" w:firstLineChars="196"/>
              <w:rPr>
                <w:rFonts w:hint="eastAsia"/>
                <w:sz w:val="24"/>
                <w:szCs w:val="24"/>
              </w:rPr>
            </w:pPr>
            <w:r>
              <w:rPr>
                <w:sz w:val="24"/>
                <w:szCs w:val="24"/>
              </w:rPr>
              <w:t>本</w:t>
            </w:r>
            <w:r>
              <w:rPr>
                <w:rFonts w:hint="eastAsia"/>
                <w:spacing w:val="-4"/>
                <w:sz w:val="24"/>
                <w:szCs w:val="24"/>
              </w:rPr>
              <w:t>项目规划用地面积</w:t>
            </w:r>
            <w:r>
              <w:rPr>
                <w:rFonts w:hint="eastAsia"/>
                <w:sz w:val="24"/>
                <w:szCs w:val="24"/>
              </w:rPr>
              <w:t>50536.06m</w:t>
            </w:r>
            <w:r>
              <w:rPr>
                <w:rFonts w:hint="eastAsia"/>
                <w:sz w:val="24"/>
                <w:szCs w:val="24"/>
                <w:vertAlign w:val="superscript"/>
              </w:rPr>
              <w:t>2</w:t>
            </w:r>
            <w:r>
              <w:rPr>
                <w:rFonts w:hint="eastAsia"/>
                <w:spacing w:val="-4"/>
                <w:sz w:val="24"/>
                <w:szCs w:val="24"/>
              </w:rPr>
              <w:t>（约75.8亩）</w:t>
            </w:r>
            <w:r>
              <w:rPr>
                <w:rFonts w:hint="eastAsia"/>
                <w:sz w:val="24"/>
                <w:szCs w:val="24"/>
              </w:rPr>
              <w:t>，总建筑面积140184.9m</w:t>
            </w:r>
            <w:r>
              <w:rPr>
                <w:rFonts w:hint="eastAsia"/>
                <w:sz w:val="24"/>
                <w:szCs w:val="24"/>
                <w:vertAlign w:val="superscript"/>
              </w:rPr>
              <w:t>2</w:t>
            </w:r>
            <w:r>
              <w:rPr>
                <w:rFonts w:hint="eastAsia"/>
                <w:sz w:val="24"/>
                <w:szCs w:val="24"/>
              </w:rPr>
              <w:t>，主要建设1栋地上5层多功能商业建筑、道路以及绿化等，绿化率为20%。商业建筑内含电影院、餐饮业及其他商业，地下车库、设备用房等配套设施等，未设置KTV等娱乐场所。</w:t>
            </w:r>
            <w:r>
              <w:rPr>
                <w:sz w:val="24"/>
                <w:szCs w:val="24"/>
              </w:rPr>
              <w:t>项目主要经济技术指标见表1</w:t>
            </w:r>
            <w:r>
              <w:rPr>
                <w:rFonts w:hint="eastAsia"/>
                <w:sz w:val="24"/>
                <w:szCs w:val="24"/>
              </w:rPr>
              <w:t>，主要工程内容见表2。</w:t>
            </w:r>
          </w:p>
          <w:p>
            <w:pPr>
              <w:adjustRightInd w:val="0"/>
              <w:snapToGrid w:val="0"/>
              <w:spacing w:line="360" w:lineRule="auto"/>
              <w:jc w:val="center"/>
              <w:rPr>
                <w:rFonts w:hint="eastAsia"/>
                <w:b/>
                <w:sz w:val="24"/>
                <w:szCs w:val="24"/>
              </w:rPr>
            </w:pPr>
            <w:r>
              <w:rPr>
                <w:b/>
                <w:sz w:val="24"/>
                <w:szCs w:val="24"/>
              </w:rPr>
              <w:t>表</w:t>
            </w:r>
            <w:r>
              <w:rPr>
                <w:rFonts w:hint="eastAsia"/>
                <w:b/>
                <w:sz w:val="24"/>
                <w:szCs w:val="24"/>
              </w:rPr>
              <w:t xml:space="preserve">1  </w:t>
            </w:r>
            <w:r>
              <w:rPr>
                <w:b/>
                <w:sz w:val="24"/>
                <w:szCs w:val="24"/>
              </w:rPr>
              <w:t>本项目主要经济技术指标一览表</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08"/>
              <w:gridCol w:w="43"/>
              <w:gridCol w:w="4496"/>
              <w:gridCol w:w="1276"/>
              <w:gridCol w:w="2034"/>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5647" w:type="dxa"/>
                  <w:gridSpan w:val="3"/>
                  <w:vAlign w:val="center"/>
                </w:tcPr>
                <w:p>
                  <w:pPr>
                    <w:tabs>
                      <w:tab w:val="left" w:pos="1350"/>
                    </w:tabs>
                    <w:adjustRightInd w:val="0"/>
                    <w:snapToGrid w:val="0"/>
                    <w:jc w:val="center"/>
                    <w:rPr>
                      <w:rFonts w:hint="eastAsia"/>
                      <w:b/>
                      <w:sz w:val="21"/>
                      <w:szCs w:val="21"/>
                    </w:rPr>
                  </w:pPr>
                  <w:r>
                    <w:rPr>
                      <w:rFonts w:hint="eastAsia"/>
                      <w:b/>
                      <w:sz w:val="21"/>
                      <w:szCs w:val="21"/>
                    </w:rPr>
                    <w:t>项目</w:t>
                  </w:r>
                </w:p>
              </w:tc>
              <w:tc>
                <w:tcPr>
                  <w:tcW w:w="1276" w:type="dxa"/>
                  <w:vAlign w:val="center"/>
                </w:tcPr>
                <w:p>
                  <w:pPr>
                    <w:tabs>
                      <w:tab w:val="left" w:pos="1350"/>
                    </w:tabs>
                    <w:adjustRightInd w:val="0"/>
                    <w:snapToGrid w:val="0"/>
                    <w:jc w:val="center"/>
                    <w:rPr>
                      <w:b/>
                      <w:sz w:val="21"/>
                      <w:szCs w:val="21"/>
                    </w:rPr>
                  </w:pPr>
                  <w:r>
                    <w:rPr>
                      <w:b/>
                      <w:sz w:val="21"/>
                      <w:szCs w:val="21"/>
                    </w:rPr>
                    <w:t>单位</w:t>
                  </w:r>
                </w:p>
              </w:tc>
              <w:tc>
                <w:tcPr>
                  <w:tcW w:w="2034" w:type="dxa"/>
                  <w:vAlign w:val="center"/>
                </w:tcPr>
                <w:p>
                  <w:pPr>
                    <w:tabs>
                      <w:tab w:val="left" w:pos="1350"/>
                    </w:tabs>
                    <w:adjustRightInd w:val="0"/>
                    <w:snapToGrid w:val="0"/>
                    <w:jc w:val="center"/>
                    <w:rPr>
                      <w:rFonts w:hint="eastAsia"/>
                      <w:b/>
                      <w:sz w:val="21"/>
                      <w:szCs w:val="21"/>
                    </w:rPr>
                  </w:pPr>
                  <w:r>
                    <w:rPr>
                      <w:rFonts w:hint="eastAsia"/>
                      <w:b/>
                      <w:sz w:val="21"/>
                      <w:szCs w:val="21"/>
                    </w:rPr>
                    <w:t>数量</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5647" w:type="dxa"/>
                  <w:gridSpan w:val="3"/>
                  <w:vAlign w:val="center"/>
                </w:tcPr>
                <w:p>
                  <w:pPr>
                    <w:tabs>
                      <w:tab w:val="left" w:pos="1350"/>
                    </w:tabs>
                    <w:adjustRightInd w:val="0"/>
                    <w:snapToGrid w:val="0"/>
                    <w:jc w:val="center"/>
                    <w:rPr>
                      <w:rFonts w:hint="eastAsia"/>
                      <w:sz w:val="21"/>
                      <w:szCs w:val="21"/>
                    </w:rPr>
                  </w:pPr>
                  <w:r>
                    <w:rPr>
                      <w:rFonts w:hint="eastAsia"/>
                      <w:sz w:val="21"/>
                      <w:szCs w:val="21"/>
                    </w:rPr>
                    <w:t>规划用地面积</w:t>
                  </w:r>
                </w:p>
              </w:tc>
              <w:tc>
                <w:tcPr>
                  <w:tcW w:w="1276" w:type="dxa"/>
                  <w:vAlign w:val="center"/>
                </w:tcPr>
                <w:p>
                  <w:pPr>
                    <w:tabs>
                      <w:tab w:val="left" w:pos="1350"/>
                    </w:tabs>
                    <w:adjustRightInd w:val="0"/>
                    <w:snapToGrid w:val="0"/>
                    <w:jc w:val="center"/>
                    <w:rPr>
                      <w:sz w:val="21"/>
                      <w:szCs w:val="21"/>
                    </w:rPr>
                  </w:pPr>
                  <w:r>
                    <w:rPr>
                      <w:sz w:val="21"/>
                      <w:szCs w:val="21"/>
                    </w:rPr>
                    <w:t>m</w:t>
                  </w:r>
                  <w:r>
                    <w:rPr>
                      <w:sz w:val="21"/>
                      <w:szCs w:val="21"/>
                      <w:vertAlign w:val="superscript"/>
                    </w:rPr>
                    <w:t>2</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50536.06</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5647" w:type="dxa"/>
                  <w:gridSpan w:val="3"/>
                  <w:vAlign w:val="center"/>
                </w:tcPr>
                <w:p>
                  <w:pPr>
                    <w:tabs>
                      <w:tab w:val="left" w:pos="1350"/>
                    </w:tabs>
                    <w:adjustRightInd w:val="0"/>
                    <w:snapToGrid w:val="0"/>
                    <w:jc w:val="center"/>
                    <w:rPr>
                      <w:sz w:val="21"/>
                      <w:szCs w:val="21"/>
                    </w:rPr>
                  </w:pPr>
                  <w:r>
                    <w:rPr>
                      <w:sz w:val="21"/>
                      <w:szCs w:val="21"/>
                    </w:rPr>
                    <w:t>总建筑面积</w:t>
                  </w:r>
                </w:p>
              </w:tc>
              <w:tc>
                <w:tcPr>
                  <w:tcW w:w="1276" w:type="dxa"/>
                  <w:vAlign w:val="center"/>
                </w:tcPr>
                <w:p>
                  <w:pPr>
                    <w:tabs>
                      <w:tab w:val="left" w:pos="1350"/>
                    </w:tabs>
                    <w:adjustRightInd w:val="0"/>
                    <w:snapToGrid w:val="0"/>
                    <w:jc w:val="center"/>
                    <w:rPr>
                      <w:sz w:val="21"/>
                      <w:szCs w:val="21"/>
                    </w:rPr>
                  </w:pPr>
                  <w:r>
                    <w:rPr>
                      <w:sz w:val="21"/>
                      <w:szCs w:val="21"/>
                    </w:rPr>
                    <w:t>m</w:t>
                  </w:r>
                  <w:r>
                    <w:rPr>
                      <w:sz w:val="21"/>
                      <w:szCs w:val="21"/>
                      <w:vertAlign w:val="superscript"/>
                    </w:rPr>
                    <w:t>2</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140184.9</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5647" w:type="dxa"/>
                  <w:gridSpan w:val="3"/>
                  <w:vAlign w:val="center"/>
                </w:tcPr>
                <w:p>
                  <w:pPr>
                    <w:tabs>
                      <w:tab w:val="left" w:pos="1350"/>
                    </w:tabs>
                    <w:adjustRightInd w:val="0"/>
                    <w:snapToGrid w:val="0"/>
                    <w:jc w:val="center"/>
                    <w:rPr>
                      <w:rFonts w:hint="eastAsia"/>
                      <w:sz w:val="21"/>
                      <w:szCs w:val="21"/>
                    </w:rPr>
                  </w:pPr>
                  <w:r>
                    <w:rPr>
                      <w:rFonts w:hint="eastAsia"/>
                      <w:sz w:val="21"/>
                      <w:szCs w:val="21"/>
                    </w:rPr>
                    <w:t>地上建筑面积</w:t>
                  </w:r>
                </w:p>
              </w:tc>
              <w:tc>
                <w:tcPr>
                  <w:tcW w:w="1276" w:type="dxa"/>
                  <w:vAlign w:val="center"/>
                </w:tcPr>
                <w:p>
                  <w:pPr>
                    <w:tabs>
                      <w:tab w:val="left" w:pos="1350"/>
                    </w:tabs>
                    <w:adjustRightInd w:val="0"/>
                    <w:snapToGrid w:val="0"/>
                    <w:jc w:val="center"/>
                    <w:rPr>
                      <w:sz w:val="21"/>
                      <w:szCs w:val="21"/>
                    </w:rPr>
                  </w:pPr>
                  <w:r>
                    <w:rPr>
                      <w:sz w:val="21"/>
                      <w:szCs w:val="21"/>
                    </w:rPr>
                    <w:t>m</w:t>
                  </w:r>
                  <w:r>
                    <w:rPr>
                      <w:sz w:val="21"/>
                      <w:szCs w:val="21"/>
                      <w:vertAlign w:val="superscript"/>
                    </w:rPr>
                    <w:t>2</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100136.65</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1151" w:type="dxa"/>
                  <w:gridSpan w:val="2"/>
                  <w:vMerge w:val="restart"/>
                  <w:vAlign w:val="center"/>
                </w:tcPr>
                <w:p>
                  <w:pPr>
                    <w:tabs>
                      <w:tab w:val="left" w:pos="1350"/>
                    </w:tabs>
                    <w:adjustRightInd w:val="0"/>
                    <w:snapToGrid w:val="0"/>
                    <w:jc w:val="center"/>
                    <w:rPr>
                      <w:rFonts w:hint="eastAsia"/>
                      <w:sz w:val="21"/>
                      <w:szCs w:val="21"/>
                    </w:rPr>
                  </w:pPr>
                  <w:r>
                    <w:rPr>
                      <w:rFonts w:hint="eastAsia"/>
                      <w:sz w:val="21"/>
                      <w:szCs w:val="21"/>
                    </w:rPr>
                    <w:t>其中</w:t>
                  </w:r>
                </w:p>
              </w:tc>
              <w:tc>
                <w:tcPr>
                  <w:tcW w:w="4496" w:type="dxa"/>
                  <w:vAlign w:val="center"/>
                </w:tcPr>
                <w:p>
                  <w:pPr>
                    <w:tabs>
                      <w:tab w:val="left" w:pos="1350"/>
                    </w:tabs>
                    <w:adjustRightInd w:val="0"/>
                    <w:snapToGrid w:val="0"/>
                    <w:jc w:val="center"/>
                    <w:rPr>
                      <w:rFonts w:hint="eastAsia"/>
                      <w:sz w:val="21"/>
                      <w:szCs w:val="21"/>
                    </w:rPr>
                  </w:pPr>
                  <w:r>
                    <w:rPr>
                      <w:rFonts w:hint="eastAsia"/>
                      <w:sz w:val="21"/>
                      <w:szCs w:val="21"/>
                    </w:rPr>
                    <w:t>1F</w:t>
                  </w:r>
                </w:p>
              </w:tc>
              <w:tc>
                <w:tcPr>
                  <w:tcW w:w="1276" w:type="dxa"/>
                  <w:vAlign w:val="center"/>
                </w:tcPr>
                <w:p>
                  <w:pPr>
                    <w:tabs>
                      <w:tab w:val="left" w:pos="1350"/>
                    </w:tabs>
                    <w:adjustRightInd w:val="0"/>
                    <w:snapToGrid w:val="0"/>
                    <w:jc w:val="center"/>
                    <w:rPr>
                      <w:rFonts w:hint="eastAsia"/>
                      <w:sz w:val="21"/>
                      <w:szCs w:val="21"/>
                    </w:rPr>
                  </w:pPr>
                  <w:r>
                    <w:rPr>
                      <w:sz w:val="21"/>
                      <w:szCs w:val="21"/>
                    </w:rPr>
                    <w:t>m</w:t>
                  </w:r>
                  <w:r>
                    <w:rPr>
                      <w:sz w:val="21"/>
                      <w:szCs w:val="21"/>
                      <w:vertAlign w:val="superscript"/>
                    </w:rPr>
                    <w:t>2</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25870.97</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1151" w:type="dxa"/>
                  <w:gridSpan w:val="2"/>
                  <w:vMerge/>
                  <w:vAlign w:val="center"/>
                </w:tcPr>
                <w:p>
                  <w:pPr>
                    <w:tabs>
                      <w:tab w:val="left" w:pos="1350"/>
                    </w:tabs>
                    <w:adjustRightInd w:val="0"/>
                    <w:snapToGrid w:val="0"/>
                    <w:jc w:val="center"/>
                    <w:rPr>
                      <w:rFonts w:hint="eastAsia"/>
                      <w:sz w:val="21"/>
                      <w:szCs w:val="21"/>
                    </w:rPr>
                  </w:pPr>
                </w:p>
              </w:tc>
              <w:tc>
                <w:tcPr>
                  <w:tcW w:w="4496" w:type="dxa"/>
                  <w:vAlign w:val="center"/>
                </w:tcPr>
                <w:p>
                  <w:pPr>
                    <w:tabs>
                      <w:tab w:val="left" w:pos="1350"/>
                    </w:tabs>
                    <w:adjustRightInd w:val="0"/>
                    <w:snapToGrid w:val="0"/>
                    <w:jc w:val="center"/>
                    <w:rPr>
                      <w:rFonts w:hint="eastAsia"/>
                      <w:sz w:val="21"/>
                      <w:szCs w:val="21"/>
                    </w:rPr>
                  </w:pPr>
                  <w:r>
                    <w:rPr>
                      <w:rFonts w:hint="eastAsia"/>
                      <w:sz w:val="21"/>
                      <w:szCs w:val="21"/>
                    </w:rPr>
                    <w:t>2F</w:t>
                  </w:r>
                </w:p>
              </w:tc>
              <w:tc>
                <w:tcPr>
                  <w:tcW w:w="1276" w:type="dxa"/>
                  <w:vAlign w:val="center"/>
                </w:tcPr>
                <w:p>
                  <w:pPr>
                    <w:tabs>
                      <w:tab w:val="left" w:pos="1350"/>
                    </w:tabs>
                    <w:adjustRightInd w:val="0"/>
                    <w:snapToGrid w:val="0"/>
                    <w:jc w:val="center"/>
                    <w:rPr>
                      <w:rFonts w:hint="eastAsia"/>
                      <w:sz w:val="21"/>
                      <w:szCs w:val="21"/>
                    </w:rPr>
                  </w:pPr>
                  <w:r>
                    <w:rPr>
                      <w:sz w:val="21"/>
                      <w:szCs w:val="21"/>
                    </w:rPr>
                    <w:t>m</w:t>
                  </w:r>
                  <w:r>
                    <w:rPr>
                      <w:sz w:val="21"/>
                      <w:szCs w:val="21"/>
                      <w:vertAlign w:val="superscript"/>
                    </w:rPr>
                    <w:t>2</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23391.02</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1151" w:type="dxa"/>
                  <w:gridSpan w:val="2"/>
                  <w:vMerge/>
                  <w:vAlign w:val="center"/>
                </w:tcPr>
                <w:p>
                  <w:pPr>
                    <w:tabs>
                      <w:tab w:val="left" w:pos="1350"/>
                    </w:tabs>
                    <w:adjustRightInd w:val="0"/>
                    <w:snapToGrid w:val="0"/>
                    <w:jc w:val="center"/>
                    <w:rPr>
                      <w:rFonts w:hint="eastAsia"/>
                      <w:sz w:val="21"/>
                      <w:szCs w:val="21"/>
                    </w:rPr>
                  </w:pPr>
                </w:p>
              </w:tc>
              <w:tc>
                <w:tcPr>
                  <w:tcW w:w="4496" w:type="dxa"/>
                  <w:vAlign w:val="center"/>
                </w:tcPr>
                <w:p>
                  <w:pPr>
                    <w:tabs>
                      <w:tab w:val="left" w:pos="1350"/>
                    </w:tabs>
                    <w:adjustRightInd w:val="0"/>
                    <w:snapToGrid w:val="0"/>
                    <w:jc w:val="center"/>
                    <w:rPr>
                      <w:rFonts w:hint="eastAsia"/>
                      <w:sz w:val="21"/>
                      <w:szCs w:val="21"/>
                    </w:rPr>
                  </w:pPr>
                  <w:r>
                    <w:rPr>
                      <w:rFonts w:hint="eastAsia"/>
                      <w:sz w:val="21"/>
                      <w:szCs w:val="21"/>
                    </w:rPr>
                    <w:t>3F</w:t>
                  </w:r>
                </w:p>
              </w:tc>
              <w:tc>
                <w:tcPr>
                  <w:tcW w:w="1276" w:type="dxa"/>
                  <w:vAlign w:val="center"/>
                </w:tcPr>
                <w:p>
                  <w:pPr>
                    <w:tabs>
                      <w:tab w:val="left" w:pos="1350"/>
                    </w:tabs>
                    <w:adjustRightInd w:val="0"/>
                    <w:snapToGrid w:val="0"/>
                    <w:jc w:val="center"/>
                    <w:rPr>
                      <w:rFonts w:hint="eastAsia"/>
                      <w:sz w:val="21"/>
                      <w:szCs w:val="21"/>
                    </w:rPr>
                  </w:pPr>
                  <w:r>
                    <w:rPr>
                      <w:sz w:val="21"/>
                      <w:szCs w:val="21"/>
                    </w:rPr>
                    <w:t>m</w:t>
                  </w:r>
                  <w:r>
                    <w:rPr>
                      <w:sz w:val="21"/>
                      <w:szCs w:val="21"/>
                      <w:vertAlign w:val="superscript"/>
                    </w:rPr>
                    <w:t>2</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22957.09</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1151" w:type="dxa"/>
                  <w:gridSpan w:val="2"/>
                  <w:vMerge/>
                  <w:vAlign w:val="center"/>
                </w:tcPr>
                <w:p>
                  <w:pPr>
                    <w:tabs>
                      <w:tab w:val="left" w:pos="1350"/>
                    </w:tabs>
                    <w:adjustRightInd w:val="0"/>
                    <w:snapToGrid w:val="0"/>
                    <w:jc w:val="center"/>
                    <w:rPr>
                      <w:rFonts w:hint="eastAsia"/>
                      <w:sz w:val="21"/>
                      <w:szCs w:val="21"/>
                    </w:rPr>
                  </w:pPr>
                </w:p>
              </w:tc>
              <w:tc>
                <w:tcPr>
                  <w:tcW w:w="4496" w:type="dxa"/>
                  <w:vAlign w:val="center"/>
                </w:tcPr>
                <w:p>
                  <w:pPr>
                    <w:tabs>
                      <w:tab w:val="left" w:pos="1350"/>
                    </w:tabs>
                    <w:adjustRightInd w:val="0"/>
                    <w:snapToGrid w:val="0"/>
                    <w:jc w:val="center"/>
                    <w:rPr>
                      <w:rFonts w:hint="eastAsia"/>
                      <w:sz w:val="21"/>
                      <w:szCs w:val="21"/>
                    </w:rPr>
                  </w:pPr>
                  <w:r>
                    <w:rPr>
                      <w:rFonts w:hint="eastAsia"/>
                      <w:sz w:val="21"/>
                      <w:szCs w:val="21"/>
                    </w:rPr>
                    <w:t>4F</w:t>
                  </w:r>
                </w:p>
              </w:tc>
              <w:tc>
                <w:tcPr>
                  <w:tcW w:w="1276" w:type="dxa"/>
                  <w:vAlign w:val="center"/>
                </w:tcPr>
                <w:p>
                  <w:pPr>
                    <w:tabs>
                      <w:tab w:val="left" w:pos="1350"/>
                    </w:tabs>
                    <w:adjustRightInd w:val="0"/>
                    <w:snapToGrid w:val="0"/>
                    <w:jc w:val="center"/>
                    <w:rPr>
                      <w:sz w:val="21"/>
                      <w:szCs w:val="21"/>
                    </w:rPr>
                  </w:pPr>
                  <w:r>
                    <w:rPr>
                      <w:sz w:val="21"/>
                      <w:szCs w:val="21"/>
                    </w:rPr>
                    <w:t>m</w:t>
                  </w:r>
                  <w:r>
                    <w:rPr>
                      <w:sz w:val="21"/>
                      <w:szCs w:val="21"/>
                      <w:vertAlign w:val="superscript"/>
                    </w:rPr>
                    <w:t>2</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22903.13</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1151" w:type="dxa"/>
                  <w:gridSpan w:val="2"/>
                  <w:vMerge/>
                  <w:vAlign w:val="center"/>
                </w:tcPr>
                <w:p>
                  <w:pPr>
                    <w:tabs>
                      <w:tab w:val="left" w:pos="1350"/>
                    </w:tabs>
                    <w:adjustRightInd w:val="0"/>
                    <w:snapToGrid w:val="0"/>
                    <w:jc w:val="center"/>
                    <w:rPr>
                      <w:rFonts w:hint="eastAsia"/>
                      <w:sz w:val="21"/>
                      <w:szCs w:val="21"/>
                    </w:rPr>
                  </w:pPr>
                </w:p>
              </w:tc>
              <w:tc>
                <w:tcPr>
                  <w:tcW w:w="4496" w:type="dxa"/>
                  <w:vAlign w:val="center"/>
                </w:tcPr>
                <w:p>
                  <w:pPr>
                    <w:tabs>
                      <w:tab w:val="left" w:pos="1350"/>
                    </w:tabs>
                    <w:adjustRightInd w:val="0"/>
                    <w:snapToGrid w:val="0"/>
                    <w:jc w:val="center"/>
                    <w:rPr>
                      <w:rFonts w:hint="eastAsia"/>
                      <w:sz w:val="21"/>
                      <w:szCs w:val="21"/>
                    </w:rPr>
                  </w:pPr>
                  <w:r>
                    <w:rPr>
                      <w:rFonts w:hint="eastAsia"/>
                      <w:sz w:val="21"/>
                      <w:szCs w:val="21"/>
                    </w:rPr>
                    <w:t>5F</w:t>
                  </w:r>
                </w:p>
              </w:tc>
              <w:tc>
                <w:tcPr>
                  <w:tcW w:w="1276" w:type="dxa"/>
                  <w:vAlign w:val="center"/>
                </w:tcPr>
                <w:p>
                  <w:pPr>
                    <w:tabs>
                      <w:tab w:val="left" w:pos="1350"/>
                    </w:tabs>
                    <w:adjustRightInd w:val="0"/>
                    <w:snapToGrid w:val="0"/>
                    <w:jc w:val="center"/>
                    <w:rPr>
                      <w:sz w:val="21"/>
                      <w:szCs w:val="21"/>
                    </w:rPr>
                  </w:pPr>
                  <w:r>
                    <w:rPr>
                      <w:sz w:val="21"/>
                      <w:szCs w:val="21"/>
                    </w:rPr>
                    <w:t>m</w:t>
                  </w:r>
                  <w:r>
                    <w:rPr>
                      <w:sz w:val="21"/>
                      <w:szCs w:val="21"/>
                      <w:vertAlign w:val="superscript"/>
                    </w:rPr>
                    <w:t>2</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5013.44</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1151" w:type="dxa"/>
                  <w:gridSpan w:val="2"/>
                  <w:vMerge w:val="restart"/>
                  <w:vAlign w:val="center"/>
                </w:tcPr>
                <w:p>
                  <w:pPr>
                    <w:tabs>
                      <w:tab w:val="left" w:pos="1350"/>
                    </w:tabs>
                    <w:adjustRightInd w:val="0"/>
                    <w:snapToGrid w:val="0"/>
                    <w:jc w:val="center"/>
                    <w:rPr>
                      <w:rFonts w:hint="eastAsia"/>
                      <w:sz w:val="21"/>
                      <w:szCs w:val="21"/>
                    </w:rPr>
                  </w:pPr>
                  <w:r>
                    <w:rPr>
                      <w:rFonts w:hint="eastAsia"/>
                      <w:sz w:val="21"/>
                      <w:szCs w:val="21"/>
                    </w:rPr>
                    <w:t>地下室建筑面积</w:t>
                  </w:r>
                </w:p>
              </w:tc>
              <w:tc>
                <w:tcPr>
                  <w:tcW w:w="4496" w:type="dxa"/>
                  <w:vAlign w:val="center"/>
                </w:tcPr>
                <w:p>
                  <w:pPr>
                    <w:tabs>
                      <w:tab w:val="left" w:pos="1350"/>
                    </w:tabs>
                    <w:adjustRightInd w:val="0"/>
                    <w:snapToGrid w:val="0"/>
                    <w:jc w:val="center"/>
                    <w:rPr>
                      <w:rFonts w:hint="eastAsia"/>
                      <w:sz w:val="21"/>
                      <w:szCs w:val="21"/>
                    </w:rPr>
                  </w:pPr>
                  <w:r>
                    <w:rPr>
                      <w:rFonts w:hint="eastAsia"/>
                      <w:sz w:val="21"/>
                      <w:szCs w:val="21"/>
                    </w:rPr>
                    <w:t>地下一层</w:t>
                  </w:r>
                </w:p>
              </w:tc>
              <w:tc>
                <w:tcPr>
                  <w:tcW w:w="1276" w:type="dxa"/>
                  <w:vAlign w:val="center"/>
                </w:tcPr>
                <w:p>
                  <w:pPr>
                    <w:tabs>
                      <w:tab w:val="left" w:pos="1350"/>
                    </w:tabs>
                    <w:adjustRightInd w:val="0"/>
                    <w:snapToGrid w:val="0"/>
                    <w:jc w:val="center"/>
                    <w:rPr>
                      <w:sz w:val="21"/>
                      <w:szCs w:val="21"/>
                    </w:rPr>
                  </w:pPr>
                  <w:r>
                    <w:rPr>
                      <w:sz w:val="21"/>
                      <w:szCs w:val="21"/>
                    </w:rPr>
                    <w:t>m</w:t>
                  </w:r>
                  <w:r>
                    <w:rPr>
                      <w:sz w:val="21"/>
                      <w:szCs w:val="21"/>
                      <w:vertAlign w:val="superscript"/>
                    </w:rPr>
                    <w:t>2</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24941.31</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1151" w:type="dxa"/>
                  <w:gridSpan w:val="2"/>
                  <w:vMerge/>
                  <w:vAlign w:val="center"/>
                </w:tcPr>
                <w:p>
                  <w:pPr>
                    <w:tabs>
                      <w:tab w:val="left" w:pos="1350"/>
                    </w:tabs>
                    <w:adjustRightInd w:val="0"/>
                    <w:snapToGrid w:val="0"/>
                    <w:jc w:val="center"/>
                    <w:rPr>
                      <w:rFonts w:hint="eastAsia"/>
                      <w:sz w:val="21"/>
                      <w:szCs w:val="21"/>
                    </w:rPr>
                  </w:pPr>
                </w:p>
              </w:tc>
              <w:tc>
                <w:tcPr>
                  <w:tcW w:w="4496" w:type="dxa"/>
                  <w:vAlign w:val="center"/>
                </w:tcPr>
                <w:p>
                  <w:pPr>
                    <w:tabs>
                      <w:tab w:val="left" w:pos="1350"/>
                    </w:tabs>
                    <w:adjustRightInd w:val="0"/>
                    <w:snapToGrid w:val="0"/>
                    <w:jc w:val="center"/>
                    <w:rPr>
                      <w:rFonts w:hint="eastAsia"/>
                      <w:sz w:val="21"/>
                      <w:szCs w:val="21"/>
                    </w:rPr>
                  </w:pPr>
                  <w:r>
                    <w:rPr>
                      <w:rFonts w:hint="eastAsia"/>
                      <w:sz w:val="21"/>
                      <w:szCs w:val="21"/>
                    </w:rPr>
                    <w:t>地下二层</w:t>
                  </w:r>
                </w:p>
              </w:tc>
              <w:tc>
                <w:tcPr>
                  <w:tcW w:w="1276" w:type="dxa"/>
                  <w:vAlign w:val="center"/>
                </w:tcPr>
                <w:p>
                  <w:pPr>
                    <w:tabs>
                      <w:tab w:val="left" w:pos="1350"/>
                    </w:tabs>
                    <w:adjustRightInd w:val="0"/>
                    <w:snapToGrid w:val="0"/>
                    <w:jc w:val="center"/>
                    <w:rPr>
                      <w:sz w:val="21"/>
                      <w:szCs w:val="21"/>
                    </w:rPr>
                  </w:pPr>
                  <w:r>
                    <w:rPr>
                      <w:sz w:val="21"/>
                      <w:szCs w:val="21"/>
                    </w:rPr>
                    <w:t>m</w:t>
                  </w:r>
                  <w:r>
                    <w:rPr>
                      <w:sz w:val="21"/>
                      <w:szCs w:val="21"/>
                      <w:vertAlign w:val="superscript"/>
                    </w:rPr>
                    <w:t>2</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15107.94</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5647" w:type="dxa"/>
                  <w:gridSpan w:val="3"/>
                  <w:vAlign w:val="center"/>
                </w:tcPr>
                <w:p>
                  <w:pPr>
                    <w:tabs>
                      <w:tab w:val="left" w:pos="1350"/>
                    </w:tabs>
                    <w:adjustRightInd w:val="0"/>
                    <w:snapToGrid w:val="0"/>
                    <w:jc w:val="center"/>
                    <w:rPr>
                      <w:rFonts w:hint="eastAsia"/>
                      <w:sz w:val="21"/>
                      <w:szCs w:val="21"/>
                    </w:rPr>
                  </w:pPr>
                  <w:r>
                    <w:rPr>
                      <w:rFonts w:hint="eastAsia"/>
                      <w:sz w:val="21"/>
                      <w:szCs w:val="21"/>
                    </w:rPr>
                    <w:t>建筑占地面积</w:t>
                  </w:r>
                </w:p>
              </w:tc>
              <w:tc>
                <w:tcPr>
                  <w:tcW w:w="1276" w:type="dxa"/>
                  <w:vAlign w:val="center"/>
                </w:tcPr>
                <w:p>
                  <w:pPr>
                    <w:tabs>
                      <w:tab w:val="left" w:pos="1350"/>
                    </w:tabs>
                    <w:adjustRightInd w:val="0"/>
                    <w:snapToGrid w:val="0"/>
                    <w:jc w:val="center"/>
                    <w:rPr>
                      <w:sz w:val="21"/>
                      <w:szCs w:val="21"/>
                    </w:rPr>
                  </w:pPr>
                  <w:r>
                    <w:rPr>
                      <w:sz w:val="21"/>
                      <w:szCs w:val="21"/>
                    </w:rPr>
                    <w:t>m</w:t>
                  </w:r>
                  <w:r>
                    <w:rPr>
                      <w:sz w:val="21"/>
                      <w:szCs w:val="21"/>
                      <w:vertAlign w:val="superscript"/>
                    </w:rPr>
                    <w:t>2</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25870.97</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5647" w:type="dxa"/>
                  <w:gridSpan w:val="3"/>
                  <w:vAlign w:val="center"/>
                </w:tcPr>
                <w:p>
                  <w:pPr>
                    <w:tabs>
                      <w:tab w:val="left" w:pos="1350"/>
                    </w:tabs>
                    <w:adjustRightInd w:val="0"/>
                    <w:snapToGrid w:val="0"/>
                    <w:jc w:val="center"/>
                    <w:rPr>
                      <w:rFonts w:hint="eastAsia"/>
                      <w:sz w:val="21"/>
                      <w:szCs w:val="21"/>
                    </w:rPr>
                  </w:pPr>
                  <w:r>
                    <w:rPr>
                      <w:rFonts w:hint="eastAsia"/>
                      <w:sz w:val="21"/>
                      <w:szCs w:val="21"/>
                    </w:rPr>
                    <w:t>容积率</w:t>
                  </w:r>
                </w:p>
              </w:tc>
              <w:tc>
                <w:tcPr>
                  <w:tcW w:w="1276" w:type="dxa"/>
                  <w:vAlign w:val="center"/>
                </w:tcPr>
                <w:p>
                  <w:pPr>
                    <w:tabs>
                      <w:tab w:val="left" w:pos="1350"/>
                    </w:tabs>
                    <w:adjustRightInd w:val="0"/>
                    <w:snapToGrid w:val="0"/>
                    <w:jc w:val="center"/>
                    <w:rPr>
                      <w:rFonts w:hint="eastAsia"/>
                      <w:sz w:val="21"/>
                      <w:szCs w:val="21"/>
                    </w:rPr>
                  </w:pPr>
                  <w:r>
                    <w:rPr>
                      <w:rFonts w:hint="eastAsia"/>
                      <w:sz w:val="21"/>
                      <w:szCs w:val="21"/>
                    </w:rPr>
                    <w:t>/</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1.98</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5647" w:type="dxa"/>
                  <w:gridSpan w:val="3"/>
                  <w:vAlign w:val="center"/>
                </w:tcPr>
                <w:p>
                  <w:pPr>
                    <w:tabs>
                      <w:tab w:val="left" w:pos="1350"/>
                    </w:tabs>
                    <w:adjustRightInd w:val="0"/>
                    <w:snapToGrid w:val="0"/>
                    <w:jc w:val="center"/>
                    <w:rPr>
                      <w:rFonts w:hint="eastAsia"/>
                      <w:sz w:val="21"/>
                      <w:szCs w:val="21"/>
                    </w:rPr>
                  </w:pPr>
                  <w:r>
                    <w:rPr>
                      <w:rFonts w:hint="eastAsia"/>
                      <w:sz w:val="21"/>
                      <w:szCs w:val="21"/>
                    </w:rPr>
                    <w:t>建筑密度</w:t>
                  </w:r>
                </w:p>
              </w:tc>
              <w:tc>
                <w:tcPr>
                  <w:tcW w:w="1276" w:type="dxa"/>
                  <w:vAlign w:val="center"/>
                </w:tcPr>
                <w:p>
                  <w:pPr>
                    <w:tabs>
                      <w:tab w:val="left" w:pos="1350"/>
                    </w:tabs>
                    <w:adjustRightInd w:val="0"/>
                    <w:snapToGrid w:val="0"/>
                    <w:jc w:val="center"/>
                    <w:rPr>
                      <w:rFonts w:hint="eastAsia"/>
                      <w:sz w:val="21"/>
                      <w:szCs w:val="21"/>
                    </w:rPr>
                  </w:pPr>
                  <w:r>
                    <w:rPr>
                      <w:rFonts w:hint="eastAsia"/>
                      <w:sz w:val="21"/>
                      <w:szCs w:val="21"/>
                    </w:rPr>
                    <w:t>%</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51</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5647" w:type="dxa"/>
                  <w:gridSpan w:val="3"/>
                  <w:vAlign w:val="center"/>
                </w:tcPr>
                <w:p>
                  <w:pPr>
                    <w:tabs>
                      <w:tab w:val="left" w:pos="1350"/>
                    </w:tabs>
                    <w:adjustRightInd w:val="0"/>
                    <w:snapToGrid w:val="0"/>
                    <w:jc w:val="center"/>
                    <w:rPr>
                      <w:rFonts w:hint="eastAsia"/>
                      <w:sz w:val="21"/>
                      <w:szCs w:val="21"/>
                    </w:rPr>
                  </w:pPr>
                  <w:r>
                    <w:rPr>
                      <w:rFonts w:hint="eastAsia"/>
                      <w:sz w:val="21"/>
                      <w:szCs w:val="21"/>
                    </w:rPr>
                    <w:t>绿地率</w:t>
                  </w:r>
                </w:p>
              </w:tc>
              <w:tc>
                <w:tcPr>
                  <w:tcW w:w="1276" w:type="dxa"/>
                  <w:vAlign w:val="center"/>
                </w:tcPr>
                <w:p>
                  <w:pPr>
                    <w:tabs>
                      <w:tab w:val="left" w:pos="1350"/>
                    </w:tabs>
                    <w:adjustRightInd w:val="0"/>
                    <w:snapToGrid w:val="0"/>
                    <w:jc w:val="center"/>
                    <w:rPr>
                      <w:rFonts w:hint="eastAsia"/>
                      <w:sz w:val="21"/>
                      <w:szCs w:val="21"/>
                    </w:rPr>
                  </w:pPr>
                  <w:r>
                    <w:rPr>
                      <w:rFonts w:hint="eastAsia"/>
                      <w:sz w:val="21"/>
                      <w:szCs w:val="21"/>
                    </w:rPr>
                    <w:t>%</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20</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5647" w:type="dxa"/>
                  <w:gridSpan w:val="3"/>
                  <w:vAlign w:val="center"/>
                </w:tcPr>
                <w:p>
                  <w:pPr>
                    <w:tabs>
                      <w:tab w:val="left" w:pos="1350"/>
                    </w:tabs>
                    <w:adjustRightInd w:val="0"/>
                    <w:snapToGrid w:val="0"/>
                    <w:jc w:val="center"/>
                    <w:rPr>
                      <w:rFonts w:hint="eastAsia"/>
                      <w:sz w:val="21"/>
                      <w:szCs w:val="21"/>
                    </w:rPr>
                  </w:pPr>
                  <w:r>
                    <w:rPr>
                      <w:rFonts w:hint="eastAsia"/>
                      <w:sz w:val="21"/>
                      <w:szCs w:val="21"/>
                    </w:rPr>
                    <w:t>机动车停车位</w:t>
                  </w:r>
                </w:p>
              </w:tc>
              <w:tc>
                <w:tcPr>
                  <w:tcW w:w="1276" w:type="dxa"/>
                  <w:vAlign w:val="center"/>
                </w:tcPr>
                <w:p>
                  <w:pPr>
                    <w:tabs>
                      <w:tab w:val="left" w:pos="1350"/>
                    </w:tabs>
                    <w:adjustRightInd w:val="0"/>
                    <w:snapToGrid w:val="0"/>
                    <w:jc w:val="center"/>
                    <w:rPr>
                      <w:rFonts w:hint="eastAsia"/>
                      <w:sz w:val="21"/>
                      <w:szCs w:val="21"/>
                    </w:rPr>
                  </w:pPr>
                  <w:r>
                    <w:rPr>
                      <w:rFonts w:hint="eastAsia"/>
                      <w:sz w:val="21"/>
                      <w:szCs w:val="21"/>
                    </w:rPr>
                    <w:t>辆</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801</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1108" w:type="dxa"/>
                  <w:vMerge w:val="restart"/>
                  <w:vAlign w:val="center"/>
                </w:tcPr>
                <w:p>
                  <w:pPr>
                    <w:tabs>
                      <w:tab w:val="left" w:pos="1350"/>
                    </w:tabs>
                    <w:adjustRightInd w:val="0"/>
                    <w:snapToGrid w:val="0"/>
                    <w:jc w:val="center"/>
                    <w:rPr>
                      <w:rFonts w:hint="eastAsia"/>
                      <w:sz w:val="21"/>
                      <w:szCs w:val="21"/>
                    </w:rPr>
                  </w:pPr>
                  <w:r>
                    <w:rPr>
                      <w:rFonts w:hint="eastAsia"/>
                      <w:sz w:val="21"/>
                      <w:szCs w:val="21"/>
                    </w:rPr>
                    <w:t>其中</w:t>
                  </w:r>
                </w:p>
              </w:tc>
              <w:tc>
                <w:tcPr>
                  <w:tcW w:w="4539" w:type="dxa"/>
                  <w:gridSpan w:val="2"/>
                  <w:vAlign w:val="center"/>
                </w:tcPr>
                <w:p>
                  <w:pPr>
                    <w:tabs>
                      <w:tab w:val="left" w:pos="1350"/>
                    </w:tabs>
                    <w:adjustRightInd w:val="0"/>
                    <w:snapToGrid w:val="0"/>
                    <w:jc w:val="center"/>
                    <w:rPr>
                      <w:rFonts w:hint="eastAsia"/>
                      <w:sz w:val="21"/>
                      <w:szCs w:val="21"/>
                    </w:rPr>
                  </w:pPr>
                  <w:r>
                    <w:rPr>
                      <w:rFonts w:hint="eastAsia"/>
                      <w:sz w:val="21"/>
                      <w:szCs w:val="21"/>
                    </w:rPr>
                    <w:t>地上停车位</w:t>
                  </w:r>
                </w:p>
              </w:tc>
              <w:tc>
                <w:tcPr>
                  <w:tcW w:w="1276" w:type="dxa"/>
                  <w:vAlign w:val="center"/>
                </w:tcPr>
                <w:p>
                  <w:pPr>
                    <w:tabs>
                      <w:tab w:val="left" w:pos="1350"/>
                    </w:tabs>
                    <w:adjustRightInd w:val="0"/>
                    <w:snapToGrid w:val="0"/>
                    <w:jc w:val="center"/>
                    <w:rPr>
                      <w:rFonts w:hint="eastAsia"/>
                      <w:sz w:val="21"/>
                      <w:szCs w:val="21"/>
                    </w:rPr>
                  </w:pPr>
                  <w:r>
                    <w:rPr>
                      <w:rFonts w:hint="eastAsia"/>
                      <w:sz w:val="21"/>
                      <w:szCs w:val="21"/>
                    </w:rPr>
                    <w:t>个</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50</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1108" w:type="dxa"/>
                  <w:vMerge/>
                  <w:vAlign w:val="center"/>
                </w:tcPr>
                <w:p>
                  <w:pPr>
                    <w:tabs>
                      <w:tab w:val="left" w:pos="1350"/>
                    </w:tabs>
                    <w:adjustRightInd w:val="0"/>
                    <w:snapToGrid w:val="0"/>
                    <w:jc w:val="center"/>
                    <w:rPr>
                      <w:rFonts w:hint="eastAsia"/>
                      <w:sz w:val="21"/>
                      <w:szCs w:val="21"/>
                    </w:rPr>
                  </w:pPr>
                </w:p>
              </w:tc>
              <w:tc>
                <w:tcPr>
                  <w:tcW w:w="4539" w:type="dxa"/>
                  <w:gridSpan w:val="2"/>
                  <w:vAlign w:val="center"/>
                </w:tcPr>
                <w:p>
                  <w:pPr>
                    <w:tabs>
                      <w:tab w:val="left" w:pos="1350"/>
                    </w:tabs>
                    <w:adjustRightInd w:val="0"/>
                    <w:snapToGrid w:val="0"/>
                    <w:jc w:val="center"/>
                    <w:rPr>
                      <w:rFonts w:hint="eastAsia"/>
                      <w:sz w:val="21"/>
                      <w:szCs w:val="21"/>
                    </w:rPr>
                  </w:pPr>
                  <w:r>
                    <w:rPr>
                      <w:rFonts w:hint="eastAsia"/>
                      <w:sz w:val="21"/>
                      <w:szCs w:val="21"/>
                    </w:rPr>
                    <w:t>地下停车位</w:t>
                  </w:r>
                </w:p>
              </w:tc>
              <w:tc>
                <w:tcPr>
                  <w:tcW w:w="1276" w:type="dxa"/>
                  <w:vAlign w:val="center"/>
                </w:tcPr>
                <w:p>
                  <w:pPr>
                    <w:tabs>
                      <w:tab w:val="left" w:pos="1350"/>
                    </w:tabs>
                    <w:adjustRightInd w:val="0"/>
                    <w:snapToGrid w:val="0"/>
                    <w:jc w:val="center"/>
                    <w:rPr>
                      <w:rFonts w:hint="eastAsia"/>
                      <w:sz w:val="21"/>
                      <w:szCs w:val="21"/>
                    </w:rPr>
                  </w:pPr>
                  <w:r>
                    <w:rPr>
                      <w:rFonts w:hint="eastAsia"/>
                      <w:sz w:val="21"/>
                      <w:szCs w:val="21"/>
                    </w:rPr>
                    <w:t>个</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751</w:t>
                  </w:r>
                </w:p>
              </w:tc>
            </w:tr>
          </w:tbl>
          <w:p/>
        </w:tc>
      </w:tr>
    </w:tbl>
    <w:p>
      <w:pPr>
        <w:sectPr>
          <w:footerReference w:type="even" r:id="rId7"/>
          <w:footerReference w:type="default" r:id="rId8"/>
          <w:footerReference w:type="first" r:id="rId9"/>
          <w:type w:val="nextPage"/>
          <w:pgSz w:w="11906" w:h="16838"/>
          <w:pgMar w:top="1134" w:right="1418" w:bottom="1134" w:left="1418" w:header="851" w:footer="992" w:gutter="0"/>
          <w:pgNumType w:start="2"/>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Look w:val="0000"/>
      </w:tblPr>
      <w:tblGrid>
        <w:gridCol w:w="9354"/>
      </w:tblGrid>
      <w:tr>
        <w:tblPrEx>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Look w:val="0000"/>
        </w:tblPrEx>
        <w:trPr>
          <w:trHeight w:val="2482"/>
          <w:jc w:val="center"/>
        </w:trPr>
        <w:tc>
          <w:tcPr>
            <w:tcW w:w="9354" w:type="dxa"/>
            <w:tcMar>
              <w:left w:w="0" w:type="dxa"/>
              <w:right w:w="0" w:type="dxa"/>
            </w:tcMar>
          </w:tcPr>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647"/>
              <w:gridCol w:w="1276"/>
              <w:gridCol w:w="2034"/>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5647" w:type="dxa"/>
                  <w:vAlign w:val="center"/>
                </w:tcPr>
                <w:p>
                  <w:pPr>
                    <w:tabs>
                      <w:tab w:val="left" w:pos="1350"/>
                    </w:tabs>
                    <w:adjustRightInd w:val="0"/>
                    <w:snapToGrid w:val="0"/>
                    <w:jc w:val="center"/>
                    <w:rPr>
                      <w:rFonts w:hint="eastAsia"/>
                      <w:sz w:val="21"/>
                      <w:szCs w:val="21"/>
                    </w:rPr>
                  </w:pPr>
                  <w:r>
                    <w:rPr>
                      <w:rFonts w:hint="eastAsia"/>
                      <w:sz w:val="21"/>
                      <w:szCs w:val="21"/>
                    </w:rPr>
                    <w:t>非机动车停车位</w:t>
                  </w:r>
                </w:p>
              </w:tc>
              <w:tc>
                <w:tcPr>
                  <w:tcW w:w="1276" w:type="dxa"/>
                  <w:vAlign w:val="center"/>
                </w:tcPr>
                <w:p>
                  <w:pPr>
                    <w:tabs>
                      <w:tab w:val="left" w:pos="1350"/>
                    </w:tabs>
                    <w:adjustRightInd w:val="0"/>
                    <w:snapToGrid w:val="0"/>
                    <w:jc w:val="center"/>
                    <w:rPr>
                      <w:rFonts w:hint="eastAsia"/>
                      <w:sz w:val="21"/>
                      <w:szCs w:val="21"/>
                    </w:rPr>
                  </w:pPr>
                  <w:r>
                    <w:rPr>
                      <w:sz w:val="21"/>
                      <w:szCs w:val="21"/>
                    </w:rPr>
                    <w:t>m</w:t>
                  </w:r>
                  <w:r>
                    <w:rPr>
                      <w:sz w:val="21"/>
                      <w:szCs w:val="21"/>
                      <w:vertAlign w:val="superscript"/>
                    </w:rPr>
                    <w:t>2</w:t>
                  </w:r>
                </w:p>
              </w:tc>
              <w:tc>
                <w:tcPr>
                  <w:tcW w:w="2034" w:type="dxa"/>
                  <w:vAlign w:val="center"/>
                </w:tcPr>
                <w:p>
                  <w:pPr>
                    <w:tabs>
                      <w:tab w:val="left" w:pos="1350"/>
                    </w:tabs>
                    <w:adjustRightInd w:val="0"/>
                    <w:snapToGrid w:val="0"/>
                    <w:jc w:val="center"/>
                    <w:rPr>
                      <w:rFonts w:hint="eastAsia"/>
                      <w:sz w:val="21"/>
                      <w:szCs w:val="21"/>
                    </w:rPr>
                  </w:pPr>
                  <w:r>
                    <w:rPr>
                      <w:rFonts w:hint="eastAsia"/>
                      <w:sz w:val="21"/>
                      <w:szCs w:val="21"/>
                    </w:rPr>
                    <w:t>1000</w:t>
                  </w:r>
                </w:p>
              </w:tc>
            </w:tr>
          </w:tbl>
          <w:p>
            <w:pPr>
              <w:spacing w:line="360" w:lineRule="auto"/>
              <w:ind w:firstLine="482"/>
              <w:jc w:val="center"/>
              <w:rPr>
                <w:rFonts w:cs="隶书" w:hint="eastAsia"/>
                <w:b/>
                <w:bCs/>
                <w:sz w:val="24"/>
                <w:szCs w:val="24"/>
              </w:rPr>
            </w:pPr>
            <w:r>
              <w:rPr>
                <w:rFonts w:hint="eastAsia"/>
                <w:b/>
                <w:bCs/>
                <w:sz w:val="24"/>
                <w:szCs w:val="24"/>
              </w:rPr>
              <w:t xml:space="preserve">表2  </w:t>
            </w:r>
            <w:r>
              <w:rPr>
                <w:rFonts w:cs="隶书" w:hint="eastAsia"/>
                <w:b/>
                <w:bCs/>
                <w:sz w:val="24"/>
                <w:szCs w:val="24"/>
              </w:rPr>
              <w:t>项目主要工程内容一览表</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17"/>
              <w:gridCol w:w="1886"/>
              <w:gridCol w:w="5954"/>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340"/>
                <w:jc w:val="center"/>
              </w:trPr>
              <w:tc>
                <w:tcPr>
                  <w:tcW w:w="1117" w:type="dxa"/>
                  <w:vAlign w:val="center"/>
                </w:tcPr>
                <w:p>
                  <w:pPr>
                    <w:pStyle w:val="a0"/>
                    <w:tabs>
                      <w:tab w:val="left" w:pos="1519"/>
                    </w:tabs>
                    <w:rPr>
                      <w:rFonts w:hint="eastAsia"/>
                      <w:b/>
                      <w:bCs/>
                      <w:sz w:val="21"/>
                      <w:szCs w:val="21"/>
                    </w:rPr>
                  </w:pPr>
                  <w:r>
                    <w:rPr>
                      <w:rFonts w:hint="eastAsia"/>
                      <w:b/>
                      <w:bCs/>
                      <w:sz w:val="21"/>
                      <w:szCs w:val="21"/>
                    </w:rPr>
                    <w:t>工程类别</w:t>
                  </w:r>
                </w:p>
              </w:tc>
              <w:tc>
                <w:tcPr>
                  <w:tcW w:w="1886" w:type="dxa"/>
                  <w:vAlign w:val="center"/>
                </w:tcPr>
                <w:p>
                  <w:pPr>
                    <w:pStyle w:val="a0"/>
                    <w:tabs>
                      <w:tab w:val="left" w:pos="1519"/>
                    </w:tabs>
                    <w:rPr>
                      <w:rFonts w:hint="eastAsia"/>
                      <w:b/>
                      <w:bCs/>
                      <w:sz w:val="21"/>
                      <w:szCs w:val="21"/>
                    </w:rPr>
                  </w:pPr>
                  <w:r>
                    <w:rPr>
                      <w:rFonts w:hint="eastAsia"/>
                      <w:b/>
                      <w:bCs/>
                      <w:sz w:val="21"/>
                      <w:szCs w:val="21"/>
                    </w:rPr>
                    <w:t>名称</w:t>
                  </w:r>
                </w:p>
              </w:tc>
              <w:tc>
                <w:tcPr>
                  <w:tcW w:w="5954" w:type="dxa"/>
                  <w:vAlign w:val="center"/>
                </w:tcPr>
                <w:p>
                  <w:pPr>
                    <w:pStyle w:val="a0"/>
                    <w:tabs>
                      <w:tab w:val="left" w:pos="1519"/>
                    </w:tabs>
                    <w:rPr>
                      <w:rFonts w:hint="eastAsia"/>
                      <w:b/>
                      <w:bCs/>
                      <w:sz w:val="21"/>
                      <w:szCs w:val="21"/>
                    </w:rPr>
                  </w:pPr>
                  <w:r>
                    <w:rPr>
                      <w:rFonts w:hint="eastAsia"/>
                      <w:b/>
                      <w:bCs/>
                      <w:sz w:val="21"/>
                      <w:szCs w:val="21"/>
                    </w:rPr>
                    <w:t>建设内容及规模</w:t>
                  </w:r>
                </w:p>
              </w:tc>
            </w:tr>
            <w:tr>
              <w:tblPrEx>
                <w:jc w:val="center"/>
                <w:tblInd w:w="123" w:type="dxa"/>
                <w:tblLayout w:type="fixed"/>
                <w:tblCellMar>
                  <w:top w:w="0" w:type="dxa"/>
                  <w:left w:w="108" w:type="dxa"/>
                  <w:bottom w:w="0" w:type="dxa"/>
                  <w:right w:w="108" w:type="dxa"/>
                </w:tblCellMar>
                <w:tblLook w:val="0000"/>
              </w:tblPrEx>
              <w:trPr>
                <w:cantSplit/>
                <w:trHeight w:val="340"/>
                <w:jc w:val="center"/>
              </w:trPr>
              <w:tc>
                <w:tcPr>
                  <w:tcW w:w="1117" w:type="dxa"/>
                  <w:vMerge w:val="restart"/>
                  <w:vAlign w:val="center"/>
                </w:tcPr>
                <w:p>
                  <w:pPr>
                    <w:pStyle w:val="a0"/>
                    <w:tabs>
                      <w:tab w:val="left" w:pos="1519"/>
                    </w:tabs>
                    <w:rPr>
                      <w:rFonts w:hint="eastAsia"/>
                      <w:sz w:val="21"/>
                      <w:szCs w:val="21"/>
                    </w:rPr>
                  </w:pPr>
                  <w:r>
                    <w:rPr>
                      <w:rFonts w:hint="eastAsia"/>
                      <w:sz w:val="21"/>
                      <w:szCs w:val="21"/>
                    </w:rPr>
                    <w:t>主体工程</w:t>
                  </w:r>
                </w:p>
              </w:tc>
              <w:tc>
                <w:tcPr>
                  <w:tcW w:w="1886" w:type="dxa"/>
                  <w:vAlign w:val="center"/>
                </w:tcPr>
                <w:p>
                  <w:pPr>
                    <w:pStyle w:val="a0"/>
                    <w:tabs>
                      <w:tab w:val="left" w:pos="1519"/>
                    </w:tabs>
                    <w:rPr>
                      <w:rFonts w:hint="eastAsia"/>
                      <w:sz w:val="21"/>
                      <w:szCs w:val="21"/>
                    </w:rPr>
                  </w:pPr>
                  <w:r>
                    <w:rPr>
                      <w:rFonts w:hint="eastAsia"/>
                      <w:sz w:val="21"/>
                      <w:szCs w:val="21"/>
                    </w:rPr>
                    <w:t>1F商业区</w:t>
                  </w:r>
                </w:p>
              </w:tc>
              <w:tc>
                <w:tcPr>
                  <w:tcW w:w="5954" w:type="dxa"/>
                  <w:vAlign w:val="center"/>
                </w:tcPr>
                <w:p>
                  <w:pPr>
                    <w:pStyle w:val="a0"/>
                    <w:tabs>
                      <w:tab w:val="left" w:pos="1519"/>
                    </w:tabs>
                    <w:rPr>
                      <w:rFonts w:hint="eastAsia"/>
                      <w:sz w:val="21"/>
                      <w:szCs w:val="21"/>
                    </w:rPr>
                  </w:pPr>
                  <w:r>
                    <w:rPr>
                      <w:rFonts w:hint="eastAsia"/>
                      <w:sz w:val="21"/>
                      <w:szCs w:val="21"/>
                    </w:rPr>
                    <w:t>主要包括宝贝王、集合店、次主力店及其他商铺等，总建筑面积25870.97平方米</w:t>
                  </w:r>
                </w:p>
              </w:tc>
            </w:tr>
            <w:tr>
              <w:tblPrEx>
                <w:jc w:val="center"/>
                <w:tblInd w:w="123" w:type="dxa"/>
                <w:tblLayout w:type="fixed"/>
                <w:tblCellMar>
                  <w:top w:w="0" w:type="dxa"/>
                  <w:left w:w="108" w:type="dxa"/>
                  <w:bottom w:w="0" w:type="dxa"/>
                  <w:right w:w="108" w:type="dxa"/>
                </w:tblCellMar>
                <w:tblLook w:val="0000"/>
              </w:tblPrEx>
              <w:trPr>
                <w:cantSplit/>
                <w:trHeight w:val="326"/>
                <w:jc w:val="center"/>
              </w:trPr>
              <w:tc>
                <w:tcPr>
                  <w:tcW w:w="1117" w:type="dxa"/>
                  <w:vMerge/>
                  <w:vAlign w:val="center"/>
                </w:tcPr>
                <w:p>
                  <w:pPr>
                    <w:pStyle w:val="a0"/>
                    <w:tabs>
                      <w:tab w:val="left" w:pos="1519"/>
                    </w:tabs>
                    <w:rPr>
                      <w:rFonts w:hint="eastAsia"/>
                      <w:sz w:val="21"/>
                      <w:szCs w:val="21"/>
                    </w:rPr>
                  </w:pPr>
                </w:p>
              </w:tc>
              <w:tc>
                <w:tcPr>
                  <w:tcW w:w="1886" w:type="dxa"/>
                  <w:vAlign w:val="center"/>
                </w:tcPr>
                <w:p>
                  <w:pPr>
                    <w:pStyle w:val="a0"/>
                    <w:tabs>
                      <w:tab w:val="left" w:pos="1519"/>
                    </w:tabs>
                    <w:rPr>
                      <w:rFonts w:hint="eastAsia"/>
                      <w:sz w:val="21"/>
                      <w:szCs w:val="21"/>
                    </w:rPr>
                  </w:pPr>
                  <w:r>
                    <w:rPr>
                      <w:rFonts w:hint="eastAsia"/>
                      <w:sz w:val="21"/>
                      <w:szCs w:val="21"/>
                    </w:rPr>
                    <w:t>2F商业区</w:t>
                  </w:r>
                </w:p>
              </w:tc>
              <w:tc>
                <w:tcPr>
                  <w:tcW w:w="5954" w:type="dxa"/>
                  <w:vAlign w:val="center"/>
                </w:tcPr>
                <w:p>
                  <w:pPr>
                    <w:pStyle w:val="a0"/>
                    <w:tabs>
                      <w:tab w:val="left" w:pos="1519"/>
                    </w:tabs>
                    <w:rPr>
                      <w:rFonts w:hint="eastAsia"/>
                      <w:sz w:val="21"/>
                      <w:szCs w:val="21"/>
                    </w:rPr>
                  </w:pPr>
                  <w:r>
                    <w:rPr>
                      <w:rFonts w:hint="eastAsia"/>
                      <w:sz w:val="21"/>
                      <w:szCs w:val="21"/>
                    </w:rPr>
                    <w:t>主要包括大型超市、电器店及其他商铺等，总建筑面积23391.02平方米</w:t>
                  </w:r>
                </w:p>
              </w:tc>
            </w:tr>
            <w:tr>
              <w:tblPrEx>
                <w:jc w:val="center"/>
                <w:tblInd w:w="123" w:type="dxa"/>
                <w:tblLayout w:type="fixed"/>
                <w:tblCellMar>
                  <w:top w:w="0" w:type="dxa"/>
                  <w:left w:w="108" w:type="dxa"/>
                  <w:bottom w:w="0" w:type="dxa"/>
                  <w:right w:w="108" w:type="dxa"/>
                </w:tblCellMar>
                <w:tblLook w:val="0000"/>
              </w:tblPrEx>
              <w:trPr>
                <w:cantSplit/>
                <w:trHeight w:val="449"/>
                <w:jc w:val="center"/>
              </w:trPr>
              <w:tc>
                <w:tcPr>
                  <w:tcW w:w="1117" w:type="dxa"/>
                  <w:vMerge/>
                  <w:vAlign w:val="center"/>
                </w:tcPr>
                <w:p>
                  <w:pPr>
                    <w:pStyle w:val="a0"/>
                    <w:tabs>
                      <w:tab w:val="left" w:pos="1519"/>
                    </w:tabs>
                    <w:rPr>
                      <w:rFonts w:hint="eastAsia"/>
                      <w:sz w:val="21"/>
                      <w:szCs w:val="21"/>
                    </w:rPr>
                  </w:pPr>
                </w:p>
              </w:tc>
              <w:tc>
                <w:tcPr>
                  <w:tcW w:w="1886" w:type="dxa"/>
                  <w:vAlign w:val="center"/>
                </w:tcPr>
                <w:p>
                  <w:pPr>
                    <w:pStyle w:val="a0"/>
                    <w:tabs>
                      <w:tab w:val="left" w:pos="1519"/>
                    </w:tabs>
                    <w:rPr>
                      <w:rFonts w:hint="eastAsia"/>
                      <w:sz w:val="21"/>
                      <w:szCs w:val="21"/>
                    </w:rPr>
                  </w:pPr>
                  <w:r>
                    <w:rPr>
                      <w:rFonts w:hint="eastAsia"/>
                      <w:sz w:val="21"/>
                      <w:szCs w:val="21"/>
                    </w:rPr>
                    <w:t>3F商业区</w:t>
                  </w:r>
                </w:p>
              </w:tc>
              <w:tc>
                <w:tcPr>
                  <w:tcW w:w="5954" w:type="dxa"/>
                  <w:vAlign w:val="center"/>
                </w:tcPr>
                <w:p>
                  <w:pPr>
                    <w:pStyle w:val="a0"/>
                    <w:tabs>
                      <w:tab w:val="left" w:pos="1519"/>
                    </w:tabs>
                    <w:rPr>
                      <w:rFonts w:hint="eastAsia"/>
                      <w:sz w:val="21"/>
                      <w:szCs w:val="21"/>
                    </w:rPr>
                  </w:pPr>
                  <w:r>
                    <w:rPr>
                      <w:rFonts w:hint="eastAsia"/>
                      <w:sz w:val="21"/>
                      <w:szCs w:val="21"/>
                    </w:rPr>
                    <w:t>主要包括大型超市、主题餐厅、大玩家及其他商铺等，总建筑面积2295</w:t>
                  </w:r>
                  <w:r>
                    <w:rPr>
                      <w:rFonts w:hint="eastAsia"/>
                      <w:sz w:val="21"/>
                      <w:szCs w:val="21"/>
                    </w:rPr>
                    <w:cr/>
                  </w:r>
                  <w:r>
                    <w:rPr>
                      <w:rFonts w:hint="eastAsia"/>
                      <w:sz w:val="21"/>
                      <w:szCs w:val="21"/>
                    </w:rPr>
                    <w:t>.09平方米</w:t>
                  </w:r>
                </w:p>
              </w:tc>
            </w:tr>
            <w:tr>
              <w:tblPrEx>
                <w:jc w:val="center"/>
                <w:tblInd w:w="123" w:type="dxa"/>
                <w:tblLayout w:type="fixed"/>
                <w:tblCellMar>
                  <w:top w:w="0" w:type="dxa"/>
                  <w:left w:w="108" w:type="dxa"/>
                  <w:bottom w:w="0" w:type="dxa"/>
                  <w:right w:w="108" w:type="dxa"/>
                </w:tblCellMar>
                <w:tblLook w:val="0000"/>
              </w:tblPrEx>
              <w:trPr>
                <w:cantSplit/>
                <w:trHeight w:val="172"/>
                <w:jc w:val="center"/>
              </w:trPr>
              <w:tc>
                <w:tcPr>
                  <w:tcW w:w="1117" w:type="dxa"/>
                  <w:vMerge/>
                  <w:vAlign w:val="center"/>
                </w:tcPr>
                <w:p>
                  <w:pPr>
                    <w:pStyle w:val="a0"/>
                    <w:tabs>
                      <w:tab w:val="left" w:pos="1519"/>
                    </w:tabs>
                    <w:rPr>
                      <w:rFonts w:hint="eastAsia"/>
                      <w:sz w:val="21"/>
                      <w:szCs w:val="21"/>
                    </w:rPr>
                  </w:pPr>
                </w:p>
              </w:tc>
              <w:tc>
                <w:tcPr>
                  <w:tcW w:w="1886" w:type="dxa"/>
                  <w:vAlign w:val="center"/>
                </w:tcPr>
                <w:p>
                  <w:pPr>
                    <w:pStyle w:val="a0"/>
                    <w:tabs>
                      <w:tab w:val="left" w:pos="1519"/>
                    </w:tabs>
                    <w:rPr>
                      <w:rFonts w:hint="eastAsia"/>
                      <w:sz w:val="21"/>
                      <w:szCs w:val="21"/>
                    </w:rPr>
                  </w:pPr>
                  <w:r>
                    <w:rPr>
                      <w:rFonts w:hint="eastAsia"/>
                      <w:sz w:val="21"/>
                      <w:szCs w:val="21"/>
                    </w:rPr>
                    <w:t>4F商业区</w:t>
                  </w:r>
                </w:p>
              </w:tc>
              <w:tc>
                <w:tcPr>
                  <w:tcW w:w="5954" w:type="dxa"/>
                  <w:vAlign w:val="center"/>
                </w:tcPr>
                <w:p>
                  <w:pPr>
                    <w:pStyle w:val="a0"/>
                    <w:tabs>
                      <w:tab w:val="left" w:pos="1519"/>
                    </w:tabs>
                    <w:rPr>
                      <w:rFonts w:hint="eastAsia"/>
                      <w:sz w:val="21"/>
                      <w:szCs w:val="21"/>
                    </w:rPr>
                  </w:pPr>
                  <w:r>
                    <w:rPr>
                      <w:rFonts w:hint="eastAsia"/>
                      <w:sz w:val="21"/>
                      <w:szCs w:val="21"/>
                    </w:rPr>
                    <w:t>主要包括影城及餐饮业等，总建筑面积22903.13平方米，影城设1968座</w:t>
                  </w:r>
                </w:p>
              </w:tc>
            </w:tr>
            <w:tr>
              <w:tblPrEx>
                <w:jc w:val="center"/>
                <w:tblInd w:w="123" w:type="dxa"/>
                <w:tblLayout w:type="fixed"/>
                <w:tblCellMar>
                  <w:top w:w="0" w:type="dxa"/>
                  <w:left w:w="108" w:type="dxa"/>
                  <w:bottom w:w="0" w:type="dxa"/>
                  <w:right w:w="108" w:type="dxa"/>
                </w:tblCellMar>
                <w:tblLook w:val="0000"/>
              </w:tblPrEx>
              <w:trPr>
                <w:cantSplit/>
                <w:trHeight w:val="219"/>
                <w:jc w:val="center"/>
              </w:trPr>
              <w:tc>
                <w:tcPr>
                  <w:tcW w:w="1117" w:type="dxa"/>
                  <w:vMerge/>
                  <w:vAlign w:val="center"/>
                </w:tcPr>
                <w:p>
                  <w:pPr>
                    <w:pStyle w:val="a0"/>
                    <w:tabs>
                      <w:tab w:val="left" w:pos="1519"/>
                    </w:tabs>
                    <w:rPr>
                      <w:rFonts w:hint="eastAsia"/>
                      <w:sz w:val="21"/>
                      <w:szCs w:val="21"/>
                    </w:rPr>
                  </w:pPr>
                </w:p>
              </w:tc>
              <w:tc>
                <w:tcPr>
                  <w:tcW w:w="1886" w:type="dxa"/>
                  <w:vAlign w:val="center"/>
                </w:tcPr>
                <w:p>
                  <w:pPr>
                    <w:pStyle w:val="a0"/>
                    <w:tabs>
                      <w:tab w:val="left" w:pos="1519"/>
                    </w:tabs>
                    <w:rPr>
                      <w:rFonts w:hint="eastAsia"/>
                      <w:sz w:val="21"/>
                      <w:szCs w:val="21"/>
                    </w:rPr>
                  </w:pPr>
                  <w:r>
                    <w:rPr>
                      <w:rFonts w:hint="eastAsia"/>
                      <w:sz w:val="21"/>
                      <w:szCs w:val="21"/>
                    </w:rPr>
                    <w:t>5F商业区</w:t>
                  </w:r>
                </w:p>
              </w:tc>
              <w:tc>
                <w:tcPr>
                  <w:tcW w:w="5954" w:type="dxa"/>
                  <w:vAlign w:val="center"/>
                </w:tcPr>
                <w:p>
                  <w:pPr>
                    <w:pStyle w:val="a0"/>
                    <w:tabs>
                      <w:tab w:val="left" w:pos="1519"/>
                    </w:tabs>
                    <w:rPr>
                      <w:rFonts w:hint="eastAsia"/>
                      <w:sz w:val="21"/>
                      <w:szCs w:val="21"/>
                    </w:rPr>
                  </w:pPr>
                  <w:r>
                    <w:rPr>
                      <w:rFonts w:hint="eastAsia"/>
                      <w:sz w:val="21"/>
                      <w:szCs w:val="21"/>
                    </w:rPr>
                    <w:t>主要包括影城及员工餐厅等，总建筑面积5013.44平方米，影城设1224座</w:t>
                  </w:r>
                </w:p>
              </w:tc>
            </w:tr>
            <w:tr>
              <w:tblPrEx>
                <w:jc w:val="center"/>
                <w:tblInd w:w="123" w:type="dxa"/>
                <w:tblLayout w:type="fixed"/>
                <w:tblCellMar>
                  <w:top w:w="0" w:type="dxa"/>
                  <w:left w:w="108" w:type="dxa"/>
                  <w:bottom w:w="0" w:type="dxa"/>
                  <w:right w:w="108" w:type="dxa"/>
                </w:tblCellMar>
                <w:tblLook w:val="0000"/>
              </w:tblPrEx>
              <w:trPr>
                <w:cantSplit/>
                <w:trHeight w:val="388"/>
                <w:jc w:val="center"/>
              </w:trPr>
              <w:tc>
                <w:tcPr>
                  <w:tcW w:w="1117" w:type="dxa"/>
                  <w:vMerge w:val="restart"/>
                  <w:vAlign w:val="center"/>
                </w:tcPr>
                <w:p>
                  <w:pPr>
                    <w:pStyle w:val="a0"/>
                    <w:tabs>
                      <w:tab w:val="left" w:pos="1519"/>
                    </w:tabs>
                    <w:rPr>
                      <w:rFonts w:hint="eastAsia"/>
                      <w:sz w:val="21"/>
                      <w:szCs w:val="21"/>
                    </w:rPr>
                  </w:pPr>
                  <w:r>
                    <w:rPr>
                      <w:rFonts w:hint="eastAsia"/>
                      <w:sz w:val="21"/>
                      <w:szCs w:val="21"/>
                    </w:rPr>
                    <w:t>配套工程</w:t>
                  </w:r>
                </w:p>
              </w:tc>
              <w:tc>
                <w:tcPr>
                  <w:tcW w:w="1886" w:type="dxa"/>
                  <w:vAlign w:val="center"/>
                </w:tcPr>
                <w:p>
                  <w:pPr>
                    <w:pStyle w:val="a0"/>
                    <w:tabs>
                      <w:tab w:val="left" w:pos="1519"/>
                    </w:tabs>
                    <w:rPr>
                      <w:rFonts w:hint="eastAsia"/>
                      <w:sz w:val="21"/>
                      <w:szCs w:val="21"/>
                    </w:rPr>
                  </w:pPr>
                  <w:r>
                    <w:rPr>
                      <w:rFonts w:hint="eastAsia"/>
                      <w:sz w:val="21"/>
                      <w:szCs w:val="21"/>
                    </w:rPr>
                    <w:t>地下一层</w:t>
                  </w:r>
                </w:p>
              </w:tc>
              <w:tc>
                <w:tcPr>
                  <w:tcW w:w="5954" w:type="dxa"/>
                  <w:vAlign w:val="center"/>
                </w:tcPr>
                <w:p>
                  <w:pPr>
                    <w:pStyle w:val="a0"/>
                    <w:tabs>
                      <w:tab w:val="left" w:pos="1519"/>
                    </w:tabs>
                    <w:rPr>
                      <w:rFonts w:hint="eastAsia"/>
                      <w:sz w:val="21"/>
                      <w:szCs w:val="21"/>
                    </w:rPr>
                  </w:pPr>
                  <w:r>
                    <w:rPr>
                      <w:rFonts w:hint="eastAsia"/>
                      <w:sz w:val="21"/>
                      <w:szCs w:val="21"/>
                    </w:rPr>
                    <w:t>主要包括地下车库、变电所、制冷站、消防水池及人防区等，总建筑面积24941.31平方米，设地下停车位461个</w:t>
                  </w:r>
                </w:p>
              </w:tc>
            </w:tr>
            <w:tr>
              <w:tblPrEx>
                <w:jc w:val="center"/>
                <w:tblInd w:w="123" w:type="dxa"/>
                <w:tblLayout w:type="fixed"/>
                <w:tblCellMar>
                  <w:top w:w="0" w:type="dxa"/>
                  <w:left w:w="108" w:type="dxa"/>
                  <w:bottom w:w="0" w:type="dxa"/>
                  <w:right w:w="108" w:type="dxa"/>
                </w:tblCellMar>
                <w:tblLook w:val="0000"/>
              </w:tblPrEx>
              <w:trPr>
                <w:cantSplit/>
                <w:trHeight w:val="384"/>
                <w:jc w:val="center"/>
              </w:trPr>
              <w:tc>
                <w:tcPr>
                  <w:tcW w:w="1117" w:type="dxa"/>
                  <w:vMerge/>
                  <w:vAlign w:val="center"/>
                </w:tcPr>
                <w:p>
                  <w:pPr>
                    <w:pStyle w:val="a0"/>
                    <w:tabs>
                      <w:tab w:val="left" w:pos="1519"/>
                    </w:tabs>
                    <w:rPr>
                      <w:rFonts w:hint="eastAsia"/>
                      <w:sz w:val="21"/>
                      <w:szCs w:val="21"/>
                    </w:rPr>
                  </w:pPr>
                </w:p>
              </w:tc>
              <w:tc>
                <w:tcPr>
                  <w:tcW w:w="1886" w:type="dxa"/>
                  <w:vAlign w:val="center"/>
                </w:tcPr>
                <w:p>
                  <w:pPr>
                    <w:pStyle w:val="a0"/>
                    <w:tabs>
                      <w:tab w:val="left" w:pos="1519"/>
                    </w:tabs>
                    <w:rPr>
                      <w:rFonts w:hint="eastAsia"/>
                      <w:sz w:val="21"/>
                      <w:szCs w:val="21"/>
                    </w:rPr>
                  </w:pPr>
                  <w:r>
                    <w:rPr>
                      <w:rFonts w:hint="eastAsia"/>
                      <w:sz w:val="21"/>
                      <w:szCs w:val="21"/>
                    </w:rPr>
                    <w:t>地下二层</w:t>
                  </w:r>
                </w:p>
              </w:tc>
              <w:tc>
                <w:tcPr>
                  <w:tcW w:w="5954" w:type="dxa"/>
                  <w:vAlign w:val="center"/>
                </w:tcPr>
                <w:p>
                  <w:pPr>
                    <w:pStyle w:val="a0"/>
                    <w:tabs>
                      <w:tab w:val="left" w:pos="1519"/>
                    </w:tabs>
                    <w:rPr>
                      <w:rFonts w:hint="eastAsia"/>
                      <w:sz w:val="21"/>
                      <w:szCs w:val="21"/>
                    </w:rPr>
                  </w:pPr>
                  <w:r>
                    <w:rPr>
                      <w:rFonts w:hint="eastAsia"/>
                      <w:sz w:val="21"/>
                      <w:szCs w:val="21"/>
                    </w:rPr>
                    <w:t>主要包括地下车库、设备用房、发电机房及人防区等，总建筑面积15107.94平方米，设地下停车位290个</w:t>
                  </w:r>
                </w:p>
              </w:tc>
            </w:tr>
            <w:tr>
              <w:tblPrEx>
                <w:jc w:val="center"/>
                <w:tblInd w:w="123" w:type="dxa"/>
                <w:tblLayout w:type="fixed"/>
                <w:tblCellMar>
                  <w:top w:w="0" w:type="dxa"/>
                  <w:left w:w="108" w:type="dxa"/>
                  <w:bottom w:w="0" w:type="dxa"/>
                  <w:right w:w="108" w:type="dxa"/>
                </w:tblCellMar>
                <w:tblLook w:val="0000"/>
              </w:tblPrEx>
              <w:trPr>
                <w:cantSplit/>
                <w:trHeight w:val="340"/>
                <w:jc w:val="center"/>
              </w:trPr>
              <w:tc>
                <w:tcPr>
                  <w:tcW w:w="1117" w:type="dxa"/>
                  <w:vMerge w:val="restart"/>
                  <w:vAlign w:val="center"/>
                </w:tcPr>
                <w:p>
                  <w:pPr>
                    <w:pStyle w:val="a0"/>
                    <w:tabs>
                      <w:tab w:val="left" w:pos="1519"/>
                    </w:tabs>
                    <w:jc w:val="both"/>
                    <w:rPr>
                      <w:rFonts w:hint="eastAsia"/>
                      <w:sz w:val="21"/>
                      <w:szCs w:val="21"/>
                    </w:rPr>
                  </w:pPr>
                  <w:r>
                    <w:rPr>
                      <w:rFonts w:hint="eastAsia"/>
                      <w:sz w:val="21"/>
                      <w:szCs w:val="21"/>
                    </w:rPr>
                    <w:t>公用工程</w:t>
                  </w:r>
                </w:p>
              </w:tc>
              <w:tc>
                <w:tcPr>
                  <w:tcW w:w="1886" w:type="dxa"/>
                  <w:vAlign w:val="center"/>
                </w:tcPr>
                <w:p>
                  <w:pPr>
                    <w:pStyle w:val="a0"/>
                    <w:tabs>
                      <w:tab w:val="left" w:pos="1519"/>
                    </w:tabs>
                    <w:rPr>
                      <w:rFonts w:hint="eastAsia"/>
                      <w:sz w:val="21"/>
                      <w:szCs w:val="21"/>
                    </w:rPr>
                  </w:pPr>
                  <w:r>
                    <w:rPr>
                      <w:rFonts w:hint="eastAsia"/>
                      <w:sz w:val="21"/>
                      <w:szCs w:val="21"/>
                    </w:rPr>
                    <w:t>给水</w:t>
                  </w:r>
                </w:p>
              </w:tc>
              <w:tc>
                <w:tcPr>
                  <w:tcW w:w="5954" w:type="dxa"/>
                  <w:vAlign w:val="center"/>
                </w:tcPr>
                <w:p>
                  <w:pPr>
                    <w:pStyle w:val="a0"/>
                    <w:tabs>
                      <w:tab w:val="left" w:pos="1519"/>
                    </w:tabs>
                    <w:rPr>
                      <w:rFonts w:hint="eastAsia"/>
                      <w:sz w:val="21"/>
                      <w:szCs w:val="21"/>
                    </w:rPr>
                  </w:pPr>
                  <w:r>
                    <w:rPr>
                      <w:rFonts w:hint="eastAsia"/>
                      <w:sz w:val="21"/>
                      <w:szCs w:val="21"/>
                    </w:rPr>
                    <w:t>由市政自来水管网统一供水，建筑内供水采用</w:t>
                  </w:r>
                  <w:r>
                    <w:rPr>
                      <w:rFonts w:ascii="宋体" w:hAnsi="宋体" w:cs="宋体" w:hint="eastAsia"/>
                      <w:spacing w:val="8"/>
                      <w:sz w:val="21"/>
                      <w:szCs w:val="21"/>
                    </w:rPr>
                    <w:t>无负压变频加压水泵供水，在建筑地下层设置水泵房</w:t>
                  </w:r>
                </w:p>
              </w:tc>
            </w:tr>
            <w:tr>
              <w:tblPrEx>
                <w:jc w:val="center"/>
                <w:tblInd w:w="123" w:type="dxa"/>
                <w:tblLayout w:type="fixed"/>
                <w:tblCellMar>
                  <w:top w:w="0" w:type="dxa"/>
                  <w:left w:w="108" w:type="dxa"/>
                  <w:bottom w:w="0" w:type="dxa"/>
                  <w:right w:w="108" w:type="dxa"/>
                </w:tblCellMar>
                <w:tblLook w:val="0000"/>
              </w:tblPrEx>
              <w:trPr>
                <w:cantSplit/>
                <w:trHeight w:val="340"/>
                <w:jc w:val="center"/>
              </w:trPr>
              <w:tc>
                <w:tcPr>
                  <w:tcW w:w="1117" w:type="dxa"/>
                  <w:vMerge/>
                  <w:vAlign w:val="center"/>
                </w:tcPr>
                <w:p>
                  <w:pPr>
                    <w:pStyle w:val="a0"/>
                    <w:tabs>
                      <w:tab w:val="left" w:pos="1519"/>
                    </w:tabs>
                    <w:rPr>
                      <w:rFonts w:hint="eastAsia"/>
                      <w:sz w:val="21"/>
                      <w:szCs w:val="21"/>
                    </w:rPr>
                  </w:pPr>
                </w:p>
              </w:tc>
              <w:tc>
                <w:tcPr>
                  <w:tcW w:w="1886" w:type="dxa"/>
                  <w:vAlign w:val="center"/>
                </w:tcPr>
                <w:p>
                  <w:pPr>
                    <w:pStyle w:val="a0"/>
                    <w:tabs>
                      <w:tab w:val="left" w:pos="1519"/>
                    </w:tabs>
                    <w:rPr>
                      <w:rFonts w:hint="eastAsia"/>
                      <w:sz w:val="21"/>
                      <w:szCs w:val="21"/>
                    </w:rPr>
                  </w:pPr>
                  <w:r>
                    <w:rPr>
                      <w:rFonts w:hint="eastAsia"/>
                      <w:sz w:val="21"/>
                      <w:szCs w:val="21"/>
                    </w:rPr>
                    <w:t>排水</w:t>
                  </w:r>
                </w:p>
              </w:tc>
              <w:tc>
                <w:tcPr>
                  <w:tcW w:w="5954" w:type="dxa"/>
                  <w:vAlign w:val="center"/>
                </w:tcPr>
                <w:p>
                  <w:pPr>
                    <w:pStyle w:val="a0"/>
                    <w:tabs>
                      <w:tab w:val="left" w:pos="1519"/>
                    </w:tabs>
                    <w:rPr>
                      <w:rFonts w:hint="eastAsia"/>
                      <w:sz w:val="21"/>
                      <w:szCs w:val="21"/>
                    </w:rPr>
                  </w:pPr>
                  <w:r>
                    <w:rPr>
                      <w:rFonts w:hint="eastAsia"/>
                      <w:sz w:val="21"/>
                      <w:szCs w:val="21"/>
                    </w:rPr>
                    <w:t>建设雨污分流管网</w:t>
                  </w:r>
                </w:p>
              </w:tc>
            </w:tr>
            <w:tr>
              <w:tblPrEx>
                <w:jc w:val="center"/>
                <w:tblInd w:w="123" w:type="dxa"/>
                <w:tblLayout w:type="fixed"/>
                <w:tblCellMar>
                  <w:top w:w="0" w:type="dxa"/>
                  <w:left w:w="108" w:type="dxa"/>
                  <w:bottom w:w="0" w:type="dxa"/>
                  <w:right w:w="108" w:type="dxa"/>
                </w:tblCellMar>
                <w:tblLook w:val="0000"/>
              </w:tblPrEx>
              <w:trPr>
                <w:cantSplit/>
                <w:trHeight w:val="340"/>
                <w:jc w:val="center"/>
              </w:trPr>
              <w:tc>
                <w:tcPr>
                  <w:tcW w:w="1117" w:type="dxa"/>
                  <w:vMerge/>
                  <w:vAlign w:val="center"/>
                </w:tcPr>
                <w:p>
                  <w:pPr>
                    <w:pStyle w:val="a0"/>
                    <w:tabs>
                      <w:tab w:val="left" w:pos="1519"/>
                    </w:tabs>
                    <w:rPr>
                      <w:rFonts w:hint="eastAsia"/>
                      <w:sz w:val="21"/>
                      <w:szCs w:val="21"/>
                    </w:rPr>
                  </w:pPr>
                </w:p>
              </w:tc>
              <w:tc>
                <w:tcPr>
                  <w:tcW w:w="1886" w:type="dxa"/>
                  <w:vAlign w:val="center"/>
                </w:tcPr>
                <w:p>
                  <w:pPr>
                    <w:pStyle w:val="a0"/>
                    <w:tabs>
                      <w:tab w:val="left" w:pos="1519"/>
                    </w:tabs>
                    <w:rPr>
                      <w:rFonts w:hint="eastAsia"/>
                      <w:sz w:val="21"/>
                      <w:szCs w:val="21"/>
                    </w:rPr>
                  </w:pPr>
                  <w:r>
                    <w:rPr>
                      <w:rFonts w:hint="eastAsia"/>
                      <w:sz w:val="21"/>
                      <w:szCs w:val="21"/>
                    </w:rPr>
                    <w:t>供电</w:t>
                  </w:r>
                </w:p>
              </w:tc>
              <w:tc>
                <w:tcPr>
                  <w:tcW w:w="5954" w:type="dxa"/>
                  <w:vAlign w:val="center"/>
                </w:tcPr>
                <w:p>
                  <w:pPr>
                    <w:jc w:val="center"/>
                    <w:rPr>
                      <w:rFonts w:hint="eastAsia"/>
                      <w:sz w:val="21"/>
                      <w:szCs w:val="21"/>
                    </w:rPr>
                  </w:pPr>
                  <w:r>
                    <w:rPr>
                      <w:sz w:val="21"/>
                      <w:szCs w:val="21"/>
                    </w:rPr>
                    <w:t>用电</w:t>
                  </w:r>
                  <w:r>
                    <w:rPr>
                      <w:rFonts w:hint="eastAsia"/>
                      <w:sz w:val="21"/>
                      <w:szCs w:val="21"/>
                    </w:rPr>
                    <w:t>主要</w:t>
                  </w:r>
                  <w:r>
                    <w:rPr>
                      <w:sz w:val="21"/>
                      <w:szCs w:val="21"/>
                    </w:rPr>
                    <w:t>由市政电网接入，</w:t>
                  </w:r>
                  <w:r>
                    <w:rPr>
                      <w:rFonts w:hint="eastAsia"/>
                      <w:sz w:val="21"/>
                      <w:szCs w:val="21"/>
                    </w:rPr>
                    <w:t>由</w:t>
                  </w:r>
                  <w:r>
                    <w:rPr>
                      <w:rFonts w:hint="eastAsia"/>
                      <w:bCs/>
                      <w:sz w:val="21"/>
                      <w:szCs w:val="21"/>
                    </w:rPr>
                    <w:t>变电所</w:t>
                  </w:r>
                  <w:r>
                    <w:rPr>
                      <w:bCs/>
                      <w:sz w:val="21"/>
                      <w:szCs w:val="21"/>
                    </w:rPr>
                    <w:t>至各</w:t>
                  </w:r>
                  <w:r>
                    <w:rPr>
                      <w:rFonts w:hint="eastAsia"/>
                      <w:bCs/>
                      <w:sz w:val="21"/>
                      <w:szCs w:val="21"/>
                    </w:rPr>
                    <w:t>层</w:t>
                  </w:r>
                  <w:r>
                    <w:rPr>
                      <w:bCs/>
                      <w:sz w:val="21"/>
                      <w:szCs w:val="21"/>
                    </w:rPr>
                    <w:t>建筑放射式供电</w:t>
                  </w:r>
                  <w:r>
                    <w:rPr>
                      <w:rFonts w:hint="eastAsia"/>
                      <w:bCs/>
                      <w:sz w:val="21"/>
                      <w:szCs w:val="21"/>
                    </w:rPr>
                    <w:t>；同时设</w:t>
                  </w:r>
                  <w:r>
                    <w:rPr>
                      <w:bCs/>
                      <w:sz w:val="21"/>
                      <w:szCs w:val="21"/>
                    </w:rPr>
                    <w:t>1台功率为</w:t>
                  </w:r>
                  <w:r>
                    <w:rPr>
                      <w:rFonts w:hint="eastAsia"/>
                      <w:bCs/>
                      <w:sz w:val="21"/>
                      <w:szCs w:val="21"/>
                    </w:rPr>
                    <w:t>100</w:t>
                  </w:r>
                  <w:r>
                    <w:rPr>
                      <w:bCs/>
                      <w:sz w:val="21"/>
                      <w:szCs w:val="21"/>
                    </w:rPr>
                    <w:t>0kw的柴油发电机组</w:t>
                  </w:r>
                </w:p>
              </w:tc>
            </w:tr>
            <w:tr>
              <w:tblPrEx>
                <w:jc w:val="center"/>
                <w:tblInd w:w="123" w:type="dxa"/>
                <w:tblLayout w:type="fixed"/>
                <w:tblCellMar>
                  <w:top w:w="0" w:type="dxa"/>
                  <w:left w:w="108" w:type="dxa"/>
                  <w:bottom w:w="0" w:type="dxa"/>
                  <w:right w:w="108" w:type="dxa"/>
                </w:tblCellMar>
                <w:tblLook w:val="0000"/>
              </w:tblPrEx>
              <w:trPr>
                <w:cantSplit/>
                <w:trHeight w:val="340"/>
                <w:jc w:val="center"/>
              </w:trPr>
              <w:tc>
                <w:tcPr>
                  <w:tcW w:w="1117" w:type="dxa"/>
                  <w:vMerge w:val="restart"/>
                  <w:vAlign w:val="center"/>
                </w:tcPr>
                <w:p>
                  <w:pPr>
                    <w:pStyle w:val="a0"/>
                    <w:tabs>
                      <w:tab w:val="left" w:pos="1519"/>
                    </w:tabs>
                    <w:rPr>
                      <w:rFonts w:hint="eastAsia"/>
                      <w:sz w:val="21"/>
                      <w:szCs w:val="21"/>
                    </w:rPr>
                  </w:pPr>
                  <w:r>
                    <w:rPr>
                      <w:rFonts w:hint="eastAsia"/>
                      <w:sz w:val="21"/>
                      <w:szCs w:val="21"/>
                    </w:rPr>
                    <w:t>环保工程</w:t>
                  </w:r>
                </w:p>
              </w:tc>
              <w:tc>
                <w:tcPr>
                  <w:tcW w:w="1886" w:type="dxa"/>
                  <w:vAlign w:val="center"/>
                </w:tcPr>
                <w:p>
                  <w:pPr>
                    <w:pStyle w:val="a0"/>
                    <w:tabs>
                      <w:tab w:val="left" w:pos="1519"/>
                    </w:tabs>
                    <w:rPr>
                      <w:rFonts w:hint="eastAsia"/>
                      <w:sz w:val="21"/>
                      <w:szCs w:val="21"/>
                    </w:rPr>
                  </w:pPr>
                  <w:r>
                    <w:rPr>
                      <w:rFonts w:hint="eastAsia"/>
                      <w:sz w:val="21"/>
                      <w:szCs w:val="21"/>
                    </w:rPr>
                    <w:t>废水</w:t>
                  </w:r>
                </w:p>
              </w:tc>
              <w:tc>
                <w:tcPr>
                  <w:tcW w:w="5954" w:type="dxa"/>
                  <w:vAlign w:val="center"/>
                </w:tcPr>
                <w:p>
                  <w:pPr>
                    <w:pStyle w:val="a0"/>
                    <w:tabs>
                      <w:tab w:val="left" w:pos="1519"/>
                    </w:tabs>
                    <w:rPr>
                      <w:rFonts w:hint="eastAsia"/>
                      <w:sz w:val="21"/>
                      <w:szCs w:val="21"/>
                    </w:rPr>
                  </w:pPr>
                  <w:r>
                    <w:rPr>
                      <w:rFonts w:hint="eastAsia"/>
                      <w:sz w:val="21"/>
                      <w:szCs w:val="21"/>
                    </w:rPr>
                    <w:t>采用隔油池+化粪池处理污水，处理达标后经市政污水管网排入抚州市中心城区污水处理厂</w:t>
                  </w:r>
                </w:p>
              </w:tc>
            </w:tr>
            <w:tr>
              <w:tblPrEx>
                <w:jc w:val="center"/>
                <w:tblInd w:w="123" w:type="dxa"/>
                <w:tblLayout w:type="fixed"/>
                <w:tblCellMar>
                  <w:top w:w="0" w:type="dxa"/>
                  <w:left w:w="108" w:type="dxa"/>
                  <w:bottom w:w="0" w:type="dxa"/>
                  <w:right w:w="108" w:type="dxa"/>
                </w:tblCellMar>
                <w:tblLook w:val="0000"/>
              </w:tblPrEx>
              <w:trPr>
                <w:cantSplit/>
                <w:trHeight w:val="340"/>
                <w:jc w:val="center"/>
              </w:trPr>
              <w:tc>
                <w:tcPr>
                  <w:tcW w:w="1117" w:type="dxa"/>
                  <w:vMerge/>
                  <w:vAlign w:val="center"/>
                </w:tcPr>
                <w:p>
                  <w:pPr>
                    <w:pStyle w:val="a0"/>
                    <w:tabs>
                      <w:tab w:val="left" w:pos="1519"/>
                    </w:tabs>
                    <w:rPr>
                      <w:rFonts w:hint="eastAsia"/>
                      <w:sz w:val="21"/>
                      <w:szCs w:val="21"/>
                    </w:rPr>
                  </w:pPr>
                </w:p>
              </w:tc>
              <w:tc>
                <w:tcPr>
                  <w:tcW w:w="1886" w:type="dxa"/>
                  <w:vAlign w:val="center"/>
                </w:tcPr>
                <w:p>
                  <w:pPr>
                    <w:pStyle w:val="a0"/>
                    <w:tabs>
                      <w:tab w:val="left" w:pos="1519"/>
                    </w:tabs>
                    <w:rPr>
                      <w:rFonts w:hint="eastAsia"/>
                      <w:sz w:val="21"/>
                      <w:szCs w:val="21"/>
                    </w:rPr>
                  </w:pPr>
                  <w:r>
                    <w:rPr>
                      <w:rFonts w:hint="eastAsia"/>
                      <w:sz w:val="21"/>
                      <w:szCs w:val="21"/>
                    </w:rPr>
                    <w:t>废气</w:t>
                  </w:r>
                </w:p>
              </w:tc>
              <w:tc>
                <w:tcPr>
                  <w:tcW w:w="5954" w:type="dxa"/>
                  <w:vAlign w:val="center"/>
                </w:tcPr>
                <w:p>
                  <w:pPr>
                    <w:pStyle w:val="a0"/>
                    <w:tabs>
                      <w:tab w:val="left" w:pos="1519"/>
                    </w:tabs>
                    <w:rPr>
                      <w:rFonts w:hint="eastAsia"/>
                      <w:sz w:val="21"/>
                      <w:szCs w:val="21"/>
                    </w:rPr>
                  </w:pPr>
                  <w:r>
                    <w:rPr>
                      <w:rFonts w:hint="eastAsia"/>
                      <w:sz w:val="21"/>
                      <w:szCs w:val="21"/>
                    </w:rPr>
                    <w:t>地下车库机械排风系统，柴油发电机专用竖井管道，餐厅油烟净化装置+专用烟道</w:t>
                  </w:r>
                </w:p>
              </w:tc>
            </w:tr>
            <w:tr>
              <w:tblPrEx>
                <w:jc w:val="center"/>
                <w:tblInd w:w="123" w:type="dxa"/>
                <w:tblLayout w:type="fixed"/>
                <w:tblCellMar>
                  <w:top w:w="0" w:type="dxa"/>
                  <w:left w:w="108" w:type="dxa"/>
                  <w:bottom w:w="0" w:type="dxa"/>
                  <w:right w:w="108" w:type="dxa"/>
                </w:tblCellMar>
                <w:tblLook w:val="0000"/>
              </w:tblPrEx>
              <w:trPr>
                <w:cantSplit/>
                <w:trHeight w:val="340"/>
                <w:jc w:val="center"/>
              </w:trPr>
              <w:tc>
                <w:tcPr>
                  <w:tcW w:w="1117" w:type="dxa"/>
                  <w:vMerge/>
                  <w:vAlign w:val="center"/>
                </w:tcPr>
                <w:p>
                  <w:pPr>
                    <w:pStyle w:val="a0"/>
                    <w:tabs>
                      <w:tab w:val="left" w:pos="1519"/>
                    </w:tabs>
                    <w:rPr>
                      <w:rFonts w:hint="eastAsia"/>
                      <w:sz w:val="21"/>
                      <w:szCs w:val="21"/>
                    </w:rPr>
                  </w:pPr>
                </w:p>
              </w:tc>
              <w:tc>
                <w:tcPr>
                  <w:tcW w:w="1886" w:type="dxa"/>
                  <w:vAlign w:val="center"/>
                </w:tcPr>
                <w:p>
                  <w:pPr>
                    <w:pStyle w:val="a0"/>
                    <w:tabs>
                      <w:tab w:val="left" w:pos="1519"/>
                    </w:tabs>
                    <w:rPr>
                      <w:rFonts w:hint="eastAsia"/>
                      <w:sz w:val="21"/>
                      <w:szCs w:val="21"/>
                    </w:rPr>
                  </w:pPr>
                  <w:r>
                    <w:rPr>
                      <w:rFonts w:hint="eastAsia"/>
                      <w:sz w:val="21"/>
                      <w:szCs w:val="21"/>
                    </w:rPr>
                    <w:t>噪声</w:t>
                  </w:r>
                </w:p>
              </w:tc>
              <w:tc>
                <w:tcPr>
                  <w:tcW w:w="5954" w:type="dxa"/>
                  <w:vAlign w:val="center"/>
                </w:tcPr>
                <w:p>
                  <w:pPr>
                    <w:pStyle w:val="a0"/>
                    <w:tabs>
                      <w:tab w:val="left" w:pos="1519"/>
                    </w:tabs>
                    <w:rPr>
                      <w:rFonts w:hint="eastAsia"/>
                      <w:sz w:val="21"/>
                      <w:szCs w:val="21"/>
                    </w:rPr>
                  </w:pPr>
                  <w:r>
                    <w:rPr>
                      <w:rFonts w:hint="eastAsia"/>
                      <w:sz w:val="21"/>
                      <w:szCs w:val="21"/>
                    </w:rPr>
                    <w:t>减振、隔声、消声等降噪措施</w:t>
                  </w:r>
                </w:p>
              </w:tc>
            </w:tr>
            <w:tr>
              <w:tblPrEx>
                <w:jc w:val="center"/>
                <w:tblInd w:w="123" w:type="dxa"/>
                <w:tblLayout w:type="fixed"/>
                <w:tblCellMar>
                  <w:top w:w="0" w:type="dxa"/>
                  <w:left w:w="108" w:type="dxa"/>
                  <w:bottom w:w="0" w:type="dxa"/>
                  <w:right w:w="108" w:type="dxa"/>
                </w:tblCellMar>
                <w:tblLook w:val="0000"/>
              </w:tblPrEx>
              <w:trPr>
                <w:cantSplit/>
                <w:trHeight w:val="340"/>
                <w:jc w:val="center"/>
              </w:trPr>
              <w:tc>
                <w:tcPr>
                  <w:tcW w:w="1117" w:type="dxa"/>
                  <w:vMerge/>
                  <w:vAlign w:val="center"/>
                </w:tcPr>
                <w:p>
                  <w:pPr>
                    <w:pStyle w:val="a0"/>
                    <w:tabs>
                      <w:tab w:val="left" w:pos="1519"/>
                    </w:tabs>
                    <w:rPr>
                      <w:rFonts w:hint="eastAsia"/>
                      <w:sz w:val="21"/>
                      <w:szCs w:val="21"/>
                    </w:rPr>
                  </w:pPr>
                </w:p>
              </w:tc>
              <w:tc>
                <w:tcPr>
                  <w:tcW w:w="1886" w:type="dxa"/>
                  <w:vAlign w:val="center"/>
                </w:tcPr>
                <w:p>
                  <w:pPr>
                    <w:pStyle w:val="a0"/>
                    <w:tabs>
                      <w:tab w:val="left" w:pos="1519"/>
                    </w:tabs>
                    <w:rPr>
                      <w:rFonts w:hint="eastAsia"/>
                      <w:sz w:val="21"/>
                      <w:szCs w:val="21"/>
                    </w:rPr>
                  </w:pPr>
                  <w:r>
                    <w:rPr>
                      <w:rFonts w:hint="eastAsia"/>
                      <w:sz w:val="21"/>
                      <w:szCs w:val="21"/>
                    </w:rPr>
                    <w:t>固废</w:t>
                  </w:r>
                </w:p>
              </w:tc>
              <w:tc>
                <w:tcPr>
                  <w:tcW w:w="5954" w:type="dxa"/>
                  <w:vAlign w:val="center"/>
                </w:tcPr>
                <w:p>
                  <w:pPr>
                    <w:pStyle w:val="a0"/>
                    <w:tabs>
                      <w:tab w:val="left" w:pos="1519"/>
                    </w:tabs>
                    <w:rPr>
                      <w:rFonts w:hint="eastAsia"/>
                      <w:sz w:val="21"/>
                      <w:szCs w:val="21"/>
                    </w:rPr>
                  </w:pPr>
                  <w:r>
                    <w:rPr>
                      <w:rFonts w:hint="eastAsia"/>
                      <w:sz w:val="21"/>
                      <w:szCs w:val="21"/>
                    </w:rPr>
                    <w:t>设分类式垃圾箱，废油收集桶</w:t>
                  </w:r>
                </w:p>
              </w:tc>
            </w:tr>
          </w:tbl>
          <w:p>
            <w:pPr>
              <w:spacing w:line="360" w:lineRule="auto"/>
              <w:ind w:firstLine="480" w:firstLineChars="200"/>
              <w:rPr>
                <w:rFonts w:hint="eastAsia"/>
                <w:b/>
                <w:sz w:val="24"/>
                <w:szCs w:val="24"/>
              </w:rPr>
            </w:pPr>
            <w:r>
              <w:rPr>
                <w:rFonts w:hint="eastAsia"/>
                <w:b/>
                <w:sz w:val="24"/>
                <w:szCs w:val="24"/>
              </w:rPr>
              <w:t>四、主要设备清单</w:t>
            </w:r>
          </w:p>
          <w:p>
            <w:pPr>
              <w:spacing w:line="360" w:lineRule="auto"/>
              <w:ind w:firstLine="480" w:firstLineChars="200"/>
              <w:rPr>
                <w:rFonts w:hint="eastAsia"/>
                <w:bCs/>
                <w:sz w:val="24"/>
                <w:szCs w:val="24"/>
              </w:rPr>
            </w:pPr>
            <w:r>
              <w:rPr>
                <w:rFonts w:hint="eastAsia"/>
                <w:bCs/>
                <w:sz w:val="24"/>
                <w:szCs w:val="24"/>
              </w:rPr>
              <w:t>项目主要设备见表3所示。</w:t>
            </w:r>
          </w:p>
          <w:p>
            <w:pPr>
              <w:pStyle w:val="A18"/>
              <w:ind w:firstLine="482"/>
              <w:jc w:val="center"/>
              <w:rPr>
                <w:rFonts w:hint="eastAsia"/>
                <w:b/>
                <w:bCs/>
              </w:rPr>
            </w:pPr>
            <w:r>
              <w:rPr>
                <w:rFonts w:hint="eastAsia"/>
                <w:b/>
                <w:szCs w:val="24"/>
              </w:rPr>
              <w:t>表3  设备清单一览表</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43"/>
              <w:gridCol w:w="2715"/>
              <w:gridCol w:w="1282"/>
              <w:gridCol w:w="4132"/>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843" w:type="dxa"/>
                  <w:vAlign w:val="center"/>
                </w:tcPr>
                <w:p>
                  <w:pPr>
                    <w:jc w:val="center"/>
                    <w:rPr>
                      <w:b/>
                      <w:sz w:val="21"/>
                      <w:szCs w:val="21"/>
                    </w:rPr>
                  </w:pPr>
                  <w:r>
                    <w:rPr>
                      <w:b/>
                      <w:sz w:val="21"/>
                      <w:szCs w:val="21"/>
                    </w:rPr>
                    <w:t>序号</w:t>
                  </w:r>
                </w:p>
              </w:tc>
              <w:tc>
                <w:tcPr>
                  <w:tcW w:w="2715" w:type="dxa"/>
                  <w:vAlign w:val="center"/>
                </w:tcPr>
                <w:p>
                  <w:pPr>
                    <w:jc w:val="center"/>
                    <w:rPr>
                      <w:b/>
                      <w:sz w:val="21"/>
                      <w:szCs w:val="21"/>
                    </w:rPr>
                  </w:pPr>
                  <w:r>
                    <w:rPr>
                      <w:b/>
                      <w:sz w:val="21"/>
                      <w:szCs w:val="21"/>
                    </w:rPr>
                    <w:t>设备名称</w:t>
                  </w:r>
                </w:p>
              </w:tc>
              <w:tc>
                <w:tcPr>
                  <w:tcW w:w="1282" w:type="dxa"/>
                  <w:vAlign w:val="center"/>
                </w:tcPr>
                <w:p>
                  <w:pPr>
                    <w:jc w:val="center"/>
                    <w:rPr>
                      <w:b/>
                      <w:sz w:val="21"/>
                      <w:szCs w:val="21"/>
                    </w:rPr>
                  </w:pPr>
                  <w:r>
                    <w:rPr>
                      <w:b/>
                      <w:sz w:val="21"/>
                      <w:szCs w:val="21"/>
                    </w:rPr>
                    <w:t>数量</w:t>
                  </w:r>
                </w:p>
              </w:tc>
              <w:tc>
                <w:tcPr>
                  <w:tcW w:w="4132" w:type="dxa"/>
                  <w:vAlign w:val="center"/>
                </w:tcPr>
                <w:p>
                  <w:pPr>
                    <w:jc w:val="center"/>
                    <w:rPr>
                      <w:b/>
                      <w:sz w:val="21"/>
                      <w:szCs w:val="21"/>
                    </w:rPr>
                  </w:pPr>
                  <w:r>
                    <w:rPr>
                      <w:b/>
                      <w:sz w:val="21"/>
                      <w:szCs w:val="21"/>
                    </w:rPr>
                    <w:t>安</w:t>
                  </w:r>
                  <w:r>
                    <w:rPr>
                      <w:rFonts w:hint="eastAsia"/>
                      <w:b/>
                      <w:sz w:val="21"/>
                      <w:szCs w:val="21"/>
                    </w:rPr>
                    <w:t>装</w:t>
                  </w:r>
                  <w:r>
                    <w:rPr>
                      <w:b/>
                      <w:sz w:val="21"/>
                      <w:szCs w:val="21"/>
                    </w:rPr>
                    <w:t>位置</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843" w:type="dxa"/>
                  <w:vAlign w:val="center"/>
                </w:tcPr>
                <w:p>
                  <w:pPr>
                    <w:jc w:val="center"/>
                    <w:rPr>
                      <w:bCs/>
                      <w:sz w:val="21"/>
                      <w:szCs w:val="21"/>
                    </w:rPr>
                  </w:pPr>
                  <w:r>
                    <w:rPr>
                      <w:bCs/>
                      <w:sz w:val="21"/>
                      <w:szCs w:val="21"/>
                    </w:rPr>
                    <w:t>1</w:t>
                  </w:r>
                </w:p>
              </w:tc>
              <w:tc>
                <w:tcPr>
                  <w:tcW w:w="2715" w:type="dxa"/>
                  <w:vAlign w:val="center"/>
                </w:tcPr>
                <w:p>
                  <w:pPr>
                    <w:jc w:val="center"/>
                    <w:rPr>
                      <w:rFonts w:hint="eastAsia"/>
                      <w:sz w:val="21"/>
                      <w:szCs w:val="21"/>
                    </w:rPr>
                  </w:pPr>
                  <w:r>
                    <w:rPr>
                      <w:rFonts w:hint="eastAsia"/>
                      <w:sz w:val="21"/>
                      <w:szCs w:val="21"/>
                    </w:rPr>
                    <w:t>中央空调系统</w:t>
                  </w:r>
                </w:p>
              </w:tc>
              <w:tc>
                <w:tcPr>
                  <w:tcW w:w="1282" w:type="dxa"/>
                  <w:vAlign w:val="center"/>
                </w:tcPr>
                <w:p>
                  <w:pPr>
                    <w:jc w:val="center"/>
                    <w:rPr>
                      <w:rFonts w:hint="eastAsia"/>
                      <w:sz w:val="21"/>
                      <w:szCs w:val="21"/>
                    </w:rPr>
                  </w:pPr>
                  <w:r>
                    <w:rPr>
                      <w:rFonts w:hint="eastAsia"/>
                      <w:sz w:val="21"/>
                      <w:szCs w:val="21"/>
                    </w:rPr>
                    <w:t>2套</w:t>
                  </w:r>
                </w:p>
              </w:tc>
              <w:tc>
                <w:tcPr>
                  <w:tcW w:w="4132" w:type="dxa"/>
                  <w:vAlign w:val="center"/>
                </w:tcPr>
                <w:p>
                  <w:pPr>
                    <w:jc w:val="center"/>
                    <w:rPr>
                      <w:rFonts w:hint="eastAsia"/>
                      <w:sz w:val="21"/>
                      <w:szCs w:val="21"/>
                    </w:rPr>
                  </w:pPr>
                  <w:r>
                    <w:rPr>
                      <w:rFonts w:hint="eastAsia"/>
                      <w:sz w:val="21"/>
                      <w:szCs w:val="21"/>
                    </w:rPr>
                    <w:t>水上乐园和酒店大厅</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843" w:type="dxa"/>
                  <w:vAlign w:val="center"/>
                </w:tcPr>
                <w:p>
                  <w:pPr>
                    <w:jc w:val="center"/>
                    <w:rPr>
                      <w:bCs/>
                      <w:sz w:val="21"/>
                      <w:szCs w:val="21"/>
                    </w:rPr>
                  </w:pPr>
                  <w:r>
                    <w:rPr>
                      <w:bCs/>
                      <w:sz w:val="21"/>
                      <w:szCs w:val="21"/>
                    </w:rPr>
                    <w:t>2</w:t>
                  </w:r>
                </w:p>
              </w:tc>
              <w:tc>
                <w:tcPr>
                  <w:tcW w:w="2715" w:type="dxa"/>
                  <w:vAlign w:val="center"/>
                </w:tcPr>
                <w:p>
                  <w:pPr>
                    <w:jc w:val="center"/>
                    <w:rPr>
                      <w:rFonts w:hint="eastAsia"/>
                      <w:sz w:val="21"/>
                      <w:szCs w:val="21"/>
                    </w:rPr>
                  </w:pPr>
                  <w:r>
                    <w:rPr>
                      <w:rFonts w:hint="eastAsia"/>
                      <w:sz w:val="21"/>
                      <w:szCs w:val="21"/>
                    </w:rPr>
                    <w:t>1000kw柴油发电机</w:t>
                  </w:r>
                </w:p>
              </w:tc>
              <w:tc>
                <w:tcPr>
                  <w:tcW w:w="1282" w:type="dxa"/>
                  <w:vAlign w:val="center"/>
                </w:tcPr>
                <w:p>
                  <w:pPr>
                    <w:jc w:val="center"/>
                    <w:rPr>
                      <w:sz w:val="21"/>
                      <w:szCs w:val="21"/>
                    </w:rPr>
                  </w:pPr>
                  <w:r>
                    <w:rPr>
                      <w:rFonts w:hint="eastAsia"/>
                      <w:sz w:val="21"/>
                      <w:szCs w:val="21"/>
                    </w:rPr>
                    <w:t>1</w:t>
                  </w:r>
                  <w:r>
                    <w:rPr>
                      <w:sz w:val="21"/>
                      <w:szCs w:val="21"/>
                    </w:rPr>
                    <w:t>台</w:t>
                  </w:r>
                </w:p>
              </w:tc>
              <w:tc>
                <w:tcPr>
                  <w:tcW w:w="4132" w:type="dxa"/>
                  <w:vAlign w:val="center"/>
                </w:tcPr>
                <w:p>
                  <w:pPr>
                    <w:jc w:val="center"/>
                    <w:rPr>
                      <w:rFonts w:hint="eastAsia"/>
                      <w:sz w:val="21"/>
                      <w:szCs w:val="21"/>
                    </w:rPr>
                  </w:pPr>
                  <w:r>
                    <w:rPr>
                      <w:rFonts w:hint="eastAsia"/>
                      <w:sz w:val="21"/>
                      <w:szCs w:val="21"/>
                    </w:rPr>
                    <w:t>地下一层</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843" w:type="dxa"/>
                  <w:vAlign w:val="center"/>
                </w:tcPr>
                <w:p>
                  <w:pPr>
                    <w:jc w:val="center"/>
                    <w:rPr>
                      <w:bCs/>
                      <w:sz w:val="21"/>
                      <w:szCs w:val="21"/>
                    </w:rPr>
                  </w:pPr>
                  <w:r>
                    <w:rPr>
                      <w:bCs/>
                      <w:sz w:val="21"/>
                      <w:szCs w:val="21"/>
                    </w:rPr>
                    <w:t>3</w:t>
                  </w:r>
                </w:p>
              </w:tc>
              <w:tc>
                <w:tcPr>
                  <w:tcW w:w="2715" w:type="dxa"/>
                  <w:vAlign w:val="center"/>
                </w:tcPr>
                <w:p>
                  <w:pPr>
                    <w:jc w:val="center"/>
                    <w:rPr>
                      <w:rFonts w:hint="eastAsia"/>
                      <w:sz w:val="21"/>
                      <w:szCs w:val="21"/>
                    </w:rPr>
                  </w:pPr>
                  <w:r>
                    <w:rPr>
                      <w:rFonts w:hint="eastAsia"/>
                      <w:sz w:val="21"/>
                      <w:szCs w:val="21"/>
                    </w:rPr>
                    <w:t>电压设施</w:t>
                  </w:r>
                </w:p>
              </w:tc>
              <w:tc>
                <w:tcPr>
                  <w:tcW w:w="1282" w:type="dxa"/>
                  <w:vAlign w:val="center"/>
                </w:tcPr>
                <w:p>
                  <w:pPr>
                    <w:jc w:val="center"/>
                    <w:rPr>
                      <w:sz w:val="21"/>
                      <w:szCs w:val="21"/>
                    </w:rPr>
                  </w:pPr>
                  <w:r>
                    <w:rPr>
                      <w:rFonts w:hint="eastAsia"/>
                      <w:sz w:val="21"/>
                      <w:szCs w:val="21"/>
                    </w:rPr>
                    <w:t>6</w:t>
                  </w:r>
                  <w:r>
                    <w:rPr>
                      <w:sz w:val="21"/>
                      <w:szCs w:val="21"/>
                    </w:rPr>
                    <w:t>套</w:t>
                  </w:r>
                </w:p>
              </w:tc>
              <w:tc>
                <w:tcPr>
                  <w:tcW w:w="4132" w:type="dxa"/>
                  <w:vAlign w:val="center"/>
                </w:tcPr>
                <w:p>
                  <w:pPr>
                    <w:jc w:val="center"/>
                    <w:rPr>
                      <w:rFonts w:hint="eastAsia"/>
                      <w:sz w:val="21"/>
                      <w:szCs w:val="21"/>
                    </w:rPr>
                  </w:pPr>
                  <w:r>
                    <w:rPr>
                      <w:rFonts w:hint="eastAsia"/>
                      <w:sz w:val="21"/>
                      <w:szCs w:val="21"/>
                    </w:rPr>
                    <w:t>变电所</w:t>
                  </w:r>
                </w:p>
              </w:tc>
            </w:tr>
          </w:tbl>
          <w:p/>
        </w:tc>
      </w:tr>
    </w:tbl>
    <w:p>
      <w:pPr>
        <w:sectPr>
          <w:footerReference w:type="even" r:id="rId10"/>
          <w:footerReference w:type="default" r:id="rId11"/>
          <w:footerReference w:type="first" r:id="rId12"/>
          <w:type w:val="nextPage"/>
          <w:pgSz w:w="11906" w:h="16838"/>
          <w:pgMar w:top="1134" w:right="1418" w:bottom="1134" w:left="1418" w:header="851" w:footer="992" w:gutter="0"/>
          <w:pgNumType w:start="3"/>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Look w:val="0000"/>
      </w:tblPr>
      <w:tblGrid>
        <w:gridCol w:w="9354"/>
      </w:tblGrid>
      <w:tr>
        <w:tblPrEx>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Look w:val="0000"/>
        </w:tblPrEx>
        <w:trPr>
          <w:trHeight w:val="2482"/>
          <w:jc w:val="center"/>
        </w:trPr>
        <w:tc>
          <w:tcPr>
            <w:tcW w:w="9354" w:type="dxa"/>
            <w:tcMar>
              <w:left w:w="0" w:type="dxa"/>
              <w:right w:w="0" w:type="dxa"/>
            </w:tcMar>
          </w:tcPr>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43"/>
              <w:gridCol w:w="2715"/>
              <w:gridCol w:w="1282"/>
              <w:gridCol w:w="4132"/>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843" w:type="dxa"/>
                  <w:vAlign w:val="center"/>
                </w:tcPr>
                <w:p>
                  <w:pPr>
                    <w:jc w:val="center"/>
                    <w:rPr>
                      <w:bCs/>
                      <w:sz w:val="21"/>
                      <w:szCs w:val="21"/>
                    </w:rPr>
                  </w:pPr>
                  <w:r>
                    <w:rPr>
                      <w:bCs/>
                      <w:sz w:val="21"/>
                      <w:szCs w:val="21"/>
                    </w:rPr>
                    <w:t>4</w:t>
                  </w:r>
                </w:p>
              </w:tc>
              <w:tc>
                <w:tcPr>
                  <w:tcW w:w="2715" w:type="dxa"/>
                  <w:vAlign w:val="center"/>
                </w:tcPr>
                <w:p>
                  <w:pPr>
                    <w:jc w:val="center"/>
                    <w:rPr>
                      <w:sz w:val="21"/>
                      <w:szCs w:val="21"/>
                    </w:rPr>
                  </w:pPr>
                  <w:r>
                    <w:rPr>
                      <w:sz w:val="21"/>
                      <w:szCs w:val="21"/>
                    </w:rPr>
                    <w:t>消毒柜</w:t>
                  </w:r>
                </w:p>
              </w:tc>
              <w:tc>
                <w:tcPr>
                  <w:tcW w:w="1282" w:type="dxa"/>
                  <w:vAlign w:val="center"/>
                </w:tcPr>
                <w:p>
                  <w:pPr>
                    <w:jc w:val="center"/>
                    <w:rPr>
                      <w:sz w:val="21"/>
                      <w:szCs w:val="21"/>
                    </w:rPr>
                  </w:pPr>
                  <w:r>
                    <w:rPr>
                      <w:rFonts w:hint="eastAsia"/>
                      <w:sz w:val="21"/>
                      <w:szCs w:val="21"/>
                    </w:rPr>
                    <w:t>45</w:t>
                  </w:r>
                  <w:r>
                    <w:rPr>
                      <w:sz w:val="21"/>
                      <w:szCs w:val="21"/>
                    </w:rPr>
                    <w:t>台</w:t>
                  </w:r>
                </w:p>
              </w:tc>
              <w:tc>
                <w:tcPr>
                  <w:tcW w:w="4132" w:type="dxa"/>
                  <w:vAlign w:val="center"/>
                </w:tcPr>
                <w:p>
                  <w:pPr>
                    <w:jc w:val="center"/>
                    <w:rPr>
                      <w:sz w:val="21"/>
                      <w:szCs w:val="21"/>
                    </w:rPr>
                  </w:pPr>
                  <w:r>
                    <w:rPr>
                      <w:rFonts w:hint="eastAsia"/>
                      <w:sz w:val="21"/>
                      <w:szCs w:val="21"/>
                    </w:rPr>
                    <w:t>餐饮场所及员工餐厅</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843" w:type="dxa"/>
                  <w:vAlign w:val="center"/>
                </w:tcPr>
                <w:p>
                  <w:pPr>
                    <w:jc w:val="center"/>
                    <w:rPr>
                      <w:rFonts w:hint="eastAsia"/>
                      <w:bCs/>
                      <w:sz w:val="21"/>
                      <w:szCs w:val="21"/>
                    </w:rPr>
                  </w:pPr>
                  <w:r>
                    <w:rPr>
                      <w:rFonts w:hint="eastAsia"/>
                      <w:bCs/>
                      <w:sz w:val="21"/>
                      <w:szCs w:val="21"/>
                    </w:rPr>
                    <w:t>5</w:t>
                  </w:r>
                </w:p>
              </w:tc>
              <w:tc>
                <w:tcPr>
                  <w:tcW w:w="2715" w:type="dxa"/>
                  <w:vAlign w:val="center"/>
                </w:tcPr>
                <w:p>
                  <w:pPr>
                    <w:jc w:val="center"/>
                    <w:rPr>
                      <w:sz w:val="21"/>
                      <w:szCs w:val="21"/>
                    </w:rPr>
                  </w:pPr>
                  <w:r>
                    <w:rPr>
                      <w:sz w:val="21"/>
                      <w:szCs w:val="21"/>
                    </w:rPr>
                    <w:t>电冰箱</w:t>
                  </w:r>
                </w:p>
              </w:tc>
              <w:tc>
                <w:tcPr>
                  <w:tcW w:w="1282" w:type="dxa"/>
                  <w:vAlign w:val="center"/>
                </w:tcPr>
                <w:p>
                  <w:pPr>
                    <w:jc w:val="center"/>
                    <w:rPr>
                      <w:sz w:val="21"/>
                      <w:szCs w:val="21"/>
                    </w:rPr>
                  </w:pPr>
                  <w:r>
                    <w:rPr>
                      <w:rFonts w:hint="eastAsia"/>
                      <w:sz w:val="21"/>
                      <w:szCs w:val="21"/>
                    </w:rPr>
                    <w:t>80</w:t>
                  </w:r>
                  <w:r>
                    <w:rPr>
                      <w:sz w:val="21"/>
                      <w:szCs w:val="21"/>
                    </w:rPr>
                    <w:t>台</w:t>
                  </w:r>
                </w:p>
              </w:tc>
              <w:tc>
                <w:tcPr>
                  <w:tcW w:w="4132" w:type="dxa"/>
                  <w:vAlign w:val="center"/>
                </w:tcPr>
                <w:p>
                  <w:pPr>
                    <w:jc w:val="center"/>
                    <w:rPr>
                      <w:sz w:val="21"/>
                      <w:szCs w:val="21"/>
                    </w:rPr>
                  </w:pPr>
                  <w:r>
                    <w:rPr>
                      <w:rFonts w:hint="eastAsia"/>
                      <w:sz w:val="21"/>
                      <w:szCs w:val="21"/>
                    </w:rPr>
                    <w:t>餐饮场所及员工餐厅</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843" w:type="dxa"/>
                  <w:vAlign w:val="center"/>
                </w:tcPr>
                <w:p>
                  <w:pPr>
                    <w:jc w:val="center"/>
                    <w:rPr>
                      <w:rFonts w:hint="eastAsia"/>
                      <w:bCs/>
                      <w:sz w:val="21"/>
                      <w:szCs w:val="21"/>
                    </w:rPr>
                  </w:pPr>
                  <w:r>
                    <w:rPr>
                      <w:rFonts w:hint="eastAsia"/>
                      <w:bCs/>
                      <w:sz w:val="21"/>
                      <w:szCs w:val="21"/>
                    </w:rPr>
                    <w:t>6</w:t>
                  </w:r>
                </w:p>
              </w:tc>
              <w:tc>
                <w:tcPr>
                  <w:tcW w:w="2715" w:type="dxa"/>
                  <w:vAlign w:val="center"/>
                </w:tcPr>
                <w:p>
                  <w:pPr>
                    <w:jc w:val="center"/>
                    <w:rPr>
                      <w:rFonts w:hint="eastAsia"/>
                      <w:sz w:val="21"/>
                      <w:szCs w:val="21"/>
                    </w:rPr>
                  </w:pPr>
                  <w:r>
                    <w:rPr>
                      <w:rFonts w:hint="eastAsia"/>
                      <w:sz w:val="21"/>
                      <w:szCs w:val="21"/>
                    </w:rPr>
                    <w:t>炉灶</w:t>
                  </w:r>
                </w:p>
              </w:tc>
              <w:tc>
                <w:tcPr>
                  <w:tcW w:w="1282" w:type="dxa"/>
                  <w:vAlign w:val="center"/>
                </w:tcPr>
                <w:p>
                  <w:pPr>
                    <w:jc w:val="center"/>
                    <w:rPr>
                      <w:rFonts w:hint="eastAsia"/>
                      <w:sz w:val="21"/>
                      <w:szCs w:val="21"/>
                    </w:rPr>
                  </w:pPr>
                  <w:r>
                    <w:rPr>
                      <w:rFonts w:hint="eastAsia"/>
                      <w:sz w:val="21"/>
                      <w:szCs w:val="21"/>
                    </w:rPr>
                    <w:t>45台</w:t>
                  </w:r>
                </w:p>
              </w:tc>
              <w:tc>
                <w:tcPr>
                  <w:tcW w:w="4132" w:type="dxa"/>
                  <w:vAlign w:val="center"/>
                </w:tcPr>
                <w:p>
                  <w:pPr>
                    <w:jc w:val="center"/>
                    <w:rPr>
                      <w:rFonts w:hint="eastAsia"/>
                      <w:sz w:val="21"/>
                      <w:szCs w:val="21"/>
                    </w:rPr>
                  </w:pPr>
                  <w:r>
                    <w:rPr>
                      <w:rFonts w:hint="eastAsia"/>
                      <w:sz w:val="21"/>
                      <w:szCs w:val="21"/>
                    </w:rPr>
                    <w:t>餐饮场所及员工餐厅</w:t>
                  </w:r>
                </w:p>
              </w:tc>
            </w:tr>
            <w:tr>
              <w:tblPrEx>
                <w:jc w:val="center"/>
                <w:tblInd w:w="123" w:type="dxa"/>
                <w:tblLayout w:type="fixed"/>
                <w:tblCellMar>
                  <w:top w:w="0" w:type="dxa"/>
                  <w:left w:w="108" w:type="dxa"/>
                  <w:bottom w:w="0" w:type="dxa"/>
                  <w:right w:w="108" w:type="dxa"/>
                </w:tblCellMar>
                <w:tblLook w:val="0000"/>
              </w:tblPrEx>
              <w:trPr>
                <w:trHeight w:val="188"/>
                <w:jc w:val="center"/>
              </w:trPr>
              <w:tc>
                <w:tcPr>
                  <w:tcW w:w="843" w:type="dxa"/>
                  <w:vAlign w:val="center"/>
                </w:tcPr>
                <w:p>
                  <w:pPr>
                    <w:jc w:val="center"/>
                    <w:rPr>
                      <w:rFonts w:hint="eastAsia"/>
                      <w:bCs/>
                      <w:sz w:val="21"/>
                      <w:szCs w:val="21"/>
                    </w:rPr>
                  </w:pPr>
                  <w:r>
                    <w:rPr>
                      <w:rFonts w:hint="eastAsia"/>
                      <w:bCs/>
                      <w:sz w:val="21"/>
                      <w:szCs w:val="21"/>
                    </w:rPr>
                    <w:t>7</w:t>
                  </w:r>
                </w:p>
              </w:tc>
              <w:tc>
                <w:tcPr>
                  <w:tcW w:w="2715" w:type="dxa"/>
                  <w:vAlign w:val="center"/>
                </w:tcPr>
                <w:p>
                  <w:pPr>
                    <w:jc w:val="center"/>
                    <w:rPr>
                      <w:rFonts w:hint="eastAsia"/>
                      <w:sz w:val="21"/>
                      <w:szCs w:val="21"/>
                    </w:rPr>
                  </w:pPr>
                  <w:r>
                    <w:rPr>
                      <w:rFonts w:hint="eastAsia"/>
                      <w:sz w:val="21"/>
                      <w:szCs w:val="21"/>
                    </w:rPr>
                    <w:t>油烟净化器</w:t>
                  </w:r>
                </w:p>
              </w:tc>
              <w:tc>
                <w:tcPr>
                  <w:tcW w:w="1282" w:type="dxa"/>
                  <w:vAlign w:val="center"/>
                </w:tcPr>
                <w:p>
                  <w:pPr>
                    <w:jc w:val="center"/>
                    <w:rPr>
                      <w:rFonts w:hint="eastAsia"/>
                      <w:sz w:val="21"/>
                      <w:szCs w:val="21"/>
                    </w:rPr>
                  </w:pPr>
                  <w:r>
                    <w:rPr>
                      <w:rFonts w:hint="eastAsia"/>
                      <w:sz w:val="21"/>
                      <w:szCs w:val="21"/>
                    </w:rPr>
                    <w:t>45台</w:t>
                  </w:r>
                </w:p>
              </w:tc>
              <w:tc>
                <w:tcPr>
                  <w:tcW w:w="4132" w:type="dxa"/>
                  <w:vAlign w:val="center"/>
                </w:tcPr>
                <w:p>
                  <w:pPr>
                    <w:jc w:val="center"/>
                    <w:rPr>
                      <w:rFonts w:hint="eastAsia"/>
                      <w:sz w:val="21"/>
                      <w:szCs w:val="21"/>
                    </w:rPr>
                  </w:pPr>
                  <w:r>
                    <w:rPr>
                      <w:rFonts w:hint="eastAsia"/>
                      <w:sz w:val="21"/>
                      <w:szCs w:val="21"/>
                    </w:rPr>
                    <w:t>餐饮场所及员工餐厅</w:t>
                  </w:r>
                </w:p>
              </w:tc>
            </w:tr>
            <w:tr>
              <w:tblPrEx>
                <w:jc w:val="center"/>
                <w:tblInd w:w="123" w:type="dxa"/>
                <w:tblLayout w:type="fixed"/>
                <w:tblCellMar>
                  <w:top w:w="0" w:type="dxa"/>
                  <w:left w:w="108" w:type="dxa"/>
                  <w:bottom w:w="0" w:type="dxa"/>
                  <w:right w:w="108" w:type="dxa"/>
                </w:tblCellMar>
                <w:tblLook w:val="0000"/>
              </w:tblPrEx>
              <w:trPr>
                <w:trHeight w:val="213"/>
                <w:jc w:val="center"/>
              </w:trPr>
              <w:tc>
                <w:tcPr>
                  <w:tcW w:w="843" w:type="dxa"/>
                  <w:vAlign w:val="center"/>
                </w:tcPr>
                <w:p>
                  <w:pPr>
                    <w:jc w:val="center"/>
                    <w:rPr>
                      <w:rFonts w:hint="eastAsia"/>
                      <w:bCs/>
                      <w:sz w:val="21"/>
                      <w:szCs w:val="21"/>
                    </w:rPr>
                  </w:pPr>
                  <w:r>
                    <w:rPr>
                      <w:rFonts w:hint="eastAsia"/>
                      <w:bCs/>
                      <w:sz w:val="21"/>
                      <w:szCs w:val="21"/>
                    </w:rPr>
                    <w:t>8</w:t>
                  </w:r>
                </w:p>
              </w:tc>
              <w:tc>
                <w:tcPr>
                  <w:tcW w:w="2715" w:type="dxa"/>
                  <w:vAlign w:val="center"/>
                </w:tcPr>
                <w:p>
                  <w:pPr>
                    <w:jc w:val="center"/>
                    <w:rPr>
                      <w:rFonts w:hint="eastAsia"/>
                      <w:sz w:val="21"/>
                      <w:szCs w:val="21"/>
                    </w:rPr>
                  </w:pPr>
                  <w:r>
                    <w:rPr>
                      <w:rFonts w:hint="eastAsia"/>
                      <w:sz w:val="21"/>
                      <w:szCs w:val="21"/>
                    </w:rPr>
                    <w:t>检票设备</w:t>
                  </w:r>
                </w:p>
              </w:tc>
              <w:tc>
                <w:tcPr>
                  <w:tcW w:w="1282" w:type="dxa"/>
                  <w:vAlign w:val="center"/>
                </w:tcPr>
                <w:p>
                  <w:pPr>
                    <w:jc w:val="center"/>
                    <w:rPr>
                      <w:rFonts w:hint="eastAsia"/>
                      <w:sz w:val="21"/>
                      <w:szCs w:val="21"/>
                    </w:rPr>
                  </w:pPr>
                  <w:r>
                    <w:rPr>
                      <w:rFonts w:hint="eastAsia"/>
                      <w:sz w:val="21"/>
                      <w:szCs w:val="21"/>
                    </w:rPr>
                    <w:t>6台</w:t>
                  </w:r>
                </w:p>
              </w:tc>
              <w:tc>
                <w:tcPr>
                  <w:tcW w:w="4132" w:type="dxa"/>
                  <w:vAlign w:val="center"/>
                </w:tcPr>
                <w:p>
                  <w:pPr>
                    <w:jc w:val="center"/>
                    <w:rPr>
                      <w:rFonts w:hint="eastAsia"/>
                      <w:sz w:val="21"/>
                      <w:szCs w:val="21"/>
                    </w:rPr>
                  </w:pPr>
                  <w:r>
                    <w:rPr>
                      <w:rFonts w:hint="eastAsia"/>
                      <w:sz w:val="21"/>
                      <w:szCs w:val="21"/>
                    </w:rPr>
                    <w:t>电影院</w:t>
                  </w:r>
                </w:p>
              </w:tc>
            </w:tr>
            <w:tr>
              <w:tblPrEx>
                <w:jc w:val="center"/>
                <w:tblInd w:w="123" w:type="dxa"/>
                <w:tblLayout w:type="fixed"/>
                <w:tblCellMar>
                  <w:top w:w="0" w:type="dxa"/>
                  <w:left w:w="108" w:type="dxa"/>
                  <w:bottom w:w="0" w:type="dxa"/>
                  <w:right w:w="108" w:type="dxa"/>
                </w:tblCellMar>
                <w:tblLook w:val="0000"/>
              </w:tblPrEx>
              <w:trPr>
                <w:trHeight w:val="213"/>
                <w:jc w:val="center"/>
              </w:trPr>
              <w:tc>
                <w:tcPr>
                  <w:tcW w:w="843" w:type="dxa"/>
                  <w:vAlign w:val="center"/>
                </w:tcPr>
                <w:p>
                  <w:pPr>
                    <w:jc w:val="center"/>
                    <w:rPr>
                      <w:rFonts w:hint="eastAsia"/>
                      <w:bCs/>
                      <w:sz w:val="21"/>
                      <w:szCs w:val="21"/>
                    </w:rPr>
                  </w:pPr>
                  <w:r>
                    <w:rPr>
                      <w:rFonts w:hint="eastAsia"/>
                      <w:bCs/>
                      <w:sz w:val="21"/>
                      <w:szCs w:val="21"/>
                    </w:rPr>
                    <w:t>9</w:t>
                  </w:r>
                </w:p>
              </w:tc>
              <w:tc>
                <w:tcPr>
                  <w:tcW w:w="2715" w:type="dxa"/>
                  <w:vAlign w:val="center"/>
                </w:tcPr>
                <w:p>
                  <w:pPr>
                    <w:jc w:val="center"/>
                    <w:rPr>
                      <w:rFonts w:hint="eastAsia"/>
                      <w:sz w:val="21"/>
                      <w:szCs w:val="21"/>
                    </w:rPr>
                  </w:pPr>
                  <w:r>
                    <w:rPr>
                      <w:rFonts w:hint="eastAsia"/>
                      <w:sz w:val="21"/>
                      <w:szCs w:val="21"/>
                    </w:rPr>
                    <w:t>消防栓</w:t>
                  </w:r>
                </w:p>
              </w:tc>
              <w:tc>
                <w:tcPr>
                  <w:tcW w:w="1282" w:type="dxa"/>
                  <w:vAlign w:val="center"/>
                </w:tcPr>
                <w:p>
                  <w:pPr>
                    <w:jc w:val="center"/>
                    <w:rPr>
                      <w:rFonts w:hint="eastAsia"/>
                      <w:sz w:val="21"/>
                      <w:szCs w:val="21"/>
                    </w:rPr>
                  </w:pPr>
                  <w:r>
                    <w:rPr>
                      <w:rFonts w:hint="eastAsia"/>
                      <w:sz w:val="21"/>
                      <w:szCs w:val="21"/>
                    </w:rPr>
                    <w:t>80套</w:t>
                  </w:r>
                </w:p>
              </w:tc>
              <w:tc>
                <w:tcPr>
                  <w:tcW w:w="4132" w:type="dxa"/>
                  <w:vAlign w:val="center"/>
                </w:tcPr>
                <w:p>
                  <w:pPr>
                    <w:jc w:val="center"/>
                    <w:rPr>
                      <w:rFonts w:hint="eastAsia"/>
                      <w:sz w:val="21"/>
                      <w:szCs w:val="21"/>
                    </w:rPr>
                  </w:pPr>
                  <w:r>
                    <w:rPr>
                      <w:rFonts w:hint="eastAsia"/>
                      <w:sz w:val="21"/>
                      <w:szCs w:val="21"/>
                    </w:rPr>
                    <w:t>各商业区、消防通道</w:t>
                  </w:r>
                </w:p>
              </w:tc>
            </w:tr>
            <w:tr>
              <w:tblPrEx>
                <w:jc w:val="center"/>
                <w:tblInd w:w="123" w:type="dxa"/>
                <w:tblLayout w:type="fixed"/>
                <w:tblCellMar>
                  <w:top w:w="0" w:type="dxa"/>
                  <w:left w:w="108" w:type="dxa"/>
                  <w:bottom w:w="0" w:type="dxa"/>
                  <w:right w:w="108" w:type="dxa"/>
                </w:tblCellMar>
                <w:tblLook w:val="0000"/>
              </w:tblPrEx>
              <w:trPr>
                <w:trHeight w:val="227"/>
                <w:jc w:val="center"/>
              </w:trPr>
              <w:tc>
                <w:tcPr>
                  <w:tcW w:w="843" w:type="dxa"/>
                  <w:vAlign w:val="center"/>
                </w:tcPr>
                <w:p>
                  <w:pPr>
                    <w:jc w:val="center"/>
                    <w:rPr>
                      <w:rFonts w:hint="eastAsia"/>
                      <w:bCs/>
                      <w:sz w:val="21"/>
                      <w:szCs w:val="21"/>
                    </w:rPr>
                  </w:pPr>
                  <w:r>
                    <w:rPr>
                      <w:rFonts w:hint="eastAsia"/>
                      <w:bCs/>
                      <w:sz w:val="21"/>
                      <w:szCs w:val="21"/>
                    </w:rPr>
                    <w:t>10</w:t>
                  </w:r>
                </w:p>
              </w:tc>
              <w:tc>
                <w:tcPr>
                  <w:tcW w:w="2715" w:type="dxa"/>
                  <w:vAlign w:val="center"/>
                </w:tcPr>
                <w:p>
                  <w:pPr>
                    <w:jc w:val="center"/>
                    <w:rPr>
                      <w:rFonts w:hint="eastAsia"/>
                      <w:sz w:val="21"/>
                      <w:szCs w:val="21"/>
                    </w:rPr>
                  </w:pPr>
                  <w:r>
                    <w:rPr>
                      <w:rFonts w:hint="eastAsia"/>
                      <w:sz w:val="21"/>
                      <w:szCs w:val="21"/>
                    </w:rPr>
                    <w:t>手推车</w:t>
                  </w:r>
                </w:p>
              </w:tc>
              <w:tc>
                <w:tcPr>
                  <w:tcW w:w="1282" w:type="dxa"/>
                  <w:vAlign w:val="center"/>
                </w:tcPr>
                <w:p>
                  <w:pPr>
                    <w:jc w:val="center"/>
                    <w:rPr>
                      <w:rFonts w:hint="eastAsia"/>
                      <w:sz w:val="21"/>
                      <w:szCs w:val="21"/>
                    </w:rPr>
                  </w:pPr>
                  <w:r>
                    <w:rPr>
                      <w:rFonts w:hint="eastAsia"/>
                      <w:sz w:val="21"/>
                      <w:szCs w:val="21"/>
                    </w:rPr>
                    <w:t>2500辆</w:t>
                  </w:r>
                </w:p>
              </w:tc>
              <w:tc>
                <w:tcPr>
                  <w:tcW w:w="4132" w:type="dxa"/>
                  <w:vAlign w:val="center"/>
                </w:tcPr>
                <w:p>
                  <w:pPr>
                    <w:jc w:val="center"/>
                    <w:rPr>
                      <w:rFonts w:hint="eastAsia"/>
                      <w:sz w:val="21"/>
                      <w:szCs w:val="21"/>
                    </w:rPr>
                  </w:pPr>
                  <w:r>
                    <w:rPr>
                      <w:rFonts w:hint="eastAsia"/>
                      <w:sz w:val="21"/>
                      <w:szCs w:val="21"/>
                    </w:rPr>
                    <w:t>1～3F超市</w:t>
                  </w:r>
                </w:p>
              </w:tc>
            </w:tr>
            <w:tr>
              <w:tblPrEx>
                <w:jc w:val="center"/>
                <w:tblInd w:w="123" w:type="dxa"/>
                <w:tblLayout w:type="fixed"/>
                <w:tblCellMar>
                  <w:top w:w="0" w:type="dxa"/>
                  <w:left w:w="108" w:type="dxa"/>
                  <w:bottom w:w="0" w:type="dxa"/>
                  <w:right w:w="108" w:type="dxa"/>
                </w:tblCellMar>
                <w:tblLook w:val="0000"/>
              </w:tblPrEx>
              <w:trPr>
                <w:trHeight w:val="194"/>
                <w:jc w:val="center"/>
              </w:trPr>
              <w:tc>
                <w:tcPr>
                  <w:tcW w:w="843" w:type="dxa"/>
                  <w:vAlign w:val="center"/>
                </w:tcPr>
                <w:p>
                  <w:pPr>
                    <w:jc w:val="center"/>
                    <w:rPr>
                      <w:rFonts w:hint="eastAsia"/>
                      <w:bCs/>
                      <w:sz w:val="21"/>
                      <w:szCs w:val="21"/>
                    </w:rPr>
                  </w:pPr>
                  <w:r>
                    <w:rPr>
                      <w:rFonts w:hint="eastAsia"/>
                      <w:bCs/>
                      <w:sz w:val="21"/>
                      <w:szCs w:val="21"/>
                    </w:rPr>
                    <w:t>11</w:t>
                  </w:r>
                </w:p>
              </w:tc>
              <w:tc>
                <w:tcPr>
                  <w:tcW w:w="2715" w:type="dxa"/>
                  <w:vAlign w:val="center"/>
                </w:tcPr>
                <w:p>
                  <w:pPr>
                    <w:jc w:val="center"/>
                    <w:rPr>
                      <w:rFonts w:hint="eastAsia"/>
                      <w:sz w:val="21"/>
                      <w:szCs w:val="21"/>
                    </w:rPr>
                  </w:pPr>
                  <w:r>
                    <w:rPr>
                      <w:rFonts w:hint="eastAsia"/>
                      <w:sz w:val="21"/>
                      <w:szCs w:val="21"/>
                    </w:rPr>
                    <w:t>水泵</w:t>
                  </w:r>
                </w:p>
              </w:tc>
              <w:tc>
                <w:tcPr>
                  <w:tcW w:w="1282" w:type="dxa"/>
                  <w:vAlign w:val="center"/>
                </w:tcPr>
                <w:p>
                  <w:pPr>
                    <w:jc w:val="center"/>
                    <w:rPr>
                      <w:rFonts w:hint="eastAsia"/>
                      <w:sz w:val="21"/>
                      <w:szCs w:val="21"/>
                    </w:rPr>
                  </w:pPr>
                  <w:r>
                    <w:rPr>
                      <w:rFonts w:hint="eastAsia"/>
                      <w:sz w:val="21"/>
                      <w:szCs w:val="21"/>
                    </w:rPr>
                    <w:t>8台</w:t>
                  </w:r>
                </w:p>
              </w:tc>
              <w:tc>
                <w:tcPr>
                  <w:tcW w:w="4132" w:type="dxa"/>
                  <w:vAlign w:val="center"/>
                </w:tcPr>
                <w:p>
                  <w:pPr>
                    <w:jc w:val="center"/>
                    <w:rPr>
                      <w:rFonts w:hint="eastAsia"/>
                      <w:sz w:val="21"/>
                      <w:szCs w:val="21"/>
                    </w:rPr>
                  </w:pPr>
                  <w:r>
                    <w:rPr>
                      <w:rFonts w:hint="eastAsia"/>
                      <w:sz w:val="21"/>
                      <w:szCs w:val="21"/>
                    </w:rPr>
                    <w:t>泵房</w:t>
                  </w:r>
                </w:p>
              </w:tc>
            </w:tr>
          </w:tbl>
          <w:p>
            <w:pPr>
              <w:spacing w:line="360" w:lineRule="auto"/>
              <w:rPr>
                <w:b/>
                <w:sz w:val="24"/>
                <w:szCs w:val="24"/>
              </w:rPr>
            </w:pPr>
            <w:r>
              <w:rPr>
                <w:rFonts w:hint="eastAsia"/>
                <w:b/>
                <w:sz w:val="24"/>
                <w:szCs w:val="24"/>
              </w:rPr>
              <w:t xml:space="preserve">    五、</w:t>
            </w:r>
            <w:r>
              <w:rPr>
                <w:b/>
                <w:sz w:val="24"/>
                <w:szCs w:val="24"/>
              </w:rPr>
              <w:t>公用配套工程</w:t>
            </w:r>
          </w:p>
          <w:p>
            <w:pPr>
              <w:spacing w:line="360" w:lineRule="auto"/>
              <w:ind w:firstLine="480" w:firstLineChars="200"/>
              <w:rPr>
                <w:sz w:val="24"/>
                <w:szCs w:val="24"/>
              </w:rPr>
            </w:pPr>
            <w:r>
              <w:rPr>
                <w:rFonts w:hint="eastAsia"/>
                <w:sz w:val="24"/>
                <w:szCs w:val="24"/>
              </w:rPr>
              <w:t>（1）</w:t>
            </w:r>
            <w:r>
              <w:rPr>
                <w:sz w:val="24"/>
                <w:szCs w:val="24"/>
              </w:rPr>
              <w:t>给排水</w:t>
            </w:r>
          </w:p>
          <w:p>
            <w:pPr>
              <w:spacing w:line="360" w:lineRule="auto"/>
              <w:ind w:firstLine="480" w:firstLineChars="200"/>
              <w:rPr>
                <w:sz w:val="24"/>
                <w:szCs w:val="24"/>
              </w:rPr>
            </w:pPr>
            <w:r>
              <w:rPr>
                <w:sz w:val="24"/>
                <w:szCs w:val="24"/>
              </w:rPr>
              <w:t>本</w:t>
            </w:r>
            <w:r>
              <w:rPr>
                <w:rFonts w:hint="eastAsia"/>
                <w:sz w:val="24"/>
                <w:szCs w:val="24"/>
              </w:rPr>
              <w:t>项目用水由市政自来水管网统一供水，建筑内供水采用</w:t>
            </w:r>
            <w:r>
              <w:rPr>
                <w:rFonts w:ascii="宋体" w:hAnsi="宋体" w:cs="宋体" w:hint="eastAsia"/>
                <w:spacing w:val="8"/>
                <w:sz w:val="24"/>
                <w:szCs w:val="24"/>
              </w:rPr>
              <w:t>无负压变频加压水泵供水，在建筑地下层设置水泵房</w:t>
            </w:r>
            <w:r>
              <w:rPr>
                <w:sz w:val="24"/>
                <w:szCs w:val="24"/>
              </w:rPr>
              <w:t>。项目用水主要为</w:t>
            </w:r>
            <w:r>
              <w:rPr>
                <w:rFonts w:hint="eastAsia"/>
                <w:sz w:val="24"/>
                <w:szCs w:val="24"/>
              </w:rPr>
              <w:t>餐饮业、电影院及其他商业用水，员工生活用水、空调用水（主要为空调冷却循环水补充水）和绿化用水等，</w:t>
            </w:r>
            <w:r>
              <w:rPr>
                <w:sz w:val="24"/>
                <w:szCs w:val="24"/>
              </w:rPr>
              <w:t>根据建设单位提供资料及</w:t>
            </w:r>
            <w:r>
              <w:rPr>
                <w:rFonts w:hint="eastAsia"/>
                <w:sz w:val="24"/>
                <w:szCs w:val="24"/>
              </w:rPr>
              <w:t>参考《民用建筑供暖通风与空气调节设计规范》（GB50736-2012）、</w:t>
            </w:r>
            <w:r>
              <w:rPr>
                <w:sz w:val="24"/>
                <w:szCs w:val="24"/>
              </w:rPr>
              <w:t>《</w:t>
            </w:r>
            <w:r>
              <w:rPr>
                <w:rFonts w:hint="eastAsia"/>
                <w:sz w:val="24"/>
                <w:szCs w:val="24"/>
              </w:rPr>
              <w:t>江西省城市生活</w:t>
            </w:r>
            <w:r>
              <w:rPr>
                <w:sz w:val="24"/>
                <w:szCs w:val="24"/>
              </w:rPr>
              <w:t>用水定额》</w:t>
            </w:r>
            <w:r>
              <w:rPr>
                <w:rFonts w:hint="eastAsia"/>
                <w:sz w:val="24"/>
                <w:szCs w:val="24"/>
              </w:rPr>
              <w:t>（</w:t>
            </w:r>
            <w:r>
              <w:rPr>
                <w:sz w:val="24"/>
              </w:rPr>
              <w:t>DB36/T419-2011</w:t>
            </w:r>
            <w:r>
              <w:rPr>
                <w:rFonts w:hint="eastAsia"/>
                <w:sz w:val="24"/>
              </w:rPr>
              <w:t>）</w:t>
            </w:r>
            <w:r>
              <w:rPr>
                <w:rFonts w:hint="eastAsia"/>
                <w:sz w:val="24"/>
                <w:szCs w:val="24"/>
              </w:rPr>
              <w:t>，</w:t>
            </w:r>
            <w:r>
              <w:rPr>
                <w:sz w:val="24"/>
                <w:szCs w:val="24"/>
              </w:rPr>
              <w:t>项目用水量</w:t>
            </w:r>
            <w:r>
              <w:rPr>
                <w:rFonts w:hint="eastAsia"/>
                <w:sz w:val="24"/>
                <w:szCs w:val="24"/>
              </w:rPr>
              <w:t>合计</w:t>
            </w:r>
            <w:r>
              <w:rPr>
                <w:sz w:val="24"/>
                <w:szCs w:val="24"/>
              </w:rPr>
              <w:t>约为</w:t>
            </w:r>
            <w:r>
              <w:rPr>
                <w:rFonts w:hint="eastAsia"/>
                <w:sz w:val="24"/>
                <w:szCs w:val="24"/>
              </w:rPr>
              <w:t>210094</w:t>
            </w:r>
            <w:r>
              <w:rPr>
                <w:sz w:val="24"/>
                <w:szCs w:val="24"/>
              </w:rPr>
              <w:t>t/a</w:t>
            </w:r>
            <w:r>
              <w:rPr>
                <w:rFonts w:hint="eastAsia"/>
                <w:sz w:val="24"/>
                <w:szCs w:val="24"/>
              </w:rPr>
              <w:t>。</w:t>
            </w:r>
          </w:p>
          <w:p>
            <w:pPr>
              <w:spacing w:line="360" w:lineRule="auto"/>
              <w:ind w:firstLine="480" w:firstLineChars="200"/>
              <w:rPr>
                <w:rFonts w:hint="eastAsia"/>
                <w:sz w:val="10"/>
                <w:szCs w:val="10"/>
              </w:rPr>
            </w:pPr>
            <w:r>
              <w:rPr>
                <w:sz w:val="24"/>
                <w:szCs w:val="24"/>
              </w:rPr>
              <w:t>本项目排水采用雨、污分流制。雨水通过雨水管网纳入市政雨水管网排放</w:t>
            </w:r>
            <w:r>
              <w:rPr>
                <w:rFonts w:hint="eastAsia"/>
                <w:sz w:val="24"/>
                <w:szCs w:val="24"/>
              </w:rPr>
              <w:t>；</w:t>
            </w:r>
            <w:r>
              <w:rPr>
                <w:sz w:val="24"/>
                <w:szCs w:val="24"/>
              </w:rPr>
              <w:t>项目</w:t>
            </w:r>
            <w:r>
              <w:rPr>
                <w:rFonts w:hint="eastAsia"/>
                <w:sz w:val="24"/>
                <w:szCs w:val="24"/>
              </w:rPr>
              <w:t>生活污水</w:t>
            </w:r>
            <w:r>
              <w:rPr>
                <w:sz w:val="24"/>
                <w:szCs w:val="24"/>
              </w:rPr>
              <w:t>经</w:t>
            </w:r>
            <w:r>
              <w:rPr>
                <w:rFonts w:hint="eastAsia"/>
                <w:sz w:val="24"/>
                <w:szCs w:val="24"/>
              </w:rPr>
              <w:t>隔油池+化粪池</w:t>
            </w:r>
            <w:r>
              <w:rPr>
                <w:sz w:val="24"/>
                <w:szCs w:val="24"/>
              </w:rPr>
              <w:t>处理</w:t>
            </w:r>
            <w:r>
              <w:rPr>
                <w:rFonts w:hint="eastAsia"/>
                <w:sz w:val="24"/>
                <w:szCs w:val="24"/>
              </w:rPr>
              <w:t>后</w:t>
            </w:r>
            <w:r>
              <w:rPr>
                <w:sz w:val="24"/>
                <w:szCs w:val="24"/>
              </w:rPr>
              <w:t>达到《污水综合排放标准》（GB8978-1996）表4中三级标准同时满足</w:t>
            </w:r>
            <w:r>
              <w:rPr>
                <w:rFonts w:hint="eastAsia"/>
                <w:sz w:val="24"/>
                <w:szCs w:val="24"/>
              </w:rPr>
              <w:t>抚州市中心城区</w:t>
            </w:r>
            <w:r>
              <w:rPr>
                <w:spacing w:val="4"/>
                <w:sz w:val="24"/>
                <w:szCs w:val="24"/>
              </w:rPr>
              <w:t>污水处理厂进水水质要求</w:t>
            </w:r>
            <w:r>
              <w:rPr>
                <w:rFonts w:hint="eastAsia"/>
                <w:spacing w:val="4"/>
                <w:sz w:val="24"/>
                <w:szCs w:val="24"/>
              </w:rPr>
              <w:t>，然</w:t>
            </w:r>
            <w:r>
              <w:rPr>
                <w:sz w:val="24"/>
                <w:szCs w:val="24"/>
              </w:rPr>
              <w:t>后由</w:t>
            </w:r>
            <w:r>
              <w:rPr>
                <w:rFonts w:hint="eastAsia"/>
                <w:sz w:val="24"/>
                <w:szCs w:val="24"/>
              </w:rPr>
              <w:t>市政</w:t>
            </w:r>
            <w:r>
              <w:rPr>
                <w:sz w:val="24"/>
                <w:szCs w:val="24"/>
              </w:rPr>
              <w:t>污水管网统一排放到</w:t>
            </w:r>
            <w:r>
              <w:rPr>
                <w:rFonts w:hint="eastAsia"/>
                <w:sz w:val="24"/>
                <w:szCs w:val="24"/>
              </w:rPr>
              <w:t>抚州市中心城区</w:t>
            </w:r>
            <w:r>
              <w:rPr>
                <w:spacing w:val="4"/>
                <w:sz w:val="24"/>
                <w:szCs w:val="24"/>
              </w:rPr>
              <w:t>污水处理厂进一步</w:t>
            </w:r>
            <w:r>
              <w:rPr>
                <w:sz w:val="24"/>
                <w:szCs w:val="24"/>
              </w:rPr>
              <w:t>处理，处理达到《城镇污水处理厂污染物排放标准》（GB18918-2002)一级B标准后最终排入</w:t>
            </w:r>
            <w:r>
              <w:rPr>
                <w:rFonts w:hint="eastAsia"/>
                <w:sz w:val="24"/>
                <w:szCs w:val="24"/>
              </w:rPr>
              <w:t>抚河</w:t>
            </w:r>
            <w:r>
              <w:rPr>
                <w:sz w:val="24"/>
                <w:szCs w:val="24"/>
              </w:rPr>
              <w:t>。</w:t>
            </w:r>
            <w:r>
              <w:rPr>
                <w:rFonts w:hint="eastAsia"/>
                <w:sz w:val="24"/>
                <w:szCs w:val="24"/>
              </w:rPr>
              <w:t>具体给排水情况见下表4。</w:t>
            </w:r>
          </w:p>
          <w:p>
            <w:pPr>
              <w:pStyle w:val="Caption"/>
              <w:spacing w:line="360" w:lineRule="auto"/>
              <w:jc w:val="center"/>
              <w:rPr>
                <w:rFonts w:ascii="Times New Roman" w:eastAsia="宋体" w:hAnsi="Times New Roman" w:cs="Times New Roman" w:hint="eastAsia"/>
                <w:b/>
                <w:kern w:val="10"/>
                <w:sz w:val="24"/>
                <w:szCs w:val="24"/>
              </w:rPr>
            </w:pPr>
            <w:r>
              <w:rPr>
                <w:rFonts w:ascii="Times New Roman" w:eastAsia="宋体" w:hAnsi="Times New Roman" w:cs="Times New Roman" w:hint="eastAsia"/>
                <w:b/>
                <w:kern w:val="10"/>
                <w:sz w:val="24"/>
                <w:szCs w:val="24"/>
              </w:rPr>
              <w:t>表4  本</w:t>
            </w:r>
            <w:r>
              <w:rPr>
                <w:rFonts w:ascii="Times New Roman" w:eastAsia="宋体" w:hAnsi="Times New Roman" w:cs="Times New Roman"/>
                <w:b/>
                <w:kern w:val="10"/>
                <w:sz w:val="24"/>
                <w:szCs w:val="24"/>
              </w:rPr>
              <w:t>项目</w:t>
            </w:r>
            <w:r>
              <w:rPr>
                <w:rFonts w:ascii="Times New Roman" w:eastAsia="宋体" w:hAnsi="Times New Roman" w:cs="Times New Roman" w:hint="eastAsia"/>
                <w:b/>
                <w:kern w:val="10"/>
                <w:sz w:val="24"/>
                <w:szCs w:val="24"/>
              </w:rPr>
              <w:t>给排水情况</w:t>
            </w:r>
            <w:r>
              <w:rPr>
                <w:rFonts w:ascii="Times New Roman" w:eastAsia="宋体" w:hAnsi="Times New Roman" w:cs="Times New Roman"/>
                <w:b/>
                <w:kern w:val="10"/>
                <w:sz w:val="24"/>
                <w:szCs w:val="24"/>
              </w:rPr>
              <w:t>一览表</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324"/>
              <w:gridCol w:w="1475"/>
              <w:gridCol w:w="1542"/>
              <w:gridCol w:w="884"/>
              <w:gridCol w:w="1280"/>
              <w:gridCol w:w="1031"/>
              <w:gridCol w:w="1421"/>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324" w:type="dxa"/>
                  <w:vAlign w:val="center"/>
                </w:tcPr>
                <w:p>
                  <w:pPr>
                    <w:jc w:val="center"/>
                    <w:rPr>
                      <w:b/>
                      <w:bCs/>
                      <w:sz w:val="21"/>
                      <w:szCs w:val="21"/>
                    </w:rPr>
                  </w:pPr>
                  <w:r>
                    <w:rPr>
                      <w:b/>
                      <w:bCs/>
                      <w:sz w:val="21"/>
                      <w:szCs w:val="21"/>
                    </w:rPr>
                    <w:t>类 别</w:t>
                  </w:r>
                </w:p>
              </w:tc>
              <w:tc>
                <w:tcPr>
                  <w:tcW w:w="1475" w:type="dxa"/>
                  <w:vAlign w:val="center"/>
                </w:tcPr>
                <w:p>
                  <w:pPr>
                    <w:jc w:val="center"/>
                    <w:rPr>
                      <w:b/>
                      <w:bCs/>
                      <w:sz w:val="21"/>
                      <w:szCs w:val="21"/>
                    </w:rPr>
                  </w:pPr>
                  <w:r>
                    <w:rPr>
                      <w:b/>
                      <w:bCs/>
                      <w:sz w:val="21"/>
                      <w:szCs w:val="21"/>
                    </w:rPr>
                    <w:t>用水定额</w:t>
                  </w:r>
                </w:p>
              </w:tc>
              <w:tc>
                <w:tcPr>
                  <w:tcW w:w="1542" w:type="dxa"/>
                  <w:vAlign w:val="center"/>
                </w:tcPr>
                <w:p>
                  <w:pPr>
                    <w:jc w:val="center"/>
                    <w:rPr>
                      <w:b/>
                      <w:bCs/>
                      <w:sz w:val="21"/>
                      <w:szCs w:val="21"/>
                    </w:rPr>
                  </w:pPr>
                  <w:r>
                    <w:rPr>
                      <w:rFonts w:hint="eastAsia"/>
                      <w:b/>
                      <w:bCs/>
                      <w:sz w:val="21"/>
                      <w:szCs w:val="21"/>
                    </w:rPr>
                    <w:t>数量</w:t>
                  </w:r>
                  <w:r>
                    <w:rPr>
                      <w:b/>
                      <w:bCs/>
                      <w:sz w:val="21"/>
                      <w:szCs w:val="21"/>
                    </w:rPr>
                    <w:t>或面积</w:t>
                  </w:r>
                </w:p>
              </w:tc>
              <w:tc>
                <w:tcPr>
                  <w:tcW w:w="884" w:type="dxa"/>
                  <w:vAlign w:val="center"/>
                </w:tcPr>
                <w:p>
                  <w:pPr>
                    <w:jc w:val="center"/>
                    <w:rPr>
                      <w:b/>
                      <w:bCs/>
                      <w:sz w:val="21"/>
                      <w:szCs w:val="21"/>
                    </w:rPr>
                  </w:pPr>
                  <w:r>
                    <w:rPr>
                      <w:b/>
                      <w:bCs/>
                      <w:sz w:val="21"/>
                      <w:szCs w:val="21"/>
                    </w:rPr>
                    <w:t>用水量(m</w:t>
                  </w:r>
                  <w:r>
                    <w:rPr>
                      <w:b/>
                      <w:bCs/>
                      <w:sz w:val="21"/>
                      <w:szCs w:val="21"/>
                      <w:vertAlign w:val="superscript"/>
                    </w:rPr>
                    <w:t>3</w:t>
                  </w:r>
                  <w:r>
                    <w:rPr>
                      <w:b/>
                      <w:bCs/>
                      <w:sz w:val="21"/>
                      <w:szCs w:val="21"/>
                    </w:rPr>
                    <w:t>/d)</w:t>
                  </w:r>
                </w:p>
              </w:tc>
              <w:tc>
                <w:tcPr>
                  <w:tcW w:w="1280" w:type="dxa"/>
                  <w:vAlign w:val="center"/>
                </w:tcPr>
                <w:p>
                  <w:pPr>
                    <w:jc w:val="center"/>
                    <w:rPr>
                      <w:b/>
                      <w:bCs/>
                      <w:sz w:val="21"/>
                      <w:szCs w:val="21"/>
                    </w:rPr>
                  </w:pPr>
                  <w:r>
                    <w:rPr>
                      <w:b/>
                      <w:bCs/>
                      <w:sz w:val="21"/>
                      <w:szCs w:val="21"/>
                    </w:rPr>
                    <w:t>排水量(m</w:t>
                  </w:r>
                  <w:r>
                    <w:rPr>
                      <w:b/>
                      <w:bCs/>
                      <w:sz w:val="21"/>
                      <w:szCs w:val="21"/>
                      <w:vertAlign w:val="superscript"/>
                    </w:rPr>
                    <w:t>3</w:t>
                  </w:r>
                  <w:r>
                    <w:rPr>
                      <w:b/>
                      <w:bCs/>
                      <w:sz w:val="21"/>
                      <w:szCs w:val="21"/>
                    </w:rPr>
                    <w:t>/d)</w:t>
                  </w:r>
                </w:p>
              </w:tc>
              <w:tc>
                <w:tcPr>
                  <w:tcW w:w="1031" w:type="dxa"/>
                  <w:vAlign w:val="center"/>
                </w:tcPr>
                <w:p>
                  <w:pPr>
                    <w:jc w:val="center"/>
                    <w:rPr>
                      <w:b/>
                      <w:bCs/>
                      <w:sz w:val="21"/>
                      <w:szCs w:val="21"/>
                    </w:rPr>
                  </w:pPr>
                  <w:r>
                    <w:rPr>
                      <w:b/>
                      <w:bCs/>
                      <w:sz w:val="21"/>
                      <w:szCs w:val="21"/>
                    </w:rPr>
                    <w:t>排水量(m</w:t>
                  </w:r>
                  <w:r>
                    <w:rPr>
                      <w:b/>
                      <w:bCs/>
                      <w:sz w:val="21"/>
                      <w:szCs w:val="21"/>
                      <w:vertAlign w:val="superscript"/>
                    </w:rPr>
                    <w:t>3</w:t>
                  </w:r>
                  <w:r>
                    <w:rPr>
                      <w:b/>
                      <w:bCs/>
                      <w:sz w:val="21"/>
                      <w:szCs w:val="21"/>
                    </w:rPr>
                    <w:t>/</w:t>
                  </w:r>
                  <w:r>
                    <w:rPr>
                      <w:rFonts w:hint="eastAsia"/>
                      <w:b/>
                      <w:bCs/>
                      <w:sz w:val="21"/>
                      <w:szCs w:val="21"/>
                    </w:rPr>
                    <w:t>a</w:t>
                  </w:r>
                  <w:r>
                    <w:rPr>
                      <w:b/>
                      <w:bCs/>
                      <w:sz w:val="21"/>
                      <w:szCs w:val="21"/>
                    </w:rPr>
                    <w:t>)</w:t>
                  </w:r>
                </w:p>
              </w:tc>
              <w:tc>
                <w:tcPr>
                  <w:tcW w:w="1421" w:type="dxa"/>
                  <w:vAlign w:val="center"/>
                </w:tcPr>
                <w:p>
                  <w:pPr>
                    <w:jc w:val="center"/>
                    <w:rPr>
                      <w:b/>
                      <w:bCs/>
                      <w:sz w:val="21"/>
                      <w:szCs w:val="21"/>
                    </w:rPr>
                  </w:pPr>
                  <w:r>
                    <w:rPr>
                      <w:b/>
                      <w:bCs/>
                      <w:sz w:val="21"/>
                      <w:szCs w:val="21"/>
                    </w:rPr>
                    <w:t>备注</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1324" w:type="dxa"/>
                  <w:vAlign w:val="center"/>
                </w:tcPr>
                <w:p>
                  <w:pPr>
                    <w:jc w:val="center"/>
                    <w:rPr>
                      <w:rFonts w:hint="eastAsia"/>
                      <w:sz w:val="21"/>
                      <w:szCs w:val="21"/>
                    </w:rPr>
                  </w:pPr>
                  <w:r>
                    <w:rPr>
                      <w:rFonts w:hint="eastAsia"/>
                      <w:sz w:val="21"/>
                      <w:szCs w:val="21"/>
                    </w:rPr>
                    <w:t>餐饮业</w:t>
                  </w:r>
                </w:p>
              </w:tc>
              <w:tc>
                <w:tcPr>
                  <w:tcW w:w="1475" w:type="dxa"/>
                  <w:vAlign w:val="center"/>
                </w:tcPr>
                <w:p>
                  <w:pPr>
                    <w:jc w:val="center"/>
                    <w:rPr>
                      <w:sz w:val="21"/>
                      <w:szCs w:val="21"/>
                    </w:rPr>
                  </w:pPr>
                  <w:r>
                    <w:rPr>
                      <w:rFonts w:hint="eastAsia"/>
                      <w:sz w:val="21"/>
                      <w:szCs w:val="21"/>
                    </w:rPr>
                    <w:t>20</w:t>
                  </w:r>
                  <w:r>
                    <w:rPr>
                      <w:sz w:val="21"/>
                      <w:szCs w:val="21"/>
                    </w:rPr>
                    <w:t>L/</w:t>
                  </w:r>
                  <w:r>
                    <w:rPr>
                      <w:rFonts w:hint="eastAsia"/>
                      <w:sz w:val="21"/>
                      <w:szCs w:val="21"/>
                    </w:rPr>
                    <w:t>人</w:t>
                  </w:r>
                  <w:r>
                    <w:rPr>
                      <w:sz w:val="21"/>
                      <w:szCs w:val="21"/>
                    </w:rPr>
                    <w:t>·</w:t>
                  </w:r>
                  <w:r>
                    <w:rPr>
                      <w:rFonts w:hint="eastAsia"/>
                      <w:sz w:val="21"/>
                      <w:szCs w:val="21"/>
                    </w:rPr>
                    <w:t>餐</w:t>
                  </w:r>
                </w:p>
              </w:tc>
              <w:tc>
                <w:tcPr>
                  <w:tcW w:w="1542" w:type="dxa"/>
                  <w:vAlign w:val="center"/>
                </w:tcPr>
                <w:p>
                  <w:pPr>
                    <w:jc w:val="center"/>
                    <w:rPr>
                      <w:sz w:val="21"/>
                      <w:szCs w:val="21"/>
                    </w:rPr>
                  </w:pPr>
                  <w:r>
                    <w:rPr>
                      <w:sz w:val="21"/>
                      <w:szCs w:val="21"/>
                    </w:rPr>
                    <w:t xml:space="preserve"> </w:t>
                  </w:r>
                  <w:r>
                    <w:rPr>
                      <w:rFonts w:hint="eastAsia"/>
                      <w:sz w:val="21"/>
                      <w:szCs w:val="21"/>
                    </w:rPr>
                    <w:t>3000人次/天</w:t>
                  </w:r>
                </w:p>
              </w:tc>
              <w:tc>
                <w:tcPr>
                  <w:tcW w:w="884" w:type="dxa"/>
                  <w:vAlign w:val="center"/>
                </w:tcPr>
                <w:p>
                  <w:pPr>
                    <w:jc w:val="center"/>
                    <w:rPr>
                      <w:sz w:val="21"/>
                      <w:szCs w:val="21"/>
                    </w:rPr>
                  </w:pPr>
                  <w:r>
                    <w:rPr>
                      <w:rFonts w:hint="eastAsia"/>
                      <w:sz w:val="21"/>
                      <w:szCs w:val="21"/>
                    </w:rPr>
                    <w:t>60</w:t>
                  </w:r>
                </w:p>
              </w:tc>
              <w:tc>
                <w:tcPr>
                  <w:tcW w:w="1280" w:type="dxa"/>
                  <w:vAlign w:val="center"/>
                </w:tcPr>
                <w:p>
                  <w:pPr>
                    <w:jc w:val="center"/>
                    <w:rPr>
                      <w:sz w:val="21"/>
                      <w:szCs w:val="21"/>
                    </w:rPr>
                  </w:pPr>
                  <w:r>
                    <w:rPr>
                      <w:rFonts w:hint="eastAsia"/>
                      <w:sz w:val="21"/>
                      <w:szCs w:val="21"/>
                    </w:rPr>
                    <w:t>48</w:t>
                  </w:r>
                </w:p>
              </w:tc>
              <w:tc>
                <w:tcPr>
                  <w:tcW w:w="1031" w:type="dxa"/>
                  <w:vAlign w:val="center"/>
                </w:tcPr>
                <w:p>
                  <w:pPr>
                    <w:jc w:val="center"/>
                    <w:rPr>
                      <w:sz w:val="21"/>
                      <w:szCs w:val="21"/>
                    </w:rPr>
                  </w:pPr>
                  <w:r>
                    <w:rPr>
                      <w:rFonts w:hint="eastAsia"/>
                      <w:sz w:val="21"/>
                      <w:szCs w:val="21"/>
                    </w:rPr>
                    <w:t>17520</w:t>
                  </w:r>
                </w:p>
              </w:tc>
              <w:tc>
                <w:tcPr>
                  <w:tcW w:w="1421" w:type="dxa"/>
                  <w:vMerge w:val="restart"/>
                  <w:vAlign w:val="center"/>
                </w:tcPr>
                <w:p>
                  <w:pPr>
                    <w:rPr>
                      <w:sz w:val="21"/>
                      <w:szCs w:val="21"/>
                    </w:rPr>
                  </w:pPr>
                  <w:r>
                    <w:rPr>
                      <w:sz w:val="21"/>
                      <w:szCs w:val="21"/>
                    </w:rPr>
                    <w:t>排水量按用水量的80%计算</w:t>
                  </w:r>
                  <w:r>
                    <w:rPr>
                      <w:rFonts w:hint="eastAsia"/>
                      <w:sz w:val="21"/>
                      <w:szCs w:val="21"/>
                    </w:rPr>
                    <w:t>（空调用水除外）</w:t>
                  </w:r>
                </w:p>
                <w:p>
                  <w:pPr>
                    <w:ind w:firstLine="480"/>
                    <w:rPr>
                      <w:sz w:val="21"/>
                      <w:szCs w:val="21"/>
                    </w:rPr>
                  </w:pP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1324" w:type="dxa"/>
                  <w:vAlign w:val="center"/>
                </w:tcPr>
                <w:p>
                  <w:pPr>
                    <w:jc w:val="center"/>
                    <w:rPr>
                      <w:rFonts w:hint="eastAsia"/>
                      <w:sz w:val="21"/>
                      <w:szCs w:val="21"/>
                    </w:rPr>
                  </w:pPr>
                  <w:r>
                    <w:rPr>
                      <w:rFonts w:hint="eastAsia"/>
                      <w:sz w:val="21"/>
                      <w:szCs w:val="21"/>
                    </w:rPr>
                    <w:t>电影院</w:t>
                  </w:r>
                </w:p>
              </w:tc>
              <w:tc>
                <w:tcPr>
                  <w:tcW w:w="1475" w:type="dxa"/>
                  <w:vAlign w:val="center"/>
                </w:tcPr>
                <w:p>
                  <w:pPr>
                    <w:jc w:val="center"/>
                    <w:rPr>
                      <w:sz w:val="21"/>
                      <w:szCs w:val="21"/>
                    </w:rPr>
                  </w:pPr>
                  <w:r>
                    <w:rPr>
                      <w:rFonts w:hint="eastAsia"/>
                      <w:sz w:val="21"/>
                      <w:szCs w:val="21"/>
                    </w:rPr>
                    <w:t>13.33</w:t>
                  </w:r>
                  <w:r>
                    <w:rPr>
                      <w:sz w:val="21"/>
                      <w:szCs w:val="21"/>
                    </w:rPr>
                    <w:t>L/</w:t>
                  </w:r>
                  <w:r>
                    <w:rPr>
                      <w:rFonts w:hint="eastAsia"/>
                      <w:sz w:val="21"/>
                      <w:szCs w:val="21"/>
                    </w:rPr>
                    <w:t>座</w:t>
                  </w:r>
                  <w:r>
                    <w:rPr>
                      <w:sz w:val="21"/>
                      <w:szCs w:val="21"/>
                    </w:rPr>
                    <w:t>·d</w:t>
                  </w:r>
                </w:p>
              </w:tc>
              <w:tc>
                <w:tcPr>
                  <w:tcW w:w="1542" w:type="dxa"/>
                  <w:vAlign w:val="center"/>
                </w:tcPr>
                <w:p>
                  <w:pPr>
                    <w:jc w:val="center"/>
                    <w:rPr>
                      <w:rFonts w:hint="eastAsia"/>
                      <w:sz w:val="21"/>
                      <w:szCs w:val="21"/>
                    </w:rPr>
                  </w:pPr>
                  <w:r>
                    <w:rPr>
                      <w:rFonts w:hint="eastAsia"/>
                      <w:sz w:val="21"/>
                      <w:szCs w:val="21"/>
                    </w:rPr>
                    <w:t>2362座</w:t>
                  </w:r>
                </w:p>
              </w:tc>
              <w:tc>
                <w:tcPr>
                  <w:tcW w:w="884" w:type="dxa"/>
                  <w:vAlign w:val="center"/>
                </w:tcPr>
                <w:p>
                  <w:pPr>
                    <w:jc w:val="center"/>
                    <w:rPr>
                      <w:sz w:val="21"/>
                      <w:szCs w:val="21"/>
                    </w:rPr>
                  </w:pPr>
                  <w:r>
                    <w:rPr>
                      <w:rFonts w:hint="eastAsia"/>
                      <w:sz w:val="21"/>
                      <w:szCs w:val="21"/>
                    </w:rPr>
                    <w:t>31.5</w:t>
                  </w:r>
                </w:p>
              </w:tc>
              <w:tc>
                <w:tcPr>
                  <w:tcW w:w="1280" w:type="dxa"/>
                  <w:vAlign w:val="center"/>
                </w:tcPr>
                <w:p>
                  <w:pPr>
                    <w:jc w:val="center"/>
                    <w:rPr>
                      <w:sz w:val="21"/>
                      <w:szCs w:val="21"/>
                    </w:rPr>
                  </w:pPr>
                  <w:r>
                    <w:rPr>
                      <w:rFonts w:hint="eastAsia"/>
                      <w:sz w:val="21"/>
                      <w:szCs w:val="21"/>
                    </w:rPr>
                    <w:t>25.2</w:t>
                  </w:r>
                </w:p>
              </w:tc>
              <w:tc>
                <w:tcPr>
                  <w:tcW w:w="1031" w:type="dxa"/>
                  <w:vAlign w:val="center"/>
                </w:tcPr>
                <w:p>
                  <w:pPr>
                    <w:jc w:val="center"/>
                    <w:rPr>
                      <w:sz w:val="21"/>
                      <w:szCs w:val="21"/>
                    </w:rPr>
                  </w:pPr>
                  <w:r>
                    <w:rPr>
                      <w:rFonts w:hint="eastAsia"/>
                      <w:sz w:val="21"/>
                      <w:szCs w:val="21"/>
                    </w:rPr>
                    <w:t>7300</w:t>
                  </w:r>
                </w:p>
              </w:tc>
              <w:tc>
                <w:tcPr>
                  <w:tcW w:w="1421" w:type="dxa"/>
                  <w:vMerge/>
                  <w:vAlign w:val="center"/>
                </w:tcPr>
                <w:p>
                  <w:pPr>
                    <w:ind w:firstLine="480"/>
                    <w:rPr>
                      <w:sz w:val="21"/>
                      <w:szCs w:val="21"/>
                    </w:rPr>
                  </w:pPr>
                </w:p>
              </w:tc>
            </w:tr>
            <w:tr>
              <w:tblPrEx>
                <w:jc w:val="center"/>
                <w:tblInd w:w="123" w:type="dxa"/>
                <w:tblLayout w:type="fixed"/>
                <w:tblCellMar>
                  <w:top w:w="0" w:type="dxa"/>
                  <w:left w:w="108" w:type="dxa"/>
                  <w:bottom w:w="0" w:type="dxa"/>
                  <w:right w:w="108" w:type="dxa"/>
                </w:tblCellMar>
                <w:tblLook w:val="0000"/>
              </w:tblPrEx>
              <w:trPr>
                <w:trHeight w:val="183"/>
                <w:jc w:val="center"/>
              </w:trPr>
              <w:tc>
                <w:tcPr>
                  <w:tcW w:w="1324" w:type="dxa"/>
                  <w:vAlign w:val="center"/>
                </w:tcPr>
                <w:p>
                  <w:pPr>
                    <w:jc w:val="center"/>
                    <w:rPr>
                      <w:rFonts w:hint="eastAsia"/>
                      <w:sz w:val="21"/>
                      <w:szCs w:val="21"/>
                    </w:rPr>
                  </w:pPr>
                  <w:r>
                    <w:rPr>
                      <w:rFonts w:hint="eastAsia"/>
                      <w:sz w:val="21"/>
                      <w:szCs w:val="21"/>
                    </w:rPr>
                    <w:t>其他商业</w:t>
                  </w:r>
                </w:p>
              </w:tc>
              <w:tc>
                <w:tcPr>
                  <w:tcW w:w="1475" w:type="dxa"/>
                  <w:vAlign w:val="center"/>
                </w:tcPr>
                <w:p>
                  <w:pPr>
                    <w:jc w:val="center"/>
                    <w:rPr>
                      <w:sz w:val="21"/>
                      <w:szCs w:val="21"/>
                    </w:rPr>
                  </w:pPr>
                  <w:r>
                    <w:rPr>
                      <w:rFonts w:hint="eastAsia"/>
                      <w:sz w:val="21"/>
                      <w:szCs w:val="21"/>
                    </w:rPr>
                    <w:t>5</w:t>
                  </w:r>
                  <w:r>
                    <w:rPr>
                      <w:sz w:val="21"/>
                      <w:szCs w:val="21"/>
                    </w:rPr>
                    <w:t>L/m</w:t>
                  </w:r>
                  <w:r>
                    <w:rPr>
                      <w:sz w:val="21"/>
                      <w:szCs w:val="21"/>
                      <w:vertAlign w:val="superscript"/>
                    </w:rPr>
                    <w:t>2</w:t>
                  </w:r>
                  <w:r>
                    <w:rPr>
                      <w:sz w:val="21"/>
                      <w:szCs w:val="21"/>
                    </w:rPr>
                    <w:t>·d</w:t>
                  </w:r>
                </w:p>
              </w:tc>
              <w:tc>
                <w:tcPr>
                  <w:tcW w:w="1542" w:type="dxa"/>
                  <w:vAlign w:val="center"/>
                </w:tcPr>
                <w:p>
                  <w:pPr>
                    <w:jc w:val="center"/>
                    <w:rPr>
                      <w:sz w:val="21"/>
                      <w:szCs w:val="21"/>
                    </w:rPr>
                  </w:pPr>
                  <w:r>
                    <w:rPr>
                      <w:rFonts w:hint="eastAsia"/>
                      <w:sz w:val="21"/>
                      <w:szCs w:val="21"/>
                    </w:rPr>
                    <w:t>68720m</w:t>
                  </w:r>
                  <w:r>
                    <w:rPr>
                      <w:rFonts w:hint="eastAsia"/>
                      <w:sz w:val="21"/>
                      <w:szCs w:val="21"/>
                      <w:vertAlign w:val="superscript"/>
                    </w:rPr>
                    <w:t>2</w:t>
                  </w:r>
                </w:p>
              </w:tc>
              <w:tc>
                <w:tcPr>
                  <w:tcW w:w="884" w:type="dxa"/>
                  <w:vAlign w:val="center"/>
                </w:tcPr>
                <w:p>
                  <w:pPr>
                    <w:jc w:val="center"/>
                    <w:rPr>
                      <w:sz w:val="21"/>
                      <w:szCs w:val="21"/>
                    </w:rPr>
                  </w:pPr>
                  <w:r>
                    <w:rPr>
                      <w:rFonts w:hint="eastAsia"/>
                      <w:sz w:val="21"/>
                      <w:szCs w:val="21"/>
                    </w:rPr>
                    <w:t>343.6</w:t>
                  </w:r>
                </w:p>
              </w:tc>
              <w:tc>
                <w:tcPr>
                  <w:tcW w:w="1280" w:type="dxa"/>
                  <w:vAlign w:val="center"/>
                </w:tcPr>
                <w:p>
                  <w:pPr>
                    <w:jc w:val="center"/>
                    <w:rPr>
                      <w:sz w:val="21"/>
                      <w:szCs w:val="21"/>
                    </w:rPr>
                  </w:pPr>
                  <w:r>
                    <w:rPr>
                      <w:rFonts w:hint="eastAsia"/>
                      <w:sz w:val="21"/>
                      <w:szCs w:val="21"/>
                    </w:rPr>
                    <w:t>274.9</w:t>
                  </w:r>
                </w:p>
              </w:tc>
              <w:tc>
                <w:tcPr>
                  <w:tcW w:w="1031" w:type="dxa"/>
                  <w:vAlign w:val="center"/>
                </w:tcPr>
                <w:p>
                  <w:pPr>
                    <w:jc w:val="center"/>
                    <w:rPr>
                      <w:sz w:val="21"/>
                      <w:szCs w:val="21"/>
                    </w:rPr>
                  </w:pPr>
                  <w:r>
                    <w:rPr>
                      <w:rFonts w:hint="eastAsia"/>
                      <w:sz w:val="21"/>
                      <w:szCs w:val="21"/>
                    </w:rPr>
                    <w:t>9818.5</w:t>
                  </w:r>
                </w:p>
              </w:tc>
              <w:tc>
                <w:tcPr>
                  <w:tcW w:w="1421" w:type="dxa"/>
                  <w:vMerge/>
                  <w:vAlign w:val="center"/>
                </w:tcPr>
                <w:p>
                  <w:pPr>
                    <w:ind w:firstLine="480"/>
                    <w:rPr>
                      <w:sz w:val="21"/>
                      <w:szCs w:val="21"/>
                    </w:rPr>
                  </w:pPr>
                </w:p>
              </w:tc>
            </w:tr>
            <w:tr>
              <w:tblPrEx>
                <w:jc w:val="center"/>
                <w:tblInd w:w="123" w:type="dxa"/>
                <w:tblLayout w:type="fixed"/>
                <w:tblCellMar>
                  <w:top w:w="0" w:type="dxa"/>
                  <w:left w:w="108" w:type="dxa"/>
                  <w:bottom w:w="0" w:type="dxa"/>
                  <w:right w:w="108" w:type="dxa"/>
                </w:tblCellMar>
                <w:tblLook w:val="0000"/>
              </w:tblPrEx>
              <w:trPr>
                <w:trHeight w:val="311"/>
                <w:jc w:val="center"/>
              </w:trPr>
              <w:tc>
                <w:tcPr>
                  <w:tcW w:w="1324" w:type="dxa"/>
                  <w:vAlign w:val="center"/>
                </w:tcPr>
                <w:p>
                  <w:pPr>
                    <w:jc w:val="center"/>
                    <w:rPr>
                      <w:rFonts w:hint="eastAsia"/>
                      <w:sz w:val="21"/>
                      <w:szCs w:val="21"/>
                    </w:rPr>
                  </w:pPr>
                  <w:r>
                    <w:rPr>
                      <w:rFonts w:hint="eastAsia"/>
                      <w:sz w:val="21"/>
                      <w:szCs w:val="21"/>
                    </w:rPr>
                    <w:t>员工生活</w:t>
                  </w:r>
                </w:p>
              </w:tc>
              <w:tc>
                <w:tcPr>
                  <w:tcW w:w="1475" w:type="dxa"/>
                  <w:vAlign w:val="center"/>
                </w:tcPr>
                <w:p>
                  <w:pPr>
                    <w:jc w:val="center"/>
                    <w:rPr>
                      <w:rFonts w:hint="eastAsia"/>
                      <w:sz w:val="21"/>
                      <w:szCs w:val="21"/>
                    </w:rPr>
                  </w:pPr>
                  <w:r>
                    <w:rPr>
                      <w:rFonts w:hint="eastAsia"/>
                      <w:sz w:val="21"/>
                      <w:szCs w:val="21"/>
                    </w:rPr>
                    <w:t>5</w:t>
                  </w:r>
                  <w:r>
                    <w:rPr>
                      <w:sz w:val="21"/>
                      <w:szCs w:val="21"/>
                    </w:rPr>
                    <w:t>0L/人·d</w:t>
                  </w:r>
                </w:p>
              </w:tc>
              <w:tc>
                <w:tcPr>
                  <w:tcW w:w="1542" w:type="dxa"/>
                  <w:vAlign w:val="center"/>
                </w:tcPr>
                <w:p>
                  <w:pPr>
                    <w:jc w:val="center"/>
                    <w:rPr>
                      <w:sz w:val="21"/>
                      <w:szCs w:val="21"/>
                    </w:rPr>
                  </w:pPr>
                  <w:r>
                    <w:rPr>
                      <w:rFonts w:hint="eastAsia"/>
                      <w:sz w:val="21"/>
                      <w:szCs w:val="21"/>
                    </w:rPr>
                    <w:t>300人</w:t>
                  </w:r>
                </w:p>
              </w:tc>
              <w:tc>
                <w:tcPr>
                  <w:tcW w:w="884" w:type="dxa"/>
                  <w:vAlign w:val="center"/>
                </w:tcPr>
                <w:p>
                  <w:pPr>
                    <w:jc w:val="center"/>
                    <w:rPr>
                      <w:sz w:val="21"/>
                      <w:szCs w:val="21"/>
                    </w:rPr>
                  </w:pPr>
                  <w:r>
                    <w:rPr>
                      <w:rFonts w:hint="eastAsia"/>
                      <w:sz w:val="21"/>
                      <w:szCs w:val="21"/>
                    </w:rPr>
                    <w:t>15</w:t>
                  </w:r>
                </w:p>
              </w:tc>
              <w:tc>
                <w:tcPr>
                  <w:tcW w:w="1280" w:type="dxa"/>
                  <w:vAlign w:val="center"/>
                </w:tcPr>
                <w:p>
                  <w:pPr>
                    <w:jc w:val="center"/>
                    <w:rPr>
                      <w:sz w:val="21"/>
                      <w:szCs w:val="21"/>
                    </w:rPr>
                  </w:pPr>
                  <w:r>
                    <w:rPr>
                      <w:rFonts w:hint="eastAsia"/>
                      <w:sz w:val="21"/>
                      <w:szCs w:val="21"/>
                    </w:rPr>
                    <w:t>12</w:t>
                  </w:r>
                </w:p>
              </w:tc>
              <w:tc>
                <w:tcPr>
                  <w:tcW w:w="1031" w:type="dxa"/>
                  <w:vAlign w:val="center"/>
                </w:tcPr>
                <w:p>
                  <w:pPr>
                    <w:jc w:val="center"/>
                    <w:rPr>
                      <w:sz w:val="21"/>
                      <w:szCs w:val="21"/>
                    </w:rPr>
                  </w:pPr>
                  <w:r>
                    <w:rPr>
                      <w:rFonts w:hint="eastAsia"/>
                      <w:sz w:val="21"/>
                      <w:szCs w:val="21"/>
                    </w:rPr>
                    <w:t>438</w:t>
                  </w:r>
                </w:p>
              </w:tc>
              <w:tc>
                <w:tcPr>
                  <w:tcW w:w="1421" w:type="dxa"/>
                  <w:vMerge/>
                  <w:vAlign w:val="center"/>
                </w:tcPr>
                <w:p>
                  <w:pPr>
                    <w:ind w:firstLine="480"/>
                    <w:rPr>
                      <w:sz w:val="21"/>
                      <w:szCs w:val="21"/>
                    </w:rPr>
                  </w:pPr>
                </w:p>
              </w:tc>
            </w:tr>
            <w:tr>
              <w:tblPrEx>
                <w:jc w:val="center"/>
                <w:tblInd w:w="123" w:type="dxa"/>
                <w:tblLayout w:type="fixed"/>
                <w:tblCellMar>
                  <w:top w:w="0" w:type="dxa"/>
                  <w:left w:w="108" w:type="dxa"/>
                  <w:bottom w:w="0" w:type="dxa"/>
                  <w:right w:w="108" w:type="dxa"/>
                </w:tblCellMar>
                <w:tblLook w:val="0000"/>
              </w:tblPrEx>
              <w:trPr>
                <w:trHeight w:val="190"/>
                <w:jc w:val="center"/>
              </w:trPr>
              <w:tc>
                <w:tcPr>
                  <w:tcW w:w="1324" w:type="dxa"/>
                  <w:vAlign w:val="center"/>
                </w:tcPr>
                <w:p>
                  <w:pPr>
                    <w:jc w:val="center"/>
                    <w:rPr>
                      <w:sz w:val="21"/>
                      <w:szCs w:val="21"/>
                    </w:rPr>
                  </w:pPr>
                  <w:r>
                    <w:rPr>
                      <w:sz w:val="21"/>
                      <w:szCs w:val="21"/>
                    </w:rPr>
                    <w:t>绿化用水</w:t>
                  </w:r>
                </w:p>
              </w:tc>
              <w:tc>
                <w:tcPr>
                  <w:tcW w:w="1475" w:type="dxa"/>
                  <w:vAlign w:val="center"/>
                </w:tcPr>
                <w:p>
                  <w:pPr>
                    <w:jc w:val="center"/>
                    <w:rPr>
                      <w:sz w:val="21"/>
                      <w:szCs w:val="21"/>
                    </w:rPr>
                  </w:pPr>
                  <w:r>
                    <w:rPr>
                      <w:rFonts w:hint="eastAsia"/>
                      <w:sz w:val="21"/>
                      <w:szCs w:val="21"/>
                    </w:rPr>
                    <w:t>1.3</w:t>
                  </w:r>
                  <w:r>
                    <w:rPr>
                      <w:sz w:val="21"/>
                      <w:szCs w:val="21"/>
                    </w:rPr>
                    <w:t>L/m</w:t>
                  </w:r>
                  <w:r>
                    <w:rPr>
                      <w:sz w:val="21"/>
                      <w:szCs w:val="21"/>
                      <w:vertAlign w:val="superscript"/>
                    </w:rPr>
                    <w:t>2</w:t>
                  </w:r>
                  <w:r>
                    <w:rPr>
                      <w:sz w:val="21"/>
                      <w:szCs w:val="21"/>
                    </w:rPr>
                    <w:t>·d</w:t>
                  </w:r>
                </w:p>
              </w:tc>
              <w:tc>
                <w:tcPr>
                  <w:tcW w:w="1542" w:type="dxa"/>
                  <w:vAlign w:val="center"/>
                </w:tcPr>
                <w:p>
                  <w:pPr>
                    <w:jc w:val="center"/>
                    <w:rPr>
                      <w:sz w:val="21"/>
                      <w:szCs w:val="21"/>
                    </w:rPr>
                  </w:pPr>
                  <w:r>
                    <w:rPr>
                      <w:rFonts w:hint="eastAsia"/>
                      <w:sz w:val="21"/>
                      <w:szCs w:val="21"/>
                    </w:rPr>
                    <w:t>10107.2</w:t>
                  </w:r>
                  <w:r>
                    <w:rPr>
                      <w:sz w:val="21"/>
                      <w:szCs w:val="21"/>
                    </w:rPr>
                    <w:t>m</w:t>
                  </w:r>
                  <w:r>
                    <w:rPr>
                      <w:sz w:val="21"/>
                      <w:szCs w:val="21"/>
                      <w:vertAlign w:val="superscript"/>
                    </w:rPr>
                    <w:t>2</w:t>
                  </w:r>
                </w:p>
              </w:tc>
              <w:tc>
                <w:tcPr>
                  <w:tcW w:w="884" w:type="dxa"/>
                  <w:vAlign w:val="center"/>
                </w:tcPr>
                <w:p>
                  <w:pPr>
                    <w:jc w:val="center"/>
                    <w:rPr>
                      <w:sz w:val="21"/>
                      <w:szCs w:val="21"/>
                    </w:rPr>
                  </w:pPr>
                  <w:r>
                    <w:rPr>
                      <w:rFonts w:hint="eastAsia"/>
                      <w:sz w:val="21"/>
                      <w:szCs w:val="21"/>
                    </w:rPr>
                    <w:t>13.2</w:t>
                  </w:r>
                </w:p>
              </w:tc>
              <w:tc>
                <w:tcPr>
                  <w:tcW w:w="1280" w:type="dxa"/>
                  <w:vAlign w:val="center"/>
                </w:tcPr>
                <w:p>
                  <w:pPr>
                    <w:jc w:val="center"/>
                    <w:rPr>
                      <w:rFonts w:hint="eastAsia"/>
                      <w:sz w:val="21"/>
                      <w:szCs w:val="21"/>
                    </w:rPr>
                  </w:pPr>
                  <w:r>
                    <w:rPr>
                      <w:rFonts w:hint="eastAsia"/>
                      <w:sz w:val="21"/>
                      <w:szCs w:val="21"/>
                    </w:rPr>
                    <w:t>/</w:t>
                  </w:r>
                </w:p>
              </w:tc>
              <w:tc>
                <w:tcPr>
                  <w:tcW w:w="1031" w:type="dxa"/>
                  <w:vAlign w:val="center"/>
                </w:tcPr>
                <w:p>
                  <w:pPr>
                    <w:jc w:val="center"/>
                    <w:rPr>
                      <w:rFonts w:hint="eastAsia"/>
                      <w:sz w:val="21"/>
                      <w:szCs w:val="21"/>
                    </w:rPr>
                  </w:pPr>
                  <w:r>
                    <w:rPr>
                      <w:rFonts w:hint="eastAsia"/>
                      <w:sz w:val="21"/>
                      <w:szCs w:val="21"/>
                    </w:rPr>
                    <w:t>/</w:t>
                  </w:r>
                </w:p>
              </w:tc>
              <w:tc>
                <w:tcPr>
                  <w:tcW w:w="1421" w:type="dxa"/>
                  <w:vMerge/>
                  <w:vAlign w:val="center"/>
                </w:tcPr>
                <w:p>
                  <w:pPr>
                    <w:ind w:firstLine="480"/>
                    <w:rPr>
                      <w:sz w:val="21"/>
                      <w:szCs w:val="21"/>
                    </w:rPr>
                  </w:pPr>
                </w:p>
              </w:tc>
            </w:tr>
            <w:tr>
              <w:tblPrEx>
                <w:jc w:val="center"/>
                <w:tblInd w:w="123" w:type="dxa"/>
                <w:tblLayout w:type="fixed"/>
                <w:tblCellMar>
                  <w:top w:w="0" w:type="dxa"/>
                  <w:left w:w="108" w:type="dxa"/>
                  <w:bottom w:w="0" w:type="dxa"/>
                  <w:right w:w="108" w:type="dxa"/>
                </w:tblCellMar>
                <w:tblLook w:val="0000"/>
              </w:tblPrEx>
              <w:trPr>
                <w:trHeight w:val="201"/>
                <w:jc w:val="center"/>
              </w:trPr>
              <w:tc>
                <w:tcPr>
                  <w:tcW w:w="1324" w:type="dxa"/>
                  <w:vAlign w:val="center"/>
                </w:tcPr>
                <w:p>
                  <w:pPr>
                    <w:jc w:val="center"/>
                    <w:rPr>
                      <w:rFonts w:hint="eastAsia"/>
                      <w:sz w:val="21"/>
                      <w:szCs w:val="21"/>
                    </w:rPr>
                  </w:pPr>
                  <w:r>
                    <w:rPr>
                      <w:rFonts w:hint="eastAsia"/>
                      <w:sz w:val="21"/>
                      <w:szCs w:val="21"/>
                    </w:rPr>
                    <w:t>空调用水</w:t>
                  </w:r>
                </w:p>
              </w:tc>
              <w:tc>
                <w:tcPr>
                  <w:tcW w:w="1475" w:type="dxa"/>
                  <w:vAlign w:val="center"/>
                </w:tcPr>
                <w:p>
                  <w:pPr>
                    <w:jc w:val="center"/>
                    <w:rPr>
                      <w:rFonts w:hint="eastAsia"/>
                      <w:sz w:val="21"/>
                      <w:szCs w:val="21"/>
                    </w:rPr>
                  </w:pPr>
                  <w:r>
                    <w:rPr>
                      <w:rFonts w:hint="eastAsia"/>
                      <w:sz w:val="21"/>
                      <w:szCs w:val="21"/>
                    </w:rPr>
                    <w:t>5m</w:t>
                  </w:r>
                  <w:r>
                    <w:rPr>
                      <w:rFonts w:hint="eastAsia"/>
                      <w:sz w:val="21"/>
                      <w:szCs w:val="21"/>
                      <w:vertAlign w:val="superscript"/>
                    </w:rPr>
                    <w:t>3</w:t>
                  </w:r>
                  <w:r>
                    <w:rPr>
                      <w:rFonts w:hint="eastAsia"/>
                      <w:sz w:val="21"/>
                      <w:szCs w:val="21"/>
                    </w:rPr>
                    <w:t>/h</w:t>
                  </w:r>
                </w:p>
              </w:tc>
              <w:tc>
                <w:tcPr>
                  <w:tcW w:w="1542" w:type="dxa"/>
                  <w:vAlign w:val="center"/>
                </w:tcPr>
                <w:p>
                  <w:pPr>
                    <w:jc w:val="center"/>
                    <w:rPr>
                      <w:rFonts w:hint="eastAsia"/>
                      <w:sz w:val="21"/>
                      <w:szCs w:val="21"/>
                    </w:rPr>
                  </w:pPr>
                  <w:r>
                    <w:rPr>
                      <w:rFonts w:hint="eastAsia"/>
                      <w:sz w:val="21"/>
                      <w:szCs w:val="21"/>
                    </w:rPr>
                    <w:t>12h/天</w:t>
                  </w:r>
                </w:p>
              </w:tc>
              <w:tc>
                <w:tcPr>
                  <w:tcW w:w="884" w:type="dxa"/>
                  <w:vAlign w:val="center"/>
                </w:tcPr>
                <w:p>
                  <w:pPr>
                    <w:jc w:val="center"/>
                    <w:rPr>
                      <w:rFonts w:hint="eastAsia"/>
                      <w:sz w:val="21"/>
                      <w:szCs w:val="21"/>
                    </w:rPr>
                  </w:pPr>
                  <w:r>
                    <w:rPr>
                      <w:rFonts w:hint="eastAsia"/>
                      <w:sz w:val="21"/>
                      <w:szCs w:val="21"/>
                    </w:rPr>
                    <w:t>60</w:t>
                  </w:r>
                </w:p>
              </w:tc>
              <w:tc>
                <w:tcPr>
                  <w:tcW w:w="1280" w:type="dxa"/>
                  <w:vAlign w:val="center"/>
                </w:tcPr>
                <w:p>
                  <w:pPr>
                    <w:jc w:val="center"/>
                    <w:rPr>
                      <w:rFonts w:hint="eastAsia"/>
                      <w:sz w:val="21"/>
                      <w:szCs w:val="21"/>
                    </w:rPr>
                  </w:pPr>
                  <w:r>
                    <w:rPr>
                      <w:rFonts w:hint="eastAsia"/>
                      <w:sz w:val="21"/>
                      <w:szCs w:val="21"/>
                    </w:rPr>
                    <w:t>12</w:t>
                  </w:r>
                </w:p>
              </w:tc>
              <w:tc>
                <w:tcPr>
                  <w:tcW w:w="1031" w:type="dxa"/>
                  <w:vAlign w:val="center"/>
                </w:tcPr>
                <w:p>
                  <w:pPr>
                    <w:jc w:val="center"/>
                    <w:rPr>
                      <w:rFonts w:hint="eastAsia"/>
                      <w:sz w:val="21"/>
                      <w:szCs w:val="21"/>
                    </w:rPr>
                  </w:pPr>
                  <w:r>
                    <w:rPr>
                      <w:rFonts w:hint="eastAsia"/>
                      <w:sz w:val="21"/>
                      <w:szCs w:val="21"/>
                    </w:rPr>
                    <w:t>4380</w:t>
                  </w:r>
                </w:p>
              </w:tc>
              <w:tc>
                <w:tcPr>
                  <w:tcW w:w="1421" w:type="dxa"/>
                  <w:vMerge/>
                  <w:vAlign w:val="center"/>
                </w:tcPr>
                <w:p>
                  <w:pPr>
                    <w:ind w:firstLine="480"/>
                    <w:rPr>
                      <w:sz w:val="21"/>
                      <w:szCs w:val="21"/>
                    </w:rPr>
                  </w:pP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1324" w:type="dxa"/>
                  <w:vAlign w:val="center"/>
                </w:tcPr>
                <w:p>
                  <w:pPr>
                    <w:spacing w:after="0"/>
                    <w:jc w:val="center"/>
                    <w:rPr>
                      <w:sz w:val="21"/>
                      <w:szCs w:val="21"/>
                    </w:rPr>
                  </w:pPr>
                </w:p>
              </w:tc>
              <w:tc>
                <w:tcPr>
                  <w:tcW w:w="3017" w:type="dxa"/>
                  <w:gridSpan w:val="2"/>
                  <w:vAlign w:val="center"/>
                </w:tcPr>
                <w:p>
                  <w:pPr>
                    <w:jc w:val="center"/>
                    <w:rPr>
                      <w:sz w:val="21"/>
                      <w:szCs w:val="21"/>
                    </w:rPr>
                  </w:pPr>
                  <w:r>
                    <w:rPr>
                      <w:sz w:val="21"/>
                      <w:szCs w:val="21"/>
                    </w:rPr>
                    <w:t>按用水量10%计</w:t>
                  </w:r>
                </w:p>
              </w:tc>
              <w:tc>
                <w:tcPr>
                  <w:tcW w:w="884" w:type="dxa"/>
                  <w:vAlign w:val="center"/>
                </w:tcPr>
                <w:p>
                  <w:pPr>
                    <w:jc w:val="center"/>
                    <w:rPr>
                      <w:rFonts w:hint="eastAsia"/>
                      <w:sz w:val="21"/>
                      <w:szCs w:val="21"/>
                    </w:rPr>
                  </w:pPr>
                  <w:r>
                    <w:rPr>
                      <w:rFonts w:hint="eastAsia"/>
                      <w:sz w:val="21"/>
                      <w:szCs w:val="21"/>
                    </w:rPr>
                    <w:t>52.3</w:t>
                  </w:r>
                </w:p>
              </w:tc>
              <w:tc>
                <w:tcPr>
                  <w:tcW w:w="1280" w:type="dxa"/>
                  <w:vAlign w:val="center"/>
                </w:tcPr>
                <w:p>
                  <w:pPr>
                    <w:jc w:val="center"/>
                    <w:rPr>
                      <w:sz w:val="21"/>
                      <w:szCs w:val="21"/>
                    </w:rPr>
                  </w:pPr>
                  <w:r>
                    <w:rPr>
                      <w:rFonts w:hint="eastAsia"/>
                      <w:sz w:val="21"/>
                      <w:szCs w:val="21"/>
                    </w:rPr>
                    <w:t>/</w:t>
                  </w:r>
                </w:p>
              </w:tc>
              <w:tc>
                <w:tcPr>
                  <w:tcW w:w="1031" w:type="dxa"/>
                  <w:vAlign w:val="center"/>
                </w:tcPr>
                <w:p>
                  <w:pPr>
                    <w:jc w:val="center"/>
                    <w:rPr>
                      <w:sz w:val="21"/>
                      <w:szCs w:val="21"/>
                    </w:rPr>
                  </w:pPr>
                  <w:r>
                    <w:rPr>
                      <w:rFonts w:hint="eastAsia"/>
                      <w:sz w:val="21"/>
                      <w:szCs w:val="21"/>
                    </w:rPr>
                    <w:t>/</w:t>
                  </w:r>
                </w:p>
              </w:tc>
              <w:tc>
                <w:tcPr>
                  <w:tcW w:w="1421" w:type="dxa"/>
                  <w:vMerge/>
                  <w:vAlign w:val="center"/>
                </w:tcPr>
                <w:p>
                  <w:pPr>
                    <w:ind w:firstLine="480"/>
                    <w:rPr>
                      <w:sz w:val="21"/>
                      <w:szCs w:val="21"/>
                    </w:rPr>
                  </w:pPr>
                </w:p>
              </w:tc>
            </w:tr>
          </w:tbl>
          <w:p/>
        </w:tc>
      </w:tr>
    </w:tbl>
    <w:p>
      <w:pPr>
        <w:sectPr>
          <w:footerReference w:type="even" r:id="rId13"/>
          <w:footerReference w:type="default" r:id="rId14"/>
          <w:footerReference w:type="first" r:id="rId15"/>
          <w:type w:val="nextPage"/>
          <w:pgSz w:w="11906" w:h="16838"/>
          <w:pgMar w:top="1134" w:right="1418" w:bottom="1134" w:left="1418" w:header="851" w:footer="992" w:gutter="0"/>
          <w:pgNumType w:start="4"/>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Look w:val="0000"/>
      </w:tblPr>
      <w:tblGrid>
        <w:gridCol w:w="9354"/>
      </w:tblGrid>
      <w:tr>
        <w:tblPrEx>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Look w:val="0000"/>
        </w:tblPrEx>
        <w:trPr>
          <w:trHeight w:val="2482"/>
          <w:jc w:val="center"/>
        </w:trPr>
        <w:tc>
          <w:tcPr>
            <w:tcW w:w="9354" w:type="dxa"/>
            <w:tcMar>
              <w:left w:w="0" w:type="dxa"/>
              <w:right w:w="0" w:type="dxa"/>
            </w:tcMar>
          </w:tcPr>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324"/>
              <w:gridCol w:w="3017"/>
              <w:gridCol w:w="884"/>
              <w:gridCol w:w="1280"/>
              <w:gridCol w:w="1031"/>
              <w:gridCol w:w="1421"/>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324" w:type="dxa"/>
                  <w:vAlign w:val="center"/>
                </w:tcPr>
                <w:p>
                  <w:pPr>
                    <w:spacing w:before="0"/>
                    <w:jc w:val="center"/>
                    <w:rPr>
                      <w:sz w:val="21"/>
                      <w:szCs w:val="21"/>
                    </w:rPr>
                  </w:pPr>
                  <w:r>
                    <w:rPr>
                      <w:sz w:val="21"/>
                      <w:szCs w:val="21"/>
                    </w:rPr>
                    <w:t>消防及未预见用水量</w:t>
                  </w:r>
                </w:p>
              </w:tc>
              <w:tc>
                <w:tcPr>
                  <w:tcW w:w="3017" w:type="dxa"/>
                  <w:vAlign w:val="center"/>
                </w:tcPr>
                <w:p/>
              </w:tc>
              <w:tc>
                <w:tcPr>
                  <w:tcW w:w="884" w:type="dxa"/>
                  <w:vAlign w:val="center"/>
                </w:tcPr>
                <w:p/>
              </w:tc>
              <w:tc>
                <w:tcPr>
                  <w:tcW w:w="1280" w:type="dxa"/>
                  <w:vAlign w:val="center"/>
                </w:tcPr>
                <w:p/>
              </w:tc>
              <w:tc>
                <w:tcPr>
                  <w:tcW w:w="1031" w:type="dxa"/>
                  <w:vAlign w:val="center"/>
                </w:tcPr>
                <w:p/>
              </w:tc>
              <w:tc>
                <w:tcPr>
                  <w:tcW w:w="1421" w:type="dxa"/>
                  <w:vMerge w:val="restart"/>
                  <w:vAlign w:val="center"/>
                </w:tcP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4341" w:type="dxa"/>
                  <w:gridSpan w:val="2"/>
                  <w:vAlign w:val="center"/>
                </w:tcPr>
                <w:p>
                  <w:pPr>
                    <w:jc w:val="center"/>
                    <w:rPr>
                      <w:sz w:val="21"/>
                      <w:szCs w:val="21"/>
                    </w:rPr>
                  </w:pPr>
                  <w:r>
                    <w:rPr>
                      <w:sz w:val="21"/>
                      <w:szCs w:val="21"/>
                    </w:rPr>
                    <w:t>合计</w:t>
                  </w:r>
                </w:p>
              </w:tc>
              <w:tc>
                <w:tcPr>
                  <w:tcW w:w="884" w:type="dxa"/>
                  <w:vAlign w:val="center"/>
                </w:tcPr>
                <w:p>
                  <w:pPr>
                    <w:jc w:val="center"/>
                    <w:rPr>
                      <w:sz w:val="21"/>
                      <w:szCs w:val="21"/>
                    </w:rPr>
                  </w:pPr>
                  <w:r>
                    <w:rPr>
                      <w:rFonts w:hint="eastAsia"/>
                      <w:sz w:val="21"/>
                      <w:szCs w:val="21"/>
                    </w:rPr>
                    <w:t>575.6</w:t>
                  </w:r>
                </w:p>
              </w:tc>
              <w:tc>
                <w:tcPr>
                  <w:tcW w:w="1280" w:type="dxa"/>
                  <w:vAlign w:val="center"/>
                </w:tcPr>
                <w:p>
                  <w:pPr>
                    <w:jc w:val="center"/>
                    <w:rPr>
                      <w:sz w:val="21"/>
                      <w:szCs w:val="21"/>
                    </w:rPr>
                  </w:pPr>
                  <w:r>
                    <w:rPr>
                      <w:rFonts w:hint="eastAsia"/>
                      <w:sz w:val="21"/>
                      <w:szCs w:val="21"/>
                    </w:rPr>
                    <w:t>372.1</w:t>
                  </w:r>
                </w:p>
              </w:tc>
              <w:tc>
                <w:tcPr>
                  <w:tcW w:w="1031" w:type="dxa"/>
                  <w:vAlign w:val="center"/>
                </w:tcPr>
                <w:p>
                  <w:pPr>
                    <w:jc w:val="center"/>
                    <w:rPr>
                      <w:sz w:val="21"/>
                      <w:szCs w:val="21"/>
                    </w:rPr>
                  </w:pPr>
                  <w:r>
                    <w:rPr>
                      <w:rFonts w:hint="eastAsia"/>
                      <w:sz w:val="21"/>
                      <w:szCs w:val="21"/>
                    </w:rPr>
                    <w:t>135817</w:t>
                  </w:r>
                </w:p>
              </w:tc>
              <w:tc>
                <w:tcPr>
                  <w:tcW w:w="1421" w:type="dxa"/>
                  <w:vMerge/>
                  <w:vAlign w:val="center"/>
                </w:tcPr>
                <w:p>
                  <w:pPr>
                    <w:ind w:firstLine="480"/>
                    <w:rPr>
                      <w:sz w:val="21"/>
                      <w:szCs w:val="21"/>
                    </w:rPr>
                  </w:pPr>
                </w:p>
              </w:tc>
            </w:tr>
          </w:tbl>
          <w:p>
            <w:pPr>
              <w:spacing w:line="360" w:lineRule="auto"/>
              <w:rPr>
                <w:sz w:val="24"/>
                <w:szCs w:val="24"/>
              </w:rPr>
            </w:pPr>
            <w:r>
              <w:rPr>
                <w:rFonts w:hint="eastAsia"/>
                <w:sz w:val="24"/>
                <w:szCs w:val="24"/>
              </w:rPr>
              <w:t xml:space="preserve">    （2）</w:t>
            </w:r>
            <w:r>
              <w:rPr>
                <w:sz w:val="24"/>
                <w:szCs w:val="24"/>
              </w:rPr>
              <w:t>供电</w:t>
            </w:r>
          </w:p>
          <w:p>
            <w:pPr>
              <w:spacing w:line="360" w:lineRule="auto"/>
              <w:ind w:firstLine="480" w:firstLineChars="200"/>
              <w:rPr>
                <w:sz w:val="24"/>
                <w:szCs w:val="24"/>
              </w:rPr>
            </w:pPr>
            <w:r>
              <w:rPr>
                <w:sz w:val="24"/>
                <w:szCs w:val="24"/>
              </w:rPr>
              <w:t>本项目用电</w:t>
            </w:r>
            <w:r>
              <w:rPr>
                <w:rFonts w:hint="eastAsia"/>
                <w:sz w:val="24"/>
                <w:szCs w:val="24"/>
              </w:rPr>
              <w:t>主要</w:t>
            </w:r>
            <w:r>
              <w:rPr>
                <w:sz w:val="24"/>
                <w:szCs w:val="24"/>
              </w:rPr>
              <w:t>由市政电网接入，</w:t>
            </w:r>
            <w:r>
              <w:rPr>
                <w:rFonts w:hint="eastAsia"/>
                <w:sz w:val="24"/>
                <w:szCs w:val="24"/>
              </w:rPr>
              <w:t>并</w:t>
            </w:r>
            <w:r>
              <w:rPr>
                <w:bCs/>
                <w:sz w:val="24"/>
              </w:rPr>
              <w:t>在</w:t>
            </w:r>
            <w:r>
              <w:rPr>
                <w:rFonts w:hint="eastAsia"/>
                <w:bCs/>
                <w:sz w:val="24"/>
              </w:rPr>
              <w:t>建筑</w:t>
            </w:r>
            <w:r>
              <w:rPr>
                <w:bCs/>
                <w:sz w:val="24"/>
              </w:rPr>
              <w:t>地下</w:t>
            </w:r>
            <w:r>
              <w:rPr>
                <w:rFonts w:hint="eastAsia"/>
                <w:bCs/>
                <w:sz w:val="24"/>
              </w:rPr>
              <w:t>一层</w:t>
            </w:r>
            <w:r>
              <w:rPr>
                <w:bCs/>
                <w:sz w:val="24"/>
              </w:rPr>
              <w:t>设有</w:t>
            </w:r>
            <w:r>
              <w:rPr>
                <w:rFonts w:hint="eastAsia"/>
                <w:bCs/>
                <w:sz w:val="24"/>
              </w:rPr>
              <w:t>3</w:t>
            </w:r>
            <w:r>
              <w:rPr>
                <w:bCs/>
                <w:sz w:val="24"/>
              </w:rPr>
              <w:t>个</w:t>
            </w:r>
            <w:r>
              <w:rPr>
                <w:rFonts w:hint="eastAsia"/>
                <w:bCs/>
                <w:sz w:val="24"/>
              </w:rPr>
              <w:t>变电所</w:t>
            </w:r>
            <w:r>
              <w:rPr>
                <w:bCs/>
                <w:sz w:val="24"/>
              </w:rPr>
              <w:t>，由</w:t>
            </w:r>
            <w:r>
              <w:rPr>
                <w:rFonts w:hint="eastAsia"/>
                <w:bCs/>
                <w:sz w:val="24"/>
              </w:rPr>
              <w:t>变电所</w:t>
            </w:r>
            <w:r>
              <w:rPr>
                <w:bCs/>
                <w:sz w:val="24"/>
              </w:rPr>
              <w:t>至各</w:t>
            </w:r>
            <w:r>
              <w:rPr>
                <w:rFonts w:hint="eastAsia"/>
                <w:bCs/>
                <w:sz w:val="24"/>
              </w:rPr>
              <w:t>层</w:t>
            </w:r>
            <w:r>
              <w:rPr>
                <w:bCs/>
                <w:sz w:val="24"/>
              </w:rPr>
              <w:t>建筑放射式供电</w:t>
            </w:r>
            <w:r>
              <w:rPr>
                <w:rFonts w:hint="eastAsia"/>
                <w:bCs/>
                <w:sz w:val="24"/>
              </w:rPr>
              <w:t>；同时在地下一层柴油发电机房内设</w:t>
            </w:r>
            <w:r>
              <w:rPr>
                <w:bCs/>
                <w:sz w:val="24"/>
              </w:rPr>
              <w:t>1台功率为</w:t>
            </w:r>
            <w:r>
              <w:rPr>
                <w:rFonts w:hint="eastAsia"/>
                <w:bCs/>
                <w:sz w:val="24"/>
              </w:rPr>
              <w:t>100</w:t>
            </w:r>
            <w:r>
              <w:rPr>
                <w:bCs/>
                <w:sz w:val="24"/>
              </w:rPr>
              <w:t>0kw的柴油发电机组，在主电源故障或停电时作为备用电源</w:t>
            </w:r>
            <w:r>
              <w:rPr>
                <w:sz w:val="24"/>
                <w:szCs w:val="24"/>
              </w:rPr>
              <w:t>。</w:t>
            </w:r>
          </w:p>
          <w:p>
            <w:pPr>
              <w:spacing w:line="360" w:lineRule="auto"/>
              <w:ind w:firstLine="480" w:firstLineChars="200"/>
              <w:rPr>
                <w:sz w:val="24"/>
                <w:szCs w:val="24"/>
              </w:rPr>
            </w:pPr>
            <w:r>
              <w:rPr>
                <w:rFonts w:hint="eastAsia"/>
                <w:sz w:val="24"/>
                <w:szCs w:val="24"/>
              </w:rPr>
              <w:t>（3）</w:t>
            </w:r>
            <w:r>
              <w:rPr>
                <w:sz w:val="24"/>
                <w:szCs w:val="24"/>
              </w:rPr>
              <w:t>排气系统</w:t>
            </w:r>
          </w:p>
          <w:p>
            <w:pPr>
              <w:spacing w:line="360" w:lineRule="auto"/>
              <w:ind w:firstLine="480" w:firstLineChars="200"/>
              <w:rPr>
                <w:rFonts w:hint="eastAsia"/>
                <w:sz w:val="24"/>
                <w:szCs w:val="24"/>
              </w:rPr>
            </w:pPr>
            <w:r>
              <w:rPr>
                <w:sz w:val="24"/>
                <w:szCs w:val="24"/>
              </w:rPr>
              <w:t>本项目</w:t>
            </w:r>
            <w:r>
              <w:rPr>
                <w:rFonts w:hint="eastAsia"/>
                <w:sz w:val="24"/>
                <w:szCs w:val="24"/>
              </w:rPr>
              <w:t>各功能区</w:t>
            </w:r>
            <w:r>
              <w:rPr>
                <w:sz w:val="24"/>
                <w:szCs w:val="24"/>
              </w:rPr>
              <w:t>均使用</w:t>
            </w:r>
            <w:r>
              <w:rPr>
                <w:rFonts w:hint="eastAsia"/>
                <w:sz w:val="24"/>
                <w:szCs w:val="24"/>
              </w:rPr>
              <w:t>中央</w:t>
            </w:r>
            <w:r>
              <w:rPr>
                <w:sz w:val="24"/>
                <w:szCs w:val="24"/>
              </w:rPr>
              <w:t>空调</w:t>
            </w:r>
            <w:r>
              <w:rPr>
                <w:rFonts w:hint="eastAsia"/>
                <w:sz w:val="24"/>
                <w:szCs w:val="24"/>
              </w:rPr>
              <w:t xml:space="preserve">，地下一层设有2座大型商业制冷站，1做超市制冷站，1间热交换机房等；地下车库设机械排风系统，选用单速消防排烟风机。   </w:t>
            </w:r>
          </w:p>
          <w:p>
            <w:pPr>
              <w:spacing w:line="360" w:lineRule="auto"/>
              <w:ind w:firstLine="480" w:firstLineChars="200"/>
              <w:rPr>
                <w:rFonts w:hint="eastAsia"/>
                <w:sz w:val="24"/>
                <w:szCs w:val="24"/>
              </w:rPr>
            </w:pPr>
            <w:r>
              <w:rPr>
                <w:rFonts w:hint="eastAsia"/>
                <w:sz w:val="24"/>
                <w:szCs w:val="24"/>
              </w:rPr>
              <w:t>（4）</w:t>
            </w:r>
            <w:r>
              <w:rPr>
                <w:sz w:val="24"/>
                <w:szCs w:val="24"/>
              </w:rPr>
              <w:t>消防设计</w:t>
            </w:r>
          </w:p>
          <w:p>
            <w:pPr>
              <w:spacing w:line="360" w:lineRule="auto"/>
              <w:ind w:firstLine="480" w:firstLineChars="200"/>
              <w:rPr>
                <w:sz w:val="24"/>
                <w:szCs w:val="24"/>
              </w:rPr>
            </w:pPr>
            <w:r>
              <w:rPr>
                <w:rFonts w:ascii="宋体" w:hAnsi="Arial" w:hint="eastAsia"/>
                <w:sz w:val="24"/>
                <w:szCs w:val="24"/>
              </w:rPr>
              <w:t>建筑物四周设</w:t>
            </w:r>
            <w:r>
              <w:rPr>
                <w:sz w:val="24"/>
                <w:szCs w:val="24"/>
              </w:rPr>
              <w:t>置6米宽环形消</w:t>
            </w:r>
            <w:r>
              <w:rPr>
                <w:rFonts w:ascii="宋体" w:hAnsi="Arial" w:hint="eastAsia"/>
                <w:sz w:val="24"/>
                <w:szCs w:val="24"/>
              </w:rPr>
              <w:t>防通道。同时</w:t>
            </w:r>
            <w:r>
              <w:rPr>
                <w:sz w:val="24"/>
                <w:szCs w:val="24"/>
              </w:rPr>
              <w:t>各楼层均安装有灭火器，设有消防通道</w:t>
            </w:r>
            <w:r>
              <w:rPr>
                <w:rFonts w:hint="eastAsia"/>
                <w:sz w:val="24"/>
                <w:szCs w:val="24"/>
              </w:rPr>
              <w:t>，</w:t>
            </w:r>
            <w:r>
              <w:rPr>
                <w:rFonts w:ascii="宋体" w:hAnsi="Arial" w:hint="eastAsia"/>
                <w:sz w:val="24"/>
                <w:szCs w:val="24"/>
              </w:rPr>
              <w:t>消防通道与电影院、餐饮业及其他商业各主入口相通。建筑物</w:t>
            </w:r>
            <w:r>
              <w:rPr>
                <w:sz w:val="24"/>
                <w:szCs w:val="24"/>
              </w:rPr>
              <w:t>耐火等级、安全疏散完全按照防火规范要求建设，火灾自动报警系统的保护对象为一级，消火栓报警采用直接起泵方式接线，消火栓报警按钮按下可直接启动消防泵</w:t>
            </w:r>
            <w:r>
              <w:rPr>
                <w:rFonts w:hint="eastAsia"/>
                <w:sz w:val="24"/>
                <w:szCs w:val="24"/>
              </w:rPr>
              <w:t>。</w:t>
            </w:r>
          </w:p>
          <w:p>
            <w:pPr>
              <w:adjustRightInd w:val="0"/>
              <w:snapToGrid w:val="0"/>
              <w:spacing w:line="360" w:lineRule="auto"/>
              <w:ind w:firstLine="480" w:firstLineChars="200"/>
              <w:rPr>
                <w:b/>
                <w:bCs/>
                <w:sz w:val="24"/>
                <w:szCs w:val="24"/>
              </w:rPr>
            </w:pPr>
            <w:r>
              <w:rPr>
                <w:rFonts w:hint="eastAsia"/>
                <w:b/>
                <w:bCs/>
                <w:sz w:val="24"/>
                <w:szCs w:val="24"/>
              </w:rPr>
              <w:t>四</w:t>
            </w:r>
            <w:r>
              <w:rPr>
                <w:b/>
                <w:bCs/>
                <w:sz w:val="24"/>
                <w:szCs w:val="24"/>
              </w:rPr>
              <w:t>、平面布置</w:t>
            </w:r>
            <w:r>
              <w:rPr>
                <w:rFonts w:hint="eastAsia"/>
                <w:b/>
                <w:bCs/>
                <w:sz w:val="24"/>
                <w:szCs w:val="24"/>
              </w:rPr>
              <w:t>合理</w:t>
            </w:r>
            <w:r>
              <w:rPr>
                <w:b/>
                <w:bCs/>
                <w:sz w:val="24"/>
                <w:szCs w:val="24"/>
              </w:rPr>
              <w:t>分析</w:t>
            </w:r>
          </w:p>
          <w:p>
            <w:pPr>
              <w:spacing w:line="360" w:lineRule="auto"/>
              <w:ind w:firstLine="480" w:firstLineChars="200"/>
              <w:rPr>
                <w:rFonts w:hint="eastAsia"/>
                <w:sz w:val="24"/>
                <w:szCs w:val="24"/>
              </w:rPr>
            </w:pPr>
            <w:r>
              <w:rPr>
                <w:rFonts w:hint="eastAsia"/>
                <w:sz w:val="24"/>
                <w:szCs w:val="24"/>
              </w:rPr>
              <w:t>本项目拟建1栋5层多功能商业建筑，设地上建筑五层，地下两层，地上建筑根据客户消费、进驻商业性质合理分区布置，地下建筑设停车库、供水供电设用房等，尽可能提升地块的商业经营价值，布局较为合理。</w:t>
            </w:r>
          </w:p>
          <w:p>
            <w:pPr>
              <w:spacing w:line="360" w:lineRule="auto"/>
              <w:rPr>
                <w:sz w:val="24"/>
                <w:szCs w:val="24"/>
              </w:rPr>
            </w:pPr>
            <w:r>
              <w:rPr>
                <w:rFonts w:hint="eastAsia"/>
                <w:sz w:val="24"/>
                <w:szCs w:val="24"/>
              </w:rPr>
              <w:t xml:space="preserve">    项目主次入口临周边道路设置，并做到人车分流，设有地下停车库同时地上部分空间适当灵活用作停车。项目</w:t>
            </w:r>
            <w:r>
              <w:rPr>
                <w:sz w:val="24"/>
                <w:szCs w:val="24"/>
              </w:rPr>
              <w:t>四周种植乔木等植被，</w:t>
            </w:r>
            <w:r>
              <w:rPr>
                <w:rFonts w:hint="eastAsia"/>
                <w:sz w:val="24"/>
                <w:szCs w:val="24"/>
              </w:rPr>
              <w:t>并</w:t>
            </w:r>
            <w:r>
              <w:rPr>
                <w:rFonts w:ascii="宋体" w:hAnsi="Arial" w:hint="eastAsia"/>
                <w:sz w:val="24"/>
                <w:szCs w:val="24"/>
              </w:rPr>
              <w:t>在建筑物北面</w:t>
            </w:r>
            <w:r>
              <w:rPr>
                <w:sz w:val="24"/>
                <w:szCs w:val="24"/>
              </w:rPr>
              <w:t>与东面沿道路边设置20米的开放式绿化广场，与城市道路绿化融为一体</w:t>
            </w:r>
            <w:r>
              <w:rPr>
                <w:rFonts w:hint="eastAsia"/>
                <w:sz w:val="24"/>
                <w:szCs w:val="24"/>
              </w:rPr>
              <w:t>，</w:t>
            </w:r>
            <w:r>
              <w:rPr>
                <w:sz w:val="24"/>
                <w:szCs w:val="24"/>
              </w:rPr>
              <w:t>整体绿化率达到</w:t>
            </w:r>
            <w:r>
              <w:rPr>
                <w:rFonts w:hint="eastAsia"/>
                <w:sz w:val="24"/>
                <w:szCs w:val="24"/>
              </w:rPr>
              <w:t>20</w:t>
            </w:r>
            <w:r>
              <w:rPr>
                <w:sz w:val="24"/>
                <w:szCs w:val="24"/>
              </w:rPr>
              <w:t>%，</w:t>
            </w:r>
            <w:r>
              <w:rPr>
                <w:rFonts w:hint="eastAsia"/>
                <w:sz w:val="24"/>
                <w:szCs w:val="24"/>
              </w:rPr>
              <w:t>总</w:t>
            </w:r>
            <w:r>
              <w:rPr>
                <w:sz w:val="24"/>
                <w:szCs w:val="24"/>
              </w:rPr>
              <w:t>平面布置合理。具体总平面布置见附图</w:t>
            </w:r>
            <w:r>
              <w:rPr>
                <w:rFonts w:hint="eastAsia"/>
                <w:sz w:val="24"/>
                <w:szCs w:val="24"/>
              </w:rPr>
              <w:t>四</w:t>
            </w:r>
            <w:r>
              <w:rPr>
                <w:sz w:val="24"/>
                <w:szCs w:val="24"/>
              </w:rPr>
              <w:t>。</w:t>
            </w:r>
          </w:p>
          <w:p>
            <w:pPr>
              <w:spacing w:line="360" w:lineRule="auto"/>
              <w:rPr>
                <w:b/>
                <w:sz w:val="24"/>
                <w:szCs w:val="24"/>
              </w:rPr>
            </w:pPr>
            <w:r>
              <w:rPr>
                <w:rFonts w:hint="eastAsia"/>
                <w:b/>
                <w:bCs/>
                <w:sz w:val="24"/>
                <w:szCs w:val="24"/>
              </w:rPr>
              <w:t xml:space="preserve">    五</w:t>
            </w:r>
            <w:r>
              <w:rPr>
                <w:b/>
                <w:bCs/>
                <w:sz w:val="24"/>
                <w:szCs w:val="24"/>
              </w:rPr>
              <w:t>、</w:t>
            </w:r>
            <w:r>
              <w:rPr>
                <w:b/>
                <w:sz w:val="24"/>
                <w:szCs w:val="24"/>
              </w:rPr>
              <w:t>产业政策</w:t>
            </w:r>
            <w:r>
              <w:rPr>
                <w:rFonts w:hint="eastAsia"/>
                <w:b/>
                <w:sz w:val="24"/>
                <w:szCs w:val="24"/>
              </w:rPr>
              <w:t>相符性</w:t>
            </w:r>
            <w:r>
              <w:rPr>
                <w:b/>
                <w:sz w:val="24"/>
                <w:szCs w:val="24"/>
              </w:rPr>
              <w:t>分析</w:t>
            </w:r>
          </w:p>
          <w:p>
            <w:pPr>
              <w:spacing w:after="0" w:line="360" w:lineRule="auto"/>
              <w:ind w:firstLine="480" w:firstLineChars="200"/>
              <w:rPr>
                <w:spacing w:val="6"/>
                <w:sz w:val="24"/>
                <w:szCs w:val="24"/>
              </w:rPr>
            </w:pPr>
            <w:r>
              <w:rPr>
                <w:sz w:val="24"/>
                <w:szCs w:val="24"/>
              </w:rPr>
              <w:t>本项目属于房地产开发经营项目，经查对，本项目不属于《产业结构调整指导目录（2011年本）（2013年修正）》限制类、淘汰类项目，属允许类建设项目，</w:t>
            </w:r>
            <w:r>
              <w:rPr>
                <w:rFonts w:hint="eastAsia"/>
                <w:sz w:val="24"/>
                <w:szCs w:val="24"/>
              </w:rPr>
              <w:t>同时项目以</w:t>
            </w:r>
            <w:r>
              <w:rPr>
                <w:rFonts w:hint="eastAsia"/>
                <w:sz w:val="24"/>
              </w:rPr>
              <w:t>抚发改行备字【2015】1号在抚州市发展和改革委员会核准，</w:t>
            </w:r>
            <w:r>
              <w:rPr>
                <w:sz w:val="24"/>
              </w:rPr>
              <w:t>因此该项目的建设符合国家</w:t>
            </w:r>
          </w:p>
        </w:tc>
      </w:tr>
    </w:tbl>
    <w:p>
      <w:pPr>
        <w:sectPr>
          <w:footerReference w:type="even" r:id="rId16"/>
          <w:footerReference w:type="default" r:id="rId17"/>
          <w:footerReference w:type="first" r:id="rId18"/>
          <w:type w:val="nextPage"/>
          <w:pgSz w:w="11906" w:h="16838"/>
          <w:pgMar w:top="1134" w:right="1418" w:bottom="1134" w:left="1418" w:header="851" w:footer="992" w:gutter="0"/>
          <w:pgNumType w:start="5"/>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Look w:val="0000"/>
      </w:tblPr>
      <w:tblGrid>
        <w:gridCol w:w="9354"/>
      </w:tblGrid>
      <w:tr>
        <w:tblPrEx>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Look w:val="0000"/>
        </w:tblPrEx>
        <w:trPr>
          <w:trHeight w:val="2482"/>
          <w:jc w:val="center"/>
        </w:trPr>
        <w:tc>
          <w:tcPr>
            <w:tcW w:w="9354" w:type="dxa"/>
            <w:tcMar>
              <w:left w:w="0" w:type="dxa"/>
              <w:right w:w="0" w:type="dxa"/>
            </w:tcMar>
          </w:tcPr>
          <w:p>
            <w:pPr>
              <w:spacing w:before="0" w:line="360" w:lineRule="auto"/>
              <w:ind w:firstLine="480" w:firstLineChars="200"/>
              <w:rPr>
                <w:spacing w:val="6"/>
                <w:sz w:val="24"/>
                <w:szCs w:val="24"/>
              </w:rPr>
            </w:pPr>
            <w:r>
              <w:rPr>
                <w:rFonts w:hint="eastAsia"/>
                <w:sz w:val="24"/>
              </w:rPr>
              <w:t>、地方</w:t>
            </w:r>
            <w:r>
              <w:rPr>
                <w:sz w:val="24"/>
              </w:rPr>
              <w:t>相关产业政策。</w:t>
            </w:r>
          </w:p>
          <w:p>
            <w:pPr>
              <w:spacing w:line="360" w:lineRule="auto"/>
              <w:rPr>
                <w:b/>
                <w:bCs/>
                <w:sz w:val="24"/>
                <w:szCs w:val="24"/>
              </w:rPr>
            </w:pPr>
            <w:r>
              <w:rPr>
                <w:rFonts w:hint="eastAsia"/>
                <w:b/>
                <w:bCs/>
                <w:sz w:val="24"/>
                <w:szCs w:val="24"/>
              </w:rPr>
              <w:t xml:space="preserve">    六</w:t>
            </w:r>
            <w:r>
              <w:rPr>
                <w:b/>
                <w:bCs/>
                <w:sz w:val="24"/>
                <w:szCs w:val="24"/>
              </w:rPr>
              <w:t>、选址合理性分析</w:t>
            </w:r>
          </w:p>
          <w:p>
            <w:pPr>
              <w:spacing w:line="360" w:lineRule="auto"/>
              <w:ind w:firstLine="480"/>
              <w:rPr>
                <w:rFonts w:hint="eastAsia"/>
                <w:b/>
                <w:sz w:val="24"/>
                <w:szCs w:val="24"/>
              </w:rPr>
            </w:pPr>
            <w:r>
              <w:rPr>
                <w:rFonts w:ascii="宋体" w:hAnsi="宋体" w:cs="宋体" w:hint="eastAsia"/>
                <w:kern w:val="0"/>
                <w:sz w:val="24"/>
                <w:szCs w:val="24"/>
              </w:rPr>
              <w:t>项目</w:t>
            </w:r>
            <w:r>
              <w:rPr>
                <w:rFonts w:ascii="宋体" w:hAnsi="宋体" w:cs="宋体" w:hint="eastAsia"/>
                <w:bCs/>
                <w:sz w:val="24"/>
                <w:szCs w:val="24"/>
              </w:rPr>
              <w:t>选址位于</w:t>
            </w:r>
            <w:r>
              <w:rPr>
                <w:rFonts w:hint="eastAsia"/>
                <w:sz w:val="24"/>
                <w:szCs w:val="24"/>
              </w:rPr>
              <w:t>抚州市迎宾</w:t>
            </w:r>
            <w:r>
              <w:rPr>
                <w:rFonts w:ascii="宋体" w:hAnsi="Arial" w:hint="eastAsia"/>
                <w:sz w:val="24"/>
                <w:szCs w:val="24"/>
              </w:rPr>
              <w:t>大道以南、曾巩大道以东地块</w:t>
            </w:r>
            <w:r>
              <w:rPr>
                <w:rFonts w:ascii="宋体" w:hAnsi="宋体" w:cs="宋体" w:hint="eastAsia"/>
                <w:bCs/>
                <w:sz w:val="24"/>
                <w:szCs w:val="24"/>
              </w:rPr>
              <w:t>，</w:t>
            </w:r>
            <w:r>
              <w:rPr>
                <w:rFonts w:hAnsi="宋体" w:cs="宋体" w:hint="eastAsia"/>
                <w:sz w:val="24"/>
                <w:szCs w:val="24"/>
              </w:rPr>
              <w:t>，交通十分便利</w:t>
            </w:r>
            <w:r>
              <w:rPr>
                <w:rFonts w:ascii="宋体" w:hAnsi="宋体" w:cs="宋体" w:hint="eastAsia"/>
                <w:sz w:val="24"/>
                <w:szCs w:val="24"/>
              </w:rPr>
              <w:t>。根据现场踏查，项目东侧为邮政银行规划用地，南侧为空地，西侧为曾巩大道，北</w:t>
            </w:r>
            <w:r>
              <w:rPr>
                <w:rFonts w:cs="宋体" w:hint="eastAsia"/>
                <w:sz w:val="24"/>
                <w:szCs w:val="24"/>
              </w:rPr>
              <w:t>侧为伟星西凤华都小区，</w:t>
            </w:r>
            <w:r>
              <w:rPr>
                <w:sz w:val="24"/>
                <w:szCs w:val="24"/>
              </w:rPr>
              <w:t>选址不处在国家法律、法规、行政规章及规划确定或县级以上人民政府批准的饮用水水源保护区、自然保护区、风景名胜区、生态功能保护区等需要特殊保护的地区的范围内</w:t>
            </w:r>
            <w:r>
              <w:rPr>
                <w:rFonts w:hint="eastAsia"/>
                <w:sz w:val="24"/>
                <w:szCs w:val="24"/>
              </w:rPr>
              <w:t>。根据项目项目建设用地使用权成交确认书，可知项目拟建地块用地性质为商业服务设施用地</w:t>
            </w:r>
            <w:r>
              <w:rPr>
                <w:rFonts w:hint="eastAsia"/>
                <w:kern w:val="18"/>
                <w:sz w:val="24"/>
              </w:rPr>
              <w:t>，因此本项目选址</w:t>
            </w:r>
            <w:r>
              <w:rPr>
                <w:kern w:val="18"/>
                <w:sz w:val="24"/>
              </w:rPr>
              <w:t>符合</w:t>
            </w:r>
            <w:r>
              <w:rPr>
                <w:rFonts w:hint="eastAsia"/>
                <w:kern w:val="18"/>
                <w:sz w:val="24"/>
              </w:rPr>
              <w:t>抚州市</w:t>
            </w:r>
            <w:r>
              <w:rPr>
                <w:kern w:val="18"/>
                <w:sz w:val="24"/>
              </w:rPr>
              <w:t>城市</w:t>
            </w:r>
            <w:r>
              <w:rPr>
                <w:rFonts w:hint="eastAsia"/>
                <w:kern w:val="18"/>
                <w:sz w:val="24"/>
              </w:rPr>
              <w:t>土地</w:t>
            </w:r>
            <w:r>
              <w:rPr>
                <w:kern w:val="18"/>
                <w:sz w:val="24"/>
              </w:rPr>
              <w:t>规划要求</w:t>
            </w:r>
            <w:r>
              <w:rPr>
                <w:rFonts w:hint="eastAsia"/>
                <w:kern w:val="18"/>
                <w:sz w:val="24"/>
              </w:rPr>
              <w:t>（详见附件二）。</w:t>
            </w:r>
            <w:r>
              <w:rPr>
                <w:rFonts w:hint="eastAsia"/>
                <w:kern w:val="0"/>
                <w:sz w:val="24"/>
              </w:rPr>
              <w:t>项目建成运营后，各污染物均能通过合理处理达标排放，可维持评价区域环境空气、水环境、声环境等基本现状，不会改变环境质量的等级，对周围环境影响小。因此认定</w:t>
            </w:r>
            <w:r>
              <w:rPr>
                <w:sz w:val="24"/>
                <w:szCs w:val="24"/>
              </w:rPr>
              <w:t>项目在该地建设是可行的。</w:t>
            </w:r>
          </w:p>
          <w:p>
            <w:pPr>
              <w:spacing w:line="360" w:lineRule="auto"/>
              <w:ind w:firstLine="480"/>
              <w:rPr>
                <w:rFonts w:hint="eastAsia"/>
                <w:b/>
                <w:sz w:val="24"/>
                <w:szCs w:val="24"/>
              </w:rPr>
            </w:pPr>
            <w:r>
              <w:rPr>
                <w:rFonts w:hint="eastAsia"/>
                <w:b/>
                <w:sz w:val="24"/>
                <w:szCs w:val="24"/>
              </w:rPr>
              <w:t>七、建设进度</w:t>
            </w:r>
          </w:p>
          <w:p>
            <w:pPr>
              <w:spacing w:line="360" w:lineRule="auto"/>
              <w:ind w:firstLine="480"/>
              <w:rPr>
                <w:rFonts w:hint="eastAsia"/>
                <w:kern w:val="0"/>
                <w:sz w:val="24"/>
              </w:rPr>
            </w:pPr>
            <w:r>
              <w:rPr>
                <w:rFonts w:hint="eastAsia"/>
                <w:kern w:val="0"/>
                <w:sz w:val="24"/>
              </w:rPr>
              <w:t>项目拟于2015年9月开始施工建设，预计于2017年3月建成投入运营。</w:t>
            </w:r>
          </w:p>
          <w:p>
            <w:pPr>
              <w:spacing w:line="360" w:lineRule="auto"/>
              <w:ind w:firstLine="480"/>
              <w:rPr>
                <w:rFonts w:hint="eastAsia"/>
                <w:kern w:val="0"/>
                <w:sz w:val="24"/>
              </w:rPr>
            </w:pPr>
          </w:p>
          <w:p>
            <w:pPr>
              <w:spacing w:line="360" w:lineRule="auto"/>
              <w:ind w:firstLine="480"/>
              <w:rPr>
                <w:rFonts w:hint="eastAsia"/>
                <w:kern w:val="0"/>
                <w:sz w:val="24"/>
              </w:rPr>
            </w:pPr>
          </w:p>
          <w:p>
            <w:pPr>
              <w:spacing w:line="360" w:lineRule="auto"/>
              <w:ind w:firstLine="480"/>
              <w:rPr>
                <w:rFonts w:hint="eastAsia"/>
                <w:kern w:val="0"/>
                <w:sz w:val="24"/>
              </w:rPr>
            </w:pPr>
          </w:p>
          <w:p>
            <w:pPr>
              <w:spacing w:line="360" w:lineRule="auto"/>
              <w:ind w:firstLine="480"/>
              <w:rPr>
                <w:rFonts w:hint="eastAsia"/>
                <w:kern w:val="0"/>
                <w:sz w:val="24"/>
              </w:rPr>
            </w:pPr>
          </w:p>
          <w:p>
            <w:pPr>
              <w:spacing w:line="360" w:lineRule="auto"/>
              <w:ind w:firstLine="480"/>
              <w:rPr>
                <w:rFonts w:hint="eastAsia"/>
                <w:kern w:val="0"/>
                <w:sz w:val="24"/>
              </w:rPr>
            </w:pPr>
          </w:p>
          <w:p>
            <w:pPr>
              <w:spacing w:line="360" w:lineRule="auto"/>
              <w:ind w:firstLine="480"/>
              <w:rPr>
                <w:rFonts w:hint="eastAsia"/>
                <w:kern w:val="0"/>
                <w:sz w:val="24"/>
              </w:rPr>
            </w:pPr>
          </w:p>
          <w:p>
            <w:pPr>
              <w:spacing w:line="360" w:lineRule="auto"/>
              <w:ind w:firstLine="480"/>
              <w:rPr>
                <w:rFonts w:hint="eastAsia"/>
                <w:kern w:val="0"/>
                <w:sz w:val="24"/>
              </w:rPr>
            </w:pPr>
          </w:p>
          <w:p>
            <w:pPr>
              <w:spacing w:line="360" w:lineRule="auto"/>
              <w:ind w:firstLine="480"/>
              <w:rPr>
                <w:rFonts w:hint="eastAsia"/>
                <w:kern w:val="0"/>
                <w:sz w:val="24"/>
              </w:rPr>
            </w:pPr>
          </w:p>
          <w:p>
            <w:pPr>
              <w:spacing w:line="360" w:lineRule="auto"/>
              <w:ind w:firstLine="480"/>
              <w:rPr>
                <w:rFonts w:hint="eastAsia"/>
                <w:kern w:val="0"/>
                <w:sz w:val="24"/>
              </w:rPr>
            </w:pPr>
          </w:p>
          <w:p>
            <w:pPr>
              <w:spacing w:line="360" w:lineRule="auto"/>
              <w:ind w:firstLine="480"/>
              <w:rPr>
                <w:rFonts w:hint="eastAsia"/>
                <w:kern w:val="0"/>
                <w:sz w:val="24"/>
              </w:rPr>
            </w:pPr>
          </w:p>
          <w:p>
            <w:pPr>
              <w:spacing w:line="360" w:lineRule="auto"/>
              <w:ind w:firstLine="480"/>
              <w:rPr>
                <w:rFonts w:hint="eastAsia"/>
                <w:kern w:val="0"/>
                <w:sz w:val="24"/>
              </w:rPr>
            </w:pPr>
          </w:p>
          <w:p>
            <w:pPr>
              <w:spacing w:line="360" w:lineRule="auto"/>
              <w:rPr>
                <w:rFonts w:hint="eastAsia"/>
                <w:kern w:val="0"/>
                <w:sz w:val="24"/>
              </w:rPr>
            </w:pPr>
          </w:p>
        </w:tc>
      </w:tr>
    </w:tbl>
    <w:p>
      <w:pPr>
        <w:sectPr>
          <w:footerReference w:type="even" r:id="rId19"/>
          <w:footerReference w:type="default" r:id="rId20"/>
          <w:footerReference w:type="first" r:id="rId21"/>
          <w:type w:val="nextPage"/>
          <w:pgSz w:w="11906" w:h="16838"/>
          <w:pgMar w:top="1134" w:right="1418" w:bottom="1134" w:left="1418" w:header="851" w:footer="992" w:gutter="0"/>
          <w:pgNumType w:start="6"/>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Look w:val="0000"/>
      </w:tblPr>
      <w:tblGrid>
        <w:gridCol w:w="9354"/>
      </w:tblGrid>
      <w:tr>
        <w:tblPrEx>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Look w:val="0000"/>
        </w:tblPrEx>
        <w:trPr>
          <w:trHeight w:val="14019"/>
          <w:jc w:val="center"/>
        </w:trPr>
        <w:tc>
          <w:tcPr>
            <w:tcW w:w="9354" w:type="dxa"/>
            <w:tcMar>
              <w:left w:w="0" w:type="dxa"/>
              <w:right w:w="0" w:type="dxa"/>
            </w:tcMar>
          </w:tcPr>
          <w:p>
            <w:pPr>
              <w:adjustRightInd w:val="0"/>
              <w:snapToGrid w:val="0"/>
              <w:spacing w:line="360" w:lineRule="auto"/>
              <w:rPr>
                <w:b/>
                <w:szCs w:val="28"/>
              </w:rPr>
            </w:pPr>
            <w:r>
              <w:rPr>
                <w:b/>
                <w:szCs w:val="28"/>
              </w:rPr>
              <w:t>与本项目有关的原有污染情况及主要环境问题：</w:t>
            </w:r>
          </w:p>
          <w:p>
            <w:pPr>
              <w:adjustRightInd w:val="0"/>
              <w:snapToGrid w:val="0"/>
              <w:spacing w:line="360" w:lineRule="auto"/>
              <w:ind w:firstLine="480" w:firstLineChars="200"/>
              <w:rPr>
                <w:rFonts w:hint="eastAsia"/>
                <w:sz w:val="24"/>
              </w:rPr>
            </w:pPr>
            <w:r>
              <w:rPr>
                <w:rFonts w:hint="eastAsia"/>
                <w:sz w:val="24"/>
              </w:rPr>
              <w:t>本项目为新建项目，不存在原有污染情况及主要环境问题。</w:t>
            </w: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sz w:val="24"/>
              </w:rPr>
            </w:pPr>
          </w:p>
          <w:p>
            <w:pPr>
              <w:adjustRightInd w:val="0"/>
              <w:snapToGrid w:val="0"/>
              <w:spacing w:line="360" w:lineRule="auto"/>
              <w:rPr>
                <w:rFonts w:hint="eastAsia"/>
                <w:bCs/>
                <w:sz w:val="24"/>
                <w:szCs w:val="24"/>
              </w:rPr>
            </w:pPr>
          </w:p>
          <w:p>
            <w:pPr>
              <w:adjustRightInd w:val="0"/>
              <w:snapToGrid w:val="0"/>
              <w:spacing w:line="360" w:lineRule="auto"/>
              <w:rPr>
                <w:rFonts w:hint="eastAsia"/>
                <w:bCs/>
                <w:sz w:val="24"/>
                <w:szCs w:val="24"/>
              </w:rPr>
            </w:pPr>
          </w:p>
          <w:p>
            <w:pPr>
              <w:adjustRightInd w:val="0"/>
              <w:snapToGrid w:val="0"/>
              <w:spacing w:line="360" w:lineRule="auto"/>
              <w:rPr>
                <w:rFonts w:hint="eastAsia"/>
                <w:bCs/>
                <w:sz w:val="24"/>
                <w:szCs w:val="24"/>
              </w:rPr>
            </w:pPr>
          </w:p>
          <w:p>
            <w:pPr>
              <w:adjustRightInd w:val="0"/>
              <w:snapToGrid w:val="0"/>
              <w:spacing w:line="360" w:lineRule="auto"/>
              <w:rPr>
                <w:rFonts w:hint="eastAsia"/>
                <w:bCs/>
                <w:sz w:val="24"/>
                <w:szCs w:val="24"/>
              </w:rPr>
            </w:pPr>
          </w:p>
          <w:p>
            <w:pPr>
              <w:adjustRightInd w:val="0"/>
              <w:snapToGrid w:val="0"/>
              <w:spacing w:line="360" w:lineRule="auto"/>
              <w:rPr>
                <w:rFonts w:hint="eastAsia"/>
                <w:bCs/>
                <w:sz w:val="24"/>
                <w:szCs w:val="24"/>
              </w:rPr>
            </w:pPr>
          </w:p>
          <w:p>
            <w:pPr>
              <w:adjustRightInd w:val="0"/>
              <w:snapToGrid w:val="0"/>
              <w:spacing w:line="360" w:lineRule="auto"/>
              <w:rPr>
                <w:rFonts w:hint="eastAsia"/>
                <w:bCs/>
                <w:sz w:val="24"/>
                <w:szCs w:val="24"/>
              </w:rPr>
            </w:pPr>
          </w:p>
          <w:p>
            <w:pPr>
              <w:adjustRightInd w:val="0"/>
              <w:snapToGrid w:val="0"/>
              <w:spacing w:line="360" w:lineRule="auto"/>
              <w:rPr>
                <w:rFonts w:hint="eastAsia"/>
                <w:bCs/>
                <w:sz w:val="24"/>
                <w:szCs w:val="24"/>
              </w:rPr>
            </w:pPr>
          </w:p>
          <w:p>
            <w:pPr>
              <w:adjustRightInd w:val="0"/>
              <w:snapToGrid w:val="0"/>
              <w:spacing w:line="360" w:lineRule="auto"/>
              <w:rPr>
                <w:rFonts w:hint="eastAsia"/>
                <w:bCs/>
                <w:sz w:val="24"/>
                <w:szCs w:val="24"/>
              </w:rPr>
            </w:pPr>
          </w:p>
          <w:p>
            <w:pPr>
              <w:adjustRightInd w:val="0"/>
              <w:snapToGrid w:val="0"/>
              <w:spacing w:line="360" w:lineRule="auto"/>
              <w:rPr>
                <w:rFonts w:hint="eastAsia"/>
                <w:bCs/>
                <w:sz w:val="24"/>
                <w:szCs w:val="24"/>
              </w:rPr>
            </w:pPr>
          </w:p>
          <w:p>
            <w:pPr>
              <w:adjustRightInd w:val="0"/>
              <w:snapToGrid w:val="0"/>
              <w:spacing w:line="360" w:lineRule="auto"/>
              <w:rPr>
                <w:rFonts w:hint="eastAsia"/>
                <w:bCs/>
                <w:sz w:val="24"/>
                <w:szCs w:val="24"/>
              </w:rPr>
            </w:pPr>
          </w:p>
          <w:p>
            <w:pPr>
              <w:adjustRightInd w:val="0"/>
              <w:snapToGrid w:val="0"/>
              <w:spacing w:line="360" w:lineRule="auto"/>
              <w:rPr>
                <w:rFonts w:hint="eastAsia"/>
                <w:bCs/>
                <w:sz w:val="24"/>
                <w:szCs w:val="24"/>
              </w:rPr>
            </w:pPr>
          </w:p>
          <w:p>
            <w:pPr>
              <w:adjustRightInd w:val="0"/>
              <w:snapToGrid w:val="0"/>
              <w:spacing w:line="360" w:lineRule="auto"/>
              <w:rPr>
                <w:rFonts w:hint="eastAsia"/>
                <w:bCs/>
                <w:sz w:val="24"/>
                <w:szCs w:val="24"/>
              </w:rPr>
            </w:pPr>
          </w:p>
          <w:p>
            <w:pPr>
              <w:adjustRightInd w:val="0"/>
              <w:snapToGrid w:val="0"/>
              <w:spacing w:line="360" w:lineRule="auto"/>
              <w:rPr>
                <w:rFonts w:hint="eastAsia"/>
                <w:bCs/>
                <w:sz w:val="24"/>
                <w:szCs w:val="24"/>
              </w:rPr>
            </w:pPr>
          </w:p>
          <w:p>
            <w:pPr>
              <w:adjustRightInd w:val="0"/>
              <w:snapToGrid w:val="0"/>
              <w:spacing w:line="360" w:lineRule="auto"/>
              <w:rPr>
                <w:rFonts w:hint="eastAsia"/>
                <w:bCs/>
                <w:sz w:val="24"/>
                <w:szCs w:val="24"/>
              </w:rPr>
            </w:pPr>
          </w:p>
          <w:p>
            <w:pPr>
              <w:adjustRightInd w:val="0"/>
              <w:snapToGrid w:val="0"/>
              <w:spacing w:line="360" w:lineRule="auto"/>
              <w:rPr>
                <w:rFonts w:hint="eastAsia"/>
                <w:bCs/>
                <w:sz w:val="24"/>
                <w:szCs w:val="24"/>
              </w:rPr>
            </w:pPr>
          </w:p>
          <w:p>
            <w:pPr>
              <w:adjustRightInd w:val="0"/>
              <w:snapToGrid w:val="0"/>
              <w:spacing w:line="360" w:lineRule="auto"/>
              <w:rPr>
                <w:rFonts w:hint="eastAsia"/>
                <w:bCs/>
                <w:sz w:val="24"/>
                <w:szCs w:val="24"/>
              </w:rPr>
            </w:pPr>
          </w:p>
        </w:tc>
      </w:tr>
    </w:tbl>
    <w:p>
      <w:pPr>
        <w:sectPr>
          <w:footerReference w:type="even" r:id="rId22"/>
          <w:footerReference w:type="default" r:id="rId23"/>
          <w:footerReference w:type="first" r:id="rId24"/>
          <w:type w:val="nextPage"/>
          <w:pgSz w:w="11906" w:h="16838"/>
          <w:pgMar w:top="1134" w:right="1418" w:bottom="1134" w:left="1418" w:header="851" w:footer="992" w:gutter="0"/>
          <w:pgNumType w:start="7"/>
          <w:cols w:space="708"/>
          <w:titlePg w:val="0"/>
          <w:docGrid w:type="linesAndChars" w:linePitch="381"/>
        </w:sectPr>
      </w:pPr>
    </w:p>
    <w:p>
      <w:pPr>
        <w:outlineLvl w:val="0"/>
        <w:rPr>
          <w:rFonts w:ascii="黑体" w:eastAsia="黑体" w:hAnsi="黑体" w:cs="黑体" w:hint="eastAsia"/>
          <w:b/>
        </w:rPr>
      </w:pPr>
      <w:r>
        <w:rPr>
          <w:rFonts w:ascii="黑体" w:eastAsia="黑体" w:hAnsi="黑体" w:cs="黑体" w:hint="eastAsia"/>
          <w:b/>
        </w:rPr>
        <w:t>建设项目所在地自然环境社会环境情况</w:t>
      </w: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top w:w="0" w:type="dxa"/>
          <w:left w:w="0" w:type="dxa"/>
          <w:bottom w:w="0" w:type="dxa"/>
          <w:right w:w="0" w:type="dxa"/>
        </w:tblCellMar>
        <w:tblLook w:val="0000"/>
      </w:tblPr>
      <w:tblGrid>
        <w:gridCol w:w="9354"/>
      </w:tblGrid>
      <w:tr>
        <w:tblPrEx>
          <w:jc w:val="center"/>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top w:w="0" w:type="dxa"/>
            <w:left w:w="0" w:type="dxa"/>
            <w:bottom w:w="0" w:type="dxa"/>
            <w:right w:w="0" w:type="dxa"/>
          </w:tblCellMar>
          <w:tblLook w:val="0000"/>
        </w:tblPrEx>
        <w:trPr>
          <w:trHeight w:val="13861"/>
          <w:jc w:val="center"/>
        </w:trPr>
        <w:tc>
          <w:tcPr>
            <w:tcW w:w="9354" w:type="dxa"/>
          </w:tcPr>
          <w:p>
            <w:pPr>
              <w:adjustRightInd w:val="0"/>
              <w:snapToGrid w:val="0"/>
              <w:spacing w:line="360" w:lineRule="auto"/>
              <w:rPr>
                <w:b/>
                <w:bCs/>
                <w:szCs w:val="28"/>
              </w:rPr>
            </w:pPr>
            <w:r>
              <w:rPr>
                <w:b/>
                <w:bCs/>
                <w:szCs w:val="28"/>
              </w:rPr>
              <w:t xml:space="preserve">自然环境简况(地形、地貌、地质、气候、水文、植被、生物多样性等)： </w:t>
            </w:r>
          </w:p>
          <w:p>
            <w:pPr>
              <w:spacing w:line="360" w:lineRule="auto"/>
              <w:ind w:firstLine="480" w:firstLineChars="200"/>
              <w:rPr>
                <w:b/>
                <w:bCs/>
                <w:sz w:val="24"/>
              </w:rPr>
            </w:pPr>
            <w:r>
              <w:rPr>
                <w:b/>
                <w:bCs/>
                <w:sz w:val="24"/>
              </w:rPr>
              <w:t>一、地理位置</w:t>
            </w:r>
          </w:p>
          <w:p>
            <w:pPr>
              <w:spacing w:line="360" w:lineRule="auto"/>
              <w:ind w:firstLine="480" w:firstLineChars="200"/>
              <w:rPr>
                <w:sz w:val="24"/>
              </w:rPr>
            </w:pPr>
            <w:r>
              <w:rPr>
                <w:sz w:val="24"/>
              </w:rPr>
              <w:t>抚州市位于江西省东南部，地处东经115°35'～117°18'，北纬26°29'～28°30'。东临上饶市，南与赣州市毗连，西通吉安市，北临鄱阳湖与南昌、鹰潭两市接壤。地界轮廓略呈长方形，南北长约222公里，东西宽近169公里。</w:t>
            </w:r>
          </w:p>
          <w:p>
            <w:pPr>
              <w:spacing w:line="360" w:lineRule="auto"/>
              <w:ind w:firstLine="480" w:firstLineChars="200"/>
              <w:rPr>
                <w:b/>
                <w:bCs/>
                <w:sz w:val="24"/>
              </w:rPr>
            </w:pPr>
            <w:bookmarkStart w:id="0" w:name="_Toc83519392"/>
            <w:bookmarkStart w:id="1" w:name="_Toc84818148"/>
            <w:bookmarkStart w:id="2" w:name="_Toc84818489"/>
            <w:bookmarkStart w:id="3" w:name="_Toc84820885"/>
            <w:bookmarkStart w:id="4" w:name="_Toc84740985"/>
            <w:bookmarkStart w:id="5" w:name="_Toc87443600"/>
            <w:bookmarkStart w:id="6" w:name="_Toc87239794"/>
            <w:bookmarkStart w:id="7" w:name="_Toc87442849"/>
            <w:bookmarkStart w:id="8" w:name="_Toc87194817"/>
            <w:bookmarkStart w:id="9" w:name="_Toc87239427"/>
            <w:bookmarkStart w:id="10" w:name="_Toc234233559"/>
            <w:bookmarkStart w:id="11" w:name="_Toc87443208"/>
            <w:bookmarkStart w:id="12" w:name="_Toc87443271"/>
            <w:bookmarkStart w:id="13" w:name="_Toc87194938"/>
            <w:bookmarkStart w:id="14" w:name="_Toc84821063"/>
            <w:bookmarkStart w:id="15" w:name="_Toc262919863"/>
            <w:r>
              <w:rPr>
                <w:b/>
                <w:bCs/>
                <w:sz w:val="24"/>
              </w:rPr>
              <w:t>二、地形地貌</w:t>
            </w:r>
          </w:p>
          <w:p>
            <w:pPr>
              <w:spacing w:line="360" w:lineRule="auto"/>
              <w:ind w:firstLine="480" w:firstLineChars="200"/>
              <w:rPr>
                <w:rFonts w:ascii="宋体" w:hAnsi="宋体"/>
                <w:sz w:val="24"/>
              </w:rPr>
            </w:pPr>
            <w:r>
              <w:rPr>
                <w:rFonts w:ascii="宋体" w:hAnsi="宋体"/>
                <w:sz w:val="24"/>
              </w:rPr>
              <w:t>抚州</w:t>
            </w:r>
            <w:r>
              <w:rPr>
                <w:rFonts w:ascii="宋体" w:hAnsi="宋体" w:hint="eastAsia"/>
                <w:sz w:val="24"/>
              </w:rPr>
              <w:t>市境内东、南、西三面环山，中部丘陵与河谷盆地相间。地势南高北低，渐次向鄱阳湖平原地区倾斜。地貌以丘陵为主，山地、岗地和河谷平原次之。海拔500米以上的山地占总面积的30%，海拔100～500米之间的丘陵占50%，海拔低于100米的岗地和河谷平原占20%。脉集中分布于东部和南部，山体走向为北东</w:t>
            </w:r>
            <w:r>
              <w:rPr>
                <w:rFonts w:ascii="宋体" w:hAnsi="宋体" w:hint="eastAsia"/>
                <w:sz w:val="24"/>
              </w:rPr>
              <w:t>—</w:t>
            </w:r>
            <w:r>
              <w:rPr>
                <w:rFonts w:ascii="宋体" w:hAnsi="宋体" w:hint="eastAsia"/>
                <w:sz w:val="24"/>
              </w:rPr>
              <w:t>南西向，主要有东部武夷山和南西部雩山，二者在平面上构成北东向斜</w:t>
            </w:r>
            <w:r>
              <w:rPr>
                <w:rFonts w:ascii="宋体" w:hAnsi="宋体" w:hint="eastAsia"/>
                <w:sz w:val="24"/>
              </w:rPr>
              <w:t>“</w:t>
            </w:r>
            <w:r>
              <w:rPr>
                <w:rFonts w:ascii="宋体" w:hAnsi="宋体" w:hint="eastAsia"/>
                <w:sz w:val="24"/>
              </w:rPr>
              <w:t>川</w:t>
            </w:r>
            <w:r>
              <w:rPr>
                <w:rFonts w:ascii="宋体" w:hAnsi="宋体" w:hint="eastAsia"/>
                <w:sz w:val="24"/>
              </w:rPr>
              <w:t>”</w:t>
            </w:r>
            <w:r>
              <w:rPr>
                <w:rFonts w:ascii="宋体" w:hAnsi="宋体" w:hint="eastAsia"/>
                <w:sz w:val="24"/>
              </w:rPr>
              <w:t>字型地貌框架。武夷山脉位于市区东部，沿赣闽省界向南延伸，为盱江和闽江的分水岭。主要有笔架山、野鸡顶、昌坪山、杨家岭、王仙峰、九头峰等海拔千米以上的山峰。雩山山脉分布在市南西部，市内最高峰军峰山位于该山中。</w:t>
            </w:r>
          </w:p>
          <w:p>
            <w:pPr>
              <w:spacing w:line="360" w:lineRule="auto"/>
              <w:ind w:firstLine="480" w:firstLineChars="200"/>
              <w:rPr>
                <w:b/>
                <w:bCs/>
                <w:sz w:val="24"/>
              </w:rPr>
            </w:pPr>
            <w:r>
              <w:rPr>
                <w:b/>
                <w:bCs/>
                <w:sz w:val="24"/>
              </w:rPr>
              <w:t>三、气象</w:t>
            </w:r>
          </w:p>
          <w:p>
            <w:pPr>
              <w:spacing w:line="360" w:lineRule="auto"/>
              <w:ind w:firstLine="480" w:firstLineChars="200"/>
              <w:rPr>
                <w:sz w:val="24"/>
              </w:rPr>
            </w:pPr>
            <w:r>
              <w:rPr>
                <w:sz w:val="24"/>
              </w:rPr>
              <w:t>抚州市属亚热带湿润季节性气候，温暖湿润，四季分明，春暖夏热，秋燥冬寒；雨量充沛，分布不均，无霜期长。</w:t>
            </w:r>
          </w:p>
          <w:p>
            <w:pPr>
              <w:spacing w:line="360" w:lineRule="auto"/>
              <w:ind w:firstLine="480" w:firstLineChars="200"/>
              <w:rPr>
                <w:sz w:val="24"/>
              </w:rPr>
            </w:pPr>
            <w:r>
              <w:rPr>
                <w:sz w:val="24"/>
              </w:rPr>
              <w:t>(1) 气温</w:t>
            </w:r>
          </w:p>
          <w:p>
            <w:pPr>
              <w:spacing w:line="360" w:lineRule="auto"/>
              <w:ind w:firstLine="480" w:firstLineChars="200"/>
              <w:rPr>
                <w:sz w:val="24"/>
              </w:rPr>
            </w:pPr>
            <w:r>
              <w:rPr>
                <w:sz w:val="24"/>
              </w:rPr>
              <w:t>多年平均气温：17.8℃</w:t>
            </w:r>
          </w:p>
          <w:p>
            <w:pPr>
              <w:spacing w:line="360" w:lineRule="auto"/>
              <w:ind w:firstLine="480" w:firstLineChars="200"/>
              <w:rPr>
                <w:sz w:val="24"/>
              </w:rPr>
            </w:pPr>
            <w:r>
              <w:rPr>
                <w:sz w:val="24"/>
              </w:rPr>
              <w:t>极端最高气温：41.0℃</w:t>
            </w:r>
          </w:p>
          <w:p>
            <w:pPr>
              <w:spacing w:line="360" w:lineRule="auto"/>
              <w:ind w:firstLine="480" w:firstLineChars="200"/>
              <w:rPr>
                <w:sz w:val="24"/>
              </w:rPr>
            </w:pPr>
            <w:r>
              <w:rPr>
                <w:sz w:val="24"/>
              </w:rPr>
              <w:t>极端最低气温：-8.8℃</w:t>
            </w:r>
          </w:p>
          <w:p>
            <w:pPr>
              <w:spacing w:line="360" w:lineRule="auto"/>
              <w:ind w:firstLine="480" w:firstLineChars="200"/>
              <w:rPr>
                <w:sz w:val="24"/>
              </w:rPr>
            </w:pPr>
            <w:r>
              <w:rPr>
                <w:sz w:val="24"/>
              </w:rPr>
              <w:t>(2) 降雨量</w:t>
            </w:r>
          </w:p>
          <w:p>
            <w:pPr>
              <w:spacing w:line="360" w:lineRule="auto"/>
              <w:ind w:firstLine="480" w:firstLineChars="200"/>
              <w:rPr>
                <w:sz w:val="24"/>
              </w:rPr>
            </w:pPr>
            <w:r>
              <w:rPr>
                <w:sz w:val="24"/>
              </w:rPr>
              <w:t>多年平均降雨量：1668.4mm</w:t>
            </w:r>
          </w:p>
          <w:p>
            <w:pPr>
              <w:spacing w:line="360" w:lineRule="auto"/>
              <w:ind w:firstLine="480" w:firstLineChars="200"/>
              <w:rPr>
                <w:sz w:val="24"/>
              </w:rPr>
            </w:pPr>
            <w:r>
              <w:rPr>
                <w:sz w:val="24"/>
              </w:rPr>
              <w:t>年最大降雨量：2480mm</w:t>
            </w:r>
          </w:p>
        </w:tc>
      </w:tr>
    </w:tbl>
    <w:p>
      <w:pPr>
        <w:sectPr>
          <w:footerReference w:type="even" r:id="rId25"/>
          <w:footerReference w:type="default" r:id="rId26"/>
          <w:footerReference w:type="first" r:id="rId27"/>
          <w:type w:val="nextPage"/>
          <w:pgSz w:w="11906" w:h="16838"/>
          <w:pgMar w:top="1134" w:right="1418" w:bottom="1134" w:left="1418" w:header="851" w:footer="992" w:gutter="0"/>
          <w:pgNumType w:start="8"/>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top w:w="0" w:type="dxa"/>
          <w:left w:w="0" w:type="dxa"/>
          <w:bottom w:w="0" w:type="dxa"/>
          <w:right w:w="0" w:type="dxa"/>
        </w:tblCellMar>
        <w:tblLook w:val="0000"/>
      </w:tblPr>
      <w:tblGrid>
        <w:gridCol w:w="9354"/>
      </w:tblGrid>
      <w:tr>
        <w:tblPrEx>
          <w:jc w:val="center"/>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top w:w="0" w:type="dxa"/>
            <w:left w:w="0" w:type="dxa"/>
            <w:bottom w:w="0" w:type="dxa"/>
            <w:right w:w="0" w:type="dxa"/>
          </w:tblCellMar>
          <w:tblLook w:val="0000"/>
        </w:tblPrEx>
        <w:trPr>
          <w:trHeight w:val="13861"/>
          <w:jc w:val="center"/>
        </w:trPr>
        <w:tc>
          <w:tcPr>
            <w:tcW w:w="9354" w:type="dxa"/>
          </w:tcPr>
          <w:p>
            <w:pPr>
              <w:spacing w:line="360" w:lineRule="auto"/>
              <w:ind w:firstLine="480" w:firstLineChars="200"/>
              <w:rPr>
                <w:sz w:val="24"/>
              </w:rPr>
            </w:pPr>
            <w:r>
              <w:rPr>
                <w:sz w:val="24"/>
              </w:rPr>
              <w:t>年最小降雨量：975.6mm</w:t>
            </w:r>
          </w:p>
          <w:p>
            <w:pPr>
              <w:spacing w:line="360" w:lineRule="auto"/>
              <w:ind w:firstLine="480" w:firstLineChars="200"/>
              <w:rPr>
                <w:sz w:val="24"/>
              </w:rPr>
            </w:pPr>
            <w:r>
              <w:rPr>
                <w:sz w:val="24"/>
              </w:rPr>
              <w:t>最大一日暴雨量：132.6mm</w:t>
            </w:r>
          </w:p>
          <w:p>
            <w:pPr>
              <w:spacing w:line="360" w:lineRule="auto"/>
              <w:ind w:firstLine="480" w:firstLineChars="200"/>
              <w:rPr>
                <w:sz w:val="24"/>
              </w:rPr>
            </w:pPr>
            <w:r>
              <w:rPr>
                <w:sz w:val="24"/>
              </w:rPr>
              <w:t>(3) 蒸发量</w:t>
            </w:r>
          </w:p>
          <w:p>
            <w:pPr>
              <w:spacing w:line="360" w:lineRule="auto"/>
              <w:ind w:firstLine="480" w:firstLineChars="200"/>
              <w:rPr>
                <w:sz w:val="24"/>
              </w:rPr>
            </w:pPr>
            <w:r>
              <w:rPr>
                <w:sz w:val="24"/>
              </w:rPr>
              <w:t>多年平均蒸发量：1035.2mm</w:t>
            </w:r>
          </w:p>
          <w:p>
            <w:pPr>
              <w:spacing w:line="360" w:lineRule="auto"/>
              <w:ind w:firstLine="480" w:firstLineChars="200"/>
              <w:rPr>
                <w:sz w:val="24"/>
              </w:rPr>
            </w:pPr>
            <w:r>
              <w:rPr>
                <w:sz w:val="24"/>
              </w:rPr>
              <w:t>(4) 湿度</w:t>
            </w:r>
          </w:p>
          <w:p>
            <w:pPr>
              <w:spacing w:line="360" w:lineRule="auto"/>
              <w:ind w:firstLine="480" w:firstLineChars="200"/>
              <w:rPr>
                <w:sz w:val="24"/>
              </w:rPr>
            </w:pPr>
            <w:r>
              <w:rPr>
                <w:sz w:val="24"/>
              </w:rPr>
              <w:t>年平均相对湿度：80%</w:t>
            </w:r>
          </w:p>
          <w:p>
            <w:pPr>
              <w:spacing w:line="360" w:lineRule="auto"/>
              <w:ind w:firstLine="480" w:firstLineChars="200"/>
              <w:rPr>
                <w:sz w:val="24"/>
              </w:rPr>
            </w:pPr>
            <w:r>
              <w:rPr>
                <w:sz w:val="24"/>
              </w:rPr>
              <w:t>(5) 无霜期</w:t>
            </w:r>
          </w:p>
          <w:p>
            <w:pPr>
              <w:spacing w:line="360" w:lineRule="auto"/>
              <w:ind w:firstLine="480" w:firstLineChars="200"/>
              <w:rPr>
                <w:sz w:val="24"/>
              </w:rPr>
            </w:pPr>
            <w:r>
              <w:rPr>
                <w:sz w:val="24"/>
              </w:rPr>
              <w:t>年平均无霜期天数；275天。</w:t>
            </w:r>
          </w:p>
          <w:p>
            <w:pPr>
              <w:spacing w:line="360" w:lineRule="auto"/>
              <w:ind w:firstLine="480" w:firstLineChars="200"/>
              <w:rPr>
                <w:sz w:val="24"/>
              </w:rPr>
            </w:pPr>
            <w:r>
              <w:rPr>
                <w:sz w:val="24"/>
              </w:rPr>
              <w:t>(6) 风向及风速</w:t>
            </w:r>
          </w:p>
          <w:p>
            <w:pPr>
              <w:spacing w:line="360" w:lineRule="auto"/>
              <w:ind w:firstLine="480" w:firstLineChars="200"/>
              <w:rPr>
                <w:sz w:val="24"/>
              </w:rPr>
            </w:pPr>
            <w:r>
              <w:rPr>
                <w:sz w:val="24"/>
              </w:rPr>
              <w:t>抚州市区多年平均风速2.3m/s，最大风速20m/s。全年风向变化较大，6～8月多为南风，其它月份以北风为主。</w:t>
            </w:r>
          </w:p>
          <w:p>
            <w:pPr>
              <w:spacing w:line="360" w:lineRule="auto"/>
              <w:ind w:firstLine="480" w:firstLineChars="200"/>
              <w:rPr>
                <w:b/>
                <w:bCs/>
                <w:sz w:val="24"/>
              </w:rPr>
            </w:pPr>
            <w:r>
              <w:rPr>
                <w:b/>
                <w:bCs/>
                <w:sz w:val="24"/>
              </w:rPr>
              <w:t>四、水文</w:t>
            </w:r>
          </w:p>
          <w:p>
            <w:pPr>
              <w:spacing w:line="360" w:lineRule="auto"/>
              <w:ind w:firstLine="480" w:firstLineChars="200"/>
              <w:rPr>
                <w:b/>
                <w:bCs/>
                <w:sz w:val="24"/>
              </w:rPr>
            </w:pPr>
            <w:r>
              <w:rPr>
                <w:sz w:val="24"/>
              </w:rPr>
              <w:t>全市有抚河、信江、赣江三大水系，大小河流470条。水流方向除赣江水系乌江外，均由南向北汇入鄱阳湖。1.抚河水系。抚河古称盱江，又名汝水，贯穿抚州市中南部，是流入鄱阳湖区主要支流之一，为全省仅次于赣江的第二大河流。抚河干流总长350千米，流径境内长271千米，多年平均径流量为78.9亿立方米，流域面积为16800平方千米。抚河主要支流有临水、盱江、黎滩河、东乡水。2.赣江水系。市内赣江水系主要河流在乐安县境内，流域面积为1422平方千米，有青田水、南村水、敖溪水、潭港水、招携水、牛田水、湖坪水、柯树水。3.信江水系。市内信江水系河流分布在东乡、金溪、资溪三县，流域面积为1560平方千米，有泸溪水、黄通水、肠田水。此外，还有直接流入鄱阳湖的润溪河，其发源于东乡县北部愉怡乡眉毛尖，全长21千米，市内流域面积为116.2平方千米。</w:t>
            </w:r>
          </w:p>
          <w:p>
            <w:pPr>
              <w:spacing w:line="360" w:lineRule="auto"/>
              <w:ind w:firstLine="480" w:firstLineChars="200"/>
              <w:rPr>
                <w:b/>
                <w:bCs/>
                <w:sz w:val="24"/>
              </w:rPr>
            </w:pPr>
            <w:r>
              <w:rPr>
                <w:b/>
                <w:bCs/>
                <w:sz w:val="24"/>
              </w:rPr>
              <w:t>五、水文地质</w:t>
            </w:r>
          </w:p>
          <w:p>
            <w:pPr>
              <w:spacing w:after="0" w:line="360" w:lineRule="auto"/>
              <w:ind w:firstLine="480" w:firstLineChars="200"/>
              <w:rPr>
                <w:sz w:val="24"/>
              </w:rPr>
            </w:pPr>
          </w:p>
        </w:tc>
      </w:tr>
    </w:tbl>
    <w:p>
      <w:pPr>
        <w:sectPr>
          <w:footerReference w:type="even" r:id="rId28"/>
          <w:footerReference w:type="default" r:id="rId29"/>
          <w:footerReference w:type="first" r:id="rId30"/>
          <w:type w:val="nextPage"/>
          <w:pgSz w:w="11906" w:h="16838"/>
          <w:pgMar w:top="1134" w:right="1418" w:bottom="1134" w:left="1418" w:header="851" w:footer="992" w:gutter="0"/>
          <w:pgNumType w:start="9"/>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top w:w="0" w:type="dxa"/>
          <w:left w:w="0" w:type="dxa"/>
          <w:bottom w:w="0" w:type="dxa"/>
          <w:right w:w="0" w:type="dxa"/>
        </w:tblCellMar>
        <w:tblLook w:val="0000"/>
      </w:tblPr>
      <w:tblGrid>
        <w:gridCol w:w="9354"/>
      </w:tblGrid>
      <w:tr>
        <w:tblPrEx>
          <w:jc w:val="center"/>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top w:w="0" w:type="dxa"/>
            <w:left w:w="0" w:type="dxa"/>
            <w:bottom w:w="0" w:type="dxa"/>
            <w:right w:w="0" w:type="dxa"/>
          </w:tblCellMar>
          <w:tblLook w:val="0000"/>
        </w:tblPrEx>
        <w:trPr>
          <w:trHeight w:val="13861"/>
          <w:jc w:val="center"/>
        </w:trPr>
        <w:tc>
          <w:tcPr>
            <w:tcW w:w="9354" w:type="dxa"/>
          </w:tcPr>
          <w:p>
            <w:pPr>
              <w:spacing w:before="0" w:line="360" w:lineRule="auto"/>
              <w:ind w:firstLine="480" w:firstLineChars="200"/>
              <w:rPr>
                <w:sz w:val="24"/>
              </w:rPr>
            </w:pPr>
            <w:r>
              <w:rPr>
                <w:sz w:val="24"/>
              </w:rPr>
              <w:t>抚州市临川区地下水可划分为三个主要含水层：（1）松散堆积砂砾孔隙含水层，广泛分布在抚河、临水两岸的河漫滩及一级阶地的冲积平原中。其下部的砾石层内含有孔隙水，含水厚度一般在10m左右，埋藏深度1.4m～2.3m；边缘低丘较深，为2m～7m；平原径流区较浅，为0.59m～2.7m。地下水除局部地段具微承外，多属无压浅层地下水。（2）溶钙孔隙含水层。（3）基岩裂隙含水层。</w:t>
            </w:r>
          </w:p>
          <w:p>
            <w:pPr>
              <w:spacing w:line="360" w:lineRule="auto"/>
              <w:ind w:firstLine="480" w:firstLineChars="200"/>
              <w:rPr>
                <w:b/>
                <w:bCs/>
                <w:sz w:val="24"/>
              </w:rPr>
            </w:pPr>
            <w:r>
              <w:rPr>
                <w:b/>
                <w:bCs/>
                <w:sz w:val="24"/>
              </w:rPr>
              <w:t>六、工程地质</w:t>
            </w:r>
          </w:p>
          <w:p>
            <w:pPr>
              <w:spacing w:line="360" w:lineRule="auto"/>
              <w:ind w:firstLine="480" w:firstLineChars="200"/>
              <w:rPr>
                <w:sz w:val="24"/>
              </w:rPr>
            </w:pPr>
            <w:r>
              <w:rPr>
                <w:sz w:val="24"/>
              </w:rPr>
              <w:t>抚河盆地中部，为大片第四纪沉积物所覆盖，基岩零星出露，构造简单；主要是东北走向，倾向西北的单斜构造。沿河地带为冲积平原Ⅰ级阶地。地层岩性自上而下通常由表土、粉细砂、中粗砂含砾和基岩组成。厂址所在地地势平坦，未发现不良地质现象</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pPr>
              <w:adjustRightInd w:val="0"/>
              <w:snapToGrid w:val="0"/>
              <w:spacing w:before="120" w:line="360" w:lineRule="auto"/>
              <w:rPr>
                <w:b/>
                <w:bCs/>
                <w:szCs w:val="28"/>
              </w:rPr>
            </w:pPr>
            <w:r>
              <w:rPr>
                <w:b/>
                <w:bCs/>
                <w:szCs w:val="28"/>
              </w:rPr>
              <w:t>本项目拟选址所在区域环境功能属性</w:t>
            </w:r>
          </w:p>
          <w:p>
            <w:pPr>
              <w:adjustRightInd w:val="0"/>
              <w:snapToGrid w:val="0"/>
              <w:spacing w:line="360" w:lineRule="auto"/>
              <w:jc w:val="center"/>
              <w:rPr>
                <w:b/>
                <w:bCs/>
                <w:sz w:val="24"/>
                <w:szCs w:val="24"/>
              </w:rPr>
            </w:pPr>
            <w:r>
              <w:rPr>
                <w:b/>
                <w:bCs/>
                <w:sz w:val="24"/>
                <w:szCs w:val="24"/>
              </w:rPr>
              <w:t>表</w:t>
            </w:r>
            <w:r>
              <w:rPr>
                <w:rFonts w:hint="eastAsia"/>
                <w:b/>
                <w:bCs/>
                <w:sz w:val="24"/>
                <w:szCs w:val="24"/>
              </w:rPr>
              <w:t>5</w:t>
            </w:r>
            <w:r>
              <w:rPr>
                <w:b/>
                <w:bCs/>
                <w:sz w:val="24"/>
                <w:szCs w:val="24"/>
              </w:rPr>
              <w:t xml:space="preserve">  </w:t>
            </w:r>
            <w:r>
              <w:rPr>
                <w:b/>
                <w:bCs/>
                <w:sz w:val="24"/>
                <w:szCs w:val="24"/>
              </w:rPr>
              <w:t>建设项目所属功能区区划分类表</w:t>
            </w:r>
          </w:p>
          <w:tbl>
            <w:tblPr>
              <w:tblStyle w:val="TableNormal"/>
              <w:jc w:val="center"/>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16"/>
              <w:gridCol w:w="2392"/>
              <w:gridCol w:w="5749"/>
            </w:tblGrid>
            <w:tr>
              <w:tblPrEx>
                <w:jc w:val="center"/>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cantSplit/>
                <w:trHeight w:val="308"/>
                <w:jc w:val="center"/>
              </w:trPr>
              <w:tc>
                <w:tcPr>
                  <w:tcW w:w="816" w:type="dxa"/>
                  <w:vAlign w:val="center"/>
                </w:tcPr>
                <w:p>
                  <w:pPr>
                    <w:jc w:val="center"/>
                    <w:rPr>
                      <w:b/>
                      <w:bCs/>
                      <w:sz w:val="21"/>
                      <w:szCs w:val="21"/>
                    </w:rPr>
                  </w:pPr>
                  <w:r>
                    <w:rPr>
                      <w:b/>
                      <w:bCs/>
                      <w:sz w:val="21"/>
                      <w:szCs w:val="21"/>
                    </w:rPr>
                    <w:t>序号</w:t>
                  </w:r>
                </w:p>
              </w:tc>
              <w:tc>
                <w:tcPr>
                  <w:tcW w:w="2392" w:type="dxa"/>
                  <w:vAlign w:val="center"/>
                </w:tcPr>
                <w:p>
                  <w:pPr>
                    <w:pStyle w:val="32"/>
                    <w:rPr>
                      <w:rFonts w:ascii="Times New Roman" w:hAnsi="Times New Roman"/>
                      <w:b/>
                      <w:bCs/>
                      <w:kern w:val="2"/>
                      <w:sz w:val="21"/>
                      <w:szCs w:val="21"/>
                    </w:rPr>
                  </w:pPr>
                  <w:r>
                    <w:rPr>
                      <w:rFonts w:ascii="Times New Roman" w:hAnsi="Times New Roman"/>
                      <w:b/>
                      <w:bCs/>
                      <w:kern w:val="2"/>
                      <w:sz w:val="21"/>
                      <w:szCs w:val="21"/>
                    </w:rPr>
                    <w:t>功能区类别</w:t>
                  </w:r>
                </w:p>
              </w:tc>
              <w:tc>
                <w:tcPr>
                  <w:tcW w:w="5749" w:type="dxa"/>
                  <w:vAlign w:val="center"/>
                </w:tcPr>
                <w:p>
                  <w:pPr>
                    <w:pStyle w:val="32"/>
                    <w:rPr>
                      <w:rFonts w:ascii="Times New Roman" w:hAnsi="Times New Roman"/>
                      <w:b/>
                      <w:bCs/>
                      <w:kern w:val="2"/>
                      <w:sz w:val="21"/>
                      <w:szCs w:val="21"/>
                    </w:rPr>
                  </w:pPr>
                  <w:r>
                    <w:rPr>
                      <w:rFonts w:ascii="Times New Roman" w:hAnsi="Times New Roman"/>
                      <w:b/>
                      <w:bCs/>
                      <w:kern w:val="2"/>
                      <w:sz w:val="21"/>
                      <w:szCs w:val="21"/>
                    </w:rPr>
                    <w:t>功能区分类及执行标准</w:t>
                  </w:r>
                </w:p>
              </w:tc>
            </w:tr>
            <w:tr>
              <w:tblPrEx>
                <w:jc w:val="center"/>
                <w:tblInd w:w="15" w:type="dxa"/>
                <w:tblLayout w:type="fixed"/>
                <w:tblCellMar>
                  <w:top w:w="0" w:type="dxa"/>
                  <w:left w:w="0" w:type="dxa"/>
                  <w:bottom w:w="0" w:type="dxa"/>
                  <w:right w:w="0" w:type="dxa"/>
                </w:tblCellMar>
                <w:tblLook w:val="0000"/>
              </w:tblPrEx>
              <w:trPr>
                <w:cantSplit/>
                <w:trHeight w:val="673"/>
                <w:jc w:val="center"/>
              </w:trPr>
              <w:tc>
                <w:tcPr>
                  <w:tcW w:w="816" w:type="dxa"/>
                  <w:vAlign w:val="center"/>
                </w:tcPr>
                <w:p>
                  <w:pPr>
                    <w:ind w:firstLine="99"/>
                    <w:jc w:val="center"/>
                    <w:rPr>
                      <w:sz w:val="21"/>
                      <w:szCs w:val="21"/>
                    </w:rPr>
                  </w:pPr>
                  <w:r>
                    <w:rPr>
                      <w:sz w:val="21"/>
                      <w:szCs w:val="21"/>
                    </w:rPr>
                    <w:t>1</w:t>
                  </w:r>
                </w:p>
              </w:tc>
              <w:tc>
                <w:tcPr>
                  <w:tcW w:w="2392" w:type="dxa"/>
                  <w:vAlign w:val="center"/>
                </w:tcPr>
                <w:p>
                  <w:pPr>
                    <w:ind w:firstLine="50"/>
                    <w:jc w:val="center"/>
                    <w:rPr>
                      <w:sz w:val="21"/>
                      <w:szCs w:val="21"/>
                    </w:rPr>
                  </w:pPr>
                  <w:r>
                    <w:rPr>
                      <w:sz w:val="21"/>
                      <w:szCs w:val="21"/>
                    </w:rPr>
                    <w:t>水环境功能区</w:t>
                  </w:r>
                </w:p>
              </w:tc>
              <w:tc>
                <w:tcPr>
                  <w:tcW w:w="5749" w:type="dxa"/>
                  <w:vAlign w:val="center"/>
                </w:tcPr>
                <w:p>
                  <w:pPr>
                    <w:ind w:firstLine="1"/>
                    <w:rPr>
                      <w:sz w:val="21"/>
                      <w:szCs w:val="21"/>
                    </w:rPr>
                  </w:pPr>
                  <w:r>
                    <w:rPr>
                      <w:rFonts w:hint="eastAsia"/>
                      <w:sz w:val="21"/>
                      <w:szCs w:val="21"/>
                    </w:rPr>
                    <w:t>抚河、南岸湖，</w:t>
                  </w:r>
                  <w:r>
                    <w:rPr>
                      <w:sz w:val="21"/>
                      <w:szCs w:val="21"/>
                    </w:rPr>
                    <w:t>执行《地表水环境质量标准》(GB3838-2002)Ⅲ类标准；</w:t>
                  </w:r>
                </w:p>
              </w:tc>
            </w:tr>
            <w:tr>
              <w:tblPrEx>
                <w:jc w:val="center"/>
                <w:tblInd w:w="15" w:type="dxa"/>
                <w:tblLayout w:type="fixed"/>
                <w:tblCellMar>
                  <w:top w:w="0" w:type="dxa"/>
                  <w:left w:w="0" w:type="dxa"/>
                  <w:bottom w:w="0" w:type="dxa"/>
                  <w:right w:w="0" w:type="dxa"/>
                </w:tblCellMar>
                <w:tblLook w:val="0000"/>
              </w:tblPrEx>
              <w:trPr>
                <w:cantSplit/>
                <w:trHeight w:val="658"/>
                <w:jc w:val="center"/>
              </w:trPr>
              <w:tc>
                <w:tcPr>
                  <w:tcW w:w="816" w:type="dxa"/>
                  <w:vAlign w:val="center"/>
                </w:tcPr>
                <w:p>
                  <w:pPr>
                    <w:ind w:firstLine="99"/>
                    <w:jc w:val="center"/>
                    <w:rPr>
                      <w:sz w:val="21"/>
                      <w:szCs w:val="21"/>
                    </w:rPr>
                  </w:pPr>
                  <w:r>
                    <w:rPr>
                      <w:sz w:val="21"/>
                      <w:szCs w:val="21"/>
                    </w:rPr>
                    <w:t>2</w:t>
                  </w:r>
                </w:p>
              </w:tc>
              <w:tc>
                <w:tcPr>
                  <w:tcW w:w="2392" w:type="dxa"/>
                  <w:vAlign w:val="center"/>
                </w:tcPr>
                <w:p>
                  <w:pPr>
                    <w:ind w:firstLine="50"/>
                    <w:jc w:val="center"/>
                    <w:rPr>
                      <w:sz w:val="21"/>
                      <w:szCs w:val="21"/>
                    </w:rPr>
                  </w:pPr>
                  <w:r>
                    <w:rPr>
                      <w:sz w:val="21"/>
                      <w:szCs w:val="21"/>
                    </w:rPr>
                    <w:t>环境空气质量功能区</w:t>
                  </w:r>
                </w:p>
              </w:tc>
              <w:tc>
                <w:tcPr>
                  <w:tcW w:w="5749" w:type="dxa"/>
                  <w:vAlign w:val="center"/>
                </w:tcPr>
                <w:p>
                  <w:pPr>
                    <w:ind w:firstLine="1"/>
                    <w:rPr>
                      <w:sz w:val="21"/>
                      <w:szCs w:val="21"/>
                    </w:rPr>
                  </w:pPr>
                  <w:r>
                    <w:rPr>
                      <w:sz w:val="21"/>
                      <w:szCs w:val="21"/>
                    </w:rPr>
                    <w:t>二类区，执行《环境空气质量标准》(GB3095-</w:t>
                  </w:r>
                  <w:r>
                    <w:rPr>
                      <w:rFonts w:hint="eastAsia"/>
                      <w:sz w:val="21"/>
                      <w:szCs w:val="21"/>
                    </w:rPr>
                    <w:t>2012）中的</w:t>
                  </w:r>
                  <w:r>
                    <w:rPr>
                      <w:sz w:val="21"/>
                      <w:szCs w:val="21"/>
                    </w:rPr>
                    <w:t>二级标准；</w:t>
                  </w:r>
                </w:p>
              </w:tc>
            </w:tr>
            <w:tr>
              <w:tblPrEx>
                <w:jc w:val="center"/>
                <w:tblInd w:w="15" w:type="dxa"/>
                <w:tblLayout w:type="fixed"/>
                <w:tblCellMar>
                  <w:top w:w="0" w:type="dxa"/>
                  <w:left w:w="0" w:type="dxa"/>
                  <w:bottom w:w="0" w:type="dxa"/>
                  <w:right w:w="0" w:type="dxa"/>
                </w:tblCellMar>
                <w:tblLook w:val="0000"/>
              </w:tblPrEx>
              <w:trPr>
                <w:cantSplit/>
                <w:trHeight w:val="692"/>
                <w:jc w:val="center"/>
              </w:trPr>
              <w:tc>
                <w:tcPr>
                  <w:tcW w:w="816" w:type="dxa"/>
                  <w:vAlign w:val="center"/>
                </w:tcPr>
                <w:p>
                  <w:pPr>
                    <w:ind w:firstLine="99"/>
                    <w:jc w:val="center"/>
                    <w:rPr>
                      <w:sz w:val="21"/>
                      <w:szCs w:val="21"/>
                    </w:rPr>
                  </w:pPr>
                  <w:r>
                    <w:rPr>
                      <w:sz w:val="21"/>
                      <w:szCs w:val="21"/>
                    </w:rPr>
                    <w:t>3</w:t>
                  </w:r>
                </w:p>
              </w:tc>
              <w:tc>
                <w:tcPr>
                  <w:tcW w:w="2392" w:type="dxa"/>
                  <w:vAlign w:val="center"/>
                </w:tcPr>
                <w:p>
                  <w:pPr>
                    <w:ind w:firstLine="50"/>
                    <w:jc w:val="center"/>
                    <w:rPr>
                      <w:sz w:val="21"/>
                      <w:szCs w:val="21"/>
                    </w:rPr>
                  </w:pPr>
                  <w:r>
                    <w:rPr>
                      <w:sz w:val="21"/>
                      <w:szCs w:val="21"/>
                    </w:rPr>
                    <w:t>声环境功能区</w:t>
                  </w:r>
                </w:p>
              </w:tc>
              <w:tc>
                <w:tcPr>
                  <w:tcW w:w="5749" w:type="dxa"/>
                  <w:vAlign w:val="center"/>
                </w:tcPr>
                <w:p>
                  <w:pPr>
                    <w:ind w:firstLine="1"/>
                    <w:rPr>
                      <w:sz w:val="21"/>
                      <w:szCs w:val="21"/>
                    </w:rPr>
                  </w:pPr>
                  <w:r>
                    <w:rPr>
                      <w:rFonts w:hint="eastAsia"/>
                      <w:sz w:val="21"/>
                      <w:szCs w:val="21"/>
                    </w:rPr>
                    <w:t>2</w:t>
                  </w:r>
                  <w:r>
                    <w:rPr>
                      <w:sz w:val="21"/>
                      <w:szCs w:val="21"/>
                    </w:rPr>
                    <w:t>类</w:t>
                  </w:r>
                  <w:r>
                    <w:rPr>
                      <w:rFonts w:hint="eastAsia"/>
                      <w:sz w:val="21"/>
                      <w:szCs w:val="21"/>
                    </w:rPr>
                    <w:t>、4a类</w:t>
                  </w:r>
                  <w:r>
                    <w:rPr>
                      <w:sz w:val="21"/>
                      <w:szCs w:val="21"/>
                    </w:rPr>
                    <w:t>区，执行《声环境质量标准》(GB3096-2008)</w:t>
                  </w:r>
                  <w:r>
                    <w:rPr>
                      <w:rFonts w:hint="eastAsia"/>
                      <w:sz w:val="21"/>
                      <w:szCs w:val="21"/>
                    </w:rPr>
                    <w:t>2</w:t>
                  </w:r>
                  <w:r>
                    <w:rPr>
                      <w:sz w:val="21"/>
                      <w:szCs w:val="21"/>
                    </w:rPr>
                    <w:t>类</w:t>
                  </w:r>
                  <w:r>
                    <w:rPr>
                      <w:rFonts w:hint="eastAsia"/>
                      <w:sz w:val="21"/>
                      <w:szCs w:val="21"/>
                    </w:rPr>
                    <w:t>、4a</w:t>
                  </w:r>
                  <w:r>
                    <w:rPr>
                      <w:sz w:val="21"/>
                      <w:szCs w:val="21"/>
                    </w:rPr>
                    <w:t>标准；</w:t>
                  </w:r>
                </w:p>
              </w:tc>
            </w:tr>
            <w:tr>
              <w:tblPrEx>
                <w:jc w:val="center"/>
                <w:tblInd w:w="15" w:type="dxa"/>
                <w:tblLayout w:type="fixed"/>
                <w:tblCellMar>
                  <w:top w:w="0" w:type="dxa"/>
                  <w:left w:w="0" w:type="dxa"/>
                  <w:bottom w:w="0" w:type="dxa"/>
                  <w:right w:w="0" w:type="dxa"/>
                </w:tblCellMar>
                <w:tblLook w:val="0000"/>
              </w:tblPrEx>
              <w:trPr>
                <w:cantSplit/>
                <w:trHeight w:val="337"/>
                <w:jc w:val="center"/>
              </w:trPr>
              <w:tc>
                <w:tcPr>
                  <w:tcW w:w="816" w:type="dxa"/>
                  <w:vAlign w:val="center"/>
                </w:tcPr>
                <w:p>
                  <w:pPr>
                    <w:ind w:firstLine="99"/>
                    <w:jc w:val="center"/>
                    <w:rPr>
                      <w:sz w:val="21"/>
                      <w:szCs w:val="21"/>
                    </w:rPr>
                  </w:pPr>
                  <w:r>
                    <w:rPr>
                      <w:sz w:val="21"/>
                      <w:szCs w:val="21"/>
                    </w:rPr>
                    <w:t>4</w:t>
                  </w:r>
                </w:p>
              </w:tc>
              <w:tc>
                <w:tcPr>
                  <w:tcW w:w="2392" w:type="dxa"/>
                  <w:vAlign w:val="center"/>
                </w:tcPr>
                <w:p>
                  <w:pPr>
                    <w:ind w:firstLine="50"/>
                    <w:jc w:val="center"/>
                    <w:rPr>
                      <w:sz w:val="21"/>
                      <w:szCs w:val="21"/>
                    </w:rPr>
                  </w:pPr>
                  <w:r>
                    <w:rPr>
                      <w:sz w:val="21"/>
                      <w:szCs w:val="21"/>
                    </w:rPr>
                    <w:t>是否基本农田保护区</w:t>
                  </w:r>
                </w:p>
              </w:tc>
              <w:tc>
                <w:tcPr>
                  <w:tcW w:w="5749" w:type="dxa"/>
                  <w:vAlign w:val="center"/>
                </w:tcPr>
                <w:p>
                  <w:pPr>
                    <w:tabs>
                      <w:tab w:val="left" w:pos="180"/>
                      <w:tab w:val="center" w:pos="2144"/>
                    </w:tabs>
                    <w:ind w:firstLine="1"/>
                    <w:jc w:val="center"/>
                    <w:rPr>
                      <w:sz w:val="21"/>
                      <w:szCs w:val="21"/>
                    </w:rPr>
                  </w:pPr>
                  <w:r>
                    <w:rPr>
                      <w:sz w:val="21"/>
                      <w:szCs w:val="21"/>
                    </w:rPr>
                    <w:t>否</w:t>
                  </w:r>
                </w:p>
              </w:tc>
            </w:tr>
            <w:tr>
              <w:tblPrEx>
                <w:jc w:val="center"/>
                <w:tblInd w:w="15" w:type="dxa"/>
                <w:tblLayout w:type="fixed"/>
                <w:tblCellMar>
                  <w:top w:w="0" w:type="dxa"/>
                  <w:left w:w="0" w:type="dxa"/>
                  <w:bottom w:w="0" w:type="dxa"/>
                  <w:right w:w="0" w:type="dxa"/>
                </w:tblCellMar>
                <w:tblLook w:val="0000"/>
              </w:tblPrEx>
              <w:trPr>
                <w:cantSplit/>
                <w:trHeight w:val="337"/>
                <w:jc w:val="center"/>
              </w:trPr>
              <w:tc>
                <w:tcPr>
                  <w:tcW w:w="816" w:type="dxa"/>
                  <w:vAlign w:val="center"/>
                </w:tcPr>
                <w:p>
                  <w:pPr>
                    <w:ind w:firstLine="99"/>
                    <w:jc w:val="center"/>
                    <w:rPr>
                      <w:sz w:val="21"/>
                      <w:szCs w:val="21"/>
                    </w:rPr>
                  </w:pPr>
                  <w:r>
                    <w:rPr>
                      <w:sz w:val="21"/>
                      <w:szCs w:val="21"/>
                    </w:rPr>
                    <w:t>5</w:t>
                  </w:r>
                </w:p>
              </w:tc>
              <w:tc>
                <w:tcPr>
                  <w:tcW w:w="2392" w:type="dxa"/>
                  <w:vAlign w:val="center"/>
                </w:tcPr>
                <w:p>
                  <w:pPr>
                    <w:ind w:firstLine="50"/>
                    <w:jc w:val="center"/>
                    <w:rPr>
                      <w:sz w:val="21"/>
                      <w:szCs w:val="21"/>
                    </w:rPr>
                  </w:pPr>
                  <w:r>
                    <w:rPr>
                      <w:sz w:val="21"/>
                      <w:szCs w:val="21"/>
                    </w:rPr>
                    <w:t>是否风景保护区</w:t>
                  </w:r>
                </w:p>
              </w:tc>
              <w:tc>
                <w:tcPr>
                  <w:tcW w:w="5749" w:type="dxa"/>
                  <w:vAlign w:val="center"/>
                </w:tcPr>
                <w:p>
                  <w:pPr>
                    <w:ind w:firstLine="1"/>
                    <w:jc w:val="center"/>
                    <w:rPr>
                      <w:sz w:val="21"/>
                      <w:szCs w:val="21"/>
                    </w:rPr>
                  </w:pPr>
                  <w:r>
                    <w:rPr>
                      <w:sz w:val="21"/>
                      <w:szCs w:val="21"/>
                    </w:rPr>
                    <w:t>否</w:t>
                  </w:r>
                </w:p>
              </w:tc>
            </w:tr>
            <w:tr>
              <w:tblPrEx>
                <w:jc w:val="center"/>
                <w:tblInd w:w="15" w:type="dxa"/>
                <w:tblLayout w:type="fixed"/>
                <w:tblCellMar>
                  <w:top w:w="0" w:type="dxa"/>
                  <w:left w:w="0" w:type="dxa"/>
                  <w:bottom w:w="0" w:type="dxa"/>
                  <w:right w:w="0" w:type="dxa"/>
                </w:tblCellMar>
                <w:tblLook w:val="0000"/>
              </w:tblPrEx>
              <w:trPr>
                <w:cantSplit/>
                <w:trHeight w:val="320"/>
                <w:jc w:val="center"/>
              </w:trPr>
              <w:tc>
                <w:tcPr>
                  <w:tcW w:w="816" w:type="dxa"/>
                  <w:vAlign w:val="center"/>
                </w:tcPr>
                <w:p>
                  <w:pPr>
                    <w:ind w:firstLine="99"/>
                    <w:jc w:val="center"/>
                    <w:rPr>
                      <w:sz w:val="21"/>
                      <w:szCs w:val="21"/>
                    </w:rPr>
                  </w:pPr>
                  <w:r>
                    <w:rPr>
                      <w:sz w:val="21"/>
                      <w:szCs w:val="21"/>
                    </w:rPr>
                    <w:t>6</w:t>
                  </w:r>
                </w:p>
              </w:tc>
              <w:tc>
                <w:tcPr>
                  <w:tcW w:w="2392" w:type="dxa"/>
                  <w:vAlign w:val="center"/>
                </w:tcPr>
                <w:p>
                  <w:pPr>
                    <w:ind w:firstLine="50"/>
                    <w:jc w:val="center"/>
                    <w:rPr>
                      <w:sz w:val="21"/>
                      <w:szCs w:val="21"/>
                    </w:rPr>
                  </w:pPr>
                  <w:r>
                    <w:rPr>
                      <w:sz w:val="21"/>
                      <w:szCs w:val="21"/>
                    </w:rPr>
                    <w:t>是否水库库区</w:t>
                  </w:r>
                </w:p>
              </w:tc>
              <w:tc>
                <w:tcPr>
                  <w:tcW w:w="5749" w:type="dxa"/>
                  <w:vAlign w:val="center"/>
                </w:tcPr>
                <w:p>
                  <w:pPr>
                    <w:ind w:firstLine="1"/>
                    <w:jc w:val="center"/>
                    <w:rPr>
                      <w:sz w:val="21"/>
                      <w:szCs w:val="21"/>
                    </w:rPr>
                  </w:pPr>
                  <w:r>
                    <w:rPr>
                      <w:sz w:val="21"/>
                      <w:szCs w:val="21"/>
                    </w:rPr>
                    <w:t>否</w:t>
                  </w:r>
                </w:p>
              </w:tc>
            </w:tr>
            <w:tr>
              <w:tblPrEx>
                <w:jc w:val="center"/>
                <w:tblInd w:w="15" w:type="dxa"/>
                <w:tblLayout w:type="fixed"/>
                <w:tblCellMar>
                  <w:top w:w="0" w:type="dxa"/>
                  <w:left w:w="0" w:type="dxa"/>
                  <w:bottom w:w="0" w:type="dxa"/>
                  <w:right w:w="0" w:type="dxa"/>
                </w:tblCellMar>
                <w:tblLook w:val="0000"/>
              </w:tblPrEx>
              <w:trPr>
                <w:cantSplit/>
                <w:trHeight w:val="337"/>
                <w:jc w:val="center"/>
              </w:trPr>
              <w:tc>
                <w:tcPr>
                  <w:tcW w:w="816" w:type="dxa"/>
                  <w:vAlign w:val="center"/>
                </w:tcPr>
                <w:p>
                  <w:pPr>
                    <w:ind w:firstLine="99"/>
                    <w:jc w:val="center"/>
                    <w:rPr>
                      <w:sz w:val="21"/>
                      <w:szCs w:val="21"/>
                    </w:rPr>
                  </w:pPr>
                  <w:r>
                    <w:rPr>
                      <w:sz w:val="21"/>
                      <w:szCs w:val="21"/>
                    </w:rPr>
                    <w:t>7</w:t>
                  </w:r>
                </w:p>
              </w:tc>
              <w:tc>
                <w:tcPr>
                  <w:tcW w:w="2392" w:type="dxa"/>
                  <w:vAlign w:val="center"/>
                </w:tcPr>
                <w:p>
                  <w:pPr>
                    <w:ind w:firstLine="50"/>
                    <w:jc w:val="center"/>
                    <w:rPr>
                      <w:sz w:val="21"/>
                      <w:szCs w:val="21"/>
                    </w:rPr>
                  </w:pPr>
                  <w:r>
                    <w:rPr>
                      <w:sz w:val="21"/>
                      <w:szCs w:val="21"/>
                    </w:rPr>
                    <w:t>是否城镇污水集水范围</w:t>
                  </w:r>
                </w:p>
              </w:tc>
              <w:tc>
                <w:tcPr>
                  <w:tcW w:w="5749" w:type="dxa"/>
                  <w:vAlign w:val="center"/>
                </w:tcPr>
                <w:p>
                  <w:pPr>
                    <w:ind w:firstLine="1"/>
                    <w:jc w:val="center"/>
                    <w:rPr>
                      <w:sz w:val="21"/>
                      <w:szCs w:val="21"/>
                    </w:rPr>
                  </w:pPr>
                  <w:r>
                    <w:rPr>
                      <w:sz w:val="21"/>
                      <w:szCs w:val="21"/>
                    </w:rPr>
                    <w:t>是</w:t>
                  </w:r>
                  <w:r>
                    <w:rPr>
                      <w:rFonts w:hint="eastAsia"/>
                      <w:sz w:val="21"/>
                      <w:szCs w:val="21"/>
                    </w:rPr>
                    <w:t>，抚州市中心城区污水处理厂</w:t>
                  </w:r>
                </w:p>
              </w:tc>
            </w:tr>
            <w:tr>
              <w:tblPrEx>
                <w:jc w:val="center"/>
                <w:tblInd w:w="15" w:type="dxa"/>
                <w:tblLayout w:type="fixed"/>
                <w:tblCellMar>
                  <w:top w:w="0" w:type="dxa"/>
                  <w:left w:w="0" w:type="dxa"/>
                  <w:bottom w:w="0" w:type="dxa"/>
                  <w:right w:w="0" w:type="dxa"/>
                </w:tblCellMar>
                <w:tblLook w:val="0000"/>
              </w:tblPrEx>
              <w:trPr>
                <w:cantSplit/>
                <w:trHeight w:val="337"/>
                <w:jc w:val="center"/>
              </w:trPr>
              <w:tc>
                <w:tcPr>
                  <w:tcW w:w="816" w:type="dxa"/>
                  <w:vAlign w:val="center"/>
                </w:tcPr>
                <w:p>
                  <w:pPr>
                    <w:ind w:firstLine="99"/>
                    <w:jc w:val="center"/>
                    <w:rPr>
                      <w:sz w:val="21"/>
                      <w:szCs w:val="21"/>
                    </w:rPr>
                  </w:pPr>
                  <w:r>
                    <w:rPr>
                      <w:sz w:val="21"/>
                      <w:szCs w:val="21"/>
                    </w:rPr>
                    <w:t>8</w:t>
                  </w:r>
                </w:p>
              </w:tc>
              <w:tc>
                <w:tcPr>
                  <w:tcW w:w="2392" w:type="dxa"/>
                  <w:vAlign w:val="center"/>
                </w:tcPr>
                <w:p>
                  <w:pPr>
                    <w:ind w:firstLine="50"/>
                    <w:jc w:val="center"/>
                    <w:rPr>
                      <w:sz w:val="21"/>
                      <w:szCs w:val="21"/>
                    </w:rPr>
                  </w:pPr>
                  <w:r>
                    <w:rPr>
                      <w:sz w:val="21"/>
                      <w:szCs w:val="21"/>
                    </w:rPr>
                    <w:t>用地属性</w:t>
                  </w:r>
                </w:p>
              </w:tc>
              <w:tc>
                <w:tcPr>
                  <w:tcW w:w="5749" w:type="dxa"/>
                  <w:vAlign w:val="center"/>
                </w:tcPr>
                <w:p>
                  <w:pPr>
                    <w:ind w:firstLine="1"/>
                    <w:jc w:val="center"/>
                    <w:rPr>
                      <w:sz w:val="21"/>
                      <w:szCs w:val="21"/>
                    </w:rPr>
                  </w:pPr>
                  <w:r>
                    <w:rPr>
                      <w:rFonts w:hint="eastAsia"/>
                      <w:sz w:val="21"/>
                      <w:szCs w:val="21"/>
                    </w:rPr>
                    <w:t>商</w:t>
                  </w:r>
                  <w:r>
                    <w:rPr>
                      <w:sz w:val="21"/>
                      <w:szCs w:val="21"/>
                    </w:rPr>
                    <w:t>业</w:t>
                  </w:r>
                  <w:r>
                    <w:rPr>
                      <w:rFonts w:hint="eastAsia"/>
                      <w:sz w:val="21"/>
                      <w:szCs w:val="21"/>
                    </w:rPr>
                    <w:t>服务设施</w:t>
                  </w:r>
                  <w:r>
                    <w:rPr>
                      <w:sz w:val="21"/>
                      <w:szCs w:val="21"/>
                    </w:rPr>
                    <w:t>用地</w:t>
                  </w:r>
                </w:p>
              </w:tc>
            </w:tr>
            <w:tr>
              <w:tblPrEx>
                <w:jc w:val="center"/>
                <w:tblInd w:w="15" w:type="dxa"/>
                <w:tblLayout w:type="fixed"/>
                <w:tblCellMar>
                  <w:top w:w="0" w:type="dxa"/>
                  <w:left w:w="0" w:type="dxa"/>
                  <w:bottom w:w="0" w:type="dxa"/>
                  <w:right w:w="0" w:type="dxa"/>
                </w:tblCellMar>
                <w:tblLook w:val="0000"/>
              </w:tblPrEx>
              <w:trPr>
                <w:cantSplit/>
                <w:trHeight w:val="337"/>
                <w:jc w:val="center"/>
              </w:trPr>
              <w:tc>
                <w:tcPr>
                  <w:tcW w:w="816" w:type="dxa"/>
                  <w:vAlign w:val="center"/>
                </w:tcPr>
                <w:p>
                  <w:pPr>
                    <w:ind w:firstLine="99"/>
                    <w:jc w:val="center"/>
                    <w:rPr>
                      <w:sz w:val="21"/>
                      <w:szCs w:val="21"/>
                    </w:rPr>
                  </w:pPr>
                  <w:r>
                    <w:rPr>
                      <w:sz w:val="21"/>
                      <w:szCs w:val="21"/>
                    </w:rPr>
                    <w:t>9</w:t>
                  </w:r>
                </w:p>
              </w:tc>
              <w:tc>
                <w:tcPr>
                  <w:tcW w:w="2392" w:type="dxa"/>
                  <w:vAlign w:val="center"/>
                </w:tcPr>
                <w:p>
                  <w:pPr>
                    <w:ind w:firstLine="50"/>
                    <w:jc w:val="center"/>
                    <w:rPr>
                      <w:sz w:val="21"/>
                      <w:szCs w:val="21"/>
                    </w:rPr>
                  </w:pPr>
                  <w:r>
                    <w:rPr>
                      <w:sz w:val="21"/>
                      <w:szCs w:val="21"/>
                    </w:rPr>
                    <w:t>是否两控区</w:t>
                  </w:r>
                </w:p>
              </w:tc>
              <w:tc>
                <w:tcPr>
                  <w:tcW w:w="5749" w:type="dxa"/>
                  <w:vAlign w:val="center"/>
                </w:tcPr>
                <w:p>
                  <w:pPr>
                    <w:ind w:firstLine="1"/>
                    <w:jc w:val="center"/>
                    <w:rPr>
                      <w:sz w:val="21"/>
                      <w:szCs w:val="21"/>
                    </w:rPr>
                  </w:pPr>
                  <w:r>
                    <w:rPr>
                      <w:sz w:val="21"/>
                      <w:szCs w:val="21"/>
                    </w:rPr>
                    <w:t>否</w:t>
                  </w:r>
                </w:p>
              </w:tc>
            </w:tr>
          </w:tbl>
          <w:p>
            <w:pPr>
              <w:spacing w:line="360" w:lineRule="auto"/>
              <w:ind w:firstLine="480" w:firstLineChars="200"/>
              <w:rPr>
                <w:sz w:val="24"/>
              </w:rPr>
            </w:pPr>
          </w:p>
          <w:p>
            <w:pPr>
              <w:spacing w:line="360" w:lineRule="auto"/>
              <w:ind w:firstLine="480" w:firstLineChars="200"/>
              <w:rPr>
                <w:sz w:val="24"/>
              </w:rPr>
            </w:pPr>
          </w:p>
          <w:p>
            <w:pPr>
              <w:spacing w:line="360" w:lineRule="auto"/>
              <w:ind w:firstLine="480" w:firstLineChars="200"/>
              <w:rPr>
                <w:sz w:val="24"/>
              </w:rPr>
            </w:pPr>
          </w:p>
          <w:p>
            <w:pPr>
              <w:spacing w:line="360" w:lineRule="auto"/>
              <w:ind w:firstLine="480" w:firstLineChars="200"/>
              <w:rPr>
                <w:sz w:val="24"/>
              </w:rPr>
            </w:pPr>
          </w:p>
          <w:p>
            <w:pPr>
              <w:spacing w:line="360" w:lineRule="auto"/>
              <w:ind w:firstLine="480" w:firstLineChars="200"/>
              <w:rPr>
                <w:rFonts w:hint="eastAsia"/>
                <w:sz w:val="24"/>
              </w:rPr>
            </w:pPr>
          </w:p>
          <w:p>
            <w:pPr>
              <w:spacing w:line="500" w:lineRule="exact"/>
              <w:ind w:firstLine="480" w:firstLineChars="200"/>
              <w:rPr>
                <w:rFonts w:hint="eastAsia"/>
                <w:sz w:val="24"/>
                <w:szCs w:val="24"/>
              </w:rPr>
            </w:pPr>
          </w:p>
          <w:p>
            <w:pPr>
              <w:spacing w:line="500" w:lineRule="exact"/>
              <w:ind w:firstLine="480" w:firstLineChars="200"/>
              <w:rPr>
                <w:rFonts w:hint="eastAsia"/>
                <w:sz w:val="24"/>
                <w:szCs w:val="24"/>
              </w:rPr>
            </w:pPr>
          </w:p>
        </w:tc>
      </w:tr>
    </w:tbl>
    <w:p>
      <w:pPr>
        <w:sectPr>
          <w:footerReference w:type="even" r:id="rId31"/>
          <w:footerReference w:type="default" r:id="rId32"/>
          <w:footerReference w:type="first" r:id="rId33"/>
          <w:type w:val="nextPage"/>
          <w:pgSz w:w="11906" w:h="16838"/>
          <w:pgMar w:top="1134" w:right="1418" w:bottom="1134" w:left="1418" w:header="851" w:footer="992" w:gutter="0"/>
          <w:pgNumType w:start="10"/>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top w:w="0" w:type="dxa"/>
          <w:left w:w="0" w:type="dxa"/>
          <w:bottom w:w="0" w:type="dxa"/>
          <w:right w:w="0" w:type="dxa"/>
        </w:tblCellMar>
        <w:tblLook w:val="0000"/>
      </w:tblPr>
      <w:tblGrid>
        <w:gridCol w:w="9354"/>
      </w:tblGrid>
      <w:tr>
        <w:tblPrEx>
          <w:jc w:val="center"/>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top w:w="0" w:type="dxa"/>
            <w:left w:w="0" w:type="dxa"/>
            <w:bottom w:w="0" w:type="dxa"/>
            <w:right w:w="0" w:type="dxa"/>
          </w:tblCellMar>
          <w:tblLook w:val="0000"/>
        </w:tblPrEx>
        <w:trPr>
          <w:trHeight w:val="13861"/>
          <w:jc w:val="center"/>
        </w:trPr>
        <w:tc>
          <w:tcPr>
            <w:tcW w:w="9354" w:type="dxa"/>
          </w:tcPr>
          <w:p>
            <w:pPr>
              <w:spacing w:line="360" w:lineRule="auto"/>
              <w:rPr>
                <w:b/>
              </w:rPr>
            </w:pPr>
            <w:r>
              <w:rPr>
                <w:b/>
              </w:rPr>
              <w:t>社会环境简况(社会经济结构、教育、文化、文物保护等)</w:t>
            </w:r>
            <w:r>
              <w:rPr>
                <w:rFonts w:hint="eastAsia"/>
                <w:b/>
              </w:rPr>
              <w:t>：</w:t>
            </w:r>
          </w:p>
          <w:p>
            <w:pPr>
              <w:spacing w:line="360" w:lineRule="auto"/>
              <w:contextualSpacing/>
              <w:rPr>
                <w:sz w:val="24"/>
              </w:rPr>
            </w:pPr>
            <w:r>
              <w:rPr>
                <w:rFonts w:ascii="宋体" w:hAnsi="宋体" w:hint="eastAsia"/>
                <w:sz w:val="24"/>
              </w:rPr>
              <w:t xml:space="preserve">    </w:t>
            </w:r>
            <w:r>
              <w:rPr>
                <w:sz w:val="24"/>
              </w:rPr>
              <w:t>抚州市是江西省下辖的一个地级市，是国务院确定的海峡西岸经济区20个城市之一，是江西省第一个纳入国家战略区域性发展规划的鄱阳湖生态经济区以及原中央苏区重要城市之一。抚州是江西省唯一同时享受鄱阳湖生态经济区国家战略、海峡西区国家发展战略、振兴原中央苏区战略等三大国家重大发展战略政策的设区市。抚州是著名的宜业、宜居、宜游“三宜城市”。城市环境优美，被评为国家园林城市，人均公园绿化面积达到16.6平方米，城市绿化率达到43.4%,环境综合评价居全国第七、中部第一，森林覆盖率高达64.5%，境内的资溪县森林覆盖率高达85.9%，被誉为“天然大氧吧”。</w:t>
            </w:r>
          </w:p>
          <w:p>
            <w:pPr>
              <w:spacing w:line="360" w:lineRule="auto"/>
              <w:ind w:firstLine="480" w:firstLineChars="200"/>
              <w:contextualSpacing/>
              <w:rPr>
                <w:sz w:val="24"/>
              </w:rPr>
            </w:pPr>
            <w:r>
              <w:rPr>
                <w:sz w:val="24"/>
              </w:rPr>
              <w:t>土地资源：抚州市土地面积1.88万平方千米，占全省总面积的11.26%。其中耕地面积26.375万公顷（2012年末），抚州市人均占有耕地0.088公顷；牧草地0.064万公顷；林地121.45万公顷；居民点及工矿用地6.23万公顷；交通用地1.43万公顷；水域面积9.34万公顷；未利用土地13.73万公顷。</w:t>
            </w:r>
          </w:p>
          <w:p>
            <w:pPr>
              <w:spacing w:line="360" w:lineRule="auto"/>
              <w:ind w:firstLine="480" w:firstLineChars="200"/>
              <w:contextualSpacing/>
              <w:rPr>
                <w:sz w:val="24"/>
              </w:rPr>
            </w:pPr>
            <w:r>
              <w:rPr>
                <w:sz w:val="24"/>
              </w:rPr>
              <w:t>矿产资源：市内矿产资源丰富，有金属矿产20多种，非金属矿产30多种。主要有：有色金属（含贵金属）、稀有金属、黑色金属、稀土矿产、瓷土矿产、建筑材料及冶金辅助矿产等，以稀有金属铀、有色金属铜、瓷土矿和建筑材料矿产为优势。已探明储量的230处矿床中，内有大型矿床1处，中型6处，小型223处。已开采利用的有铜、铀、瓷土、金、钨、煤、稀土、萤石、石墨、建筑材料等。</w:t>
            </w:r>
          </w:p>
          <w:p>
            <w:pPr>
              <w:spacing w:line="360" w:lineRule="auto"/>
              <w:ind w:firstLine="480" w:firstLineChars="200"/>
              <w:contextualSpacing/>
              <w:rPr>
                <w:sz w:val="24"/>
              </w:rPr>
            </w:pPr>
            <w:r>
              <w:rPr>
                <w:sz w:val="24"/>
              </w:rPr>
              <w:t>植物资源：市内植物起源古老，植物资源丰富，种类繁多，可提供物质原料的资源植物生产潜力大。抚州市有高等植物3000余种，其中木本植物109科322属1018种（含亚种、变种及少数栽培种）。在木本植物中，有优良速生树种26科55种。有香榧、江南油杉、罗汉松、赤皮桐、美毛含笑、沉水樟等45种树种被列为省级保护树种。</w:t>
            </w:r>
          </w:p>
          <w:p>
            <w:pPr>
              <w:spacing w:after="0" w:line="360" w:lineRule="auto"/>
              <w:ind w:firstLine="480" w:firstLineChars="200"/>
              <w:contextualSpacing/>
              <w:rPr>
                <w:sz w:val="24"/>
              </w:rPr>
            </w:pPr>
          </w:p>
        </w:tc>
      </w:tr>
    </w:tbl>
    <w:p>
      <w:pPr>
        <w:sectPr>
          <w:footerReference w:type="even" r:id="rId34"/>
          <w:footerReference w:type="default" r:id="rId35"/>
          <w:footerReference w:type="first" r:id="rId36"/>
          <w:type w:val="nextPage"/>
          <w:pgSz w:w="11906" w:h="16838"/>
          <w:pgMar w:top="1134" w:right="1418" w:bottom="1134" w:left="1418" w:header="851" w:footer="992" w:gutter="0"/>
          <w:pgNumType w:start="11"/>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top w:w="0" w:type="dxa"/>
          <w:left w:w="0" w:type="dxa"/>
          <w:bottom w:w="0" w:type="dxa"/>
          <w:right w:w="0" w:type="dxa"/>
        </w:tblCellMar>
        <w:tblLook w:val="0000"/>
      </w:tblPr>
      <w:tblGrid>
        <w:gridCol w:w="9354"/>
      </w:tblGrid>
      <w:tr>
        <w:tblPrEx>
          <w:jc w:val="center"/>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top w:w="0" w:type="dxa"/>
            <w:left w:w="0" w:type="dxa"/>
            <w:bottom w:w="0" w:type="dxa"/>
            <w:right w:w="0" w:type="dxa"/>
          </w:tblCellMar>
          <w:tblLook w:val="0000"/>
        </w:tblPrEx>
        <w:trPr>
          <w:trHeight w:val="13861"/>
          <w:jc w:val="center"/>
        </w:trPr>
        <w:tc>
          <w:tcPr>
            <w:tcW w:w="9354" w:type="dxa"/>
          </w:tcPr>
          <w:p>
            <w:pPr>
              <w:spacing w:before="0" w:line="360" w:lineRule="auto"/>
              <w:ind w:firstLine="480" w:firstLineChars="200"/>
              <w:contextualSpacing/>
              <w:rPr>
                <w:sz w:val="24"/>
              </w:rPr>
            </w:pPr>
            <w:r>
              <w:rPr>
                <w:sz w:val="24"/>
              </w:rPr>
              <w:t>动物资源：抚州市内生态条件较好，为野生动物提供了良好的栖息场所。动物资源中有哺乳类、鸟类、两栖类、爬行类、鱼类、软体动物、浮游动物等。抚州市属国家一类保护动物有7种，分别为华南虎、金钱豹、云豹、梅花鹿、金猫、黄腹角雉、白颈长尾雉。属国家二类保护动物37种，属省级保护动物62种，属《濒危野生动植物国际贸易公约》保护的有银环蛇。全省仅抚州市特有的动物有黑熊、红腹锦鸡。</w:t>
            </w:r>
          </w:p>
          <w:p>
            <w:pPr>
              <w:spacing w:line="360" w:lineRule="auto"/>
              <w:ind w:firstLine="480" w:firstLineChars="200"/>
              <w:contextualSpacing/>
              <w:rPr>
                <w:sz w:val="24"/>
              </w:rPr>
            </w:pPr>
            <w:r>
              <w:rPr>
                <w:sz w:val="24"/>
              </w:rPr>
              <w:t>抚州市2013年实现国内生产总值1120.38亿元，比2013年增长9.4%。其中，第一产业增加值163.48亿元，增长4.9%；第二产业增加值489.02亿元，增长12.9%；第三产业增加值288.14亿元，增长9.0%。三次产业比由上年的18.4:52.8:28.8调整为17.4：52.0：30.6。规模以上工业增加值完成285.99亿元，增长13.4%；全社会固定资产投资835.26亿元，增长19.7%；外贸出口总额124666万美元，增长19.2%；城镇化率42.09%，提高1.38个百分点。抚州素有“才子之乡”美誉，自古名人辈出，形成独特的人文景观。市内有王安石纪念馆、汤显祖文化艺术中心、汤显祖纪念馆、汤显祖墓、曾巩读书岩、曾巩纪念馆、谭纶墓、陆象山墓、乐史墓、吴澄墓，舒同书画博物馆，还有数条以抚州名人命名的街道。历代到抚州为官或周游的文人墨客如颜真卿、王羲之、白居易、陆游、谢灵运等，为市内留下了大量诗词、文赋、字画、雕塑、摩岩石刻及许多美好的历史传说。第二次国内革命战争时期，抚州有六个县为全红区，许多老一辈革命家都在抚州活动过，至今遗存的革命遗址有：第四次反“围剿”东、黄陂战役旧址、第五次反“围剿”高虎脑战场旧址、康都会议及红一方面军总部旧址、闽赣省苏维埃政府旧址、毛泽东、周恩来、朱德、邓小平等旧居。人文景观是具有抚州特色的旅游资源。</w:t>
            </w:r>
          </w:p>
          <w:p>
            <w:pPr>
              <w:pStyle w:val="NormalWeb"/>
              <w:spacing w:before="0" w:beforeAutospacing="0" w:after="0" w:afterAutospacing="0" w:line="360" w:lineRule="auto"/>
              <w:ind w:firstLine="480" w:firstLineChars="200"/>
              <w:rPr>
                <w:rFonts w:ascii="Times New Roman"/>
                <w:b/>
                <w:bCs/>
              </w:rPr>
            </w:pPr>
            <w:r>
              <w:rPr>
                <w:rFonts w:ascii="Times New Roman"/>
                <w:b/>
                <w:bCs/>
              </w:rPr>
              <w:t>抚州市中心城区污水处理厂：</w:t>
            </w:r>
          </w:p>
          <w:p>
            <w:pPr>
              <w:spacing w:line="360" w:lineRule="auto"/>
              <w:ind w:firstLine="480" w:firstLineChars="200"/>
              <w:rPr>
                <w:kern w:val="0"/>
                <w:sz w:val="24"/>
              </w:rPr>
            </w:pPr>
            <w:r>
              <w:rPr>
                <w:kern w:val="0"/>
                <w:sz w:val="24"/>
              </w:rPr>
              <w:t>抚州市</w:t>
            </w:r>
            <w:r>
              <w:rPr>
                <w:rFonts w:hint="eastAsia"/>
                <w:kern w:val="0"/>
                <w:sz w:val="24"/>
              </w:rPr>
              <w:t>中心城区</w:t>
            </w:r>
            <w:r>
              <w:rPr>
                <w:kern w:val="0"/>
                <w:sz w:val="24"/>
              </w:rPr>
              <w:t>污水处理厂一期工程建于抚北路与石抚路交叉口东南角的西津渡处，用地67亩，建设规模为日处理污水6万吨，项目总投资5400万元。项目采用奥贝尔氧化沟工艺，实现中央完全自动化控制。主体工程主要由粗格栅、进水泵房、细格栅、沉沙池、氧化沟、配水井、二沉池、储泥池、脱水机房、紫外线消毒池及行政办公楼和实验室等构成，总建筑面积为2908平米。抚州市污水处理厂一期工程2005年7月正式动工，试运行期间，水质稳定，各项设备运行正常。2007年5月，经江西省环境监测中心站现场监测，经处理后的尾水各项污染物排放指标均达到初设批复要求，即《城镇污水处理厂污染物排放标准》（GB19918-2002）一级B标准，达标</w:t>
            </w:r>
            <w:r>
              <w:rPr>
                <w:sz w:val="24"/>
              </w:rPr>
              <w:t>排入</w:t>
            </w:r>
            <w:r>
              <w:rPr>
                <w:rFonts w:hint="eastAsia"/>
                <w:sz w:val="24"/>
              </w:rPr>
              <w:t>抚河</w:t>
            </w:r>
            <w:r>
              <w:rPr>
                <w:kern w:val="0"/>
                <w:sz w:val="24"/>
              </w:rPr>
              <w:t>。2007年7月，污水处理厂一期工程通过了江西省环保局组织的环评验收。</w:t>
            </w:r>
          </w:p>
        </w:tc>
      </w:tr>
    </w:tbl>
    <w:p>
      <w:pPr>
        <w:sectPr>
          <w:footerReference w:type="even" r:id="rId37"/>
          <w:footerReference w:type="default" r:id="rId38"/>
          <w:footerReference w:type="first" r:id="rId39"/>
          <w:type w:val="nextPage"/>
          <w:pgSz w:w="11906" w:h="16838"/>
          <w:pgMar w:top="1134" w:right="1418" w:bottom="1134" w:left="1418" w:header="851" w:footer="992" w:gutter="0"/>
          <w:pgNumType w:start="12"/>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top w:w="0" w:type="dxa"/>
          <w:left w:w="0" w:type="dxa"/>
          <w:bottom w:w="0" w:type="dxa"/>
          <w:right w:w="0" w:type="dxa"/>
        </w:tblCellMar>
        <w:tblLook w:val="0000"/>
      </w:tblPr>
      <w:tblGrid>
        <w:gridCol w:w="9354"/>
      </w:tblGrid>
      <w:tr>
        <w:tblPrEx>
          <w:jc w:val="center"/>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top w:w="0" w:type="dxa"/>
            <w:left w:w="0" w:type="dxa"/>
            <w:bottom w:w="0" w:type="dxa"/>
            <w:right w:w="0" w:type="dxa"/>
          </w:tblCellMar>
          <w:tblLook w:val="0000"/>
        </w:tblPrEx>
        <w:trPr>
          <w:trHeight w:val="13861"/>
          <w:jc w:val="center"/>
        </w:trPr>
        <w:tc>
          <w:tcPr>
            <w:tcW w:w="9354" w:type="dxa"/>
          </w:tcPr>
          <w:p>
            <w:pPr>
              <w:spacing w:line="360" w:lineRule="auto"/>
              <w:ind w:firstLine="480" w:firstLineChars="200"/>
              <w:rPr>
                <w:sz w:val="24"/>
              </w:rPr>
            </w:pPr>
            <w:r>
              <w:rPr>
                <w:rFonts w:hint="eastAsia"/>
                <w:kern w:val="0"/>
                <w:sz w:val="24"/>
              </w:rPr>
              <w:t>污水处理厂</w:t>
            </w:r>
            <w:r>
              <w:rPr>
                <w:kern w:val="0"/>
                <w:sz w:val="24"/>
              </w:rPr>
              <w:t>二期工程位于一期工程南侧，占地面积27600平方米，总投资5135.18万元。二期工程建设是在污水处理厂一期工程建设（处理能力每日6万吨）的基础上扩建处理能力每日3万吨的工程项目。二期工程已于2010年1月建成投入营运，目前，抚州市</w:t>
            </w:r>
            <w:r>
              <w:rPr>
                <w:rFonts w:hint="eastAsia"/>
                <w:kern w:val="0"/>
                <w:sz w:val="24"/>
              </w:rPr>
              <w:t>中心城区</w:t>
            </w:r>
            <w:r>
              <w:rPr>
                <w:kern w:val="0"/>
                <w:sz w:val="24"/>
              </w:rPr>
              <w:t>污水处理厂的总处理规模为9万吨/日。</w:t>
            </w:r>
            <w:r>
              <w:rPr>
                <w:sz w:val="24"/>
              </w:rPr>
              <w:t>抚州市</w:t>
            </w:r>
            <w:r>
              <w:rPr>
                <w:rFonts w:hint="eastAsia"/>
                <w:sz w:val="24"/>
              </w:rPr>
              <w:t>中心</w:t>
            </w:r>
            <w:r>
              <w:rPr>
                <w:sz w:val="24"/>
              </w:rPr>
              <w:t>污水处理厂是一个水环境治理和市政建设相结合的项目，具有较好的社会、经济和环境效益，工程实施后可明显改善城区内地表水体以及抚河城区段水域的水质状况。</w:t>
            </w:r>
          </w:p>
          <w:p>
            <w:pPr>
              <w:adjustRightInd w:val="0"/>
              <w:snapToGrid w:val="0"/>
              <w:spacing w:before="120" w:line="360" w:lineRule="auto"/>
              <w:rPr>
                <w:b/>
                <w:bCs/>
                <w:sz w:val="24"/>
              </w:rPr>
            </w:pPr>
          </w:p>
          <w:p>
            <w:pPr>
              <w:spacing w:line="360" w:lineRule="auto"/>
              <w:ind w:firstLine="480" w:firstLineChars="200"/>
              <w:contextualSpacing/>
              <w:rPr>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tc>
      </w:tr>
    </w:tbl>
    <w:p>
      <w:pPr>
        <w:sectPr>
          <w:footerReference w:type="even" r:id="rId40"/>
          <w:footerReference w:type="default" r:id="rId41"/>
          <w:footerReference w:type="first" r:id="rId42"/>
          <w:type w:val="nextPage"/>
          <w:pgSz w:w="11906" w:h="16838"/>
          <w:pgMar w:top="1134" w:right="1418" w:bottom="1134" w:left="1418" w:header="851" w:footer="992" w:gutter="0"/>
          <w:pgNumType w:start="13"/>
          <w:cols w:space="708"/>
          <w:titlePg w:val="0"/>
          <w:docGrid w:type="linesAndChars" w:linePitch="381"/>
        </w:sectPr>
      </w:pPr>
    </w:p>
    <w:p>
      <w:pPr>
        <w:outlineLvl w:val="0"/>
        <w:rPr>
          <w:rFonts w:ascii="黑体" w:eastAsia="黑体" w:hAnsi="黑体" w:cs="黑体" w:hint="eastAsia"/>
          <w:b/>
          <w:bCs/>
          <w:szCs w:val="28"/>
        </w:rPr>
      </w:pPr>
      <w:r>
        <w:rPr>
          <w:rFonts w:ascii="黑体" w:eastAsia="黑体" w:hAnsi="黑体" w:cs="黑体" w:hint="eastAsia"/>
          <w:b/>
          <w:bCs/>
          <w:szCs w:val="28"/>
        </w:rPr>
        <w:t>环境质量现状</w:t>
      </w: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2" w:space="0" w:color="auto"/>
          <w:insideV w:val="single" w:sz="12" w:space="0" w:color="auto"/>
        </w:tblBorders>
        <w:tblLayout w:type="fixed"/>
        <w:tblCellMar>
          <w:top w:w="0" w:type="dxa"/>
          <w:left w:w="0" w:type="dxa"/>
          <w:bottom w:w="0" w:type="dxa"/>
          <w:right w:w="0" w:type="dxa"/>
        </w:tblCellMar>
        <w:tblLook w:val="0000"/>
      </w:tblPr>
      <w:tblGrid>
        <w:gridCol w:w="9354"/>
      </w:tblGrid>
      <w:tr>
        <w:tblPrEx>
          <w:jc w:val="center"/>
          <w:tblInd w:w="-15" w:type="dxa"/>
          <w:tblBorders>
            <w:top w:val="single" w:sz="12" w:space="0" w:color="auto"/>
            <w:left w:val="single" w:sz="12" w:space="0" w:color="auto"/>
            <w:bottom w:val="single" w:sz="12" w:space="0" w:color="auto"/>
            <w:right w:val="single" w:sz="12" w:space="0" w:color="auto"/>
            <w:insideH w:val="single" w:sz="2" w:space="0" w:color="auto"/>
            <w:insideV w:val="single" w:sz="12" w:space="0" w:color="auto"/>
          </w:tblBorders>
          <w:tblLayout w:type="fixed"/>
          <w:tblCellMar>
            <w:top w:w="0" w:type="dxa"/>
            <w:left w:w="0" w:type="dxa"/>
            <w:bottom w:w="0" w:type="dxa"/>
            <w:right w:w="0" w:type="dxa"/>
          </w:tblCellMar>
          <w:tblLook w:val="0000"/>
        </w:tblPrEx>
        <w:trPr>
          <w:trHeight w:val="5129"/>
          <w:jc w:val="center"/>
        </w:trPr>
        <w:tc>
          <w:tcPr>
            <w:tcW w:w="9354" w:type="dxa"/>
          </w:tcPr>
          <w:p>
            <w:pPr>
              <w:spacing w:line="360" w:lineRule="auto"/>
              <w:rPr>
                <w:b/>
              </w:rPr>
            </w:pPr>
            <w:r>
              <w:rPr>
                <w:b/>
              </w:rPr>
              <w:t>建设项目所在地区域环境质量现状及主要环境问题(环境空气、地面水、地下水、声环境、生态环境等)</w:t>
            </w:r>
          </w:p>
          <w:p>
            <w:pPr>
              <w:pStyle w:val="BodyText3"/>
              <w:spacing w:line="360" w:lineRule="auto"/>
              <w:ind w:firstLine="470" w:firstLineChars="196"/>
              <w:rPr>
                <w:rFonts w:ascii="宋体" w:hAnsi="宋体" w:hint="eastAsia"/>
                <w:b/>
                <w:bCs/>
                <w:sz w:val="28"/>
                <w:szCs w:val="28"/>
              </w:rPr>
            </w:pPr>
            <w:r>
              <w:rPr>
                <w:rFonts w:ascii="宋体" w:hAnsi="宋体" w:hint="eastAsia"/>
                <w:sz w:val="24"/>
              </w:rPr>
              <w:t>根据抚州市环境监测站对项目区域的监测结果表明，项目所在地区域环境质量现状如下：</w:t>
            </w:r>
          </w:p>
          <w:p>
            <w:pPr>
              <w:spacing w:line="360" w:lineRule="auto"/>
              <w:ind w:firstLine="480" w:firstLineChars="200"/>
              <w:jc w:val="left"/>
              <w:rPr>
                <w:sz w:val="24"/>
              </w:rPr>
            </w:pPr>
            <w:r>
              <w:rPr>
                <w:rFonts w:hint="eastAsia"/>
                <w:sz w:val="24"/>
              </w:rPr>
              <w:t>⑴</w:t>
            </w:r>
            <w:r>
              <w:rPr>
                <w:sz w:val="24"/>
              </w:rPr>
              <w:t>空气环境质量现状</w:t>
            </w:r>
          </w:p>
          <w:p>
            <w:pPr>
              <w:spacing w:line="360" w:lineRule="auto"/>
              <w:ind w:firstLine="480" w:firstLineChars="200"/>
              <w:jc w:val="left"/>
              <w:rPr>
                <w:rFonts w:hint="eastAsia"/>
                <w:sz w:val="24"/>
              </w:rPr>
            </w:pPr>
            <w:r>
              <w:rPr>
                <w:sz w:val="24"/>
              </w:rPr>
              <w:t>项目所在地评价区域内的SO</w:t>
            </w:r>
            <w:r>
              <w:rPr>
                <w:sz w:val="24"/>
                <w:vertAlign w:val="subscript"/>
              </w:rPr>
              <w:t>2</w:t>
            </w:r>
            <w:r>
              <w:rPr>
                <w:sz w:val="24"/>
              </w:rPr>
              <w:t>、NO</w:t>
            </w:r>
            <w:r>
              <w:rPr>
                <w:sz w:val="24"/>
                <w:vertAlign w:val="subscript"/>
              </w:rPr>
              <w:t>2</w:t>
            </w:r>
            <w:r>
              <w:rPr>
                <w:sz w:val="24"/>
              </w:rPr>
              <w:t>、</w:t>
            </w:r>
            <w:r>
              <w:rPr>
                <w:rFonts w:hint="eastAsia"/>
                <w:sz w:val="24"/>
              </w:rPr>
              <w:t>TSP等指标</w:t>
            </w:r>
            <w:r>
              <w:rPr>
                <w:sz w:val="24"/>
              </w:rPr>
              <w:t>浓度值均达到《环境空气质量标准》（GB3095-</w:t>
            </w:r>
            <w:r>
              <w:rPr>
                <w:rFonts w:hint="eastAsia"/>
                <w:sz w:val="24"/>
              </w:rPr>
              <w:t>2012</w:t>
            </w:r>
            <w:r>
              <w:rPr>
                <w:sz w:val="24"/>
              </w:rPr>
              <w:t>）</w:t>
            </w:r>
            <w:r>
              <w:rPr>
                <w:rFonts w:hint="eastAsia"/>
                <w:sz w:val="24"/>
              </w:rPr>
              <w:t>中的</w:t>
            </w:r>
            <w:r>
              <w:rPr>
                <w:sz w:val="24"/>
              </w:rPr>
              <w:t>二级标准要求，大气环境质量状况良好。</w:t>
            </w:r>
          </w:p>
          <w:p>
            <w:pPr>
              <w:spacing w:line="360" w:lineRule="auto"/>
              <w:ind w:firstLine="480" w:firstLineChars="200"/>
              <w:jc w:val="left"/>
              <w:rPr>
                <w:sz w:val="24"/>
              </w:rPr>
            </w:pPr>
            <w:r>
              <w:rPr>
                <w:rFonts w:hint="eastAsia"/>
                <w:sz w:val="24"/>
              </w:rPr>
              <w:t>⑵</w:t>
            </w:r>
            <w:r>
              <w:rPr>
                <w:sz w:val="24"/>
              </w:rPr>
              <w:t>水环境质量现状</w:t>
            </w:r>
          </w:p>
          <w:p>
            <w:pPr>
              <w:spacing w:line="360" w:lineRule="auto"/>
              <w:ind w:firstLine="480" w:firstLineChars="200"/>
              <w:rPr>
                <w:sz w:val="24"/>
              </w:rPr>
            </w:pPr>
            <w:r>
              <w:rPr>
                <w:sz w:val="24"/>
              </w:rPr>
              <w:t>项目所在</w:t>
            </w:r>
            <w:r>
              <w:rPr>
                <w:rFonts w:hint="eastAsia"/>
                <w:sz w:val="24"/>
              </w:rPr>
              <w:t>区域的主要地表水为抚河和南岸湖，抚河和南岸湖水质良好，</w:t>
            </w:r>
            <w:r>
              <w:rPr>
                <w:sz w:val="24"/>
              </w:rPr>
              <w:t>各项指标均符合《地表水环境质量标准》（GB3838-2002）中的Ⅲ类标准。</w:t>
            </w:r>
          </w:p>
          <w:p>
            <w:pPr>
              <w:spacing w:line="360" w:lineRule="auto"/>
              <w:ind w:firstLine="480" w:firstLineChars="200"/>
              <w:rPr>
                <w:rFonts w:hint="eastAsia"/>
                <w:sz w:val="24"/>
              </w:rPr>
            </w:pPr>
            <w:r>
              <w:rPr>
                <w:rFonts w:hint="eastAsia"/>
                <w:sz w:val="24"/>
              </w:rPr>
              <w:t>⑶</w:t>
            </w:r>
            <w:r>
              <w:rPr>
                <w:rFonts w:hint="eastAsia"/>
                <w:sz w:val="24"/>
              </w:rPr>
              <w:t>地下水环境质量现状</w:t>
            </w:r>
          </w:p>
          <w:p>
            <w:pPr>
              <w:spacing w:line="360" w:lineRule="auto"/>
              <w:ind w:firstLine="480" w:firstLineChars="200"/>
              <w:rPr>
                <w:rFonts w:hint="eastAsia"/>
                <w:sz w:val="24"/>
              </w:rPr>
            </w:pPr>
            <w:r>
              <w:rPr>
                <w:rFonts w:ascii="宋体" w:hAnsi="宋体" w:hint="eastAsia"/>
                <w:sz w:val="24"/>
              </w:rPr>
              <w:t>根据抚州市环境监测站近期监测结果表明，项目所在地地下水</w:t>
            </w:r>
            <w:r>
              <w:rPr>
                <w:rFonts w:hint="eastAsia"/>
                <w:sz w:val="24"/>
              </w:rPr>
              <w:t>满足《地下水质量标准》（</w:t>
            </w:r>
            <w:r>
              <w:rPr>
                <w:sz w:val="24"/>
              </w:rPr>
              <w:t>GB</w:t>
            </w:r>
            <w:r>
              <w:rPr>
                <w:rFonts w:hint="eastAsia"/>
                <w:sz w:val="24"/>
              </w:rPr>
              <w:t>/T14848-93）III类标准要求。</w:t>
            </w:r>
          </w:p>
          <w:p>
            <w:pPr>
              <w:spacing w:line="360" w:lineRule="auto"/>
              <w:ind w:firstLine="480" w:firstLineChars="200"/>
              <w:jc w:val="left"/>
              <w:rPr>
                <w:rFonts w:hint="eastAsia"/>
                <w:sz w:val="24"/>
              </w:rPr>
            </w:pPr>
            <w:r>
              <w:rPr>
                <w:rFonts w:hint="eastAsia"/>
                <w:sz w:val="24"/>
              </w:rPr>
              <w:t>⑷</w:t>
            </w:r>
            <w:r>
              <w:rPr>
                <w:rFonts w:hint="eastAsia"/>
                <w:sz w:val="24"/>
              </w:rPr>
              <w:t>声环境质量现状</w:t>
            </w:r>
          </w:p>
          <w:p>
            <w:pPr>
              <w:spacing w:line="360" w:lineRule="auto"/>
              <w:ind w:firstLine="480" w:firstLineChars="200"/>
              <w:rPr>
                <w:rFonts w:hAnsi="宋体"/>
                <w:sz w:val="24"/>
              </w:rPr>
            </w:pPr>
            <w:r>
              <w:rPr>
                <w:sz w:val="24"/>
              </w:rPr>
              <w:t>项目所属区域为城</w:t>
            </w:r>
            <w:r>
              <w:rPr>
                <w:rFonts w:hint="eastAsia"/>
                <w:sz w:val="24"/>
              </w:rPr>
              <w:t>区</w:t>
            </w:r>
            <w:r>
              <w:rPr>
                <w:sz w:val="24"/>
              </w:rPr>
              <w:t>，用地临近</w:t>
            </w:r>
            <w:r>
              <w:rPr>
                <w:rFonts w:hint="eastAsia"/>
                <w:sz w:val="24"/>
              </w:rPr>
              <w:t>迎宾大道及曾巩大道</w:t>
            </w:r>
            <w:r>
              <w:rPr>
                <w:sz w:val="24"/>
              </w:rPr>
              <w:t>一侧</w:t>
            </w:r>
            <w:r>
              <w:rPr>
                <w:sz w:val="24"/>
                <w:szCs w:val="24"/>
              </w:rPr>
              <w:t>距离道路红线35米</w:t>
            </w:r>
            <w:r>
              <w:rPr>
                <w:rFonts w:hint="eastAsia"/>
                <w:sz w:val="24"/>
                <w:szCs w:val="24"/>
              </w:rPr>
              <w:t>以</w:t>
            </w:r>
            <w:r>
              <w:rPr>
                <w:sz w:val="24"/>
                <w:szCs w:val="24"/>
              </w:rPr>
              <w:t>内</w:t>
            </w:r>
            <w:r>
              <w:rPr>
                <w:rFonts w:hint="eastAsia"/>
                <w:sz w:val="24"/>
                <w:szCs w:val="24"/>
              </w:rPr>
              <w:t>的区域</w:t>
            </w:r>
            <w:r>
              <w:rPr>
                <w:sz w:val="24"/>
              </w:rPr>
              <w:t>昼夜间噪声值均达到《声环境质量标准》（GB3096-2008）4a类标准，其他</w:t>
            </w:r>
            <w:r>
              <w:rPr>
                <w:rFonts w:hint="eastAsia"/>
                <w:sz w:val="24"/>
              </w:rPr>
              <w:t>区域</w:t>
            </w:r>
            <w:r>
              <w:rPr>
                <w:sz w:val="24"/>
              </w:rPr>
              <w:t>昼夜间噪声值均达到《声环境质量标准》（GB3096-2008）2类标准，说明项目区域内声环境质量良好。</w:t>
            </w:r>
          </w:p>
          <w:p>
            <w:pPr>
              <w:spacing w:line="360" w:lineRule="auto"/>
              <w:ind w:firstLine="480" w:firstLineChars="200"/>
              <w:jc w:val="left"/>
              <w:rPr>
                <w:rFonts w:hint="eastAsia"/>
                <w:sz w:val="24"/>
              </w:rPr>
            </w:pPr>
            <w:r>
              <w:rPr>
                <w:rFonts w:hint="eastAsia"/>
                <w:sz w:val="24"/>
              </w:rPr>
              <w:t>⑸</w:t>
            </w:r>
            <w:r>
              <w:rPr>
                <w:rFonts w:hint="eastAsia"/>
                <w:sz w:val="24"/>
              </w:rPr>
              <w:t>生态环境质量现状</w:t>
            </w:r>
          </w:p>
          <w:p>
            <w:pPr>
              <w:spacing w:line="360" w:lineRule="auto"/>
              <w:ind w:firstLine="480" w:firstLineChars="200"/>
              <w:jc w:val="left"/>
              <w:rPr>
                <w:rFonts w:hint="eastAsia"/>
                <w:sz w:val="24"/>
              </w:rPr>
            </w:pPr>
            <w:r>
              <w:rPr>
                <w:rFonts w:hint="eastAsia"/>
                <w:sz w:val="24"/>
              </w:rPr>
              <w:t>项目所在区域为抚州市城市建成区，为城市生态环境，土地利用率高，植被覆盖率较低，主要为城市园林绿化，街道和空隙地种植有观赏树木和花草。根据实地调查，建设项目区域内没有国家规定保护的珍稀动植物。</w:t>
            </w:r>
          </w:p>
          <w:p>
            <w:pPr>
              <w:spacing w:line="360" w:lineRule="auto"/>
              <w:rPr>
                <w:rFonts w:hAnsi="宋体" w:hint="eastAsia"/>
                <w:b/>
                <w:sz w:val="24"/>
              </w:rPr>
            </w:pPr>
            <w:r>
              <w:rPr>
                <w:rFonts w:hAnsi="宋体" w:hint="eastAsia"/>
                <w:b/>
                <w:bCs/>
                <w:kern w:val="0"/>
                <w:sz w:val="24"/>
              </w:rPr>
              <w:t xml:space="preserve">    </w:t>
            </w:r>
            <w:r>
              <w:rPr>
                <w:rFonts w:hAnsi="宋体"/>
                <w:b/>
                <w:bCs/>
                <w:kern w:val="0"/>
                <w:sz w:val="24"/>
              </w:rPr>
              <w:t>综上所述，项目选址周边环境空气质量、地表水环境质量、声环境质量符合功能区划的要求。</w:t>
            </w:r>
          </w:p>
        </w:tc>
      </w:tr>
    </w:tbl>
    <w:p>
      <w:pPr>
        <w:sectPr>
          <w:footerReference w:type="even" r:id="rId43"/>
          <w:footerReference w:type="default" r:id="rId44"/>
          <w:footerReference w:type="first" r:id="rId45"/>
          <w:type w:val="nextPage"/>
          <w:pgSz w:w="11906" w:h="16838"/>
          <w:pgMar w:top="1134" w:right="1418" w:bottom="1134" w:left="1418" w:header="851" w:footer="992" w:gutter="0"/>
          <w:pgNumType w:start="14"/>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2" w:space="0" w:color="auto"/>
          <w:insideV w:val="single" w:sz="12" w:space="0" w:color="auto"/>
        </w:tblBorders>
        <w:tblLayout w:type="fixed"/>
        <w:tblCellMar>
          <w:top w:w="0" w:type="dxa"/>
          <w:left w:w="0" w:type="dxa"/>
          <w:bottom w:w="0" w:type="dxa"/>
          <w:right w:w="0" w:type="dxa"/>
        </w:tblCellMar>
        <w:tblLook w:val="0000"/>
      </w:tblPr>
      <w:tblGrid>
        <w:gridCol w:w="9354"/>
      </w:tblGrid>
      <w:tr>
        <w:tblPrEx>
          <w:jc w:val="center"/>
          <w:tblInd w:w="-15" w:type="dxa"/>
          <w:tblBorders>
            <w:top w:val="single" w:sz="12" w:space="0" w:color="auto"/>
            <w:left w:val="single" w:sz="12" w:space="0" w:color="auto"/>
            <w:bottom w:val="single" w:sz="12" w:space="0" w:color="auto"/>
            <w:right w:val="single" w:sz="12" w:space="0" w:color="auto"/>
            <w:insideH w:val="single" w:sz="2" w:space="0" w:color="auto"/>
            <w:insideV w:val="single" w:sz="12" w:space="0" w:color="auto"/>
          </w:tblBorders>
          <w:tblLayout w:type="fixed"/>
          <w:tblCellMar>
            <w:top w:w="0" w:type="dxa"/>
            <w:left w:w="0" w:type="dxa"/>
            <w:bottom w:w="0" w:type="dxa"/>
            <w:right w:w="0" w:type="dxa"/>
          </w:tblCellMar>
          <w:tblLook w:val="0000"/>
        </w:tblPrEx>
        <w:trPr>
          <w:trHeight w:val="14287"/>
          <w:jc w:val="center"/>
        </w:trPr>
        <w:tc>
          <w:tcPr>
            <w:tcW w:w="9354" w:type="dxa"/>
          </w:tcPr>
          <w:p>
            <w:pPr>
              <w:spacing w:line="360" w:lineRule="auto"/>
              <w:rPr>
                <w:b/>
                <w:szCs w:val="28"/>
              </w:rPr>
            </w:pPr>
            <w:r>
              <w:rPr>
                <w:b/>
                <w:szCs w:val="28"/>
              </w:rPr>
              <w:t xml:space="preserve">主要环境保护目标（列出名单及保护级别）： </w:t>
            </w:r>
          </w:p>
          <w:p>
            <w:pPr>
              <w:adjustRightInd w:val="0"/>
              <w:snapToGrid w:val="0"/>
              <w:spacing w:line="360" w:lineRule="auto"/>
              <w:ind w:firstLine="480" w:firstLineChars="200"/>
              <w:rPr>
                <w:b/>
                <w:sz w:val="24"/>
                <w:szCs w:val="24"/>
              </w:rPr>
            </w:pPr>
            <w:r>
              <w:rPr>
                <w:b/>
                <w:sz w:val="24"/>
                <w:szCs w:val="24"/>
              </w:rPr>
              <w:t>1、环境空气保护目标</w:t>
            </w:r>
          </w:p>
          <w:p>
            <w:pPr>
              <w:adjustRightInd w:val="0"/>
              <w:snapToGrid w:val="0"/>
              <w:spacing w:line="360" w:lineRule="auto"/>
              <w:ind w:firstLine="480" w:firstLineChars="200"/>
              <w:rPr>
                <w:sz w:val="24"/>
                <w:szCs w:val="24"/>
              </w:rPr>
            </w:pPr>
            <w:r>
              <w:rPr>
                <w:sz w:val="24"/>
                <w:szCs w:val="24"/>
              </w:rPr>
              <w:t>保护评价</w:t>
            </w:r>
            <w:r>
              <w:rPr>
                <w:rFonts w:hint="eastAsia"/>
                <w:sz w:val="24"/>
                <w:szCs w:val="24"/>
              </w:rPr>
              <w:t>区域</w:t>
            </w:r>
            <w:r>
              <w:rPr>
                <w:sz w:val="24"/>
                <w:szCs w:val="24"/>
              </w:rPr>
              <w:t>内的环境空气质量达到《环境空气质量标准》(GB3095-</w:t>
            </w:r>
            <w:r>
              <w:rPr>
                <w:rFonts w:hint="eastAsia"/>
                <w:sz w:val="24"/>
                <w:szCs w:val="24"/>
              </w:rPr>
              <w:t>2012</w:t>
            </w:r>
            <w:r>
              <w:rPr>
                <w:sz w:val="24"/>
                <w:szCs w:val="24"/>
              </w:rPr>
              <w:t>)</w:t>
            </w:r>
            <w:r>
              <w:rPr>
                <w:rFonts w:hint="eastAsia"/>
                <w:sz w:val="24"/>
                <w:szCs w:val="24"/>
              </w:rPr>
              <w:t>中的</w:t>
            </w:r>
            <w:r>
              <w:rPr>
                <w:sz w:val="24"/>
                <w:szCs w:val="24"/>
              </w:rPr>
              <w:t>二级标准要求。</w:t>
            </w:r>
          </w:p>
          <w:p>
            <w:pPr>
              <w:adjustRightInd w:val="0"/>
              <w:snapToGrid w:val="0"/>
              <w:spacing w:line="360" w:lineRule="auto"/>
              <w:ind w:firstLine="480" w:firstLineChars="200"/>
              <w:rPr>
                <w:b/>
                <w:sz w:val="24"/>
                <w:szCs w:val="24"/>
              </w:rPr>
            </w:pPr>
            <w:r>
              <w:rPr>
                <w:b/>
                <w:sz w:val="24"/>
                <w:szCs w:val="24"/>
              </w:rPr>
              <w:t>2、水环境保护目标</w:t>
            </w:r>
          </w:p>
          <w:p>
            <w:pPr>
              <w:adjustRightInd w:val="0"/>
              <w:snapToGrid w:val="0"/>
              <w:spacing w:line="360" w:lineRule="auto"/>
              <w:ind w:firstLine="480" w:firstLineChars="200"/>
              <w:rPr>
                <w:rFonts w:hint="eastAsia"/>
                <w:sz w:val="24"/>
                <w:szCs w:val="24"/>
              </w:rPr>
            </w:pPr>
            <w:r>
              <w:rPr>
                <w:sz w:val="24"/>
                <w:szCs w:val="24"/>
              </w:rPr>
              <w:t>保护评价</w:t>
            </w:r>
            <w:r>
              <w:rPr>
                <w:rFonts w:hint="eastAsia"/>
                <w:sz w:val="24"/>
                <w:szCs w:val="24"/>
              </w:rPr>
              <w:t>区域抚河、南岸湖</w:t>
            </w:r>
            <w:r>
              <w:rPr>
                <w:sz w:val="24"/>
                <w:szCs w:val="24"/>
              </w:rPr>
              <w:t xml:space="preserve">水质符合《地表水环境质量标准》(GB3838-2002) </w:t>
            </w:r>
            <w:r>
              <w:rPr>
                <w:rFonts w:ascii="宋体"/>
                <w:sz w:val="24"/>
                <w:szCs w:val="24"/>
              </w:rPr>
              <w:t>Ⅲ</w:t>
            </w:r>
            <w:r>
              <w:rPr>
                <w:sz w:val="24"/>
                <w:szCs w:val="24"/>
              </w:rPr>
              <w:t>类标准</w:t>
            </w:r>
            <w:r>
              <w:rPr>
                <w:rFonts w:hint="eastAsia"/>
                <w:sz w:val="24"/>
                <w:szCs w:val="24"/>
              </w:rPr>
              <w:t>；</w:t>
            </w:r>
            <w:r>
              <w:rPr>
                <w:rFonts w:ascii="宋体" w:hAnsi="宋体" w:hint="eastAsia"/>
                <w:sz w:val="24"/>
              </w:rPr>
              <w:t>地下水</w:t>
            </w:r>
            <w:r>
              <w:rPr>
                <w:rFonts w:hint="eastAsia"/>
                <w:sz w:val="24"/>
              </w:rPr>
              <w:t>满足《地下水质量标准》（</w:t>
            </w:r>
            <w:r>
              <w:rPr>
                <w:sz w:val="24"/>
              </w:rPr>
              <w:t>GB</w:t>
            </w:r>
            <w:r>
              <w:rPr>
                <w:rFonts w:hint="eastAsia"/>
                <w:sz w:val="24"/>
              </w:rPr>
              <w:t>/T14848-93）III类标准。</w:t>
            </w:r>
          </w:p>
          <w:p>
            <w:pPr>
              <w:numPr>
                <w:ilvl w:val="0"/>
                <w:numId w:val="2"/>
              </w:numPr>
              <w:adjustRightInd w:val="0"/>
              <w:snapToGrid w:val="0"/>
              <w:spacing w:line="360" w:lineRule="auto"/>
              <w:ind w:firstLine="480" w:firstLineChars="200"/>
              <w:rPr>
                <w:b/>
                <w:sz w:val="24"/>
                <w:szCs w:val="24"/>
              </w:rPr>
            </w:pPr>
            <w:r>
              <w:rPr>
                <w:b/>
                <w:sz w:val="24"/>
                <w:szCs w:val="24"/>
              </w:rPr>
              <w:t>声环境保护目标</w:t>
            </w:r>
          </w:p>
          <w:p>
            <w:pPr>
              <w:adjustRightInd w:val="0"/>
              <w:snapToGrid w:val="0"/>
              <w:spacing w:line="360" w:lineRule="auto"/>
              <w:rPr>
                <w:rFonts w:hint="eastAsia"/>
                <w:kern w:val="0"/>
                <w:sz w:val="24"/>
                <w:szCs w:val="24"/>
              </w:rPr>
            </w:pPr>
            <w:r>
              <w:rPr>
                <w:rFonts w:hint="eastAsia"/>
                <w:sz w:val="24"/>
                <w:szCs w:val="24"/>
              </w:rPr>
              <w:t xml:space="preserve">    </w:t>
            </w:r>
            <w:r>
              <w:rPr>
                <w:sz w:val="24"/>
                <w:szCs w:val="24"/>
              </w:rPr>
              <w:t>保护评价</w:t>
            </w:r>
            <w:r>
              <w:rPr>
                <w:rFonts w:hint="eastAsia"/>
                <w:sz w:val="24"/>
                <w:szCs w:val="24"/>
              </w:rPr>
              <w:t>区域</w:t>
            </w:r>
            <w:r>
              <w:rPr>
                <w:sz w:val="24"/>
                <w:szCs w:val="24"/>
              </w:rPr>
              <w:t>内</w:t>
            </w:r>
            <w:r>
              <w:rPr>
                <w:rFonts w:hint="eastAsia"/>
                <w:sz w:val="24"/>
                <w:szCs w:val="24"/>
              </w:rPr>
              <w:t>临近</w:t>
            </w:r>
            <w:r>
              <w:rPr>
                <w:rFonts w:hint="eastAsia"/>
                <w:sz w:val="24"/>
              </w:rPr>
              <w:t>迎宾大道及曾巩大道一侧</w:t>
            </w:r>
            <w:r>
              <w:rPr>
                <w:sz w:val="24"/>
                <w:szCs w:val="24"/>
              </w:rPr>
              <w:t>距离道路红线35米</w:t>
            </w:r>
            <w:r>
              <w:rPr>
                <w:rFonts w:hint="eastAsia"/>
                <w:sz w:val="24"/>
                <w:szCs w:val="24"/>
              </w:rPr>
              <w:t>以</w:t>
            </w:r>
            <w:r>
              <w:rPr>
                <w:sz w:val="24"/>
                <w:szCs w:val="24"/>
              </w:rPr>
              <w:t>内的区域</w:t>
            </w:r>
            <w:r>
              <w:rPr>
                <w:rFonts w:hint="eastAsia"/>
                <w:sz w:val="24"/>
                <w:szCs w:val="24"/>
              </w:rPr>
              <w:t>声</w:t>
            </w:r>
            <w:r>
              <w:rPr>
                <w:sz w:val="24"/>
                <w:szCs w:val="24"/>
              </w:rPr>
              <w:t>环境</w:t>
            </w:r>
            <w:r>
              <w:rPr>
                <w:rFonts w:hint="eastAsia"/>
                <w:sz w:val="24"/>
                <w:szCs w:val="24"/>
              </w:rPr>
              <w:t>满足</w:t>
            </w:r>
            <w:r>
              <w:rPr>
                <w:sz w:val="24"/>
                <w:szCs w:val="24"/>
              </w:rPr>
              <w:t>《声环境质量标准》（GB3096-2008）4a类标准要求，其他区域</w:t>
            </w:r>
            <w:r>
              <w:rPr>
                <w:rFonts w:hint="eastAsia"/>
                <w:sz w:val="24"/>
                <w:szCs w:val="24"/>
              </w:rPr>
              <w:t>声环境满足</w:t>
            </w:r>
            <w:r>
              <w:rPr>
                <w:sz w:val="24"/>
                <w:szCs w:val="24"/>
              </w:rPr>
              <w:t>《声环境质量标准》（GB3096-2008）2类标准要求。</w:t>
            </w:r>
          </w:p>
          <w:p>
            <w:pPr>
              <w:adjustRightInd w:val="0"/>
              <w:snapToGrid w:val="0"/>
              <w:spacing w:line="360" w:lineRule="auto"/>
              <w:ind w:firstLine="480" w:firstLineChars="200"/>
              <w:rPr>
                <w:sz w:val="24"/>
              </w:rPr>
            </w:pPr>
            <w:r>
              <w:rPr>
                <w:sz w:val="24"/>
              </w:rPr>
              <w:t>项目主要环境敏感保护目标列于表</w:t>
            </w:r>
            <w:r>
              <w:rPr>
                <w:rFonts w:hint="eastAsia"/>
                <w:sz w:val="24"/>
              </w:rPr>
              <w:t>6</w:t>
            </w:r>
            <w:r>
              <w:rPr>
                <w:sz w:val="24"/>
              </w:rPr>
              <w:t>。</w:t>
            </w:r>
          </w:p>
          <w:p>
            <w:pPr>
              <w:adjustRightInd w:val="0"/>
              <w:snapToGrid w:val="0"/>
              <w:spacing w:line="360" w:lineRule="auto"/>
              <w:jc w:val="center"/>
              <w:rPr>
                <w:b/>
                <w:sz w:val="24"/>
                <w:szCs w:val="24"/>
              </w:rPr>
            </w:pPr>
            <w:r>
              <w:rPr>
                <w:b/>
                <w:sz w:val="24"/>
                <w:szCs w:val="24"/>
              </w:rPr>
              <w:t>表</w:t>
            </w:r>
            <w:r>
              <w:rPr>
                <w:rFonts w:hint="eastAsia"/>
                <w:b/>
                <w:sz w:val="24"/>
                <w:szCs w:val="24"/>
              </w:rPr>
              <w:t>6</w:t>
            </w:r>
            <w:r>
              <w:rPr>
                <w:b/>
                <w:sz w:val="24"/>
                <w:szCs w:val="24"/>
              </w:rPr>
              <w:t xml:space="preserve">  主要环境保护目标一览表</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54"/>
              <w:gridCol w:w="2063"/>
              <w:gridCol w:w="1049"/>
              <w:gridCol w:w="1565"/>
              <w:gridCol w:w="3026"/>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254" w:type="dxa"/>
                  <w:vAlign w:val="center"/>
                </w:tcPr>
                <w:p>
                  <w:pPr>
                    <w:ind w:firstLine="50"/>
                    <w:jc w:val="center"/>
                    <w:rPr>
                      <w:b/>
                      <w:bCs/>
                      <w:sz w:val="21"/>
                      <w:szCs w:val="21"/>
                    </w:rPr>
                  </w:pPr>
                  <w:r>
                    <w:rPr>
                      <w:b/>
                      <w:bCs/>
                      <w:sz w:val="21"/>
                      <w:szCs w:val="21"/>
                    </w:rPr>
                    <w:t>环境</w:t>
                  </w:r>
                </w:p>
              </w:tc>
              <w:tc>
                <w:tcPr>
                  <w:tcW w:w="2063" w:type="dxa"/>
                  <w:vAlign w:val="center"/>
                </w:tcPr>
                <w:p>
                  <w:pPr>
                    <w:ind w:firstLine="50"/>
                    <w:jc w:val="center"/>
                    <w:rPr>
                      <w:b/>
                      <w:bCs/>
                      <w:sz w:val="21"/>
                      <w:szCs w:val="21"/>
                    </w:rPr>
                  </w:pPr>
                  <w:r>
                    <w:rPr>
                      <w:b/>
                      <w:bCs/>
                      <w:sz w:val="21"/>
                      <w:szCs w:val="21"/>
                    </w:rPr>
                    <w:t>环境保护对象</w:t>
                  </w:r>
                </w:p>
              </w:tc>
              <w:tc>
                <w:tcPr>
                  <w:tcW w:w="1049" w:type="dxa"/>
                  <w:vAlign w:val="center"/>
                </w:tcPr>
                <w:p>
                  <w:pPr>
                    <w:ind w:firstLine="50"/>
                    <w:jc w:val="center"/>
                    <w:rPr>
                      <w:rFonts w:hint="eastAsia"/>
                      <w:b/>
                      <w:bCs/>
                      <w:sz w:val="21"/>
                      <w:szCs w:val="21"/>
                    </w:rPr>
                  </w:pPr>
                  <w:r>
                    <w:rPr>
                      <w:rFonts w:hint="eastAsia"/>
                      <w:b/>
                      <w:bCs/>
                      <w:sz w:val="21"/>
                      <w:szCs w:val="21"/>
                    </w:rPr>
                    <w:t>规模</w:t>
                  </w:r>
                </w:p>
              </w:tc>
              <w:tc>
                <w:tcPr>
                  <w:tcW w:w="1565" w:type="dxa"/>
                  <w:vAlign w:val="center"/>
                </w:tcPr>
                <w:p>
                  <w:pPr>
                    <w:ind w:firstLine="50"/>
                    <w:jc w:val="center"/>
                    <w:rPr>
                      <w:b/>
                      <w:bCs/>
                      <w:sz w:val="21"/>
                      <w:szCs w:val="21"/>
                    </w:rPr>
                  </w:pPr>
                  <w:r>
                    <w:rPr>
                      <w:b/>
                      <w:bCs/>
                      <w:sz w:val="21"/>
                      <w:szCs w:val="21"/>
                    </w:rPr>
                    <w:t>方位和距离</w:t>
                  </w:r>
                </w:p>
              </w:tc>
              <w:tc>
                <w:tcPr>
                  <w:tcW w:w="3026" w:type="dxa"/>
                  <w:vAlign w:val="center"/>
                </w:tcPr>
                <w:p>
                  <w:pPr>
                    <w:ind w:firstLine="50"/>
                    <w:jc w:val="center"/>
                    <w:rPr>
                      <w:b/>
                      <w:bCs/>
                      <w:sz w:val="21"/>
                      <w:szCs w:val="21"/>
                    </w:rPr>
                  </w:pPr>
                  <w:r>
                    <w:rPr>
                      <w:b/>
                      <w:bCs/>
                      <w:sz w:val="21"/>
                      <w:szCs w:val="21"/>
                    </w:rPr>
                    <w:t>环境保护目标</w:t>
                  </w:r>
                </w:p>
              </w:tc>
            </w:tr>
            <w:tr>
              <w:tblPrEx>
                <w:jc w:val="center"/>
                <w:tblInd w:w="123" w:type="dxa"/>
                <w:tblLayout w:type="fixed"/>
                <w:tblCellMar>
                  <w:top w:w="0" w:type="dxa"/>
                  <w:left w:w="108" w:type="dxa"/>
                  <w:bottom w:w="0" w:type="dxa"/>
                  <w:right w:w="108" w:type="dxa"/>
                </w:tblCellMar>
                <w:tblLook w:val="0000"/>
              </w:tblPrEx>
              <w:trPr>
                <w:trHeight w:val="439"/>
                <w:jc w:val="center"/>
              </w:trPr>
              <w:tc>
                <w:tcPr>
                  <w:tcW w:w="1254" w:type="dxa"/>
                  <w:vMerge w:val="restart"/>
                  <w:vAlign w:val="center"/>
                </w:tcPr>
                <w:p>
                  <w:pPr>
                    <w:ind w:firstLine="50"/>
                    <w:jc w:val="center"/>
                    <w:rPr>
                      <w:sz w:val="21"/>
                      <w:szCs w:val="21"/>
                    </w:rPr>
                  </w:pPr>
                  <w:r>
                    <w:rPr>
                      <w:sz w:val="21"/>
                      <w:szCs w:val="21"/>
                    </w:rPr>
                    <w:t>水环境</w:t>
                  </w:r>
                </w:p>
              </w:tc>
              <w:tc>
                <w:tcPr>
                  <w:tcW w:w="2063" w:type="dxa"/>
                  <w:vAlign w:val="center"/>
                </w:tcPr>
                <w:p>
                  <w:pPr>
                    <w:ind w:firstLine="50"/>
                    <w:jc w:val="center"/>
                    <w:rPr>
                      <w:rFonts w:hint="eastAsia"/>
                      <w:sz w:val="21"/>
                      <w:szCs w:val="21"/>
                    </w:rPr>
                  </w:pPr>
                  <w:r>
                    <w:rPr>
                      <w:rFonts w:hint="eastAsia"/>
                      <w:sz w:val="21"/>
                      <w:szCs w:val="21"/>
                    </w:rPr>
                    <w:t>抚河</w:t>
                  </w:r>
                </w:p>
              </w:tc>
              <w:tc>
                <w:tcPr>
                  <w:tcW w:w="1049" w:type="dxa"/>
                  <w:vAlign w:val="center"/>
                </w:tcPr>
                <w:p>
                  <w:pPr>
                    <w:ind w:firstLine="50"/>
                    <w:jc w:val="center"/>
                    <w:rPr>
                      <w:rFonts w:hint="eastAsia"/>
                      <w:sz w:val="21"/>
                      <w:szCs w:val="21"/>
                    </w:rPr>
                  </w:pPr>
                  <w:r>
                    <w:rPr>
                      <w:rFonts w:hint="eastAsia"/>
                      <w:sz w:val="21"/>
                      <w:szCs w:val="21"/>
                    </w:rPr>
                    <w:t>大河</w:t>
                  </w:r>
                </w:p>
              </w:tc>
              <w:tc>
                <w:tcPr>
                  <w:tcW w:w="1565" w:type="dxa"/>
                  <w:vAlign w:val="center"/>
                </w:tcPr>
                <w:p>
                  <w:pPr>
                    <w:ind w:firstLine="50"/>
                    <w:jc w:val="center"/>
                    <w:rPr>
                      <w:rFonts w:hint="eastAsia"/>
                      <w:sz w:val="21"/>
                      <w:szCs w:val="21"/>
                    </w:rPr>
                  </w:pPr>
                  <w:r>
                    <w:rPr>
                      <w:rFonts w:hint="eastAsia"/>
                      <w:sz w:val="21"/>
                      <w:szCs w:val="21"/>
                    </w:rPr>
                    <w:t>北面，5500m</w:t>
                  </w:r>
                </w:p>
              </w:tc>
              <w:tc>
                <w:tcPr>
                  <w:tcW w:w="3026" w:type="dxa"/>
                  <w:vMerge w:val="restart"/>
                  <w:vAlign w:val="center"/>
                </w:tcPr>
                <w:p>
                  <w:pPr>
                    <w:ind w:firstLine="50"/>
                    <w:jc w:val="center"/>
                    <w:rPr>
                      <w:rFonts w:hint="eastAsia"/>
                      <w:sz w:val="21"/>
                      <w:szCs w:val="21"/>
                    </w:rPr>
                  </w:pPr>
                  <w:r>
                    <w:rPr>
                      <w:sz w:val="21"/>
                      <w:szCs w:val="21"/>
                    </w:rPr>
                    <w:t>《地表水环境质量标准》</w:t>
                  </w:r>
                  <w:r>
                    <w:rPr>
                      <w:rFonts w:hint="eastAsia"/>
                      <w:sz w:val="21"/>
                      <w:szCs w:val="21"/>
                    </w:rPr>
                    <w:t>（</w:t>
                  </w:r>
                  <w:r>
                    <w:rPr>
                      <w:sz w:val="21"/>
                      <w:szCs w:val="21"/>
                    </w:rPr>
                    <w:t>GB3838-2002</w:t>
                  </w:r>
                  <w:r>
                    <w:rPr>
                      <w:rFonts w:hint="eastAsia"/>
                      <w:sz w:val="21"/>
                      <w:szCs w:val="21"/>
                    </w:rPr>
                    <w:t>）</w:t>
                  </w:r>
                  <w:r>
                    <w:rPr>
                      <w:sz w:val="21"/>
                      <w:szCs w:val="21"/>
                    </w:rPr>
                    <w:t>中的</w:t>
                  </w:r>
                  <w:r>
                    <w:rPr>
                      <w:rFonts w:hint="eastAsia"/>
                      <w:sz w:val="21"/>
                      <w:szCs w:val="21"/>
                    </w:rPr>
                    <w:t>Ⅲ</w:t>
                  </w:r>
                  <w:r>
                    <w:rPr>
                      <w:sz w:val="21"/>
                      <w:szCs w:val="21"/>
                    </w:rPr>
                    <w:t>类水体</w:t>
                  </w:r>
                </w:p>
              </w:tc>
            </w:tr>
            <w:tr>
              <w:tblPrEx>
                <w:jc w:val="center"/>
                <w:tblInd w:w="123" w:type="dxa"/>
                <w:tblLayout w:type="fixed"/>
                <w:tblCellMar>
                  <w:top w:w="0" w:type="dxa"/>
                  <w:left w:w="108" w:type="dxa"/>
                  <w:bottom w:w="0" w:type="dxa"/>
                  <w:right w:w="108" w:type="dxa"/>
                </w:tblCellMar>
                <w:tblLook w:val="0000"/>
              </w:tblPrEx>
              <w:trPr>
                <w:trHeight w:val="333"/>
                <w:jc w:val="center"/>
              </w:trPr>
              <w:tc>
                <w:tcPr>
                  <w:tcW w:w="1254" w:type="dxa"/>
                  <w:vMerge/>
                  <w:vAlign w:val="center"/>
                </w:tcPr>
                <w:p>
                  <w:pPr>
                    <w:ind w:firstLine="50"/>
                    <w:jc w:val="center"/>
                    <w:rPr>
                      <w:sz w:val="21"/>
                      <w:szCs w:val="21"/>
                    </w:rPr>
                  </w:pPr>
                </w:p>
              </w:tc>
              <w:tc>
                <w:tcPr>
                  <w:tcW w:w="2063" w:type="dxa"/>
                  <w:vAlign w:val="center"/>
                </w:tcPr>
                <w:p>
                  <w:pPr>
                    <w:ind w:firstLine="50"/>
                    <w:jc w:val="center"/>
                    <w:rPr>
                      <w:rFonts w:hint="eastAsia"/>
                      <w:sz w:val="21"/>
                      <w:szCs w:val="21"/>
                    </w:rPr>
                  </w:pPr>
                  <w:r>
                    <w:rPr>
                      <w:rFonts w:hint="eastAsia"/>
                      <w:sz w:val="21"/>
                      <w:szCs w:val="21"/>
                    </w:rPr>
                    <w:t>南</w:t>
                  </w:r>
                  <w:r>
                    <w:rPr>
                      <w:rFonts w:hint="eastAsia"/>
                      <w:sz w:val="21"/>
                      <w:szCs w:val="21"/>
                    </w:rPr>
                    <w:cr/>
                  </w:r>
                  <w:r>
                    <w:rPr>
                      <w:rFonts w:hint="eastAsia"/>
                      <w:sz w:val="21"/>
                      <w:szCs w:val="21"/>
                    </w:rPr>
                    <w:t>湖</w:t>
                  </w:r>
                </w:p>
              </w:tc>
              <w:tc>
                <w:tcPr>
                  <w:tcW w:w="1049" w:type="dxa"/>
                  <w:vAlign w:val="center"/>
                </w:tcPr>
                <w:p>
                  <w:pPr>
                    <w:ind w:firstLine="50"/>
                    <w:jc w:val="center"/>
                    <w:rPr>
                      <w:rFonts w:hint="eastAsia"/>
                      <w:sz w:val="21"/>
                      <w:szCs w:val="21"/>
                    </w:rPr>
                  </w:pPr>
                  <w:r>
                    <w:rPr>
                      <w:rFonts w:hint="eastAsia"/>
                      <w:sz w:val="21"/>
                      <w:szCs w:val="21"/>
                    </w:rPr>
                    <w:t>小湖</w:t>
                  </w:r>
                </w:p>
              </w:tc>
              <w:tc>
                <w:tcPr>
                  <w:tcW w:w="1565" w:type="dxa"/>
                  <w:vAlign w:val="center"/>
                </w:tcPr>
                <w:p>
                  <w:pPr>
                    <w:ind w:firstLine="50"/>
                    <w:jc w:val="center"/>
                    <w:rPr>
                      <w:rFonts w:hint="eastAsia"/>
                      <w:sz w:val="21"/>
                      <w:szCs w:val="21"/>
                    </w:rPr>
                  </w:pPr>
                  <w:r>
                    <w:rPr>
                      <w:rFonts w:hint="eastAsia"/>
                      <w:sz w:val="21"/>
                      <w:szCs w:val="21"/>
                    </w:rPr>
                    <w:t>东面，344m</w:t>
                  </w:r>
                </w:p>
              </w:tc>
              <w:tc>
                <w:tcPr>
                  <w:tcW w:w="3026" w:type="dxa"/>
                  <w:vMerge/>
                  <w:vAlign w:val="center"/>
                </w:tcPr>
                <w:p>
                  <w:pPr>
                    <w:ind w:firstLine="50"/>
                    <w:jc w:val="center"/>
                    <w:rPr>
                      <w:sz w:val="21"/>
                      <w:szCs w:val="21"/>
                    </w:rPr>
                  </w:pP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1254" w:type="dxa"/>
                  <w:vMerge w:val="restart"/>
                  <w:vAlign w:val="center"/>
                </w:tcPr>
                <w:p>
                  <w:pPr>
                    <w:rPr>
                      <w:sz w:val="21"/>
                      <w:szCs w:val="21"/>
                    </w:rPr>
                  </w:pPr>
                </w:p>
                <w:p>
                  <w:pPr>
                    <w:rPr>
                      <w:rFonts w:hint="eastAsia"/>
                      <w:sz w:val="21"/>
                      <w:szCs w:val="21"/>
                    </w:rPr>
                  </w:pPr>
                  <w:r>
                    <w:rPr>
                      <w:rFonts w:hint="eastAsia"/>
                      <w:sz w:val="21"/>
                      <w:szCs w:val="21"/>
                    </w:rPr>
                    <w:t xml:space="preserve"> </w:t>
                  </w:r>
                  <w:r>
                    <w:rPr>
                      <w:sz w:val="21"/>
                      <w:szCs w:val="21"/>
                    </w:rPr>
                    <w:t>空气环境</w:t>
                  </w:r>
                </w:p>
                <w:p>
                  <w:pPr>
                    <w:ind w:firstLine="50"/>
                    <w:jc w:val="center"/>
                    <w:rPr>
                      <w:rFonts w:hint="eastAsia"/>
                      <w:sz w:val="21"/>
                      <w:szCs w:val="21"/>
                    </w:rPr>
                  </w:pPr>
                </w:p>
              </w:tc>
              <w:tc>
                <w:tcPr>
                  <w:tcW w:w="2063" w:type="dxa"/>
                  <w:vAlign w:val="center"/>
                </w:tcPr>
                <w:p>
                  <w:pPr>
                    <w:ind w:firstLine="50"/>
                    <w:jc w:val="center"/>
                    <w:rPr>
                      <w:rFonts w:hint="eastAsia"/>
                      <w:sz w:val="21"/>
                      <w:szCs w:val="21"/>
                    </w:rPr>
                  </w:pPr>
                  <w:r>
                    <w:rPr>
                      <w:rFonts w:hint="eastAsia"/>
                      <w:sz w:val="21"/>
                      <w:szCs w:val="21"/>
                    </w:rPr>
                    <w:t>伟星西凤华都小区</w:t>
                  </w:r>
                </w:p>
              </w:tc>
              <w:tc>
                <w:tcPr>
                  <w:tcW w:w="1049" w:type="dxa"/>
                  <w:vAlign w:val="center"/>
                </w:tcPr>
                <w:p>
                  <w:pPr>
                    <w:ind w:firstLine="50"/>
                    <w:jc w:val="center"/>
                    <w:rPr>
                      <w:rFonts w:hint="eastAsia"/>
                      <w:sz w:val="21"/>
                      <w:szCs w:val="21"/>
                    </w:rPr>
                  </w:pPr>
                  <w:r>
                    <w:rPr>
                      <w:rFonts w:hint="eastAsia"/>
                      <w:sz w:val="21"/>
                      <w:szCs w:val="21"/>
                    </w:rPr>
                    <w:t>920户</w:t>
                  </w:r>
                </w:p>
              </w:tc>
              <w:tc>
                <w:tcPr>
                  <w:tcW w:w="1565" w:type="dxa"/>
                  <w:vAlign w:val="center"/>
                </w:tcPr>
                <w:p>
                  <w:pPr>
                    <w:ind w:firstLine="50"/>
                    <w:jc w:val="center"/>
                    <w:rPr>
                      <w:rFonts w:hint="eastAsia"/>
                      <w:sz w:val="21"/>
                      <w:szCs w:val="21"/>
                    </w:rPr>
                  </w:pPr>
                  <w:r>
                    <w:rPr>
                      <w:rFonts w:hint="eastAsia"/>
                      <w:sz w:val="21"/>
                      <w:szCs w:val="21"/>
                    </w:rPr>
                    <w:t>北面，91m</w:t>
                  </w:r>
                </w:p>
              </w:tc>
              <w:tc>
                <w:tcPr>
                  <w:tcW w:w="3026" w:type="dxa"/>
                  <w:vMerge w:val="restart"/>
                  <w:vAlign w:val="center"/>
                </w:tcPr>
                <w:p>
                  <w:pPr>
                    <w:ind w:firstLine="50"/>
                    <w:jc w:val="center"/>
                    <w:rPr>
                      <w:sz w:val="21"/>
                      <w:szCs w:val="21"/>
                    </w:rPr>
                  </w:pPr>
                </w:p>
                <w:p>
                  <w:pPr>
                    <w:ind w:firstLine="50"/>
                    <w:jc w:val="center"/>
                    <w:rPr>
                      <w:rFonts w:hint="eastAsia"/>
                      <w:sz w:val="21"/>
                      <w:szCs w:val="21"/>
                    </w:rPr>
                  </w:pPr>
                  <w:r>
                    <w:rPr>
                      <w:sz w:val="21"/>
                      <w:szCs w:val="21"/>
                    </w:rPr>
                    <w:t>《环境空气质量标准》</w:t>
                  </w:r>
                  <w:r>
                    <w:rPr>
                      <w:rFonts w:hint="eastAsia"/>
                      <w:sz w:val="21"/>
                      <w:szCs w:val="21"/>
                    </w:rPr>
                    <w:t>（</w:t>
                  </w:r>
                  <w:r>
                    <w:rPr>
                      <w:sz w:val="21"/>
                      <w:szCs w:val="21"/>
                    </w:rPr>
                    <w:t>GB3095-</w:t>
                  </w:r>
                  <w:r>
                    <w:rPr>
                      <w:rFonts w:hint="eastAsia"/>
                      <w:sz w:val="21"/>
                      <w:szCs w:val="21"/>
                    </w:rPr>
                    <w:t>2012）中的</w:t>
                  </w:r>
                  <w:r>
                    <w:rPr>
                      <w:sz w:val="21"/>
                      <w:szCs w:val="21"/>
                    </w:rPr>
                    <w:t>二级标准</w:t>
                  </w:r>
                </w:p>
                <w:p>
                  <w:pPr>
                    <w:ind w:firstLine="50"/>
                    <w:jc w:val="center"/>
                    <w:rPr>
                      <w:rFonts w:hint="eastAsia"/>
                      <w:sz w:val="21"/>
                      <w:szCs w:val="21"/>
                    </w:rPr>
                  </w:pP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1254" w:type="dxa"/>
                  <w:vMerge/>
                  <w:vAlign w:val="center"/>
                </w:tcPr>
                <w:p>
                  <w:pPr>
                    <w:ind w:firstLine="50"/>
                    <w:jc w:val="center"/>
                    <w:rPr>
                      <w:rFonts w:hint="eastAsia"/>
                      <w:sz w:val="21"/>
                      <w:szCs w:val="21"/>
                    </w:rPr>
                  </w:pPr>
                </w:p>
              </w:tc>
              <w:tc>
                <w:tcPr>
                  <w:tcW w:w="2063" w:type="dxa"/>
                  <w:vAlign w:val="center"/>
                </w:tcPr>
                <w:p>
                  <w:pPr>
                    <w:ind w:firstLine="50"/>
                    <w:jc w:val="center"/>
                    <w:rPr>
                      <w:rFonts w:hint="eastAsia"/>
                      <w:sz w:val="21"/>
                      <w:szCs w:val="21"/>
                    </w:rPr>
                  </w:pPr>
                  <w:r>
                    <w:rPr>
                      <w:rFonts w:hint="eastAsia"/>
                      <w:sz w:val="21"/>
                      <w:szCs w:val="21"/>
                    </w:rPr>
                    <w:t>伟星浪琴湾小区</w:t>
                  </w:r>
                </w:p>
              </w:tc>
              <w:tc>
                <w:tcPr>
                  <w:tcW w:w="1049" w:type="dxa"/>
                  <w:vAlign w:val="center"/>
                </w:tcPr>
                <w:p>
                  <w:pPr>
                    <w:ind w:firstLine="50"/>
                    <w:jc w:val="center"/>
                    <w:rPr>
                      <w:rFonts w:hint="eastAsia"/>
                      <w:sz w:val="21"/>
                      <w:szCs w:val="21"/>
                    </w:rPr>
                  </w:pPr>
                  <w:r>
                    <w:rPr>
                      <w:rFonts w:hint="eastAsia"/>
                      <w:sz w:val="21"/>
                      <w:szCs w:val="21"/>
                    </w:rPr>
                    <w:t>230户</w:t>
                  </w:r>
                </w:p>
              </w:tc>
              <w:tc>
                <w:tcPr>
                  <w:tcW w:w="1565" w:type="dxa"/>
                  <w:vAlign w:val="center"/>
                </w:tcPr>
                <w:p>
                  <w:pPr>
                    <w:ind w:firstLine="50"/>
                    <w:jc w:val="center"/>
                    <w:rPr>
                      <w:rFonts w:hint="eastAsia"/>
                      <w:sz w:val="21"/>
                      <w:szCs w:val="21"/>
                    </w:rPr>
                  </w:pPr>
                  <w:r>
                    <w:rPr>
                      <w:rFonts w:hint="eastAsia"/>
                      <w:sz w:val="21"/>
                      <w:szCs w:val="21"/>
                    </w:rPr>
                    <w:t>东北面，218m</w:t>
                  </w:r>
                </w:p>
              </w:tc>
              <w:tc>
                <w:tcPr>
                  <w:tcW w:w="3026" w:type="dxa"/>
                  <w:vMerge/>
                  <w:vAlign w:val="center"/>
                </w:tcPr>
                <w:p>
                  <w:pPr>
                    <w:ind w:firstLine="50"/>
                    <w:rPr>
                      <w:rFonts w:hint="eastAsia"/>
                      <w:sz w:val="21"/>
                      <w:szCs w:val="21"/>
                    </w:rPr>
                  </w:pP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1254" w:type="dxa"/>
                  <w:vMerge/>
                  <w:vAlign w:val="center"/>
                </w:tcPr>
                <w:p>
                  <w:pPr>
                    <w:ind w:firstLine="50"/>
                    <w:jc w:val="center"/>
                    <w:rPr>
                      <w:sz w:val="21"/>
                      <w:szCs w:val="21"/>
                    </w:rPr>
                  </w:pPr>
                </w:p>
              </w:tc>
              <w:tc>
                <w:tcPr>
                  <w:tcW w:w="2063" w:type="dxa"/>
                  <w:vAlign w:val="center"/>
                </w:tcPr>
                <w:p>
                  <w:pPr>
                    <w:ind w:firstLine="50"/>
                    <w:jc w:val="center"/>
                    <w:rPr>
                      <w:rFonts w:hint="eastAsia"/>
                      <w:sz w:val="21"/>
                      <w:szCs w:val="21"/>
                    </w:rPr>
                  </w:pPr>
                  <w:r>
                    <w:rPr>
                      <w:rFonts w:hint="eastAsia"/>
                      <w:sz w:val="21"/>
                      <w:szCs w:val="21"/>
                    </w:rPr>
                    <w:t>丰源宜合小区</w:t>
                  </w:r>
                </w:p>
              </w:tc>
              <w:tc>
                <w:tcPr>
                  <w:tcW w:w="1049" w:type="dxa"/>
                  <w:vAlign w:val="center"/>
                </w:tcPr>
                <w:p>
                  <w:pPr>
                    <w:ind w:firstLine="50"/>
                    <w:jc w:val="center"/>
                    <w:rPr>
                      <w:rFonts w:hint="eastAsia"/>
                      <w:sz w:val="21"/>
                      <w:szCs w:val="21"/>
                    </w:rPr>
                  </w:pPr>
                  <w:r>
                    <w:rPr>
                      <w:rFonts w:hint="eastAsia"/>
                      <w:sz w:val="21"/>
                      <w:szCs w:val="21"/>
                    </w:rPr>
                    <w:t>530户</w:t>
                  </w:r>
                </w:p>
              </w:tc>
              <w:tc>
                <w:tcPr>
                  <w:tcW w:w="1565" w:type="dxa"/>
                  <w:vAlign w:val="center"/>
                </w:tcPr>
                <w:p>
                  <w:pPr>
                    <w:ind w:firstLine="50"/>
                    <w:jc w:val="center"/>
                    <w:rPr>
                      <w:rFonts w:hint="eastAsia"/>
                      <w:sz w:val="21"/>
                      <w:szCs w:val="21"/>
                    </w:rPr>
                  </w:pPr>
                  <w:r>
                    <w:rPr>
                      <w:rFonts w:hint="eastAsia"/>
                      <w:sz w:val="21"/>
                      <w:szCs w:val="21"/>
                    </w:rPr>
                    <w:t>东面，530m</w:t>
                  </w:r>
                </w:p>
              </w:tc>
              <w:tc>
                <w:tcPr>
                  <w:tcW w:w="3026" w:type="dxa"/>
                  <w:vMerge/>
                  <w:vAlign w:val="center"/>
                </w:tcPr>
                <w:p>
                  <w:pPr>
                    <w:ind w:firstLine="50"/>
                    <w:rPr>
                      <w:sz w:val="21"/>
                      <w:szCs w:val="21"/>
                    </w:rPr>
                  </w:pPr>
                </w:p>
              </w:tc>
            </w:tr>
            <w:tr>
              <w:tblPrEx>
                <w:jc w:val="center"/>
                <w:tblInd w:w="123" w:type="dxa"/>
                <w:tblLayout w:type="fixed"/>
                <w:tblCellMar>
                  <w:top w:w="0" w:type="dxa"/>
                  <w:left w:w="108" w:type="dxa"/>
                  <w:bottom w:w="0" w:type="dxa"/>
                  <w:right w:w="108" w:type="dxa"/>
                </w:tblCellMar>
                <w:tblLook w:val="0000"/>
              </w:tblPrEx>
              <w:trPr>
                <w:trHeight w:val="245"/>
                <w:jc w:val="center"/>
              </w:trPr>
              <w:tc>
                <w:tcPr>
                  <w:tcW w:w="1254" w:type="dxa"/>
                  <w:vMerge/>
                  <w:vAlign w:val="center"/>
                </w:tcPr>
                <w:p>
                  <w:pPr>
                    <w:ind w:firstLine="50"/>
                    <w:jc w:val="center"/>
                    <w:rPr>
                      <w:sz w:val="21"/>
                      <w:szCs w:val="21"/>
                    </w:rPr>
                  </w:pPr>
                </w:p>
              </w:tc>
              <w:tc>
                <w:tcPr>
                  <w:tcW w:w="2063" w:type="dxa"/>
                  <w:vAlign w:val="center"/>
                </w:tcPr>
                <w:p>
                  <w:pPr>
                    <w:ind w:firstLine="50"/>
                    <w:jc w:val="center"/>
                    <w:rPr>
                      <w:rFonts w:hint="eastAsia"/>
                      <w:sz w:val="21"/>
                      <w:szCs w:val="21"/>
                    </w:rPr>
                  </w:pPr>
                  <w:r>
                    <w:rPr>
                      <w:rFonts w:hint="eastAsia"/>
                      <w:sz w:val="21"/>
                      <w:szCs w:val="21"/>
                    </w:rPr>
                    <w:t>港背刘家</w:t>
                  </w:r>
                </w:p>
              </w:tc>
              <w:tc>
                <w:tcPr>
                  <w:tcW w:w="1049" w:type="dxa"/>
                  <w:vAlign w:val="center"/>
                </w:tcPr>
                <w:p>
                  <w:pPr>
                    <w:ind w:firstLine="50"/>
                    <w:jc w:val="center"/>
                    <w:rPr>
                      <w:rFonts w:hint="eastAsia"/>
                      <w:sz w:val="21"/>
                      <w:szCs w:val="21"/>
                    </w:rPr>
                  </w:pPr>
                  <w:r>
                    <w:rPr>
                      <w:rFonts w:hint="eastAsia"/>
                      <w:sz w:val="21"/>
                      <w:szCs w:val="21"/>
                    </w:rPr>
                    <w:t>118户</w:t>
                  </w:r>
                </w:p>
              </w:tc>
              <w:tc>
                <w:tcPr>
                  <w:tcW w:w="1565" w:type="dxa"/>
                  <w:vAlign w:val="center"/>
                </w:tcPr>
                <w:p>
                  <w:pPr>
                    <w:ind w:firstLine="50"/>
                    <w:jc w:val="center"/>
                    <w:rPr>
                      <w:rFonts w:hint="eastAsia"/>
                      <w:sz w:val="21"/>
                      <w:szCs w:val="21"/>
                    </w:rPr>
                  </w:pPr>
                  <w:r>
                    <w:rPr>
                      <w:rFonts w:hint="eastAsia"/>
                      <w:sz w:val="21"/>
                      <w:szCs w:val="21"/>
                    </w:rPr>
                    <w:t>西南面，138m</w:t>
                  </w:r>
                </w:p>
              </w:tc>
              <w:tc>
                <w:tcPr>
                  <w:tcW w:w="3026" w:type="dxa"/>
                  <w:vMerge/>
                  <w:vAlign w:val="center"/>
                </w:tcPr>
                <w:p>
                  <w:pPr>
                    <w:ind w:firstLine="50"/>
                    <w:rPr>
                      <w:sz w:val="21"/>
                      <w:szCs w:val="21"/>
                    </w:rPr>
                  </w:pPr>
                </w:p>
              </w:tc>
            </w:tr>
            <w:tr>
              <w:tblPrEx>
                <w:jc w:val="center"/>
                <w:tblInd w:w="123" w:type="dxa"/>
                <w:tblLayout w:type="fixed"/>
                <w:tblCellMar>
                  <w:top w:w="0" w:type="dxa"/>
                  <w:left w:w="108" w:type="dxa"/>
                  <w:bottom w:w="0" w:type="dxa"/>
                  <w:right w:w="108" w:type="dxa"/>
                </w:tblCellMar>
                <w:tblLook w:val="0000"/>
              </w:tblPrEx>
              <w:trPr>
                <w:trHeight w:val="172"/>
                <w:jc w:val="center"/>
              </w:trPr>
              <w:tc>
                <w:tcPr>
                  <w:tcW w:w="1254" w:type="dxa"/>
                  <w:vMerge/>
                  <w:vAlign w:val="center"/>
                </w:tcPr>
                <w:p>
                  <w:pPr>
                    <w:ind w:firstLine="50"/>
                    <w:jc w:val="center"/>
                    <w:rPr>
                      <w:sz w:val="21"/>
                      <w:szCs w:val="21"/>
                    </w:rPr>
                  </w:pPr>
                </w:p>
              </w:tc>
              <w:tc>
                <w:tcPr>
                  <w:tcW w:w="2063" w:type="dxa"/>
                  <w:vAlign w:val="center"/>
                </w:tcPr>
                <w:p>
                  <w:pPr>
                    <w:ind w:firstLine="50"/>
                    <w:jc w:val="center"/>
                    <w:rPr>
                      <w:rFonts w:hint="eastAsia"/>
                      <w:sz w:val="21"/>
                      <w:szCs w:val="21"/>
                    </w:rPr>
                  </w:pPr>
                  <w:r>
                    <w:rPr>
                      <w:rFonts w:hint="eastAsia"/>
                      <w:sz w:val="21"/>
                      <w:szCs w:val="21"/>
                    </w:rPr>
                    <w:t>市公安局</w:t>
                  </w:r>
                </w:p>
              </w:tc>
              <w:tc>
                <w:tcPr>
                  <w:tcW w:w="1049" w:type="dxa"/>
                  <w:vAlign w:val="center"/>
                </w:tcPr>
                <w:p>
                  <w:pPr>
                    <w:ind w:firstLine="50"/>
                    <w:jc w:val="center"/>
                    <w:rPr>
                      <w:rFonts w:hint="eastAsia"/>
                      <w:sz w:val="21"/>
                      <w:szCs w:val="21"/>
                    </w:rPr>
                  </w:pPr>
                  <w:r>
                    <w:rPr>
                      <w:rFonts w:hint="eastAsia"/>
                      <w:sz w:val="21"/>
                      <w:szCs w:val="21"/>
                    </w:rPr>
                    <w:t>120人</w:t>
                  </w:r>
                </w:p>
              </w:tc>
              <w:tc>
                <w:tcPr>
                  <w:tcW w:w="1565" w:type="dxa"/>
                  <w:vAlign w:val="center"/>
                </w:tcPr>
                <w:p>
                  <w:pPr>
                    <w:ind w:firstLine="50"/>
                    <w:jc w:val="center"/>
                    <w:rPr>
                      <w:rFonts w:hint="eastAsia"/>
                      <w:sz w:val="21"/>
                      <w:szCs w:val="21"/>
                    </w:rPr>
                  </w:pPr>
                  <w:r>
                    <w:rPr>
                      <w:rFonts w:hint="eastAsia"/>
                      <w:sz w:val="21"/>
                      <w:szCs w:val="21"/>
                    </w:rPr>
                    <w:t>西面，300m</w:t>
                  </w:r>
                </w:p>
              </w:tc>
              <w:tc>
                <w:tcPr>
                  <w:tcW w:w="3026" w:type="dxa"/>
                  <w:vMerge/>
                  <w:vAlign w:val="center"/>
                </w:tcPr>
                <w:p>
                  <w:pPr>
                    <w:ind w:firstLine="50"/>
                    <w:rPr>
                      <w:sz w:val="21"/>
                      <w:szCs w:val="21"/>
                    </w:rPr>
                  </w:pPr>
                </w:p>
              </w:tc>
            </w:tr>
            <w:tr>
              <w:tblPrEx>
                <w:jc w:val="center"/>
                <w:tblInd w:w="123" w:type="dxa"/>
                <w:tblLayout w:type="fixed"/>
                <w:tblCellMar>
                  <w:top w:w="0" w:type="dxa"/>
                  <w:left w:w="108" w:type="dxa"/>
                  <w:bottom w:w="0" w:type="dxa"/>
                  <w:right w:w="108" w:type="dxa"/>
                </w:tblCellMar>
                <w:tblLook w:val="0000"/>
              </w:tblPrEx>
              <w:trPr>
                <w:trHeight w:val="201"/>
                <w:jc w:val="center"/>
              </w:trPr>
              <w:tc>
                <w:tcPr>
                  <w:tcW w:w="1254" w:type="dxa"/>
                  <w:vMerge/>
                  <w:vAlign w:val="center"/>
                </w:tcPr>
                <w:p>
                  <w:pPr>
                    <w:ind w:firstLine="50"/>
                    <w:jc w:val="center"/>
                    <w:rPr>
                      <w:sz w:val="21"/>
                      <w:szCs w:val="21"/>
                    </w:rPr>
                  </w:pPr>
                </w:p>
              </w:tc>
              <w:tc>
                <w:tcPr>
                  <w:tcW w:w="2063" w:type="dxa"/>
                  <w:vAlign w:val="center"/>
                </w:tcPr>
                <w:p>
                  <w:pPr>
                    <w:ind w:firstLine="50"/>
                    <w:jc w:val="center"/>
                    <w:rPr>
                      <w:rFonts w:hint="eastAsia"/>
                      <w:sz w:val="21"/>
                      <w:szCs w:val="21"/>
                    </w:rPr>
                  </w:pPr>
                  <w:r>
                    <w:rPr>
                      <w:rFonts w:hint="eastAsia"/>
                      <w:sz w:val="21"/>
                      <w:szCs w:val="21"/>
                    </w:rPr>
                    <w:t>市质监局</w:t>
                  </w:r>
                </w:p>
              </w:tc>
              <w:tc>
                <w:tcPr>
                  <w:tcW w:w="1049" w:type="dxa"/>
                  <w:vAlign w:val="center"/>
                </w:tcPr>
                <w:p>
                  <w:pPr>
                    <w:ind w:firstLine="50"/>
                    <w:jc w:val="center"/>
                    <w:rPr>
                      <w:rFonts w:hint="eastAsia"/>
                      <w:sz w:val="21"/>
                      <w:szCs w:val="21"/>
                    </w:rPr>
                  </w:pPr>
                  <w:r>
                    <w:rPr>
                      <w:rFonts w:hint="eastAsia"/>
                      <w:sz w:val="21"/>
                      <w:szCs w:val="21"/>
                    </w:rPr>
                    <w:t>120人</w:t>
                  </w:r>
                </w:p>
              </w:tc>
              <w:tc>
                <w:tcPr>
                  <w:tcW w:w="1565" w:type="dxa"/>
                  <w:vAlign w:val="center"/>
                </w:tcPr>
                <w:p>
                  <w:pPr>
                    <w:ind w:firstLine="50"/>
                    <w:jc w:val="center"/>
                    <w:rPr>
                      <w:rFonts w:hint="eastAsia"/>
                      <w:sz w:val="21"/>
                      <w:szCs w:val="21"/>
                    </w:rPr>
                  </w:pPr>
                  <w:r>
                    <w:rPr>
                      <w:rFonts w:hint="eastAsia"/>
                      <w:sz w:val="21"/>
                      <w:szCs w:val="21"/>
                    </w:rPr>
                    <w:t>西北面，110m</w:t>
                  </w:r>
                </w:p>
              </w:tc>
              <w:tc>
                <w:tcPr>
                  <w:tcW w:w="3026" w:type="dxa"/>
                  <w:vMerge/>
                  <w:vAlign w:val="center"/>
                </w:tcPr>
                <w:p>
                  <w:pPr>
                    <w:ind w:firstLine="50"/>
                    <w:rPr>
                      <w:sz w:val="21"/>
                      <w:szCs w:val="21"/>
                    </w:rPr>
                  </w:pPr>
                </w:p>
              </w:tc>
            </w:tr>
            <w:tr>
              <w:tblPrEx>
                <w:jc w:val="center"/>
                <w:tblInd w:w="123" w:type="dxa"/>
                <w:tblLayout w:type="fixed"/>
                <w:tblCellMar>
                  <w:top w:w="0" w:type="dxa"/>
                  <w:left w:w="108" w:type="dxa"/>
                  <w:bottom w:w="0" w:type="dxa"/>
                  <w:right w:w="108" w:type="dxa"/>
                </w:tblCellMar>
                <w:tblLook w:val="0000"/>
              </w:tblPrEx>
              <w:trPr>
                <w:trHeight w:val="341"/>
                <w:jc w:val="center"/>
              </w:trPr>
              <w:tc>
                <w:tcPr>
                  <w:tcW w:w="1254" w:type="dxa"/>
                  <w:vMerge/>
                  <w:vAlign w:val="center"/>
                </w:tcPr>
                <w:p>
                  <w:pPr>
                    <w:ind w:firstLine="50"/>
                    <w:jc w:val="center"/>
                    <w:rPr>
                      <w:sz w:val="21"/>
                      <w:szCs w:val="21"/>
                    </w:rPr>
                  </w:pPr>
                </w:p>
              </w:tc>
              <w:tc>
                <w:tcPr>
                  <w:tcW w:w="2063" w:type="dxa"/>
                  <w:vAlign w:val="center"/>
                </w:tcPr>
                <w:p>
                  <w:pPr>
                    <w:ind w:firstLine="50"/>
                    <w:jc w:val="center"/>
                    <w:rPr>
                      <w:rFonts w:hint="eastAsia"/>
                      <w:sz w:val="21"/>
                      <w:szCs w:val="21"/>
                    </w:rPr>
                  </w:pPr>
                  <w:r>
                    <w:rPr>
                      <w:rFonts w:hint="eastAsia"/>
                      <w:sz w:val="21"/>
                      <w:szCs w:val="21"/>
                    </w:rPr>
                    <w:t>小圩村</w:t>
                  </w:r>
                </w:p>
              </w:tc>
              <w:tc>
                <w:tcPr>
                  <w:tcW w:w="1049" w:type="dxa"/>
                  <w:vAlign w:val="center"/>
                </w:tcPr>
                <w:p>
                  <w:pPr>
                    <w:ind w:firstLine="50"/>
                    <w:jc w:val="center"/>
                    <w:rPr>
                      <w:rFonts w:hint="eastAsia"/>
                      <w:sz w:val="21"/>
                      <w:szCs w:val="21"/>
                    </w:rPr>
                  </w:pPr>
                  <w:r>
                    <w:rPr>
                      <w:rFonts w:hint="eastAsia"/>
                      <w:sz w:val="21"/>
                      <w:szCs w:val="21"/>
                    </w:rPr>
                    <w:t>34户</w:t>
                  </w:r>
                </w:p>
              </w:tc>
              <w:tc>
                <w:tcPr>
                  <w:tcW w:w="1565" w:type="dxa"/>
                  <w:vAlign w:val="center"/>
                </w:tcPr>
                <w:p>
                  <w:pPr>
                    <w:ind w:firstLine="50"/>
                    <w:jc w:val="center"/>
                    <w:rPr>
                      <w:rFonts w:hint="eastAsia"/>
                      <w:sz w:val="21"/>
                      <w:szCs w:val="21"/>
                    </w:rPr>
                  </w:pPr>
                  <w:r>
                    <w:rPr>
                      <w:rFonts w:hint="eastAsia"/>
                      <w:sz w:val="21"/>
                      <w:szCs w:val="21"/>
                    </w:rPr>
                    <w:t>西北面，210m</w:t>
                  </w:r>
                </w:p>
              </w:tc>
              <w:tc>
                <w:tcPr>
                  <w:tcW w:w="3026" w:type="dxa"/>
                  <w:vMerge/>
                  <w:vAlign w:val="center"/>
                </w:tcPr>
                <w:p>
                  <w:pPr>
                    <w:ind w:firstLine="50"/>
                    <w:rPr>
                      <w:sz w:val="21"/>
                      <w:szCs w:val="21"/>
                    </w:rPr>
                  </w:pPr>
                </w:p>
              </w:tc>
            </w:tr>
            <w:tr>
              <w:tblPrEx>
                <w:jc w:val="center"/>
                <w:tblInd w:w="123" w:type="dxa"/>
                <w:tblLayout w:type="fixed"/>
                <w:tblCellMar>
                  <w:top w:w="0" w:type="dxa"/>
                  <w:left w:w="108" w:type="dxa"/>
                  <w:bottom w:w="0" w:type="dxa"/>
                  <w:right w:w="108" w:type="dxa"/>
                </w:tblCellMar>
                <w:tblLook w:val="0000"/>
              </w:tblPrEx>
              <w:trPr>
                <w:trHeight w:val="186"/>
                <w:jc w:val="center"/>
              </w:trPr>
              <w:tc>
                <w:tcPr>
                  <w:tcW w:w="1254" w:type="dxa"/>
                  <w:vMerge w:val="restart"/>
                  <w:vAlign w:val="center"/>
                </w:tcPr>
                <w:p>
                  <w:pPr>
                    <w:ind w:firstLine="50"/>
                    <w:jc w:val="center"/>
                    <w:rPr>
                      <w:sz w:val="21"/>
                      <w:szCs w:val="21"/>
                    </w:rPr>
                  </w:pPr>
                  <w:r>
                    <w:rPr>
                      <w:rFonts w:hint="eastAsia"/>
                      <w:sz w:val="21"/>
                      <w:szCs w:val="21"/>
                    </w:rPr>
                    <w:t>声环境</w:t>
                  </w:r>
                </w:p>
              </w:tc>
              <w:tc>
                <w:tcPr>
                  <w:tcW w:w="2063" w:type="dxa"/>
                  <w:vAlign w:val="center"/>
                </w:tcPr>
                <w:p>
                  <w:pPr>
                    <w:ind w:firstLine="50"/>
                    <w:jc w:val="center"/>
                    <w:rPr>
                      <w:rFonts w:hint="eastAsia"/>
                      <w:sz w:val="21"/>
                      <w:szCs w:val="21"/>
                    </w:rPr>
                  </w:pPr>
                  <w:r>
                    <w:rPr>
                      <w:rFonts w:hint="eastAsia"/>
                      <w:sz w:val="21"/>
                      <w:szCs w:val="21"/>
                    </w:rPr>
                    <w:t>伟星西凤华都小区</w:t>
                  </w:r>
                </w:p>
              </w:tc>
              <w:tc>
                <w:tcPr>
                  <w:tcW w:w="1049" w:type="dxa"/>
                  <w:vAlign w:val="center"/>
                </w:tcPr>
                <w:p>
                  <w:pPr>
                    <w:ind w:firstLine="50"/>
                    <w:jc w:val="center"/>
                    <w:rPr>
                      <w:rFonts w:hint="eastAsia"/>
                      <w:sz w:val="21"/>
                      <w:szCs w:val="21"/>
                    </w:rPr>
                  </w:pPr>
                  <w:r>
                    <w:rPr>
                      <w:rFonts w:hint="eastAsia"/>
                      <w:sz w:val="21"/>
                      <w:szCs w:val="21"/>
                    </w:rPr>
                    <w:t>920户</w:t>
                  </w:r>
                </w:p>
              </w:tc>
              <w:tc>
                <w:tcPr>
                  <w:tcW w:w="1565" w:type="dxa"/>
                  <w:vAlign w:val="center"/>
                </w:tcPr>
                <w:p>
                  <w:pPr>
                    <w:ind w:firstLine="50"/>
                    <w:jc w:val="center"/>
                    <w:rPr>
                      <w:rFonts w:hint="eastAsia"/>
                      <w:sz w:val="21"/>
                      <w:szCs w:val="21"/>
                    </w:rPr>
                  </w:pPr>
                  <w:r>
                    <w:rPr>
                      <w:rFonts w:hint="eastAsia"/>
                      <w:sz w:val="21"/>
                      <w:szCs w:val="21"/>
                    </w:rPr>
                    <w:t>北面，91m</w:t>
                  </w:r>
                </w:p>
              </w:tc>
              <w:tc>
                <w:tcPr>
                  <w:tcW w:w="3026" w:type="dxa"/>
                  <w:vMerge w:val="restart"/>
                  <w:vAlign w:val="center"/>
                </w:tcPr>
                <w:p>
                  <w:pPr>
                    <w:ind w:firstLine="50"/>
                    <w:jc w:val="center"/>
                    <w:rPr>
                      <w:sz w:val="21"/>
                      <w:szCs w:val="21"/>
                    </w:rPr>
                  </w:pPr>
                  <w:r>
                    <w:rPr>
                      <w:rFonts w:hint="eastAsia"/>
                      <w:sz w:val="21"/>
                      <w:szCs w:val="21"/>
                    </w:rPr>
                    <w:t>《声环境质量标准》（GB3096-2008）2类、4a标准</w:t>
                  </w:r>
                </w:p>
              </w:tc>
            </w:tr>
            <w:tr>
              <w:tblPrEx>
                <w:jc w:val="center"/>
                <w:tblInd w:w="123" w:type="dxa"/>
                <w:tblLayout w:type="fixed"/>
                <w:tblCellMar>
                  <w:top w:w="0" w:type="dxa"/>
                  <w:left w:w="108" w:type="dxa"/>
                  <w:bottom w:w="0" w:type="dxa"/>
                  <w:right w:w="108" w:type="dxa"/>
                </w:tblCellMar>
                <w:tblLook w:val="0000"/>
              </w:tblPrEx>
              <w:trPr>
                <w:trHeight w:val="179"/>
                <w:jc w:val="center"/>
              </w:trPr>
              <w:tc>
                <w:tcPr>
                  <w:tcW w:w="1254" w:type="dxa"/>
                  <w:vMerge/>
                  <w:vAlign w:val="center"/>
                </w:tcPr>
                <w:p>
                  <w:pPr>
                    <w:ind w:firstLine="50"/>
                    <w:jc w:val="center"/>
                    <w:rPr>
                      <w:sz w:val="21"/>
                      <w:szCs w:val="21"/>
                    </w:rPr>
                  </w:pPr>
                </w:p>
              </w:tc>
              <w:tc>
                <w:tcPr>
                  <w:tcW w:w="2063" w:type="dxa"/>
                  <w:vAlign w:val="center"/>
                </w:tcPr>
                <w:p>
                  <w:pPr>
                    <w:ind w:firstLine="50"/>
                    <w:jc w:val="center"/>
                    <w:rPr>
                      <w:rFonts w:hint="eastAsia"/>
                      <w:sz w:val="21"/>
                      <w:szCs w:val="21"/>
                    </w:rPr>
                  </w:pPr>
                  <w:r>
                    <w:rPr>
                      <w:rFonts w:hint="eastAsia"/>
                      <w:sz w:val="21"/>
                      <w:szCs w:val="21"/>
                    </w:rPr>
                    <w:t>伟星浪琴湾小区</w:t>
                  </w:r>
                </w:p>
              </w:tc>
              <w:tc>
                <w:tcPr>
                  <w:tcW w:w="1049" w:type="dxa"/>
                  <w:vAlign w:val="center"/>
                </w:tcPr>
                <w:p>
                  <w:pPr>
                    <w:ind w:firstLine="50"/>
                    <w:jc w:val="center"/>
                    <w:rPr>
                      <w:rFonts w:hint="eastAsia"/>
                      <w:sz w:val="21"/>
                      <w:szCs w:val="21"/>
                    </w:rPr>
                  </w:pPr>
                  <w:r>
                    <w:rPr>
                      <w:rFonts w:hint="eastAsia"/>
                      <w:sz w:val="21"/>
                      <w:szCs w:val="21"/>
                    </w:rPr>
                    <w:t>230户</w:t>
                  </w:r>
                </w:p>
              </w:tc>
              <w:tc>
                <w:tcPr>
                  <w:tcW w:w="1565" w:type="dxa"/>
                  <w:vAlign w:val="center"/>
                </w:tcPr>
                <w:p>
                  <w:pPr>
                    <w:ind w:firstLine="50"/>
                    <w:jc w:val="center"/>
                    <w:rPr>
                      <w:rFonts w:hint="eastAsia"/>
                      <w:sz w:val="21"/>
                      <w:szCs w:val="21"/>
                    </w:rPr>
                  </w:pPr>
                  <w:r>
                    <w:rPr>
                      <w:rFonts w:hint="eastAsia"/>
                      <w:sz w:val="21"/>
                      <w:szCs w:val="21"/>
                    </w:rPr>
                    <w:t>东北面，218m</w:t>
                  </w:r>
                </w:p>
              </w:tc>
              <w:tc>
                <w:tcPr>
                  <w:tcW w:w="3026" w:type="dxa"/>
                  <w:vMerge/>
                  <w:vAlign w:val="center"/>
                </w:tcPr>
                <w:p>
                  <w:pPr>
                    <w:ind w:firstLine="50"/>
                    <w:rPr>
                      <w:sz w:val="21"/>
                      <w:szCs w:val="21"/>
                    </w:rPr>
                  </w:pPr>
                </w:p>
              </w:tc>
            </w:tr>
            <w:tr>
              <w:tblPrEx>
                <w:jc w:val="center"/>
                <w:tblInd w:w="123" w:type="dxa"/>
                <w:tblLayout w:type="fixed"/>
                <w:tblCellMar>
                  <w:top w:w="0" w:type="dxa"/>
                  <w:left w:w="108" w:type="dxa"/>
                  <w:bottom w:w="0" w:type="dxa"/>
                  <w:right w:w="108" w:type="dxa"/>
                </w:tblCellMar>
                <w:tblLook w:val="0000"/>
              </w:tblPrEx>
              <w:trPr>
                <w:trHeight w:val="232"/>
                <w:jc w:val="center"/>
              </w:trPr>
              <w:tc>
                <w:tcPr>
                  <w:tcW w:w="1254" w:type="dxa"/>
                  <w:vMerge/>
                  <w:vAlign w:val="center"/>
                </w:tcPr>
                <w:p>
                  <w:pPr>
                    <w:ind w:firstLine="50"/>
                    <w:jc w:val="center"/>
                    <w:rPr>
                      <w:sz w:val="21"/>
                      <w:szCs w:val="21"/>
                    </w:rPr>
                  </w:pPr>
                </w:p>
              </w:tc>
              <w:tc>
                <w:tcPr>
                  <w:tcW w:w="2063" w:type="dxa"/>
                  <w:vAlign w:val="center"/>
                </w:tcPr>
                <w:p>
                  <w:pPr>
                    <w:ind w:firstLine="50"/>
                    <w:jc w:val="center"/>
                    <w:rPr>
                      <w:rFonts w:hint="eastAsia"/>
                      <w:sz w:val="21"/>
                      <w:szCs w:val="21"/>
                    </w:rPr>
                  </w:pPr>
                  <w:r>
                    <w:rPr>
                      <w:rFonts w:hint="eastAsia"/>
                      <w:sz w:val="21"/>
                      <w:szCs w:val="21"/>
                    </w:rPr>
                    <w:t>丰源宜合小区</w:t>
                  </w:r>
                </w:p>
              </w:tc>
              <w:tc>
                <w:tcPr>
                  <w:tcW w:w="1049" w:type="dxa"/>
                  <w:vAlign w:val="center"/>
                </w:tcPr>
                <w:p>
                  <w:pPr>
                    <w:ind w:firstLine="50"/>
                    <w:jc w:val="center"/>
                    <w:rPr>
                      <w:rFonts w:hint="eastAsia"/>
                      <w:sz w:val="21"/>
                      <w:szCs w:val="21"/>
                    </w:rPr>
                  </w:pPr>
                  <w:r>
                    <w:rPr>
                      <w:rFonts w:hint="eastAsia"/>
                      <w:sz w:val="21"/>
                      <w:szCs w:val="21"/>
                    </w:rPr>
                    <w:t>530户</w:t>
                  </w:r>
                </w:p>
              </w:tc>
              <w:tc>
                <w:tcPr>
                  <w:tcW w:w="1565" w:type="dxa"/>
                  <w:vAlign w:val="center"/>
                </w:tcPr>
                <w:p>
                  <w:pPr>
                    <w:ind w:firstLine="50"/>
                    <w:jc w:val="center"/>
                    <w:rPr>
                      <w:rFonts w:hint="eastAsia"/>
                      <w:sz w:val="21"/>
                      <w:szCs w:val="21"/>
                    </w:rPr>
                  </w:pPr>
                  <w:r>
                    <w:rPr>
                      <w:rFonts w:hint="eastAsia"/>
                      <w:sz w:val="21"/>
                      <w:szCs w:val="21"/>
                    </w:rPr>
                    <w:t>东面，530m</w:t>
                  </w:r>
                </w:p>
              </w:tc>
              <w:tc>
                <w:tcPr>
                  <w:tcW w:w="3026" w:type="dxa"/>
                  <w:vMerge/>
                  <w:vAlign w:val="center"/>
                </w:tcPr>
                <w:p>
                  <w:pPr>
                    <w:ind w:firstLine="50"/>
                    <w:rPr>
                      <w:sz w:val="21"/>
                      <w:szCs w:val="21"/>
                    </w:rPr>
                  </w:pPr>
                </w:p>
              </w:tc>
            </w:tr>
            <w:tr>
              <w:tblPrEx>
                <w:jc w:val="center"/>
                <w:tblInd w:w="123" w:type="dxa"/>
                <w:tblLayout w:type="fixed"/>
                <w:tblCellMar>
                  <w:top w:w="0" w:type="dxa"/>
                  <w:left w:w="108" w:type="dxa"/>
                  <w:bottom w:w="0" w:type="dxa"/>
                  <w:right w:w="108" w:type="dxa"/>
                </w:tblCellMar>
                <w:tblLook w:val="0000"/>
              </w:tblPrEx>
              <w:trPr>
                <w:trHeight w:val="177"/>
                <w:jc w:val="center"/>
              </w:trPr>
              <w:tc>
                <w:tcPr>
                  <w:tcW w:w="1254" w:type="dxa"/>
                  <w:vMerge/>
                  <w:vAlign w:val="center"/>
                </w:tcPr>
                <w:p>
                  <w:pPr>
                    <w:ind w:firstLine="50"/>
                    <w:jc w:val="center"/>
                    <w:rPr>
                      <w:sz w:val="21"/>
                      <w:szCs w:val="21"/>
                    </w:rPr>
                  </w:pPr>
                </w:p>
              </w:tc>
              <w:tc>
                <w:tcPr>
                  <w:tcW w:w="2063" w:type="dxa"/>
                  <w:vAlign w:val="center"/>
                </w:tcPr>
                <w:p>
                  <w:pPr>
                    <w:ind w:firstLine="50"/>
                    <w:jc w:val="center"/>
                    <w:rPr>
                      <w:rFonts w:hint="eastAsia"/>
                      <w:sz w:val="21"/>
                      <w:szCs w:val="21"/>
                    </w:rPr>
                  </w:pPr>
                  <w:r>
                    <w:rPr>
                      <w:rFonts w:hint="eastAsia"/>
                      <w:sz w:val="21"/>
                      <w:szCs w:val="21"/>
                    </w:rPr>
                    <w:t>港背刘家</w:t>
                  </w:r>
                </w:p>
              </w:tc>
              <w:tc>
                <w:tcPr>
                  <w:tcW w:w="1049" w:type="dxa"/>
                  <w:vAlign w:val="center"/>
                </w:tcPr>
                <w:p>
                  <w:pPr>
                    <w:ind w:firstLine="50"/>
                    <w:jc w:val="center"/>
                    <w:rPr>
                      <w:rFonts w:hint="eastAsia"/>
                      <w:sz w:val="21"/>
                      <w:szCs w:val="21"/>
                    </w:rPr>
                  </w:pPr>
                  <w:r>
                    <w:rPr>
                      <w:rFonts w:hint="eastAsia"/>
                      <w:sz w:val="21"/>
                      <w:szCs w:val="21"/>
                    </w:rPr>
                    <w:t>118户</w:t>
                  </w:r>
                </w:p>
              </w:tc>
              <w:tc>
                <w:tcPr>
                  <w:tcW w:w="1565" w:type="dxa"/>
                  <w:vAlign w:val="center"/>
                </w:tcPr>
                <w:p>
                  <w:pPr>
                    <w:ind w:firstLine="50"/>
                    <w:jc w:val="center"/>
                    <w:rPr>
                      <w:rFonts w:hint="eastAsia"/>
                      <w:sz w:val="21"/>
                      <w:szCs w:val="21"/>
                    </w:rPr>
                  </w:pPr>
                  <w:r>
                    <w:rPr>
                      <w:rFonts w:hint="eastAsia"/>
                      <w:sz w:val="21"/>
                      <w:szCs w:val="21"/>
                    </w:rPr>
                    <w:t>西南面，138m</w:t>
                  </w:r>
                </w:p>
              </w:tc>
              <w:tc>
                <w:tcPr>
                  <w:tcW w:w="3026" w:type="dxa"/>
                  <w:vMerge/>
                  <w:vAlign w:val="center"/>
                </w:tcPr>
                <w:p>
                  <w:pPr>
                    <w:ind w:firstLine="50"/>
                    <w:rPr>
                      <w:sz w:val="21"/>
                      <w:szCs w:val="21"/>
                    </w:rPr>
                  </w:pPr>
                </w:p>
              </w:tc>
            </w:tr>
            <w:tr>
              <w:tblPrEx>
                <w:jc w:val="center"/>
                <w:tblInd w:w="123" w:type="dxa"/>
                <w:tblLayout w:type="fixed"/>
                <w:tblCellMar>
                  <w:top w:w="0" w:type="dxa"/>
                  <w:left w:w="108" w:type="dxa"/>
                  <w:bottom w:w="0" w:type="dxa"/>
                  <w:right w:w="108" w:type="dxa"/>
                </w:tblCellMar>
                <w:tblLook w:val="0000"/>
              </w:tblPrEx>
              <w:trPr>
                <w:trHeight w:val="202"/>
                <w:jc w:val="center"/>
              </w:trPr>
              <w:tc>
                <w:tcPr>
                  <w:tcW w:w="1254" w:type="dxa"/>
                  <w:vMerge/>
                  <w:vAlign w:val="center"/>
                </w:tcPr>
                <w:p>
                  <w:pPr>
                    <w:ind w:firstLine="50"/>
                    <w:jc w:val="center"/>
                    <w:rPr>
                      <w:sz w:val="21"/>
                      <w:szCs w:val="21"/>
                    </w:rPr>
                  </w:pPr>
                </w:p>
              </w:tc>
              <w:tc>
                <w:tcPr>
                  <w:tcW w:w="2063" w:type="dxa"/>
                  <w:vAlign w:val="center"/>
                </w:tcPr>
                <w:p>
                  <w:pPr>
                    <w:ind w:firstLine="50"/>
                    <w:jc w:val="center"/>
                    <w:rPr>
                      <w:rFonts w:hint="eastAsia"/>
                      <w:sz w:val="21"/>
                      <w:szCs w:val="21"/>
                    </w:rPr>
                  </w:pPr>
                  <w:r>
                    <w:rPr>
                      <w:rFonts w:hint="eastAsia"/>
                      <w:sz w:val="21"/>
                      <w:szCs w:val="21"/>
                    </w:rPr>
                    <w:t>市公安局</w:t>
                  </w:r>
                </w:p>
              </w:tc>
              <w:tc>
                <w:tcPr>
                  <w:tcW w:w="1049" w:type="dxa"/>
                  <w:vAlign w:val="center"/>
                </w:tcPr>
                <w:p>
                  <w:pPr>
                    <w:ind w:firstLine="50"/>
                    <w:jc w:val="center"/>
                    <w:rPr>
                      <w:rFonts w:hint="eastAsia"/>
                      <w:sz w:val="21"/>
                      <w:szCs w:val="21"/>
                    </w:rPr>
                  </w:pPr>
                  <w:r>
                    <w:rPr>
                      <w:rFonts w:hint="eastAsia"/>
                      <w:sz w:val="21"/>
                      <w:szCs w:val="21"/>
                    </w:rPr>
                    <w:t>120人</w:t>
                  </w:r>
                </w:p>
              </w:tc>
              <w:tc>
                <w:tcPr>
                  <w:tcW w:w="1565" w:type="dxa"/>
                  <w:vAlign w:val="center"/>
                </w:tcPr>
                <w:p>
                  <w:pPr>
                    <w:ind w:firstLine="50"/>
                    <w:jc w:val="center"/>
                    <w:rPr>
                      <w:rFonts w:hint="eastAsia"/>
                      <w:sz w:val="21"/>
                      <w:szCs w:val="21"/>
                    </w:rPr>
                  </w:pPr>
                  <w:r>
                    <w:rPr>
                      <w:rFonts w:hint="eastAsia"/>
                      <w:sz w:val="21"/>
                      <w:szCs w:val="21"/>
                    </w:rPr>
                    <w:t>西面，300m</w:t>
                  </w:r>
                </w:p>
              </w:tc>
              <w:tc>
                <w:tcPr>
                  <w:tcW w:w="3026" w:type="dxa"/>
                  <w:vMerge/>
                  <w:vAlign w:val="center"/>
                </w:tcPr>
                <w:p>
                  <w:pPr>
                    <w:ind w:firstLine="50"/>
                    <w:rPr>
                      <w:sz w:val="21"/>
                      <w:szCs w:val="21"/>
                    </w:rPr>
                  </w:pPr>
                </w:p>
              </w:tc>
            </w:tr>
            <w:tr>
              <w:tblPrEx>
                <w:jc w:val="center"/>
                <w:tblInd w:w="123" w:type="dxa"/>
                <w:tblLayout w:type="fixed"/>
                <w:tblCellMar>
                  <w:top w:w="0" w:type="dxa"/>
                  <w:left w:w="108" w:type="dxa"/>
                  <w:bottom w:w="0" w:type="dxa"/>
                  <w:right w:w="108" w:type="dxa"/>
                </w:tblCellMar>
                <w:tblLook w:val="0000"/>
              </w:tblPrEx>
              <w:trPr>
                <w:trHeight w:val="246"/>
                <w:jc w:val="center"/>
              </w:trPr>
              <w:tc>
                <w:tcPr>
                  <w:tcW w:w="1254" w:type="dxa"/>
                  <w:vMerge/>
                  <w:vAlign w:val="center"/>
                </w:tcPr>
                <w:p>
                  <w:pPr>
                    <w:ind w:firstLine="50"/>
                    <w:jc w:val="center"/>
                    <w:rPr>
                      <w:sz w:val="21"/>
                      <w:szCs w:val="21"/>
                    </w:rPr>
                  </w:pPr>
                </w:p>
              </w:tc>
              <w:tc>
                <w:tcPr>
                  <w:tcW w:w="2063" w:type="dxa"/>
                  <w:vAlign w:val="center"/>
                </w:tcPr>
                <w:p>
                  <w:pPr>
                    <w:ind w:firstLine="50"/>
                    <w:jc w:val="center"/>
                    <w:rPr>
                      <w:rFonts w:hint="eastAsia"/>
                      <w:sz w:val="21"/>
                      <w:szCs w:val="21"/>
                    </w:rPr>
                  </w:pPr>
                  <w:r>
                    <w:rPr>
                      <w:rFonts w:hint="eastAsia"/>
                      <w:sz w:val="21"/>
                      <w:szCs w:val="21"/>
                    </w:rPr>
                    <w:t>市质监局</w:t>
                  </w:r>
                </w:p>
              </w:tc>
              <w:tc>
                <w:tcPr>
                  <w:tcW w:w="1049" w:type="dxa"/>
                  <w:vAlign w:val="center"/>
                </w:tcPr>
                <w:p>
                  <w:pPr>
                    <w:ind w:firstLine="50"/>
                    <w:jc w:val="center"/>
                    <w:rPr>
                      <w:rFonts w:hint="eastAsia"/>
                      <w:sz w:val="21"/>
                      <w:szCs w:val="21"/>
                    </w:rPr>
                  </w:pPr>
                  <w:r>
                    <w:rPr>
                      <w:rFonts w:hint="eastAsia"/>
                      <w:sz w:val="21"/>
                      <w:szCs w:val="21"/>
                    </w:rPr>
                    <w:t>120人</w:t>
                  </w:r>
                </w:p>
              </w:tc>
              <w:tc>
                <w:tcPr>
                  <w:tcW w:w="1565" w:type="dxa"/>
                  <w:vAlign w:val="center"/>
                </w:tcPr>
                <w:p>
                  <w:pPr>
                    <w:ind w:firstLine="50"/>
                    <w:jc w:val="center"/>
                    <w:rPr>
                      <w:rFonts w:hint="eastAsia"/>
                      <w:sz w:val="21"/>
                      <w:szCs w:val="21"/>
                    </w:rPr>
                  </w:pPr>
                  <w:r>
                    <w:rPr>
                      <w:rFonts w:hint="eastAsia"/>
                      <w:sz w:val="21"/>
                      <w:szCs w:val="21"/>
                    </w:rPr>
                    <w:t>西北面，110m</w:t>
                  </w:r>
                </w:p>
              </w:tc>
              <w:tc>
                <w:tcPr>
                  <w:tcW w:w="3026" w:type="dxa"/>
                  <w:vMerge/>
                  <w:vAlign w:val="center"/>
                </w:tcPr>
                <w:p>
                  <w:pPr>
                    <w:ind w:firstLine="50"/>
                    <w:rPr>
                      <w:sz w:val="21"/>
                      <w:szCs w:val="21"/>
                    </w:rPr>
                  </w:pPr>
                </w:p>
              </w:tc>
            </w:tr>
            <w:tr>
              <w:tblPrEx>
                <w:jc w:val="center"/>
                <w:tblInd w:w="123" w:type="dxa"/>
                <w:tblLayout w:type="fixed"/>
                <w:tblCellMar>
                  <w:top w:w="0" w:type="dxa"/>
                  <w:left w:w="108" w:type="dxa"/>
                  <w:bottom w:w="0" w:type="dxa"/>
                  <w:right w:w="108" w:type="dxa"/>
                </w:tblCellMar>
                <w:tblLook w:val="0000"/>
              </w:tblPrEx>
              <w:trPr>
                <w:trHeight w:val="175"/>
                <w:jc w:val="center"/>
              </w:trPr>
              <w:tc>
                <w:tcPr>
                  <w:tcW w:w="1254" w:type="dxa"/>
                  <w:vMerge/>
                  <w:vAlign w:val="center"/>
                </w:tcPr>
                <w:p>
                  <w:pPr>
                    <w:ind w:firstLine="50"/>
                    <w:jc w:val="center"/>
                    <w:rPr>
                      <w:sz w:val="21"/>
                      <w:szCs w:val="21"/>
                    </w:rPr>
                  </w:pPr>
                </w:p>
              </w:tc>
              <w:tc>
                <w:tcPr>
                  <w:tcW w:w="2063" w:type="dxa"/>
                  <w:vAlign w:val="center"/>
                </w:tcPr>
                <w:p>
                  <w:pPr>
                    <w:ind w:firstLine="50"/>
                    <w:jc w:val="center"/>
                    <w:rPr>
                      <w:rFonts w:hint="eastAsia"/>
                      <w:sz w:val="21"/>
                      <w:szCs w:val="21"/>
                    </w:rPr>
                  </w:pPr>
                  <w:r>
                    <w:rPr>
                      <w:rFonts w:hint="eastAsia"/>
                      <w:sz w:val="21"/>
                      <w:szCs w:val="21"/>
                    </w:rPr>
                    <w:t>小圩村</w:t>
                  </w:r>
                </w:p>
              </w:tc>
              <w:tc>
                <w:tcPr>
                  <w:tcW w:w="1049" w:type="dxa"/>
                  <w:vAlign w:val="center"/>
                </w:tcPr>
                <w:p>
                  <w:pPr>
                    <w:ind w:firstLine="50"/>
                    <w:jc w:val="center"/>
                    <w:rPr>
                      <w:rFonts w:hint="eastAsia"/>
                      <w:sz w:val="21"/>
                      <w:szCs w:val="21"/>
                    </w:rPr>
                  </w:pPr>
                  <w:r>
                    <w:rPr>
                      <w:rFonts w:hint="eastAsia"/>
                      <w:sz w:val="21"/>
                      <w:szCs w:val="21"/>
                    </w:rPr>
                    <w:t>34户</w:t>
                  </w:r>
                </w:p>
              </w:tc>
              <w:tc>
                <w:tcPr>
                  <w:tcW w:w="1565" w:type="dxa"/>
                  <w:vAlign w:val="center"/>
                </w:tcPr>
                <w:p>
                  <w:pPr>
                    <w:ind w:firstLine="50"/>
                    <w:jc w:val="center"/>
                    <w:rPr>
                      <w:rFonts w:hint="eastAsia"/>
                      <w:sz w:val="21"/>
                      <w:szCs w:val="21"/>
                    </w:rPr>
                  </w:pPr>
                  <w:r>
                    <w:rPr>
                      <w:rFonts w:hint="eastAsia"/>
                      <w:sz w:val="21"/>
                      <w:szCs w:val="21"/>
                    </w:rPr>
                    <w:t>西北面，210m</w:t>
                  </w:r>
                </w:p>
              </w:tc>
              <w:tc>
                <w:tcPr>
                  <w:tcW w:w="3026" w:type="dxa"/>
                  <w:vMerge/>
                  <w:vAlign w:val="center"/>
                </w:tcPr>
                <w:p>
                  <w:pPr>
                    <w:ind w:firstLine="50"/>
                    <w:rPr>
                      <w:sz w:val="21"/>
                      <w:szCs w:val="21"/>
                    </w:rPr>
                  </w:pPr>
                </w:p>
              </w:tc>
            </w:tr>
          </w:tbl>
          <w:p>
            <w:pPr>
              <w:spacing w:line="480" w:lineRule="exact"/>
              <w:ind w:firstLine="480" w:firstLineChars="200"/>
              <w:rPr>
                <w:sz w:val="24"/>
                <w:szCs w:val="24"/>
              </w:rPr>
            </w:pPr>
          </w:p>
          <w:p>
            <w:pPr>
              <w:rPr>
                <w:sz w:val="24"/>
                <w:szCs w:val="24"/>
              </w:rPr>
            </w:pPr>
          </w:p>
        </w:tc>
      </w:tr>
    </w:tbl>
    <w:p>
      <w:pPr>
        <w:sectPr>
          <w:footerReference w:type="even" r:id="rId46"/>
          <w:footerReference w:type="default" r:id="rId47"/>
          <w:footerReference w:type="first" r:id="rId48"/>
          <w:type w:val="nextPage"/>
          <w:pgSz w:w="11906" w:h="16838"/>
          <w:pgMar w:top="1134" w:right="1418" w:bottom="1134" w:left="1418" w:header="851" w:footer="992" w:gutter="0"/>
          <w:pgNumType w:start="15"/>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2" w:space="0" w:color="auto"/>
          <w:insideV w:val="single" w:sz="12" w:space="0" w:color="auto"/>
        </w:tblBorders>
        <w:tblLayout w:type="fixed"/>
        <w:tblCellMar>
          <w:top w:w="0" w:type="dxa"/>
          <w:left w:w="0" w:type="dxa"/>
          <w:bottom w:w="0" w:type="dxa"/>
          <w:right w:w="0" w:type="dxa"/>
        </w:tblCellMar>
        <w:tblLook w:val="0000"/>
      </w:tblPr>
      <w:tblGrid>
        <w:gridCol w:w="9354"/>
      </w:tblGrid>
      <w:tr>
        <w:tblPrEx>
          <w:jc w:val="center"/>
          <w:tblInd w:w="-15" w:type="dxa"/>
          <w:tblBorders>
            <w:top w:val="single" w:sz="12" w:space="0" w:color="auto"/>
            <w:left w:val="single" w:sz="12" w:space="0" w:color="auto"/>
            <w:bottom w:val="single" w:sz="12" w:space="0" w:color="auto"/>
            <w:right w:val="single" w:sz="12" w:space="0" w:color="auto"/>
            <w:insideH w:val="single" w:sz="2" w:space="0" w:color="auto"/>
            <w:insideV w:val="single" w:sz="12" w:space="0" w:color="auto"/>
          </w:tblBorders>
          <w:tblLayout w:type="fixed"/>
          <w:tblCellMar>
            <w:top w:w="0" w:type="dxa"/>
            <w:left w:w="0" w:type="dxa"/>
            <w:bottom w:w="0" w:type="dxa"/>
            <w:right w:w="0" w:type="dxa"/>
          </w:tblCellMar>
          <w:tblLook w:val="0000"/>
        </w:tblPrEx>
        <w:trPr>
          <w:trHeight w:val="14287"/>
          <w:jc w:val="center"/>
        </w:trPr>
        <w:tc>
          <w:tcPr>
            <w:tcW w:w="9354" w:type="dxa"/>
          </w:tcPr>
          <w:p>
            <w:pPr>
              <w:rPr>
                <w:sz w:val="24"/>
                <w:szCs w:val="24"/>
              </w:rPr>
            </w:pPr>
          </w:p>
        </w:tc>
      </w:tr>
    </w:tbl>
    <w:p>
      <w:pPr>
        <w:sectPr>
          <w:footerReference w:type="even" r:id="rId49"/>
          <w:footerReference w:type="default" r:id="rId50"/>
          <w:footerReference w:type="first" r:id="rId51"/>
          <w:type w:val="nextPage"/>
          <w:pgSz w:w="11906" w:h="16838"/>
          <w:pgMar w:top="1134" w:right="1418" w:bottom="1134" w:left="1418" w:header="851" w:footer="992" w:gutter="0"/>
          <w:pgNumType w:start="16"/>
          <w:cols w:space="708"/>
          <w:titlePg w:val="0"/>
          <w:docGrid w:type="linesAndChars" w:linePitch="381"/>
        </w:sectPr>
      </w:pPr>
    </w:p>
    <w:p>
      <w:pPr>
        <w:pStyle w:val="NormalWeb"/>
        <w:spacing w:before="0" w:beforeAutospacing="0" w:after="0" w:afterAutospacing="0"/>
        <w:outlineLvl w:val="0"/>
        <w:rPr>
          <w:rFonts w:ascii="黑体" w:eastAsia="黑体" w:hAnsi="黑体" w:cs="黑体"/>
          <w:b/>
          <w:bCs/>
        </w:rPr>
      </w:pPr>
      <w:r>
        <w:rPr>
          <w:rFonts w:ascii="黑体" w:eastAsia="黑体" w:hAnsi="黑体" w:cs="黑体"/>
          <w:b/>
          <w:bCs/>
          <w:sz w:val="28"/>
          <w:szCs w:val="20"/>
        </w:rPr>
        <w:t xml:space="preserve">评价适用标准 </w:t>
      </w: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0" w:type="dxa"/>
          <w:bottom w:w="0" w:type="dxa"/>
          <w:right w:w="0" w:type="dxa"/>
        </w:tblCellMar>
        <w:tblLook w:val="0000"/>
      </w:tblPr>
      <w:tblGrid>
        <w:gridCol w:w="567"/>
        <w:gridCol w:w="8787"/>
      </w:tblGrid>
      <w:tr>
        <w:tblPrEx>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0" w:type="dxa"/>
            <w:bottom w:w="0" w:type="dxa"/>
            <w:right w:w="0" w:type="dxa"/>
          </w:tblCellMar>
          <w:tblLook w:val="0000"/>
        </w:tblPrEx>
        <w:trPr>
          <w:trHeight w:val="121"/>
          <w:jc w:val="center"/>
        </w:trPr>
        <w:tc>
          <w:tcPr>
            <w:tcW w:w="567" w:type="dxa"/>
            <w:vAlign w:val="center"/>
          </w:tcPr>
          <w:p>
            <w:pPr>
              <w:spacing w:line="460" w:lineRule="exact"/>
              <w:jc w:val="center"/>
              <w:rPr>
                <w:b/>
                <w:sz w:val="24"/>
                <w:szCs w:val="24"/>
              </w:rPr>
            </w:pPr>
            <w:r>
              <w:rPr>
                <w:b/>
                <w:sz w:val="24"/>
                <w:szCs w:val="24"/>
              </w:rPr>
              <w:t>环</w:t>
            </w:r>
          </w:p>
          <w:p>
            <w:pPr>
              <w:spacing w:line="460" w:lineRule="exact"/>
              <w:jc w:val="center"/>
              <w:rPr>
                <w:b/>
                <w:sz w:val="24"/>
                <w:szCs w:val="24"/>
              </w:rPr>
            </w:pPr>
            <w:r>
              <w:rPr>
                <w:b/>
                <w:sz w:val="24"/>
                <w:szCs w:val="24"/>
              </w:rPr>
              <w:t>境</w:t>
            </w:r>
          </w:p>
          <w:p>
            <w:pPr>
              <w:spacing w:line="460" w:lineRule="exact"/>
              <w:jc w:val="center"/>
              <w:rPr>
                <w:b/>
                <w:sz w:val="24"/>
                <w:szCs w:val="24"/>
              </w:rPr>
            </w:pPr>
            <w:r>
              <w:rPr>
                <w:b/>
                <w:sz w:val="24"/>
                <w:szCs w:val="24"/>
              </w:rPr>
              <w:t>质</w:t>
            </w:r>
          </w:p>
          <w:p>
            <w:pPr>
              <w:spacing w:line="460" w:lineRule="exact"/>
              <w:jc w:val="center"/>
              <w:rPr>
                <w:b/>
                <w:sz w:val="24"/>
                <w:szCs w:val="24"/>
              </w:rPr>
            </w:pPr>
            <w:r>
              <w:rPr>
                <w:b/>
                <w:sz w:val="24"/>
                <w:szCs w:val="24"/>
              </w:rPr>
              <w:t>量</w:t>
            </w:r>
          </w:p>
          <w:p>
            <w:pPr>
              <w:spacing w:line="460" w:lineRule="exact"/>
              <w:jc w:val="center"/>
              <w:rPr>
                <w:b/>
                <w:sz w:val="24"/>
                <w:szCs w:val="24"/>
              </w:rPr>
            </w:pPr>
            <w:r>
              <w:rPr>
                <w:b/>
                <w:sz w:val="24"/>
                <w:szCs w:val="24"/>
              </w:rPr>
              <w:t>标</w:t>
            </w:r>
          </w:p>
          <w:p>
            <w:pPr>
              <w:spacing w:line="460" w:lineRule="exact"/>
              <w:jc w:val="center"/>
              <w:rPr>
                <w:sz w:val="21"/>
              </w:rPr>
            </w:pPr>
            <w:r>
              <w:rPr>
                <w:b/>
                <w:sz w:val="24"/>
                <w:szCs w:val="24"/>
              </w:rPr>
              <w:t>准</w:t>
            </w:r>
            <w:r>
              <w:rPr>
                <w:b/>
                <w:sz w:val="21"/>
              </w:rPr>
              <w:t xml:space="preserve"> </w:t>
            </w:r>
          </w:p>
        </w:tc>
        <w:tc>
          <w:tcPr>
            <w:tcW w:w="8787" w:type="dxa"/>
          </w:tcPr>
          <w:p>
            <w:pPr>
              <w:adjustRightInd w:val="0"/>
              <w:snapToGrid w:val="0"/>
              <w:spacing w:before="381" w:beforeLines="100" w:line="360" w:lineRule="auto"/>
              <w:ind w:left="482"/>
              <w:rPr>
                <w:bCs/>
                <w:sz w:val="24"/>
              </w:rPr>
            </w:pPr>
            <w:r>
              <w:rPr>
                <w:bCs/>
                <w:sz w:val="24"/>
              </w:rPr>
              <w:fldChar w:fldCharType="begin"/>
            </w:r>
            <w:r>
              <w:rPr>
                <w:bCs/>
                <w:sz w:val="24"/>
              </w:rPr>
              <w:instrText xml:space="preserve"> = 1 \* GB2 </w:instrText>
            </w:r>
            <w:r>
              <w:rPr>
                <w:bCs/>
                <w:sz w:val="24"/>
              </w:rPr>
              <w:fldChar w:fldCharType="separate"/>
            </w:r>
            <w:r>
              <w:rPr>
                <w:bCs/>
                <w:sz w:val="24"/>
              </w:rPr>
              <w:t>⑴</w:t>
            </w:r>
            <w:r>
              <w:rPr>
                <w:bCs/>
                <w:sz w:val="24"/>
              </w:rPr>
              <w:fldChar w:fldCharType="end"/>
            </w:r>
            <w:r>
              <w:rPr>
                <w:bCs/>
                <w:sz w:val="24"/>
              </w:rPr>
              <w:t>空气环境</w:t>
            </w:r>
          </w:p>
          <w:p>
            <w:pPr>
              <w:adjustRightInd w:val="0"/>
              <w:snapToGrid w:val="0"/>
              <w:spacing w:line="360" w:lineRule="auto"/>
              <w:ind w:firstLine="480" w:firstLineChars="200"/>
              <w:rPr>
                <w:rFonts w:hint="eastAsia"/>
                <w:bCs/>
                <w:sz w:val="24"/>
              </w:rPr>
            </w:pPr>
            <w:r>
              <w:rPr>
                <w:rFonts w:hint="eastAsia"/>
                <w:sz w:val="24"/>
              </w:rPr>
              <w:t>环境空气质量执行《环境空气质量标准》（GB3095-2012）中的二级标准要求，</w:t>
            </w:r>
            <w:r>
              <w:rPr>
                <w:rFonts w:hint="eastAsia"/>
                <w:kern w:val="24"/>
                <w:sz w:val="24"/>
              </w:rPr>
              <w:t>地下车库空气质量</w:t>
            </w:r>
            <w:r>
              <w:rPr>
                <w:rFonts w:hint="eastAsia"/>
                <w:sz w:val="24"/>
              </w:rPr>
              <w:t>执行</w:t>
            </w:r>
            <w:r>
              <w:rPr>
                <w:sz w:val="24"/>
              </w:rPr>
              <w:t>《工作场所有害因素职业接触限值第1部分：化学有害因素》（GBZ1-2007）中表1时间加权平均允许浓度限</w:t>
            </w:r>
            <w:r>
              <w:rPr>
                <w:rFonts w:hint="eastAsia"/>
                <w:sz w:val="24"/>
              </w:rPr>
              <w:t>值，具体</w:t>
            </w:r>
            <w:r>
              <w:rPr>
                <w:bCs/>
                <w:sz w:val="24"/>
              </w:rPr>
              <w:t>见表</w:t>
            </w:r>
            <w:r>
              <w:rPr>
                <w:rFonts w:hint="eastAsia"/>
                <w:bCs/>
                <w:sz w:val="24"/>
              </w:rPr>
              <w:t>7。</w:t>
            </w:r>
          </w:p>
          <w:p>
            <w:pPr>
              <w:ind w:firstLine="360" w:firstLineChars="150"/>
              <w:jc w:val="center"/>
              <w:rPr>
                <w:b/>
                <w:sz w:val="24"/>
              </w:rPr>
            </w:pPr>
            <w:r>
              <w:rPr>
                <w:b/>
                <w:sz w:val="24"/>
              </w:rPr>
              <w:t>表</w:t>
            </w:r>
            <w:r>
              <w:rPr>
                <w:rFonts w:hint="eastAsia"/>
                <w:b/>
                <w:sz w:val="24"/>
              </w:rPr>
              <w:t xml:space="preserve">7  </w:t>
            </w:r>
            <w:r>
              <w:rPr>
                <w:b/>
                <w:sz w:val="24"/>
              </w:rPr>
              <w:t>环境空气质量标准</w:t>
            </w:r>
            <w:r>
              <w:rPr>
                <w:rFonts w:hint="eastAsia"/>
                <w:b/>
                <w:sz w:val="24"/>
              </w:rPr>
              <w:t xml:space="preserve">   </w:t>
            </w:r>
            <w:r>
              <w:rPr>
                <w:b/>
                <w:sz w:val="24"/>
              </w:rPr>
              <w:t>单位：mg/m</w:t>
            </w:r>
            <w:r>
              <w:rPr>
                <w:b/>
                <w:sz w:val="24"/>
                <w:vertAlign w:val="superscript"/>
              </w:rPr>
              <w:t>3</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33"/>
              <w:gridCol w:w="1293"/>
              <w:gridCol w:w="1386"/>
              <w:gridCol w:w="1425"/>
              <w:gridCol w:w="2473"/>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tblHeader/>
                <w:jc w:val="center"/>
              </w:trPr>
              <w:tc>
                <w:tcPr>
                  <w:tcW w:w="1833" w:type="dxa"/>
                  <w:vMerge w:val="restart"/>
                  <w:vAlign w:val="center"/>
                </w:tcPr>
                <w:p>
                  <w:pPr>
                    <w:pStyle w:val="11111111111111"/>
                    <w:rPr>
                      <w:b/>
                      <w:bCs/>
                      <w:color w:val="auto"/>
                      <w:sz w:val="21"/>
                      <w:szCs w:val="21"/>
                    </w:rPr>
                  </w:pPr>
                  <w:r>
                    <w:rPr>
                      <w:rFonts w:hint="eastAsia"/>
                      <w:b/>
                      <w:bCs/>
                      <w:color w:val="auto"/>
                      <w:sz w:val="21"/>
                      <w:szCs w:val="21"/>
                    </w:rPr>
                    <w:t>污染物因子</w:t>
                  </w:r>
                </w:p>
              </w:tc>
              <w:tc>
                <w:tcPr>
                  <w:tcW w:w="4104" w:type="dxa"/>
                  <w:gridSpan w:val="3"/>
                  <w:vAlign w:val="center"/>
                </w:tcPr>
                <w:p>
                  <w:pPr>
                    <w:pStyle w:val="11111111111111"/>
                    <w:rPr>
                      <w:b/>
                      <w:bCs/>
                      <w:color w:val="auto"/>
                      <w:sz w:val="21"/>
                      <w:szCs w:val="21"/>
                    </w:rPr>
                  </w:pPr>
                  <w:r>
                    <w:rPr>
                      <w:rFonts w:hint="eastAsia"/>
                      <w:b/>
                      <w:bCs/>
                      <w:color w:val="auto"/>
                      <w:sz w:val="21"/>
                      <w:szCs w:val="21"/>
                    </w:rPr>
                    <w:t>浓度限值</w:t>
                  </w:r>
                </w:p>
              </w:tc>
              <w:tc>
                <w:tcPr>
                  <w:tcW w:w="2473" w:type="dxa"/>
                  <w:vMerge w:val="restart"/>
                  <w:vAlign w:val="center"/>
                </w:tcPr>
                <w:p>
                  <w:pPr>
                    <w:pStyle w:val="11111111111111"/>
                    <w:rPr>
                      <w:b/>
                      <w:bCs/>
                      <w:color w:val="auto"/>
                      <w:sz w:val="21"/>
                      <w:szCs w:val="21"/>
                    </w:rPr>
                  </w:pPr>
                  <w:r>
                    <w:rPr>
                      <w:rFonts w:hint="eastAsia"/>
                      <w:b/>
                      <w:bCs/>
                      <w:color w:val="auto"/>
                      <w:sz w:val="21"/>
                      <w:szCs w:val="21"/>
                    </w:rPr>
                    <w:t>标准来源</w:t>
                  </w:r>
                </w:p>
              </w:tc>
            </w:tr>
            <w:tr>
              <w:tblPrEx>
                <w:jc w:val="center"/>
                <w:tblInd w:w="123" w:type="dxa"/>
                <w:tblLayout w:type="fixed"/>
                <w:tblCellMar>
                  <w:top w:w="0" w:type="dxa"/>
                  <w:left w:w="108" w:type="dxa"/>
                  <w:bottom w:w="0" w:type="dxa"/>
                  <w:right w:w="108" w:type="dxa"/>
                </w:tblCellMar>
                <w:tblLook w:val="0000"/>
              </w:tblPrEx>
              <w:trPr>
                <w:trHeight w:val="340"/>
                <w:tblHeader/>
                <w:jc w:val="center"/>
              </w:trPr>
              <w:tc>
                <w:tcPr>
                  <w:tcW w:w="1833" w:type="dxa"/>
                  <w:vMerge/>
                  <w:vAlign w:val="center"/>
                </w:tcPr>
                <w:p>
                  <w:pPr>
                    <w:pStyle w:val="11111111111111"/>
                    <w:rPr>
                      <w:color w:val="auto"/>
                      <w:sz w:val="21"/>
                      <w:szCs w:val="21"/>
                    </w:rPr>
                  </w:pPr>
                </w:p>
              </w:tc>
              <w:tc>
                <w:tcPr>
                  <w:tcW w:w="1293" w:type="dxa"/>
                  <w:vAlign w:val="center"/>
                </w:tcPr>
                <w:p>
                  <w:pPr>
                    <w:pStyle w:val="11111111111111"/>
                    <w:rPr>
                      <w:b/>
                      <w:bCs/>
                      <w:color w:val="auto"/>
                      <w:sz w:val="21"/>
                      <w:szCs w:val="21"/>
                    </w:rPr>
                  </w:pPr>
                  <w:r>
                    <w:rPr>
                      <w:rFonts w:hint="eastAsia"/>
                      <w:b/>
                      <w:bCs/>
                      <w:color w:val="auto"/>
                      <w:sz w:val="21"/>
                      <w:szCs w:val="21"/>
                    </w:rPr>
                    <w:t>1小时平均</w:t>
                  </w:r>
                </w:p>
              </w:tc>
              <w:tc>
                <w:tcPr>
                  <w:tcW w:w="1386" w:type="dxa"/>
                  <w:vAlign w:val="center"/>
                </w:tcPr>
                <w:p>
                  <w:pPr>
                    <w:pStyle w:val="11111111111111"/>
                    <w:rPr>
                      <w:b/>
                      <w:bCs/>
                      <w:color w:val="auto"/>
                      <w:sz w:val="21"/>
                      <w:szCs w:val="21"/>
                    </w:rPr>
                  </w:pPr>
                  <w:r>
                    <w:rPr>
                      <w:rFonts w:hint="eastAsia"/>
                      <w:b/>
                      <w:bCs/>
                      <w:color w:val="auto"/>
                      <w:sz w:val="21"/>
                      <w:szCs w:val="21"/>
                    </w:rPr>
                    <w:t>日平均</w:t>
                  </w:r>
                </w:p>
              </w:tc>
              <w:tc>
                <w:tcPr>
                  <w:tcW w:w="1425" w:type="dxa"/>
                  <w:vAlign w:val="center"/>
                </w:tcPr>
                <w:p>
                  <w:pPr>
                    <w:pStyle w:val="11111111111111"/>
                    <w:rPr>
                      <w:b/>
                      <w:bCs/>
                      <w:color w:val="auto"/>
                      <w:sz w:val="21"/>
                      <w:szCs w:val="21"/>
                    </w:rPr>
                  </w:pPr>
                  <w:r>
                    <w:rPr>
                      <w:rFonts w:hint="eastAsia"/>
                      <w:b/>
                      <w:bCs/>
                      <w:color w:val="auto"/>
                      <w:sz w:val="21"/>
                      <w:szCs w:val="21"/>
                    </w:rPr>
                    <w:t>年平均</w:t>
                  </w:r>
                </w:p>
              </w:tc>
              <w:tc>
                <w:tcPr>
                  <w:tcW w:w="2473" w:type="dxa"/>
                  <w:vMerge/>
                  <w:vAlign w:val="center"/>
                </w:tcPr>
                <w:p>
                  <w:pPr>
                    <w:pStyle w:val="11111111111111"/>
                    <w:rPr>
                      <w:color w:val="auto"/>
                      <w:sz w:val="21"/>
                      <w:szCs w:val="21"/>
                    </w:rPr>
                  </w:pPr>
                </w:p>
              </w:tc>
            </w:tr>
            <w:tr>
              <w:tblPrEx>
                <w:jc w:val="center"/>
                <w:tblInd w:w="123" w:type="dxa"/>
                <w:tblLayout w:type="fixed"/>
                <w:tblCellMar>
                  <w:top w:w="0" w:type="dxa"/>
                  <w:left w:w="108" w:type="dxa"/>
                  <w:bottom w:w="0" w:type="dxa"/>
                  <w:right w:w="108" w:type="dxa"/>
                </w:tblCellMar>
                <w:tblLook w:val="0000"/>
              </w:tblPrEx>
              <w:trPr>
                <w:trHeight w:val="340"/>
                <w:tblHeader/>
                <w:jc w:val="center"/>
              </w:trPr>
              <w:tc>
                <w:tcPr>
                  <w:tcW w:w="1833" w:type="dxa"/>
                  <w:vAlign w:val="center"/>
                </w:tcPr>
                <w:p>
                  <w:pPr>
                    <w:pStyle w:val="11111111111111"/>
                    <w:rPr>
                      <w:color w:val="auto"/>
                      <w:sz w:val="21"/>
                      <w:szCs w:val="21"/>
                    </w:rPr>
                  </w:pPr>
                  <w:r>
                    <w:rPr>
                      <w:rFonts w:hint="eastAsia"/>
                      <w:color w:val="auto"/>
                      <w:sz w:val="21"/>
                      <w:szCs w:val="21"/>
                    </w:rPr>
                    <w:t>TSP</w:t>
                  </w:r>
                </w:p>
              </w:tc>
              <w:tc>
                <w:tcPr>
                  <w:tcW w:w="1293" w:type="dxa"/>
                  <w:vAlign w:val="center"/>
                </w:tcPr>
                <w:p>
                  <w:pPr>
                    <w:pStyle w:val="11111111111111"/>
                    <w:rPr>
                      <w:color w:val="auto"/>
                      <w:sz w:val="21"/>
                      <w:szCs w:val="21"/>
                    </w:rPr>
                  </w:pPr>
                  <w:r>
                    <w:rPr>
                      <w:rFonts w:hint="eastAsia"/>
                      <w:color w:val="auto"/>
                      <w:sz w:val="21"/>
                      <w:szCs w:val="21"/>
                    </w:rPr>
                    <w:t>/</w:t>
                  </w:r>
                </w:p>
              </w:tc>
              <w:tc>
                <w:tcPr>
                  <w:tcW w:w="1386" w:type="dxa"/>
                  <w:vAlign w:val="center"/>
                </w:tcPr>
                <w:p>
                  <w:pPr>
                    <w:pStyle w:val="11111111111111"/>
                    <w:rPr>
                      <w:color w:val="auto"/>
                      <w:sz w:val="21"/>
                      <w:szCs w:val="21"/>
                    </w:rPr>
                  </w:pPr>
                  <w:r>
                    <w:rPr>
                      <w:rFonts w:hint="eastAsia"/>
                      <w:color w:val="auto"/>
                      <w:sz w:val="21"/>
                      <w:szCs w:val="21"/>
                    </w:rPr>
                    <w:t>0.30</w:t>
                  </w:r>
                </w:p>
              </w:tc>
              <w:tc>
                <w:tcPr>
                  <w:tcW w:w="1425" w:type="dxa"/>
                  <w:vAlign w:val="center"/>
                </w:tcPr>
                <w:p>
                  <w:pPr>
                    <w:pStyle w:val="11111111111111"/>
                    <w:rPr>
                      <w:color w:val="auto"/>
                      <w:sz w:val="21"/>
                      <w:szCs w:val="21"/>
                    </w:rPr>
                  </w:pPr>
                  <w:r>
                    <w:rPr>
                      <w:rFonts w:hint="eastAsia"/>
                      <w:color w:val="auto"/>
                      <w:sz w:val="21"/>
                      <w:szCs w:val="21"/>
                    </w:rPr>
                    <w:t>0.20</w:t>
                  </w:r>
                </w:p>
              </w:tc>
              <w:tc>
                <w:tcPr>
                  <w:tcW w:w="2473" w:type="dxa"/>
                  <w:vMerge w:val="restart"/>
                  <w:vAlign w:val="center"/>
                </w:tcPr>
                <w:p>
                  <w:pPr>
                    <w:pStyle w:val="11111111111111"/>
                    <w:rPr>
                      <w:color w:val="auto"/>
                      <w:sz w:val="21"/>
                      <w:szCs w:val="21"/>
                    </w:rPr>
                  </w:pPr>
                  <w:r>
                    <w:rPr>
                      <w:rFonts w:hint="eastAsia"/>
                      <w:color w:val="auto"/>
                      <w:sz w:val="21"/>
                      <w:szCs w:val="21"/>
                    </w:rPr>
                    <w:t>GB3095-2012中的二级标准</w:t>
                  </w:r>
                </w:p>
              </w:tc>
            </w:tr>
            <w:tr>
              <w:tblPrEx>
                <w:jc w:val="center"/>
                <w:tblInd w:w="123" w:type="dxa"/>
                <w:tblLayout w:type="fixed"/>
                <w:tblCellMar>
                  <w:top w:w="0" w:type="dxa"/>
                  <w:left w:w="108" w:type="dxa"/>
                  <w:bottom w:w="0" w:type="dxa"/>
                  <w:right w:w="108" w:type="dxa"/>
                </w:tblCellMar>
                <w:tblLook w:val="0000"/>
              </w:tblPrEx>
              <w:trPr>
                <w:trHeight w:val="340"/>
                <w:tblHeader/>
                <w:jc w:val="center"/>
              </w:trPr>
              <w:tc>
                <w:tcPr>
                  <w:tcW w:w="1833" w:type="dxa"/>
                  <w:vAlign w:val="center"/>
                </w:tcPr>
                <w:p>
                  <w:pPr>
                    <w:pStyle w:val="11111111111111"/>
                    <w:rPr>
                      <w:color w:val="auto"/>
                      <w:sz w:val="21"/>
                      <w:szCs w:val="21"/>
                      <w:vertAlign w:val="subscript"/>
                    </w:rPr>
                  </w:pPr>
                  <w:r>
                    <w:rPr>
                      <w:rFonts w:hint="eastAsia"/>
                      <w:color w:val="auto"/>
                      <w:sz w:val="21"/>
                      <w:szCs w:val="21"/>
                    </w:rPr>
                    <w:t>PM</w:t>
                  </w:r>
                  <w:r>
                    <w:rPr>
                      <w:rFonts w:hint="eastAsia"/>
                      <w:color w:val="auto"/>
                      <w:sz w:val="21"/>
                      <w:szCs w:val="21"/>
                      <w:vertAlign w:val="subscript"/>
                    </w:rPr>
                    <w:t>10</w:t>
                  </w:r>
                </w:p>
              </w:tc>
              <w:tc>
                <w:tcPr>
                  <w:tcW w:w="1293" w:type="dxa"/>
                  <w:vAlign w:val="center"/>
                </w:tcPr>
                <w:p>
                  <w:pPr>
                    <w:pStyle w:val="11111111111111"/>
                    <w:rPr>
                      <w:color w:val="auto"/>
                      <w:sz w:val="21"/>
                      <w:szCs w:val="21"/>
                    </w:rPr>
                  </w:pPr>
                  <w:r>
                    <w:rPr>
                      <w:rFonts w:hint="eastAsia"/>
                      <w:color w:val="auto"/>
                      <w:sz w:val="21"/>
                      <w:szCs w:val="21"/>
                    </w:rPr>
                    <w:t>/</w:t>
                  </w:r>
                </w:p>
              </w:tc>
              <w:tc>
                <w:tcPr>
                  <w:tcW w:w="1386" w:type="dxa"/>
                  <w:vAlign w:val="center"/>
                </w:tcPr>
                <w:p>
                  <w:pPr>
                    <w:pStyle w:val="11111111111111"/>
                    <w:rPr>
                      <w:color w:val="auto"/>
                      <w:sz w:val="21"/>
                      <w:szCs w:val="21"/>
                    </w:rPr>
                  </w:pPr>
                  <w:r>
                    <w:rPr>
                      <w:rFonts w:hint="eastAsia"/>
                      <w:color w:val="auto"/>
                      <w:sz w:val="21"/>
                      <w:szCs w:val="21"/>
                    </w:rPr>
                    <w:t>0.15</w:t>
                  </w:r>
                </w:p>
              </w:tc>
              <w:tc>
                <w:tcPr>
                  <w:tcW w:w="1425" w:type="dxa"/>
                  <w:vAlign w:val="center"/>
                </w:tcPr>
                <w:p>
                  <w:pPr>
                    <w:pStyle w:val="11111111111111"/>
                    <w:rPr>
                      <w:color w:val="auto"/>
                      <w:sz w:val="21"/>
                      <w:szCs w:val="21"/>
                    </w:rPr>
                  </w:pPr>
                  <w:r>
                    <w:rPr>
                      <w:rFonts w:hint="eastAsia"/>
                      <w:color w:val="auto"/>
                      <w:sz w:val="21"/>
                      <w:szCs w:val="21"/>
                    </w:rPr>
                    <w:t>0.07</w:t>
                  </w:r>
                </w:p>
              </w:tc>
              <w:tc>
                <w:tcPr>
                  <w:tcW w:w="2473" w:type="dxa"/>
                  <w:vMerge/>
                  <w:vAlign w:val="center"/>
                </w:tcPr>
                <w:p>
                  <w:pPr>
                    <w:pStyle w:val="11111111111111"/>
                    <w:rPr>
                      <w:color w:val="auto"/>
                      <w:sz w:val="21"/>
                      <w:szCs w:val="21"/>
                    </w:rPr>
                  </w:pPr>
                </w:p>
              </w:tc>
            </w:tr>
            <w:tr>
              <w:tblPrEx>
                <w:jc w:val="center"/>
                <w:tblInd w:w="123" w:type="dxa"/>
                <w:tblLayout w:type="fixed"/>
                <w:tblCellMar>
                  <w:top w:w="0" w:type="dxa"/>
                  <w:left w:w="108" w:type="dxa"/>
                  <w:bottom w:w="0" w:type="dxa"/>
                  <w:right w:w="108" w:type="dxa"/>
                </w:tblCellMar>
                <w:tblLook w:val="0000"/>
              </w:tblPrEx>
              <w:trPr>
                <w:trHeight w:val="340"/>
                <w:tblHeader/>
                <w:jc w:val="center"/>
              </w:trPr>
              <w:tc>
                <w:tcPr>
                  <w:tcW w:w="1833" w:type="dxa"/>
                  <w:vAlign w:val="center"/>
                </w:tcPr>
                <w:p>
                  <w:pPr>
                    <w:pStyle w:val="11111111111111"/>
                    <w:rPr>
                      <w:rFonts w:hint="eastAsia"/>
                      <w:color w:val="auto"/>
                      <w:sz w:val="21"/>
                      <w:szCs w:val="21"/>
                    </w:rPr>
                  </w:pPr>
                  <w:r>
                    <w:rPr>
                      <w:rFonts w:hint="eastAsia"/>
                      <w:color w:val="auto"/>
                      <w:sz w:val="21"/>
                      <w:szCs w:val="21"/>
                    </w:rPr>
                    <w:t>PM</w:t>
                  </w:r>
                  <w:r>
                    <w:rPr>
                      <w:rFonts w:hint="eastAsia"/>
                      <w:color w:val="auto"/>
                      <w:sz w:val="21"/>
                      <w:szCs w:val="21"/>
                      <w:vertAlign w:val="subscript"/>
                    </w:rPr>
                    <w:t>2.5</w:t>
                  </w:r>
                </w:p>
              </w:tc>
              <w:tc>
                <w:tcPr>
                  <w:tcW w:w="1293" w:type="dxa"/>
                  <w:vAlign w:val="center"/>
                </w:tcPr>
                <w:p>
                  <w:pPr>
                    <w:pStyle w:val="11111111111111"/>
                    <w:rPr>
                      <w:rFonts w:hint="eastAsia"/>
                      <w:color w:val="auto"/>
                      <w:sz w:val="21"/>
                      <w:szCs w:val="21"/>
                    </w:rPr>
                  </w:pPr>
                  <w:r>
                    <w:rPr>
                      <w:rFonts w:hint="eastAsia"/>
                      <w:color w:val="auto"/>
                      <w:sz w:val="21"/>
                      <w:szCs w:val="21"/>
                    </w:rPr>
                    <w:t>/</w:t>
                  </w:r>
                </w:p>
              </w:tc>
              <w:tc>
                <w:tcPr>
                  <w:tcW w:w="1386" w:type="dxa"/>
                  <w:vAlign w:val="center"/>
                </w:tcPr>
                <w:p>
                  <w:pPr>
                    <w:pStyle w:val="11111111111111"/>
                    <w:rPr>
                      <w:rFonts w:hint="eastAsia"/>
                      <w:color w:val="auto"/>
                      <w:sz w:val="21"/>
                      <w:szCs w:val="21"/>
                    </w:rPr>
                  </w:pPr>
                  <w:r>
                    <w:rPr>
                      <w:rFonts w:hint="eastAsia"/>
                      <w:color w:val="auto"/>
                      <w:sz w:val="21"/>
                      <w:szCs w:val="21"/>
                    </w:rPr>
                    <w:t>0.075</w:t>
                  </w:r>
                </w:p>
              </w:tc>
              <w:tc>
                <w:tcPr>
                  <w:tcW w:w="1425" w:type="dxa"/>
                  <w:vAlign w:val="center"/>
                </w:tcPr>
                <w:p>
                  <w:pPr>
                    <w:pStyle w:val="11111111111111"/>
                    <w:rPr>
                      <w:rFonts w:hint="eastAsia"/>
                      <w:color w:val="auto"/>
                      <w:sz w:val="21"/>
                      <w:szCs w:val="21"/>
                    </w:rPr>
                  </w:pPr>
                  <w:r>
                    <w:rPr>
                      <w:rFonts w:hint="eastAsia"/>
                      <w:color w:val="auto"/>
                      <w:sz w:val="21"/>
                      <w:szCs w:val="21"/>
                    </w:rPr>
                    <w:t>0.035</w:t>
                  </w:r>
                </w:p>
              </w:tc>
              <w:tc>
                <w:tcPr>
                  <w:tcW w:w="2473" w:type="dxa"/>
                  <w:vMerge/>
                  <w:vAlign w:val="center"/>
                </w:tcPr>
                <w:p>
                  <w:pPr>
                    <w:pStyle w:val="11111111111111"/>
                    <w:rPr>
                      <w:color w:val="auto"/>
                      <w:sz w:val="21"/>
                      <w:szCs w:val="21"/>
                    </w:rPr>
                  </w:pPr>
                </w:p>
              </w:tc>
            </w:tr>
            <w:tr>
              <w:tblPrEx>
                <w:jc w:val="center"/>
                <w:tblInd w:w="123" w:type="dxa"/>
                <w:tblLayout w:type="fixed"/>
                <w:tblCellMar>
                  <w:top w:w="0" w:type="dxa"/>
                  <w:left w:w="108" w:type="dxa"/>
                  <w:bottom w:w="0" w:type="dxa"/>
                  <w:right w:w="108" w:type="dxa"/>
                </w:tblCellMar>
                <w:tblLook w:val="0000"/>
              </w:tblPrEx>
              <w:trPr>
                <w:trHeight w:val="340"/>
                <w:tblHeader/>
                <w:jc w:val="center"/>
              </w:trPr>
              <w:tc>
                <w:tcPr>
                  <w:tcW w:w="1833" w:type="dxa"/>
                  <w:vAlign w:val="center"/>
                </w:tcPr>
                <w:p>
                  <w:pPr>
                    <w:pStyle w:val="11111111111111"/>
                    <w:rPr>
                      <w:color w:val="auto"/>
                      <w:sz w:val="21"/>
                      <w:szCs w:val="21"/>
                    </w:rPr>
                  </w:pPr>
                  <w:r>
                    <w:rPr>
                      <w:rFonts w:hint="eastAsia"/>
                      <w:color w:val="auto"/>
                      <w:sz w:val="21"/>
                      <w:szCs w:val="21"/>
                    </w:rPr>
                    <w:t>SO</w:t>
                  </w:r>
                  <w:r>
                    <w:rPr>
                      <w:rFonts w:hint="eastAsia"/>
                      <w:color w:val="auto"/>
                      <w:sz w:val="21"/>
                      <w:szCs w:val="21"/>
                      <w:vertAlign w:val="subscript"/>
                    </w:rPr>
                    <w:t>2</w:t>
                  </w:r>
                </w:p>
              </w:tc>
              <w:tc>
                <w:tcPr>
                  <w:tcW w:w="1293" w:type="dxa"/>
                  <w:vAlign w:val="center"/>
                </w:tcPr>
                <w:p>
                  <w:pPr>
                    <w:pStyle w:val="11111111111111"/>
                    <w:rPr>
                      <w:color w:val="auto"/>
                      <w:sz w:val="21"/>
                      <w:szCs w:val="21"/>
                    </w:rPr>
                  </w:pPr>
                  <w:r>
                    <w:rPr>
                      <w:rFonts w:hint="eastAsia"/>
                      <w:color w:val="auto"/>
                      <w:sz w:val="21"/>
                      <w:szCs w:val="21"/>
                    </w:rPr>
                    <w:t>0.50</w:t>
                  </w:r>
                </w:p>
              </w:tc>
              <w:tc>
                <w:tcPr>
                  <w:tcW w:w="1386" w:type="dxa"/>
                  <w:vAlign w:val="center"/>
                </w:tcPr>
                <w:p>
                  <w:pPr>
                    <w:pStyle w:val="11111111111111"/>
                    <w:rPr>
                      <w:color w:val="auto"/>
                      <w:sz w:val="21"/>
                      <w:szCs w:val="21"/>
                    </w:rPr>
                  </w:pPr>
                  <w:r>
                    <w:rPr>
                      <w:rFonts w:hint="eastAsia"/>
                      <w:color w:val="auto"/>
                      <w:sz w:val="21"/>
                      <w:szCs w:val="21"/>
                    </w:rPr>
                    <w:t>0.15</w:t>
                  </w:r>
                </w:p>
              </w:tc>
              <w:tc>
                <w:tcPr>
                  <w:tcW w:w="1425" w:type="dxa"/>
                  <w:vAlign w:val="center"/>
                </w:tcPr>
                <w:p>
                  <w:pPr>
                    <w:pStyle w:val="11111111111111"/>
                    <w:rPr>
                      <w:color w:val="auto"/>
                      <w:sz w:val="21"/>
                      <w:szCs w:val="21"/>
                    </w:rPr>
                  </w:pPr>
                  <w:r>
                    <w:rPr>
                      <w:rFonts w:hint="eastAsia"/>
                      <w:color w:val="auto"/>
                      <w:sz w:val="21"/>
                      <w:szCs w:val="21"/>
                    </w:rPr>
                    <w:t>0.06</w:t>
                  </w:r>
                </w:p>
              </w:tc>
              <w:tc>
                <w:tcPr>
                  <w:tcW w:w="2473" w:type="dxa"/>
                  <w:vMerge/>
                  <w:vAlign w:val="center"/>
                </w:tcPr>
                <w:p>
                  <w:pPr>
                    <w:pStyle w:val="11111111111111"/>
                    <w:rPr>
                      <w:color w:val="auto"/>
                      <w:sz w:val="21"/>
                      <w:szCs w:val="21"/>
                    </w:rPr>
                  </w:pPr>
                </w:p>
              </w:tc>
            </w:tr>
            <w:tr>
              <w:tblPrEx>
                <w:jc w:val="center"/>
                <w:tblInd w:w="123" w:type="dxa"/>
                <w:tblLayout w:type="fixed"/>
                <w:tblCellMar>
                  <w:top w:w="0" w:type="dxa"/>
                  <w:left w:w="108" w:type="dxa"/>
                  <w:bottom w:w="0" w:type="dxa"/>
                  <w:right w:w="108" w:type="dxa"/>
                </w:tblCellMar>
                <w:tblLook w:val="0000"/>
              </w:tblPrEx>
              <w:trPr>
                <w:trHeight w:val="340"/>
                <w:tblHeader/>
                <w:jc w:val="center"/>
              </w:trPr>
              <w:tc>
                <w:tcPr>
                  <w:tcW w:w="1833" w:type="dxa"/>
                  <w:vAlign w:val="center"/>
                </w:tcPr>
                <w:p>
                  <w:pPr>
                    <w:pStyle w:val="11111111111111"/>
                    <w:rPr>
                      <w:color w:val="auto"/>
                      <w:sz w:val="21"/>
                      <w:szCs w:val="21"/>
                    </w:rPr>
                  </w:pPr>
                  <w:r>
                    <w:rPr>
                      <w:rFonts w:hint="eastAsia"/>
                      <w:color w:val="auto"/>
                      <w:sz w:val="21"/>
                      <w:szCs w:val="21"/>
                    </w:rPr>
                    <w:t>NO</w:t>
                  </w:r>
                  <w:r>
                    <w:rPr>
                      <w:rFonts w:hint="eastAsia"/>
                      <w:color w:val="auto"/>
                      <w:sz w:val="21"/>
                      <w:szCs w:val="21"/>
                      <w:vertAlign w:val="subscript"/>
                    </w:rPr>
                    <w:t>2</w:t>
                  </w:r>
                </w:p>
              </w:tc>
              <w:tc>
                <w:tcPr>
                  <w:tcW w:w="1293" w:type="dxa"/>
                  <w:vAlign w:val="center"/>
                </w:tcPr>
                <w:p>
                  <w:pPr>
                    <w:pStyle w:val="11111111111111"/>
                    <w:rPr>
                      <w:color w:val="auto"/>
                      <w:sz w:val="21"/>
                      <w:szCs w:val="21"/>
                    </w:rPr>
                  </w:pPr>
                  <w:r>
                    <w:rPr>
                      <w:rFonts w:hint="eastAsia"/>
                      <w:color w:val="auto"/>
                      <w:sz w:val="21"/>
                      <w:szCs w:val="21"/>
                    </w:rPr>
                    <w:t>0.20</w:t>
                  </w:r>
                </w:p>
              </w:tc>
              <w:tc>
                <w:tcPr>
                  <w:tcW w:w="1386" w:type="dxa"/>
                  <w:vAlign w:val="center"/>
                </w:tcPr>
                <w:p>
                  <w:pPr>
                    <w:pStyle w:val="11111111111111"/>
                    <w:rPr>
                      <w:color w:val="auto"/>
                      <w:sz w:val="21"/>
                      <w:szCs w:val="21"/>
                    </w:rPr>
                  </w:pPr>
                  <w:r>
                    <w:rPr>
                      <w:rFonts w:hint="eastAsia"/>
                      <w:color w:val="auto"/>
                      <w:sz w:val="21"/>
                      <w:szCs w:val="21"/>
                    </w:rPr>
                    <w:t>0.08</w:t>
                  </w:r>
                </w:p>
              </w:tc>
              <w:tc>
                <w:tcPr>
                  <w:tcW w:w="1425" w:type="dxa"/>
                  <w:vAlign w:val="center"/>
                </w:tcPr>
                <w:p>
                  <w:pPr>
                    <w:pStyle w:val="11111111111111"/>
                    <w:rPr>
                      <w:color w:val="auto"/>
                      <w:sz w:val="21"/>
                      <w:szCs w:val="21"/>
                    </w:rPr>
                  </w:pPr>
                  <w:r>
                    <w:rPr>
                      <w:rFonts w:hint="eastAsia"/>
                      <w:color w:val="auto"/>
                      <w:sz w:val="21"/>
                      <w:szCs w:val="21"/>
                    </w:rPr>
                    <w:t>0.04</w:t>
                  </w:r>
                </w:p>
              </w:tc>
              <w:tc>
                <w:tcPr>
                  <w:tcW w:w="2473" w:type="dxa"/>
                  <w:vMerge/>
                  <w:vAlign w:val="center"/>
                </w:tcPr>
                <w:p>
                  <w:pPr>
                    <w:pStyle w:val="11111111111111"/>
                    <w:rPr>
                      <w:color w:val="auto"/>
                      <w:sz w:val="21"/>
                      <w:szCs w:val="21"/>
                    </w:rPr>
                  </w:pPr>
                </w:p>
              </w:tc>
            </w:tr>
            <w:tr>
              <w:tblPrEx>
                <w:jc w:val="center"/>
                <w:tblInd w:w="123" w:type="dxa"/>
                <w:tblLayout w:type="fixed"/>
                <w:tblCellMar>
                  <w:top w:w="0" w:type="dxa"/>
                  <w:left w:w="108" w:type="dxa"/>
                  <w:bottom w:w="0" w:type="dxa"/>
                  <w:right w:w="108" w:type="dxa"/>
                </w:tblCellMar>
                <w:tblLook w:val="0000"/>
              </w:tblPrEx>
              <w:trPr>
                <w:trHeight w:val="340"/>
                <w:tblHeader/>
                <w:jc w:val="center"/>
              </w:trPr>
              <w:tc>
                <w:tcPr>
                  <w:tcW w:w="1833" w:type="dxa"/>
                  <w:vAlign w:val="center"/>
                </w:tcPr>
                <w:p>
                  <w:pPr>
                    <w:pStyle w:val="11111111111111"/>
                    <w:rPr>
                      <w:rFonts w:hint="eastAsia"/>
                      <w:color w:val="auto"/>
                      <w:sz w:val="21"/>
                      <w:szCs w:val="21"/>
                    </w:rPr>
                  </w:pPr>
                  <w:r>
                    <w:rPr>
                      <w:rFonts w:hint="eastAsia"/>
                      <w:color w:val="auto"/>
                      <w:sz w:val="21"/>
                      <w:szCs w:val="21"/>
                    </w:rPr>
                    <w:t>CO</w:t>
                  </w:r>
                </w:p>
              </w:tc>
              <w:tc>
                <w:tcPr>
                  <w:tcW w:w="4104" w:type="dxa"/>
                  <w:gridSpan w:val="3"/>
                  <w:vAlign w:val="center"/>
                </w:tcPr>
                <w:p>
                  <w:pPr>
                    <w:pStyle w:val="11111111111111"/>
                    <w:rPr>
                      <w:rFonts w:hint="eastAsia"/>
                      <w:color w:val="auto"/>
                      <w:sz w:val="21"/>
                      <w:szCs w:val="21"/>
                    </w:rPr>
                  </w:pPr>
                  <w:r>
                    <w:rPr>
                      <w:rFonts w:hint="eastAsia"/>
                      <w:color w:val="auto"/>
                      <w:sz w:val="21"/>
                      <w:szCs w:val="21"/>
                    </w:rPr>
                    <w:t>20</w:t>
                  </w:r>
                </w:p>
              </w:tc>
              <w:tc>
                <w:tcPr>
                  <w:tcW w:w="2473" w:type="dxa"/>
                  <w:vMerge w:val="restart"/>
                  <w:vAlign w:val="center"/>
                </w:tcPr>
                <w:p>
                  <w:pPr>
                    <w:pStyle w:val="11111111111111"/>
                    <w:rPr>
                      <w:color w:val="auto"/>
                      <w:sz w:val="21"/>
                      <w:szCs w:val="21"/>
                    </w:rPr>
                  </w:pPr>
                  <w:r>
                    <w:rPr>
                      <w:color w:val="auto"/>
                      <w:sz w:val="21"/>
                      <w:szCs w:val="21"/>
                    </w:rPr>
                    <w:t>GBZ1-2007表1时间加权平均允许浓度限</w:t>
                  </w:r>
                  <w:r>
                    <w:rPr>
                      <w:rFonts w:hint="eastAsia"/>
                      <w:color w:val="auto"/>
                      <w:sz w:val="21"/>
                      <w:szCs w:val="21"/>
                    </w:rPr>
                    <w:t>值</w:t>
                  </w:r>
                </w:p>
              </w:tc>
            </w:tr>
            <w:tr>
              <w:tblPrEx>
                <w:jc w:val="center"/>
                <w:tblInd w:w="123" w:type="dxa"/>
                <w:tblLayout w:type="fixed"/>
                <w:tblCellMar>
                  <w:top w:w="0" w:type="dxa"/>
                  <w:left w:w="108" w:type="dxa"/>
                  <w:bottom w:w="0" w:type="dxa"/>
                  <w:right w:w="108" w:type="dxa"/>
                </w:tblCellMar>
                <w:tblLook w:val="0000"/>
              </w:tblPrEx>
              <w:trPr>
                <w:trHeight w:val="340"/>
                <w:tblHeader/>
                <w:jc w:val="center"/>
              </w:trPr>
              <w:tc>
                <w:tcPr>
                  <w:tcW w:w="1833" w:type="dxa"/>
                  <w:vAlign w:val="center"/>
                </w:tcPr>
                <w:p>
                  <w:pPr>
                    <w:pStyle w:val="11111111111111"/>
                    <w:rPr>
                      <w:rFonts w:hint="eastAsia"/>
                      <w:color w:val="auto"/>
                      <w:sz w:val="21"/>
                      <w:szCs w:val="21"/>
                    </w:rPr>
                  </w:pPr>
                  <w:r>
                    <w:rPr>
                      <w:rFonts w:hint="eastAsia"/>
                      <w:color w:val="auto"/>
                      <w:sz w:val="21"/>
                      <w:szCs w:val="21"/>
                    </w:rPr>
                    <w:t>NO</w:t>
                  </w:r>
                  <w:r>
                    <w:rPr>
                      <w:rFonts w:hint="eastAsia"/>
                      <w:color w:val="auto"/>
                      <w:sz w:val="21"/>
                      <w:szCs w:val="21"/>
                      <w:vertAlign w:val="subscript"/>
                    </w:rPr>
                    <w:t>X</w:t>
                  </w:r>
                </w:p>
              </w:tc>
              <w:tc>
                <w:tcPr>
                  <w:tcW w:w="4104" w:type="dxa"/>
                  <w:gridSpan w:val="3"/>
                  <w:vAlign w:val="center"/>
                </w:tcPr>
                <w:p>
                  <w:pPr>
                    <w:pStyle w:val="11111111111111"/>
                    <w:rPr>
                      <w:rFonts w:hint="eastAsia"/>
                      <w:color w:val="auto"/>
                      <w:sz w:val="21"/>
                      <w:szCs w:val="21"/>
                    </w:rPr>
                  </w:pPr>
                  <w:r>
                    <w:rPr>
                      <w:rFonts w:hint="eastAsia"/>
                      <w:color w:val="auto"/>
                      <w:sz w:val="21"/>
                      <w:szCs w:val="21"/>
                    </w:rPr>
                    <w:t>5</w:t>
                  </w:r>
                </w:p>
              </w:tc>
              <w:tc>
                <w:tcPr>
                  <w:tcW w:w="2473" w:type="dxa"/>
                  <w:vMerge/>
                  <w:vAlign w:val="center"/>
                </w:tcPr>
                <w:p>
                  <w:pPr>
                    <w:pStyle w:val="11111111111111"/>
                    <w:rPr>
                      <w:color w:val="auto"/>
                      <w:sz w:val="21"/>
                      <w:szCs w:val="21"/>
                    </w:rPr>
                  </w:pPr>
                </w:p>
              </w:tc>
            </w:tr>
          </w:tbl>
          <w:p>
            <w:pPr>
              <w:adjustRightInd w:val="0"/>
              <w:snapToGrid w:val="0"/>
              <w:spacing w:before="190" w:beforeLines="50" w:line="360" w:lineRule="auto"/>
              <w:ind w:firstLine="480" w:firstLineChars="200"/>
              <w:rPr>
                <w:rFonts w:hint="eastAsia"/>
                <w:bCs/>
                <w:sz w:val="24"/>
              </w:rPr>
            </w:pPr>
            <w:r>
              <w:rPr>
                <w:bCs/>
                <w:sz w:val="24"/>
              </w:rPr>
              <w:fldChar w:fldCharType="begin"/>
            </w:r>
            <w:r>
              <w:rPr>
                <w:bCs/>
                <w:sz w:val="24"/>
              </w:rPr>
              <w:instrText xml:space="preserve"> </w:instrText>
            </w:r>
            <w:r>
              <w:rPr>
                <w:rFonts w:hint="eastAsia"/>
                <w:bCs/>
                <w:sz w:val="24"/>
              </w:rPr>
              <w:instrText>= 2 \* GB2</w:instrText>
            </w:r>
            <w:r>
              <w:rPr>
                <w:bCs/>
                <w:sz w:val="24"/>
              </w:rPr>
              <w:instrText xml:space="preserve"> </w:instrText>
            </w:r>
            <w:r>
              <w:rPr>
                <w:bCs/>
                <w:sz w:val="24"/>
              </w:rPr>
              <w:fldChar w:fldCharType="separate"/>
            </w:r>
            <w:r>
              <w:rPr>
                <w:rFonts w:hint="eastAsia"/>
                <w:bCs/>
                <w:sz w:val="24"/>
              </w:rPr>
              <w:t>⑵</w:t>
            </w:r>
            <w:r>
              <w:rPr>
                <w:bCs/>
                <w:sz w:val="24"/>
              </w:rPr>
              <w:fldChar w:fldCharType="end"/>
            </w:r>
            <w:r>
              <w:rPr>
                <w:rFonts w:hint="eastAsia"/>
                <w:bCs/>
                <w:sz w:val="24"/>
              </w:rPr>
              <w:t>地表水</w:t>
            </w:r>
          </w:p>
          <w:p>
            <w:pPr>
              <w:adjustRightInd w:val="0"/>
              <w:snapToGrid w:val="0"/>
              <w:spacing w:line="360" w:lineRule="auto"/>
              <w:ind w:firstLine="480" w:firstLineChars="200"/>
              <w:rPr>
                <w:sz w:val="24"/>
              </w:rPr>
            </w:pPr>
            <w:r>
              <w:rPr>
                <w:sz w:val="24"/>
              </w:rPr>
              <w:t>地表水环境质量执行《地表水环境质量标准》（GB3838-2002）</w:t>
            </w:r>
            <w:r>
              <w:rPr>
                <w:rFonts w:hint="eastAsia"/>
                <w:sz w:val="24"/>
              </w:rPr>
              <w:t>Ⅲ</w:t>
            </w:r>
            <w:r>
              <w:rPr>
                <w:sz w:val="24"/>
              </w:rPr>
              <w:t>类标准</w:t>
            </w:r>
            <w:r>
              <w:rPr>
                <w:rFonts w:hint="eastAsia"/>
                <w:sz w:val="24"/>
              </w:rPr>
              <w:t>，</w:t>
            </w:r>
            <w:r>
              <w:rPr>
                <w:sz w:val="24"/>
              </w:rPr>
              <w:t>具体见表</w:t>
            </w:r>
            <w:r>
              <w:rPr>
                <w:rFonts w:hint="eastAsia"/>
                <w:sz w:val="24"/>
              </w:rPr>
              <w:t>8</w:t>
            </w:r>
            <w:r>
              <w:rPr>
                <w:sz w:val="24"/>
              </w:rPr>
              <w:t>。</w:t>
            </w:r>
          </w:p>
          <w:p>
            <w:pPr>
              <w:ind w:firstLine="360" w:firstLineChars="150"/>
              <w:jc w:val="center"/>
              <w:rPr>
                <w:b/>
                <w:sz w:val="24"/>
              </w:rPr>
            </w:pPr>
            <w:r>
              <w:rPr>
                <w:b/>
                <w:sz w:val="24"/>
              </w:rPr>
              <w:t>表</w:t>
            </w:r>
            <w:r>
              <w:rPr>
                <w:rFonts w:hint="eastAsia"/>
                <w:b/>
                <w:sz w:val="24"/>
              </w:rPr>
              <w:t xml:space="preserve">8  </w:t>
            </w:r>
            <w:r>
              <w:rPr>
                <w:b/>
                <w:sz w:val="24"/>
              </w:rPr>
              <w:t xml:space="preserve">地表水环境质量标准  </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66"/>
              <w:gridCol w:w="1341"/>
              <w:gridCol w:w="1620"/>
              <w:gridCol w:w="3862"/>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566" w:type="dxa"/>
                  <w:vAlign w:val="center"/>
                </w:tcPr>
                <w:p>
                  <w:pPr>
                    <w:pStyle w:val="a4"/>
                    <w:rPr>
                      <w:b/>
                      <w:bCs/>
                      <w:sz w:val="21"/>
                    </w:rPr>
                  </w:pPr>
                  <w:r>
                    <w:rPr>
                      <w:b/>
                      <w:bCs/>
                      <w:sz w:val="21"/>
                    </w:rPr>
                    <w:t>项 目</w:t>
                  </w:r>
                </w:p>
              </w:tc>
              <w:tc>
                <w:tcPr>
                  <w:tcW w:w="1341" w:type="dxa"/>
                  <w:vAlign w:val="center"/>
                </w:tcPr>
                <w:p>
                  <w:pPr>
                    <w:pStyle w:val="a4"/>
                    <w:rPr>
                      <w:b/>
                      <w:bCs/>
                      <w:sz w:val="21"/>
                    </w:rPr>
                  </w:pPr>
                  <w:r>
                    <w:rPr>
                      <w:b/>
                      <w:bCs/>
                      <w:sz w:val="21"/>
                    </w:rPr>
                    <w:t>单位</w:t>
                  </w:r>
                </w:p>
              </w:tc>
              <w:tc>
                <w:tcPr>
                  <w:tcW w:w="1620" w:type="dxa"/>
                  <w:vAlign w:val="center"/>
                </w:tcPr>
                <w:p>
                  <w:pPr>
                    <w:pStyle w:val="a4"/>
                    <w:rPr>
                      <w:b/>
                      <w:bCs/>
                      <w:sz w:val="21"/>
                    </w:rPr>
                  </w:pPr>
                  <w:r>
                    <w:rPr>
                      <w:b/>
                      <w:bCs/>
                      <w:sz w:val="21"/>
                    </w:rPr>
                    <w:t>标准限值</w:t>
                  </w:r>
                </w:p>
              </w:tc>
              <w:tc>
                <w:tcPr>
                  <w:tcW w:w="3862" w:type="dxa"/>
                  <w:vAlign w:val="center"/>
                </w:tcPr>
                <w:p>
                  <w:pPr>
                    <w:pStyle w:val="a4"/>
                    <w:rPr>
                      <w:b/>
                      <w:bCs/>
                      <w:sz w:val="21"/>
                    </w:rPr>
                  </w:pPr>
                  <w:r>
                    <w:rPr>
                      <w:b/>
                      <w:bCs/>
                      <w:sz w:val="21"/>
                    </w:rPr>
                    <w:t>来源</w:t>
                  </w:r>
                </w:p>
              </w:tc>
            </w:tr>
            <w:tr>
              <w:tblPrEx>
                <w:jc w:val="center"/>
                <w:tblInd w:w="123" w:type="dxa"/>
                <w:tblLayout w:type="fixed"/>
                <w:tblCellMar>
                  <w:top w:w="0" w:type="dxa"/>
                  <w:left w:w="108" w:type="dxa"/>
                  <w:bottom w:w="0" w:type="dxa"/>
                  <w:right w:w="108" w:type="dxa"/>
                </w:tblCellMar>
                <w:tblLook w:val="0000"/>
              </w:tblPrEx>
              <w:trPr>
                <w:cantSplit/>
                <w:trHeight w:val="340"/>
                <w:jc w:val="center"/>
              </w:trPr>
              <w:tc>
                <w:tcPr>
                  <w:tcW w:w="1566" w:type="dxa"/>
                  <w:vAlign w:val="center"/>
                </w:tcPr>
                <w:p>
                  <w:pPr>
                    <w:pStyle w:val="a4"/>
                    <w:rPr>
                      <w:sz w:val="21"/>
                    </w:rPr>
                  </w:pPr>
                  <w:r>
                    <w:rPr>
                      <w:sz w:val="21"/>
                    </w:rPr>
                    <w:t>pH</w:t>
                  </w:r>
                </w:p>
              </w:tc>
              <w:tc>
                <w:tcPr>
                  <w:tcW w:w="1341" w:type="dxa"/>
                  <w:vAlign w:val="center"/>
                </w:tcPr>
                <w:p>
                  <w:pPr>
                    <w:pStyle w:val="a4"/>
                    <w:rPr>
                      <w:sz w:val="21"/>
                    </w:rPr>
                  </w:pPr>
                  <w:r>
                    <w:rPr>
                      <w:sz w:val="21"/>
                    </w:rPr>
                    <w:t>无量纲</w:t>
                  </w:r>
                </w:p>
              </w:tc>
              <w:tc>
                <w:tcPr>
                  <w:tcW w:w="1620" w:type="dxa"/>
                  <w:vAlign w:val="center"/>
                </w:tcPr>
                <w:p>
                  <w:pPr>
                    <w:pStyle w:val="a4"/>
                    <w:rPr>
                      <w:sz w:val="21"/>
                    </w:rPr>
                  </w:pPr>
                  <w:r>
                    <w:rPr>
                      <w:sz w:val="21"/>
                    </w:rPr>
                    <w:t>6~9</w:t>
                  </w:r>
                </w:p>
              </w:tc>
              <w:tc>
                <w:tcPr>
                  <w:tcW w:w="3862" w:type="dxa"/>
                  <w:vMerge w:val="restart"/>
                  <w:vAlign w:val="center"/>
                </w:tcPr>
                <w:p>
                  <w:pPr>
                    <w:pStyle w:val="a4"/>
                    <w:rPr>
                      <w:sz w:val="21"/>
                    </w:rPr>
                  </w:pPr>
                  <w:r>
                    <w:rPr>
                      <w:sz w:val="21"/>
                    </w:rPr>
                    <w:t>《地表水环境质量标准》</w:t>
                  </w:r>
                </w:p>
                <w:p>
                  <w:pPr>
                    <w:pStyle w:val="a4"/>
                    <w:rPr>
                      <w:sz w:val="21"/>
                    </w:rPr>
                  </w:pPr>
                  <w:r>
                    <w:rPr>
                      <w:sz w:val="21"/>
                    </w:rPr>
                    <w:t>（GB3838-2002）</w:t>
                  </w:r>
                  <w:r>
                    <w:rPr>
                      <w:rFonts w:ascii="宋体" w:hAnsi="宋体" w:hint="eastAsia"/>
                      <w:sz w:val="21"/>
                    </w:rPr>
                    <w:t>Ⅲ</w:t>
                  </w:r>
                  <w:r>
                    <w:rPr>
                      <w:sz w:val="21"/>
                    </w:rPr>
                    <w:t>类水标准</w:t>
                  </w:r>
                </w:p>
              </w:tc>
            </w:tr>
            <w:tr>
              <w:tblPrEx>
                <w:jc w:val="center"/>
                <w:tblInd w:w="123" w:type="dxa"/>
                <w:tblLayout w:type="fixed"/>
                <w:tblCellMar>
                  <w:top w:w="0" w:type="dxa"/>
                  <w:left w:w="108" w:type="dxa"/>
                  <w:bottom w:w="0" w:type="dxa"/>
                  <w:right w:w="108" w:type="dxa"/>
                </w:tblCellMar>
                <w:tblLook w:val="0000"/>
              </w:tblPrEx>
              <w:trPr>
                <w:cantSplit/>
                <w:trHeight w:val="340"/>
                <w:jc w:val="center"/>
              </w:trPr>
              <w:tc>
                <w:tcPr>
                  <w:tcW w:w="1566" w:type="dxa"/>
                  <w:vAlign w:val="center"/>
                </w:tcPr>
                <w:p>
                  <w:pPr>
                    <w:pStyle w:val="a4"/>
                    <w:rPr>
                      <w:sz w:val="21"/>
                    </w:rPr>
                  </w:pPr>
                  <w:r>
                    <w:rPr>
                      <w:sz w:val="21"/>
                    </w:rPr>
                    <w:t>CODcr</w:t>
                  </w:r>
                </w:p>
              </w:tc>
              <w:tc>
                <w:tcPr>
                  <w:tcW w:w="1341" w:type="dxa"/>
                  <w:vAlign w:val="center"/>
                </w:tcPr>
                <w:p>
                  <w:pPr>
                    <w:pStyle w:val="a4"/>
                    <w:rPr>
                      <w:sz w:val="21"/>
                    </w:rPr>
                  </w:pPr>
                  <w:r>
                    <w:rPr>
                      <w:sz w:val="21"/>
                    </w:rPr>
                    <w:t>mg/L</w:t>
                  </w:r>
                </w:p>
              </w:tc>
              <w:tc>
                <w:tcPr>
                  <w:tcW w:w="1620" w:type="dxa"/>
                  <w:vAlign w:val="center"/>
                </w:tcPr>
                <w:p>
                  <w:pPr>
                    <w:pStyle w:val="a4"/>
                    <w:rPr>
                      <w:sz w:val="21"/>
                    </w:rPr>
                  </w:pPr>
                  <w:r>
                    <w:rPr>
                      <w:sz w:val="21"/>
                    </w:rPr>
                    <w:t>20</w:t>
                  </w:r>
                </w:p>
              </w:tc>
              <w:tc>
                <w:tcPr>
                  <w:tcW w:w="3862" w:type="dxa"/>
                  <w:vMerge/>
                  <w:vAlign w:val="center"/>
                </w:tcPr>
                <w:p>
                  <w:pPr>
                    <w:pStyle w:val="a4"/>
                    <w:rPr>
                      <w:sz w:val="21"/>
                    </w:rPr>
                  </w:pPr>
                </w:p>
              </w:tc>
            </w:tr>
            <w:tr>
              <w:tblPrEx>
                <w:jc w:val="center"/>
                <w:tblInd w:w="123" w:type="dxa"/>
                <w:tblLayout w:type="fixed"/>
                <w:tblCellMar>
                  <w:top w:w="0" w:type="dxa"/>
                  <w:left w:w="108" w:type="dxa"/>
                  <w:bottom w:w="0" w:type="dxa"/>
                  <w:right w:w="108" w:type="dxa"/>
                </w:tblCellMar>
                <w:tblLook w:val="0000"/>
              </w:tblPrEx>
              <w:trPr>
                <w:cantSplit/>
                <w:trHeight w:val="340"/>
                <w:jc w:val="center"/>
              </w:trPr>
              <w:tc>
                <w:tcPr>
                  <w:tcW w:w="1566" w:type="dxa"/>
                  <w:vAlign w:val="center"/>
                </w:tcPr>
                <w:p>
                  <w:pPr>
                    <w:pStyle w:val="a4"/>
                    <w:rPr>
                      <w:sz w:val="21"/>
                    </w:rPr>
                  </w:pPr>
                  <w:r>
                    <w:rPr>
                      <w:sz w:val="21"/>
                    </w:rPr>
                    <w:t>BOD</w:t>
                  </w:r>
                  <w:r>
                    <w:rPr>
                      <w:sz w:val="21"/>
                      <w:vertAlign w:val="subscript"/>
                    </w:rPr>
                    <w:t>5</w:t>
                  </w:r>
                </w:p>
              </w:tc>
              <w:tc>
                <w:tcPr>
                  <w:tcW w:w="1341" w:type="dxa"/>
                  <w:vAlign w:val="center"/>
                </w:tcPr>
                <w:p>
                  <w:pPr>
                    <w:pStyle w:val="a4"/>
                    <w:rPr>
                      <w:sz w:val="21"/>
                    </w:rPr>
                  </w:pPr>
                  <w:r>
                    <w:rPr>
                      <w:sz w:val="21"/>
                    </w:rPr>
                    <w:t>mg/L</w:t>
                  </w:r>
                </w:p>
              </w:tc>
              <w:tc>
                <w:tcPr>
                  <w:tcW w:w="1620" w:type="dxa"/>
                  <w:vAlign w:val="center"/>
                </w:tcPr>
                <w:p>
                  <w:pPr>
                    <w:pStyle w:val="a4"/>
                    <w:rPr>
                      <w:sz w:val="21"/>
                    </w:rPr>
                  </w:pPr>
                  <w:r>
                    <w:rPr>
                      <w:sz w:val="21"/>
                    </w:rPr>
                    <w:t>4</w:t>
                  </w:r>
                </w:p>
              </w:tc>
              <w:tc>
                <w:tcPr>
                  <w:tcW w:w="3862" w:type="dxa"/>
                  <w:vMerge/>
                  <w:vAlign w:val="center"/>
                </w:tcPr>
                <w:p>
                  <w:pPr>
                    <w:pStyle w:val="a4"/>
                    <w:rPr>
                      <w:sz w:val="21"/>
                    </w:rPr>
                  </w:pPr>
                </w:p>
              </w:tc>
            </w:tr>
            <w:tr>
              <w:tblPrEx>
                <w:jc w:val="center"/>
                <w:tblInd w:w="123" w:type="dxa"/>
                <w:tblLayout w:type="fixed"/>
                <w:tblCellMar>
                  <w:top w:w="0" w:type="dxa"/>
                  <w:left w:w="108" w:type="dxa"/>
                  <w:bottom w:w="0" w:type="dxa"/>
                  <w:right w:w="108" w:type="dxa"/>
                </w:tblCellMar>
                <w:tblLook w:val="0000"/>
              </w:tblPrEx>
              <w:trPr>
                <w:cantSplit/>
                <w:trHeight w:val="340"/>
                <w:jc w:val="center"/>
              </w:trPr>
              <w:tc>
                <w:tcPr>
                  <w:tcW w:w="1566" w:type="dxa"/>
                  <w:vAlign w:val="center"/>
                </w:tcPr>
                <w:p>
                  <w:pPr>
                    <w:pStyle w:val="a4"/>
                    <w:rPr>
                      <w:sz w:val="21"/>
                    </w:rPr>
                  </w:pPr>
                  <w:r>
                    <w:rPr>
                      <w:sz w:val="21"/>
                    </w:rPr>
                    <w:t>NH</w:t>
                  </w:r>
                  <w:r>
                    <w:rPr>
                      <w:sz w:val="21"/>
                      <w:vertAlign w:val="subscript"/>
                    </w:rPr>
                    <w:t>3</w:t>
                  </w:r>
                  <w:r>
                    <w:rPr>
                      <w:sz w:val="21"/>
                    </w:rPr>
                    <w:t>-N</w:t>
                  </w:r>
                </w:p>
              </w:tc>
              <w:tc>
                <w:tcPr>
                  <w:tcW w:w="1341" w:type="dxa"/>
                  <w:vAlign w:val="center"/>
                </w:tcPr>
                <w:p>
                  <w:pPr>
                    <w:pStyle w:val="a4"/>
                    <w:rPr>
                      <w:sz w:val="21"/>
                    </w:rPr>
                  </w:pPr>
                  <w:r>
                    <w:rPr>
                      <w:sz w:val="21"/>
                    </w:rPr>
                    <w:t>mg/L</w:t>
                  </w:r>
                </w:p>
              </w:tc>
              <w:tc>
                <w:tcPr>
                  <w:tcW w:w="1620" w:type="dxa"/>
                  <w:vAlign w:val="center"/>
                </w:tcPr>
                <w:p>
                  <w:pPr>
                    <w:pStyle w:val="a4"/>
                    <w:rPr>
                      <w:sz w:val="21"/>
                    </w:rPr>
                  </w:pPr>
                  <w:r>
                    <w:rPr>
                      <w:sz w:val="21"/>
                    </w:rPr>
                    <w:t>1.0</w:t>
                  </w:r>
                </w:p>
              </w:tc>
              <w:tc>
                <w:tcPr>
                  <w:tcW w:w="3862" w:type="dxa"/>
                  <w:vMerge/>
                  <w:vAlign w:val="center"/>
                </w:tcPr>
                <w:p>
                  <w:pPr>
                    <w:pStyle w:val="a4"/>
                    <w:rPr>
                      <w:sz w:val="21"/>
                    </w:rPr>
                  </w:pPr>
                </w:p>
              </w:tc>
            </w:tr>
          </w:tbl>
          <w:p>
            <w:pPr>
              <w:adjustRightInd w:val="0"/>
              <w:snapToGrid w:val="0"/>
              <w:spacing w:before="381" w:beforeLines="100" w:line="360" w:lineRule="auto"/>
              <w:ind w:firstLine="480" w:firstLineChars="200"/>
              <w:rPr>
                <w:bCs/>
                <w:sz w:val="24"/>
              </w:rPr>
            </w:pPr>
            <w:r>
              <w:rPr>
                <w:bCs/>
                <w:sz w:val="24"/>
              </w:rPr>
              <w:fldChar w:fldCharType="begin"/>
            </w:r>
            <w:r>
              <w:rPr>
                <w:bCs/>
                <w:sz w:val="24"/>
              </w:rPr>
              <w:instrText xml:space="preserve"> </w:instrText>
            </w:r>
            <w:r>
              <w:rPr>
                <w:rFonts w:hint="eastAsia"/>
                <w:bCs/>
                <w:sz w:val="24"/>
              </w:rPr>
              <w:instrText>= 3 \* GB2</w:instrText>
            </w:r>
            <w:r>
              <w:rPr>
                <w:bCs/>
                <w:sz w:val="24"/>
              </w:rPr>
              <w:instrText xml:space="preserve"> </w:instrText>
            </w:r>
            <w:r>
              <w:rPr>
                <w:bCs/>
                <w:sz w:val="24"/>
              </w:rPr>
              <w:fldChar w:fldCharType="separate"/>
            </w:r>
            <w:r>
              <w:rPr>
                <w:rFonts w:hint="eastAsia"/>
                <w:bCs/>
                <w:sz w:val="24"/>
              </w:rPr>
              <w:t>⑶</w:t>
            </w:r>
            <w:r>
              <w:rPr>
                <w:bCs/>
                <w:sz w:val="24"/>
              </w:rPr>
              <w:fldChar w:fldCharType="end"/>
            </w:r>
            <w:r>
              <w:rPr>
                <w:bCs/>
                <w:sz w:val="24"/>
              </w:rPr>
              <w:t>声环境</w:t>
            </w:r>
            <w:r>
              <w:rPr>
                <w:rFonts w:hint="eastAsia"/>
                <w:bCs/>
                <w:sz w:val="24"/>
              </w:rPr>
              <w:t xml:space="preserve">  </w:t>
            </w:r>
          </w:p>
          <w:p>
            <w:pPr>
              <w:spacing w:line="360" w:lineRule="auto"/>
              <w:ind w:firstLine="480" w:firstLineChars="200"/>
              <w:rPr>
                <w:rFonts w:ascii="宋体" w:hAnsi="宋体" w:hint="eastAsia"/>
                <w:sz w:val="24"/>
              </w:rPr>
            </w:pPr>
            <w:r>
              <w:rPr>
                <w:sz w:val="24"/>
              </w:rPr>
              <w:t>本项目所在区域为声环境2类</w:t>
            </w:r>
            <w:r>
              <w:rPr>
                <w:rFonts w:hint="eastAsia"/>
                <w:sz w:val="24"/>
              </w:rPr>
              <w:t>、4a</w:t>
            </w:r>
            <w:r>
              <w:rPr>
                <w:sz w:val="24"/>
              </w:rPr>
              <w:t>区，用地临近</w:t>
            </w:r>
            <w:r>
              <w:rPr>
                <w:rFonts w:hint="eastAsia"/>
                <w:sz w:val="24"/>
              </w:rPr>
              <w:t>迎宾大道和曾巩大道</w:t>
            </w:r>
            <w:r>
              <w:rPr>
                <w:sz w:val="24"/>
              </w:rPr>
              <w:t>一侧</w:t>
            </w:r>
            <w:r>
              <w:rPr>
                <w:sz w:val="24"/>
                <w:szCs w:val="24"/>
              </w:rPr>
              <w:t>距离道路红线35米</w:t>
            </w:r>
            <w:r>
              <w:rPr>
                <w:rFonts w:hint="eastAsia"/>
                <w:sz w:val="24"/>
                <w:szCs w:val="24"/>
              </w:rPr>
              <w:t>以</w:t>
            </w:r>
            <w:r>
              <w:rPr>
                <w:sz w:val="24"/>
                <w:szCs w:val="24"/>
              </w:rPr>
              <w:t>内</w:t>
            </w:r>
            <w:r>
              <w:rPr>
                <w:rFonts w:hint="eastAsia"/>
                <w:sz w:val="24"/>
                <w:szCs w:val="24"/>
              </w:rPr>
              <w:t>的区域声环境</w:t>
            </w:r>
            <w:r>
              <w:rPr>
                <w:sz w:val="24"/>
              </w:rPr>
              <w:t>执行《声环境质量标准》(GB3096-2008)中4a类标准，</w:t>
            </w:r>
            <w:r>
              <w:rPr>
                <w:rFonts w:hint="eastAsia"/>
                <w:sz w:val="24"/>
              </w:rPr>
              <w:t>其他区域声环境</w:t>
            </w:r>
            <w:r>
              <w:rPr>
                <w:sz w:val="24"/>
              </w:rPr>
              <w:t>执行《声环境质量标准》(GB3096-2008)中2类标准</w:t>
            </w:r>
            <w:r>
              <w:rPr>
                <w:rFonts w:hint="eastAsia"/>
                <w:sz w:val="24"/>
              </w:rPr>
              <w:t>，</w:t>
            </w:r>
            <w:r>
              <w:rPr>
                <w:sz w:val="24"/>
              </w:rPr>
              <w:t>具体标准值见表</w:t>
            </w:r>
            <w:r>
              <w:rPr>
                <w:rFonts w:hint="eastAsia"/>
                <w:sz w:val="24"/>
              </w:rPr>
              <w:t>9</w:t>
            </w:r>
            <w:r>
              <w:rPr>
                <w:sz w:val="24"/>
              </w:rPr>
              <w:t>。</w:t>
            </w:r>
          </w:p>
          <w:p>
            <w:pPr>
              <w:adjustRightInd w:val="0"/>
              <w:snapToGrid w:val="0"/>
              <w:spacing w:line="360" w:lineRule="auto"/>
              <w:jc w:val="center"/>
              <w:rPr>
                <w:rFonts w:hint="eastAsia"/>
                <w:b/>
                <w:bCs/>
                <w:sz w:val="24"/>
              </w:rPr>
            </w:pPr>
            <w:r>
              <w:rPr>
                <w:rFonts w:hint="eastAsia"/>
                <w:b/>
                <w:bCs/>
                <w:sz w:val="24"/>
              </w:rPr>
              <w:t>表9  声环境质量标准</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304"/>
              <w:gridCol w:w="2906"/>
              <w:gridCol w:w="3295"/>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2304" w:type="dxa"/>
                  <w:vAlign w:val="center"/>
                </w:tcPr>
                <w:p>
                  <w:pPr>
                    <w:adjustRightInd w:val="0"/>
                    <w:snapToGrid w:val="0"/>
                    <w:jc w:val="center"/>
                    <w:rPr>
                      <w:rFonts w:ascii="宋体" w:hAnsi="宋体" w:hint="eastAsia"/>
                      <w:b/>
                      <w:bCs/>
                      <w:sz w:val="21"/>
                      <w:szCs w:val="21"/>
                    </w:rPr>
                  </w:pPr>
                  <w:r>
                    <w:rPr>
                      <w:rFonts w:ascii="宋体" w:hAnsi="宋体" w:hint="eastAsia"/>
                      <w:b/>
                      <w:bCs/>
                      <w:sz w:val="21"/>
                      <w:szCs w:val="21"/>
                    </w:rPr>
                    <w:t>类别</w:t>
                  </w:r>
                </w:p>
              </w:tc>
              <w:tc>
                <w:tcPr>
                  <w:tcW w:w="2906" w:type="dxa"/>
                  <w:vAlign w:val="center"/>
                </w:tcPr>
                <w:p>
                  <w:pPr>
                    <w:adjustRightInd w:val="0"/>
                    <w:snapToGrid w:val="0"/>
                    <w:jc w:val="center"/>
                    <w:rPr>
                      <w:rFonts w:ascii="宋体" w:hAnsi="宋体" w:hint="eastAsia"/>
                      <w:b/>
                      <w:bCs/>
                      <w:sz w:val="21"/>
                      <w:szCs w:val="21"/>
                    </w:rPr>
                  </w:pPr>
                  <w:r>
                    <w:rPr>
                      <w:rFonts w:ascii="宋体" w:hAnsi="宋体" w:hint="eastAsia"/>
                      <w:b/>
                      <w:bCs/>
                      <w:sz w:val="21"/>
                      <w:szCs w:val="21"/>
                    </w:rPr>
                    <w:t>昼间(</w:t>
                  </w:r>
                  <w:r>
                    <w:rPr>
                      <w:b/>
                      <w:bCs/>
                      <w:sz w:val="21"/>
                      <w:szCs w:val="21"/>
                    </w:rPr>
                    <w:t>dB</w:t>
                  </w:r>
                  <w:r>
                    <w:rPr>
                      <w:rFonts w:ascii="宋体" w:hAnsi="宋体" w:hint="eastAsia"/>
                      <w:b/>
                      <w:bCs/>
                      <w:sz w:val="21"/>
                      <w:szCs w:val="21"/>
                    </w:rPr>
                    <w:t>)</w:t>
                  </w:r>
                </w:p>
              </w:tc>
              <w:tc>
                <w:tcPr>
                  <w:tcW w:w="3295" w:type="dxa"/>
                  <w:vAlign w:val="center"/>
                </w:tcPr>
                <w:p>
                  <w:pPr>
                    <w:adjustRightInd w:val="0"/>
                    <w:snapToGrid w:val="0"/>
                    <w:jc w:val="center"/>
                    <w:rPr>
                      <w:rFonts w:ascii="宋体" w:hAnsi="宋体"/>
                      <w:b/>
                      <w:bCs/>
                      <w:sz w:val="21"/>
                      <w:szCs w:val="21"/>
                    </w:rPr>
                  </w:pPr>
                  <w:r>
                    <w:rPr>
                      <w:rFonts w:ascii="宋体" w:hAnsi="宋体" w:hint="eastAsia"/>
                      <w:b/>
                      <w:bCs/>
                      <w:sz w:val="21"/>
                      <w:szCs w:val="21"/>
                    </w:rPr>
                    <w:t>夜间(</w:t>
                  </w:r>
                  <w:r>
                    <w:rPr>
                      <w:b/>
                      <w:bCs/>
                      <w:sz w:val="21"/>
                      <w:szCs w:val="21"/>
                    </w:rPr>
                    <w:t>dB</w:t>
                  </w:r>
                  <w:r>
                    <w:rPr>
                      <w:rFonts w:ascii="宋体" w:hAnsi="宋体" w:hint="eastAsia"/>
                      <w:b/>
                      <w:bCs/>
                      <w:sz w:val="21"/>
                      <w:szCs w:val="21"/>
                    </w:rPr>
                    <w:t>)</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2304" w:type="dxa"/>
                  <w:vAlign w:val="center"/>
                </w:tcPr>
                <w:p>
                  <w:pPr>
                    <w:ind w:firstLine="50"/>
                    <w:jc w:val="center"/>
                    <w:rPr>
                      <w:sz w:val="21"/>
                      <w:szCs w:val="21"/>
                    </w:rPr>
                  </w:pPr>
                  <w:r>
                    <w:rPr>
                      <w:rFonts w:hint="eastAsia"/>
                      <w:sz w:val="21"/>
                      <w:szCs w:val="21"/>
                    </w:rPr>
                    <w:t>2</w:t>
                  </w:r>
                  <w:r>
                    <w:rPr>
                      <w:sz w:val="21"/>
                      <w:szCs w:val="21"/>
                    </w:rPr>
                    <w:t>类</w:t>
                  </w:r>
                </w:p>
              </w:tc>
              <w:tc>
                <w:tcPr>
                  <w:tcW w:w="2906" w:type="dxa"/>
                  <w:vAlign w:val="center"/>
                </w:tcPr>
                <w:p>
                  <w:pPr>
                    <w:ind w:firstLine="50"/>
                    <w:jc w:val="center"/>
                    <w:rPr>
                      <w:sz w:val="21"/>
                      <w:szCs w:val="21"/>
                    </w:rPr>
                  </w:pPr>
                  <w:r>
                    <w:rPr>
                      <w:rFonts w:hint="eastAsia"/>
                      <w:sz w:val="21"/>
                      <w:szCs w:val="21"/>
                    </w:rPr>
                    <w:t>60</w:t>
                  </w:r>
                </w:p>
              </w:tc>
              <w:tc>
                <w:tcPr>
                  <w:tcW w:w="3295" w:type="dxa"/>
                  <w:vAlign w:val="center"/>
                </w:tcPr>
                <w:p>
                  <w:pPr>
                    <w:ind w:firstLine="50"/>
                    <w:jc w:val="center"/>
                    <w:rPr>
                      <w:rFonts w:hint="eastAsia"/>
                      <w:sz w:val="21"/>
                      <w:szCs w:val="21"/>
                    </w:rPr>
                  </w:pPr>
                  <w:r>
                    <w:rPr>
                      <w:rFonts w:hint="eastAsia"/>
                      <w:sz w:val="21"/>
                      <w:szCs w:val="21"/>
                    </w:rPr>
                    <w:t>50</w:t>
                  </w:r>
                </w:p>
              </w:tc>
            </w:tr>
          </w:tbl>
          <w:p/>
        </w:tc>
      </w:tr>
    </w:tbl>
    <w:p>
      <w:pPr>
        <w:sectPr>
          <w:footerReference w:type="even" r:id="rId52"/>
          <w:footerReference w:type="default" r:id="rId53"/>
          <w:footerReference w:type="first" r:id="rId54"/>
          <w:type w:val="nextPage"/>
          <w:pgSz w:w="11906" w:h="16838"/>
          <w:pgMar w:top="1134" w:right="1418" w:bottom="1134" w:left="1418" w:header="851" w:footer="992" w:gutter="0"/>
          <w:pgNumType w:start="17"/>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0" w:type="dxa"/>
          <w:bottom w:w="0" w:type="dxa"/>
          <w:right w:w="0" w:type="dxa"/>
        </w:tblCellMar>
        <w:tblLook w:val="0000"/>
      </w:tblPr>
      <w:tblGrid>
        <w:gridCol w:w="567"/>
        <w:gridCol w:w="8787"/>
      </w:tblGrid>
      <w:tr>
        <w:tblPrEx>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0" w:type="dxa"/>
            <w:bottom w:w="0" w:type="dxa"/>
            <w:right w:w="0" w:type="dxa"/>
          </w:tblCellMar>
          <w:tblLook w:val="0000"/>
        </w:tblPrEx>
        <w:trPr>
          <w:trHeight w:val="121"/>
          <w:jc w:val="center"/>
        </w:trPr>
        <w:tc>
          <w:tcPr>
            <w:tcW w:w="567" w:type="dxa"/>
            <w:vAlign w:val="center"/>
          </w:tcPr>
          <w:p/>
        </w:tc>
        <w:tc>
          <w:tcPr>
            <w:tcW w:w="8787" w:type="dxa"/>
          </w:tcPr>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304"/>
              <w:gridCol w:w="2906"/>
              <w:gridCol w:w="3295"/>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2304" w:type="dxa"/>
                  <w:vAlign w:val="center"/>
                </w:tcPr>
                <w:p>
                  <w:pPr>
                    <w:ind w:firstLine="50"/>
                    <w:jc w:val="center"/>
                    <w:rPr>
                      <w:rFonts w:hint="eastAsia"/>
                      <w:sz w:val="21"/>
                      <w:szCs w:val="21"/>
                    </w:rPr>
                  </w:pPr>
                  <w:r>
                    <w:rPr>
                      <w:rFonts w:hint="eastAsia"/>
                      <w:sz w:val="21"/>
                      <w:szCs w:val="21"/>
                    </w:rPr>
                    <w:t>4a类</w:t>
                  </w:r>
                </w:p>
              </w:tc>
              <w:tc>
                <w:tcPr>
                  <w:tcW w:w="2906" w:type="dxa"/>
                  <w:vAlign w:val="center"/>
                </w:tcPr>
                <w:p>
                  <w:pPr>
                    <w:ind w:firstLine="50"/>
                    <w:jc w:val="center"/>
                    <w:rPr>
                      <w:rFonts w:hint="eastAsia"/>
                      <w:sz w:val="21"/>
                      <w:szCs w:val="21"/>
                    </w:rPr>
                  </w:pPr>
                  <w:r>
                    <w:rPr>
                      <w:rFonts w:hint="eastAsia"/>
                      <w:sz w:val="21"/>
                      <w:szCs w:val="21"/>
                    </w:rPr>
                    <w:t>70</w:t>
                  </w:r>
                </w:p>
              </w:tc>
              <w:tc>
                <w:tcPr>
                  <w:tcW w:w="3295" w:type="dxa"/>
                  <w:vAlign w:val="center"/>
                </w:tcPr>
                <w:p>
                  <w:pPr>
                    <w:ind w:firstLine="50"/>
                    <w:jc w:val="center"/>
                    <w:rPr>
                      <w:rFonts w:hint="eastAsia"/>
                      <w:sz w:val="21"/>
                      <w:szCs w:val="21"/>
                    </w:rPr>
                  </w:pPr>
                  <w:r>
                    <w:rPr>
                      <w:rFonts w:hint="eastAsia"/>
                      <w:sz w:val="21"/>
                      <w:szCs w:val="21"/>
                    </w:rPr>
                    <w:t>55</w:t>
                  </w:r>
                </w:p>
              </w:tc>
            </w:tr>
          </w:tbl>
          <w:p>
            <w:pPr>
              <w:adjustRightInd w:val="0"/>
              <w:snapToGrid w:val="0"/>
              <w:spacing w:line="360" w:lineRule="auto"/>
              <w:rPr>
                <w:rFonts w:hint="eastAsia"/>
                <w:sz w:val="24"/>
                <w:szCs w:val="24"/>
              </w:rPr>
            </w:pPr>
          </w:p>
        </w:tc>
      </w:tr>
      <w:tr>
        <w:tblPrEx>
          <w:jc w:val="center"/>
          <w:tblInd w:w="-15" w:type="dxa"/>
          <w:tblLayout w:type="fixed"/>
          <w:tblCellMar>
            <w:top w:w="0" w:type="dxa"/>
            <w:left w:w="0" w:type="dxa"/>
            <w:bottom w:w="0" w:type="dxa"/>
            <w:right w:w="0" w:type="dxa"/>
          </w:tblCellMar>
          <w:tblLook w:val="0000"/>
        </w:tblPrEx>
        <w:trPr>
          <w:trHeight w:val="1203"/>
          <w:jc w:val="center"/>
        </w:trPr>
        <w:tc>
          <w:tcPr>
            <w:tcW w:w="567" w:type="dxa"/>
            <w:vAlign w:val="center"/>
          </w:tcPr>
          <w:p>
            <w:pPr>
              <w:spacing w:line="460" w:lineRule="exact"/>
              <w:jc w:val="center"/>
              <w:rPr>
                <w:b/>
                <w:sz w:val="24"/>
                <w:szCs w:val="24"/>
              </w:rPr>
            </w:pPr>
            <w:r>
              <w:rPr>
                <w:b/>
                <w:sz w:val="24"/>
                <w:szCs w:val="24"/>
              </w:rPr>
              <w:t>污</w:t>
            </w:r>
          </w:p>
          <w:p>
            <w:pPr>
              <w:spacing w:line="460" w:lineRule="exact"/>
              <w:jc w:val="center"/>
              <w:rPr>
                <w:b/>
                <w:sz w:val="24"/>
                <w:szCs w:val="24"/>
              </w:rPr>
            </w:pPr>
            <w:r>
              <w:rPr>
                <w:b/>
                <w:sz w:val="24"/>
                <w:szCs w:val="24"/>
              </w:rPr>
              <w:t>染</w:t>
            </w:r>
          </w:p>
          <w:p>
            <w:pPr>
              <w:spacing w:line="460" w:lineRule="exact"/>
              <w:jc w:val="center"/>
              <w:rPr>
                <w:b/>
                <w:sz w:val="24"/>
                <w:szCs w:val="24"/>
              </w:rPr>
            </w:pPr>
            <w:r>
              <w:rPr>
                <w:b/>
                <w:sz w:val="24"/>
                <w:szCs w:val="24"/>
              </w:rPr>
              <w:t>物</w:t>
            </w:r>
          </w:p>
          <w:p>
            <w:pPr>
              <w:spacing w:line="460" w:lineRule="exact"/>
              <w:jc w:val="center"/>
              <w:rPr>
                <w:b/>
                <w:sz w:val="24"/>
                <w:szCs w:val="24"/>
              </w:rPr>
            </w:pPr>
            <w:r>
              <w:rPr>
                <w:b/>
                <w:sz w:val="24"/>
                <w:szCs w:val="24"/>
              </w:rPr>
              <w:t>排</w:t>
            </w:r>
          </w:p>
          <w:p>
            <w:pPr>
              <w:spacing w:line="460" w:lineRule="exact"/>
              <w:jc w:val="center"/>
              <w:rPr>
                <w:b/>
                <w:sz w:val="24"/>
                <w:szCs w:val="24"/>
              </w:rPr>
            </w:pPr>
            <w:r>
              <w:rPr>
                <w:b/>
                <w:sz w:val="24"/>
                <w:szCs w:val="24"/>
              </w:rPr>
              <w:t>放</w:t>
            </w:r>
          </w:p>
          <w:p>
            <w:pPr>
              <w:spacing w:line="460" w:lineRule="exact"/>
              <w:jc w:val="center"/>
              <w:rPr>
                <w:b/>
                <w:sz w:val="24"/>
                <w:szCs w:val="24"/>
              </w:rPr>
            </w:pPr>
            <w:r>
              <w:rPr>
                <w:b/>
                <w:sz w:val="24"/>
                <w:szCs w:val="24"/>
              </w:rPr>
              <w:t>标</w:t>
            </w:r>
          </w:p>
          <w:p>
            <w:pPr>
              <w:spacing w:line="460" w:lineRule="exact"/>
              <w:jc w:val="center"/>
              <w:rPr>
                <w:sz w:val="21"/>
              </w:rPr>
            </w:pPr>
            <w:r>
              <w:rPr>
                <w:b/>
                <w:sz w:val="24"/>
                <w:szCs w:val="24"/>
              </w:rPr>
              <w:t>准</w:t>
            </w:r>
          </w:p>
        </w:tc>
        <w:tc>
          <w:tcPr>
            <w:tcW w:w="8787" w:type="dxa"/>
            <w:vAlign w:val="center"/>
          </w:tcPr>
          <w:p>
            <w:pPr>
              <w:numPr>
                <w:ilvl w:val="0"/>
                <w:numId w:val="3"/>
              </w:numPr>
              <w:spacing w:line="360" w:lineRule="auto"/>
              <w:rPr>
                <w:rFonts w:hint="eastAsia"/>
                <w:sz w:val="24"/>
                <w:szCs w:val="24"/>
              </w:rPr>
            </w:pPr>
            <w:r>
              <w:rPr>
                <w:rFonts w:ascii="宋体" w:hAnsi="宋体" w:hint="eastAsia"/>
                <w:b/>
                <w:sz w:val="24"/>
              </w:rPr>
              <w:t>废水</w:t>
            </w:r>
          </w:p>
          <w:p>
            <w:pPr>
              <w:spacing w:line="360" w:lineRule="auto"/>
              <w:rPr>
                <w:rFonts w:hint="eastAsia"/>
                <w:sz w:val="24"/>
                <w:szCs w:val="24"/>
              </w:rPr>
            </w:pPr>
            <w:r>
              <w:rPr>
                <w:rFonts w:ascii="宋体" w:hAnsi="宋体" w:hint="eastAsia"/>
                <w:b/>
                <w:sz w:val="24"/>
              </w:rPr>
              <w:t xml:space="preserve">    </w:t>
            </w:r>
            <w:r>
              <w:rPr>
                <w:sz w:val="24"/>
                <w:szCs w:val="24"/>
              </w:rPr>
              <w:t>项目</w:t>
            </w:r>
            <w:r>
              <w:rPr>
                <w:rFonts w:hint="eastAsia"/>
                <w:sz w:val="24"/>
                <w:szCs w:val="24"/>
              </w:rPr>
              <w:t>生活污水</w:t>
            </w:r>
            <w:r>
              <w:rPr>
                <w:sz w:val="24"/>
                <w:szCs w:val="24"/>
              </w:rPr>
              <w:t>经</w:t>
            </w:r>
            <w:r>
              <w:rPr>
                <w:rFonts w:hint="eastAsia"/>
                <w:sz w:val="24"/>
                <w:szCs w:val="24"/>
              </w:rPr>
              <w:t>隔油池+化粪池</w:t>
            </w:r>
            <w:r>
              <w:rPr>
                <w:sz w:val="24"/>
                <w:szCs w:val="24"/>
              </w:rPr>
              <w:t>处理</w:t>
            </w:r>
            <w:r>
              <w:rPr>
                <w:rFonts w:hint="eastAsia"/>
                <w:sz w:val="24"/>
                <w:szCs w:val="24"/>
              </w:rPr>
              <w:t>后</w:t>
            </w:r>
            <w:r>
              <w:rPr>
                <w:sz w:val="24"/>
                <w:szCs w:val="24"/>
              </w:rPr>
              <w:t>达到《污水综合排放标准》（GB8978-1996）表4中三级标准同时满足</w:t>
            </w:r>
            <w:r>
              <w:rPr>
                <w:rFonts w:hint="eastAsia"/>
                <w:sz w:val="24"/>
                <w:szCs w:val="24"/>
              </w:rPr>
              <w:t>抚州市中心城区</w:t>
            </w:r>
            <w:r>
              <w:rPr>
                <w:spacing w:val="4"/>
                <w:sz w:val="24"/>
                <w:szCs w:val="24"/>
              </w:rPr>
              <w:t>污水处理厂进水水质要求</w:t>
            </w:r>
            <w:r>
              <w:rPr>
                <w:rFonts w:hint="eastAsia"/>
                <w:spacing w:val="4"/>
                <w:sz w:val="24"/>
                <w:szCs w:val="24"/>
              </w:rPr>
              <w:t>，然</w:t>
            </w:r>
            <w:r>
              <w:rPr>
                <w:sz w:val="24"/>
                <w:szCs w:val="24"/>
              </w:rPr>
              <w:t>后由</w:t>
            </w:r>
            <w:r>
              <w:rPr>
                <w:rFonts w:hint="eastAsia"/>
                <w:sz w:val="24"/>
                <w:szCs w:val="24"/>
              </w:rPr>
              <w:t>市政</w:t>
            </w:r>
            <w:r>
              <w:rPr>
                <w:sz w:val="24"/>
                <w:szCs w:val="24"/>
              </w:rPr>
              <w:t>污水管网统一排放到</w:t>
            </w:r>
            <w:r>
              <w:rPr>
                <w:rFonts w:hint="eastAsia"/>
                <w:sz w:val="24"/>
                <w:szCs w:val="24"/>
              </w:rPr>
              <w:t>抚州市中心城区</w:t>
            </w:r>
            <w:r>
              <w:rPr>
                <w:spacing w:val="4"/>
                <w:sz w:val="24"/>
                <w:szCs w:val="24"/>
              </w:rPr>
              <w:t>污水处理厂进一步</w:t>
            </w:r>
            <w:r>
              <w:rPr>
                <w:sz w:val="24"/>
                <w:szCs w:val="24"/>
              </w:rPr>
              <w:t>处理，处理达到《城镇污水处理厂污染物排放标准》（GB18918-2002)一级B标准后最终排入</w:t>
            </w:r>
            <w:r>
              <w:rPr>
                <w:rFonts w:hint="eastAsia"/>
                <w:sz w:val="24"/>
                <w:szCs w:val="24"/>
              </w:rPr>
              <w:t>抚河</w:t>
            </w:r>
            <w:r>
              <w:rPr>
                <w:sz w:val="24"/>
                <w:szCs w:val="24"/>
              </w:rPr>
              <w:t>。具体废水污染物排放标准见下表。</w:t>
            </w:r>
          </w:p>
          <w:p>
            <w:pPr>
              <w:jc w:val="center"/>
              <w:rPr>
                <w:b/>
                <w:sz w:val="24"/>
                <w:szCs w:val="24"/>
              </w:rPr>
            </w:pPr>
            <w:r>
              <w:rPr>
                <w:rFonts w:ascii="宋体" w:hAnsi="宋体" w:hint="eastAsia"/>
                <w:b/>
                <w:sz w:val="24"/>
                <w:szCs w:val="24"/>
              </w:rPr>
              <w:t xml:space="preserve"> </w:t>
            </w:r>
            <w:r>
              <w:rPr>
                <w:b/>
                <w:sz w:val="24"/>
                <w:szCs w:val="24"/>
              </w:rPr>
              <w:t xml:space="preserve"> </w:t>
            </w:r>
            <w:r>
              <w:rPr>
                <w:rFonts w:hAnsi="宋体"/>
                <w:b/>
                <w:sz w:val="24"/>
                <w:szCs w:val="24"/>
              </w:rPr>
              <w:t>表</w:t>
            </w:r>
            <w:r>
              <w:rPr>
                <w:rFonts w:hAnsi="宋体" w:hint="eastAsia"/>
                <w:b/>
                <w:sz w:val="24"/>
                <w:szCs w:val="24"/>
              </w:rPr>
              <w:t>10</w:t>
            </w:r>
            <w:r>
              <w:rPr>
                <w:b/>
                <w:sz w:val="24"/>
                <w:szCs w:val="24"/>
              </w:rPr>
              <w:t xml:space="preserve">  </w:t>
            </w:r>
            <w:r>
              <w:rPr>
                <w:rFonts w:hAnsi="宋体"/>
                <w:b/>
                <w:sz w:val="24"/>
                <w:szCs w:val="24"/>
              </w:rPr>
              <w:t>污水排放标准</w:t>
            </w:r>
            <w:r>
              <w:rPr>
                <w:b/>
                <w:sz w:val="24"/>
                <w:szCs w:val="24"/>
              </w:rPr>
              <w:t xml:space="preserve">    </w:t>
            </w:r>
            <w:r>
              <w:rPr>
                <w:rFonts w:hAnsi="宋体"/>
                <w:b/>
                <w:sz w:val="24"/>
                <w:szCs w:val="24"/>
              </w:rPr>
              <w:t>单位：除</w:t>
            </w:r>
            <w:r>
              <w:rPr>
                <w:b/>
                <w:sz w:val="24"/>
                <w:szCs w:val="24"/>
              </w:rPr>
              <w:t>pH</w:t>
            </w:r>
            <w:r>
              <w:rPr>
                <w:rFonts w:hAnsi="宋体"/>
                <w:b/>
                <w:sz w:val="24"/>
                <w:szCs w:val="24"/>
              </w:rPr>
              <w:t>外均为</w:t>
            </w:r>
            <w:r>
              <w:rPr>
                <w:b/>
                <w:sz w:val="24"/>
                <w:szCs w:val="24"/>
              </w:rPr>
              <w:t>mg/L</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256"/>
              <w:gridCol w:w="1002"/>
              <w:gridCol w:w="750"/>
              <w:gridCol w:w="885"/>
              <w:gridCol w:w="705"/>
              <w:gridCol w:w="735"/>
              <w:gridCol w:w="1140"/>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97"/>
                <w:jc w:val="center"/>
              </w:trPr>
              <w:tc>
                <w:tcPr>
                  <w:tcW w:w="3256" w:type="dxa"/>
                  <w:vAlign w:val="center"/>
                </w:tcPr>
                <w:p>
                  <w:pPr>
                    <w:ind w:firstLine="50"/>
                    <w:jc w:val="center"/>
                    <w:rPr>
                      <w:rFonts w:hint="eastAsia"/>
                      <w:b/>
                      <w:bCs/>
                      <w:sz w:val="21"/>
                      <w:szCs w:val="21"/>
                    </w:rPr>
                  </w:pPr>
                  <w:r>
                    <w:rPr>
                      <w:rFonts w:hint="eastAsia"/>
                      <w:b/>
                      <w:bCs/>
                      <w:sz w:val="21"/>
                      <w:szCs w:val="21"/>
                    </w:rPr>
                    <w:t>标准</w:t>
                  </w:r>
                </w:p>
              </w:tc>
              <w:tc>
                <w:tcPr>
                  <w:tcW w:w="1002" w:type="dxa"/>
                  <w:vAlign w:val="center"/>
                </w:tcPr>
                <w:p>
                  <w:pPr>
                    <w:ind w:firstLine="50"/>
                    <w:jc w:val="center"/>
                    <w:rPr>
                      <w:b/>
                      <w:bCs/>
                      <w:sz w:val="21"/>
                      <w:szCs w:val="21"/>
                    </w:rPr>
                  </w:pPr>
                  <w:r>
                    <w:rPr>
                      <w:b/>
                      <w:bCs/>
                      <w:sz w:val="21"/>
                      <w:szCs w:val="21"/>
                    </w:rPr>
                    <w:t>pH</w:t>
                  </w:r>
                </w:p>
              </w:tc>
              <w:tc>
                <w:tcPr>
                  <w:tcW w:w="750" w:type="dxa"/>
                  <w:vAlign w:val="center"/>
                </w:tcPr>
                <w:p>
                  <w:pPr>
                    <w:ind w:firstLine="50"/>
                    <w:jc w:val="center"/>
                    <w:rPr>
                      <w:b/>
                      <w:bCs/>
                      <w:sz w:val="21"/>
                      <w:szCs w:val="21"/>
                    </w:rPr>
                  </w:pPr>
                  <w:r>
                    <w:rPr>
                      <w:b/>
                      <w:bCs/>
                      <w:sz w:val="21"/>
                      <w:szCs w:val="21"/>
                    </w:rPr>
                    <w:t>COD</w:t>
                  </w:r>
                </w:p>
              </w:tc>
              <w:tc>
                <w:tcPr>
                  <w:tcW w:w="885" w:type="dxa"/>
                  <w:vAlign w:val="center"/>
                </w:tcPr>
                <w:p>
                  <w:pPr>
                    <w:ind w:firstLine="50"/>
                    <w:jc w:val="center"/>
                    <w:rPr>
                      <w:b/>
                      <w:bCs/>
                      <w:sz w:val="21"/>
                      <w:szCs w:val="21"/>
                    </w:rPr>
                  </w:pPr>
                  <w:r>
                    <w:rPr>
                      <w:b/>
                      <w:bCs/>
                      <w:sz w:val="21"/>
                      <w:szCs w:val="21"/>
                    </w:rPr>
                    <w:t>BOD</w:t>
                  </w:r>
                  <w:r>
                    <w:rPr>
                      <w:b/>
                      <w:bCs/>
                      <w:sz w:val="21"/>
                      <w:szCs w:val="21"/>
                      <w:vertAlign w:val="subscript"/>
                    </w:rPr>
                    <w:t>5</w:t>
                  </w:r>
                </w:p>
              </w:tc>
              <w:tc>
                <w:tcPr>
                  <w:tcW w:w="705" w:type="dxa"/>
                  <w:vAlign w:val="center"/>
                </w:tcPr>
                <w:p>
                  <w:pPr>
                    <w:ind w:firstLine="50"/>
                    <w:jc w:val="center"/>
                    <w:rPr>
                      <w:b/>
                      <w:bCs/>
                      <w:sz w:val="21"/>
                      <w:szCs w:val="21"/>
                    </w:rPr>
                  </w:pPr>
                  <w:r>
                    <w:rPr>
                      <w:b/>
                      <w:bCs/>
                      <w:sz w:val="21"/>
                      <w:szCs w:val="21"/>
                    </w:rPr>
                    <w:t>氨氮</w:t>
                  </w:r>
                </w:p>
              </w:tc>
              <w:tc>
                <w:tcPr>
                  <w:tcW w:w="735" w:type="dxa"/>
                  <w:vAlign w:val="center"/>
                </w:tcPr>
                <w:p>
                  <w:pPr>
                    <w:ind w:firstLine="50"/>
                    <w:jc w:val="center"/>
                    <w:rPr>
                      <w:rFonts w:hint="eastAsia"/>
                      <w:b/>
                      <w:bCs/>
                      <w:sz w:val="21"/>
                      <w:szCs w:val="21"/>
                    </w:rPr>
                  </w:pPr>
                  <w:r>
                    <w:rPr>
                      <w:rFonts w:hint="eastAsia"/>
                      <w:b/>
                      <w:bCs/>
                      <w:sz w:val="21"/>
                      <w:szCs w:val="21"/>
                    </w:rPr>
                    <w:t>SS</w:t>
                  </w:r>
                </w:p>
              </w:tc>
              <w:tc>
                <w:tcPr>
                  <w:tcW w:w="1140" w:type="dxa"/>
                  <w:vAlign w:val="center"/>
                </w:tcPr>
                <w:p>
                  <w:pPr>
                    <w:ind w:firstLine="50"/>
                    <w:jc w:val="center"/>
                    <w:rPr>
                      <w:rFonts w:hint="eastAsia"/>
                      <w:b/>
                      <w:bCs/>
                      <w:sz w:val="21"/>
                      <w:szCs w:val="21"/>
                    </w:rPr>
                  </w:pPr>
                  <w:r>
                    <w:rPr>
                      <w:rFonts w:hint="eastAsia"/>
                      <w:b/>
                      <w:bCs/>
                      <w:sz w:val="21"/>
                      <w:szCs w:val="21"/>
                    </w:rPr>
                    <w:t>动植物油</w:t>
                  </w: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3256" w:type="dxa"/>
                  <w:vAlign w:val="center"/>
                </w:tcPr>
                <w:p>
                  <w:pPr>
                    <w:rPr>
                      <w:rFonts w:hint="eastAsia"/>
                      <w:sz w:val="21"/>
                      <w:szCs w:val="21"/>
                    </w:rPr>
                  </w:pPr>
                  <w:r>
                    <w:rPr>
                      <w:rFonts w:hint="eastAsia"/>
                      <w:sz w:val="21"/>
                      <w:szCs w:val="21"/>
                    </w:rPr>
                    <w:t>（</w:t>
                  </w:r>
                  <w:r>
                    <w:rPr>
                      <w:sz w:val="21"/>
                      <w:szCs w:val="21"/>
                    </w:rPr>
                    <w:t>GB8978-19</w:t>
                  </w:r>
                  <w:r>
                    <w:rPr>
                      <w:rFonts w:hint="eastAsia"/>
                      <w:sz w:val="21"/>
                      <w:szCs w:val="21"/>
                    </w:rPr>
                    <w:t>6</w:t>
                  </w:r>
                  <w:r>
                    <w:rPr>
                      <w:sz w:val="21"/>
                      <w:szCs w:val="21"/>
                    </w:rPr>
                    <w:t>6</w:t>
                  </w:r>
                  <w:r>
                    <w:rPr>
                      <w:rFonts w:hint="eastAsia"/>
                      <w:sz w:val="21"/>
                      <w:szCs w:val="21"/>
                    </w:rPr>
                    <w:t>)表4中三级标准</w:t>
                  </w:r>
                </w:p>
              </w:tc>
              <w:tc>
                <w:tcPr>
                  <w:tcW w:w="1002" w:type="dxa"/>
                  <w:vAlign w:val="center"/>
                </w:tcPr>
                <w:p>
                  <w:pPr>
                    <w:ind w:firstLine="50"/>
                    <w:jc w:val="center"/>
                    <w:rPr>
                      <w:sz w:val="21"/>
                      <w:szCs w:val="21"/>
                    </w:rPr>
                  </w:pPr>
                  <w:r>
                    <w:rPr>
                      <w:sz w:val="21"/>
                      <w:szCs w:val="21"/>
                    </w:rPr>
                    <w:t>6~9</w:t>
                  </w:r>
                </w:p>
              </w:tc>
              <w:tc>
                <w:tcPr>
                  <w:tcW w:w="750" w:type="dxa"/>
                  <w:vAlign w:val="center"/>
                </w:tcPr>
                <w:p>
                  <w:pPr>
                    <w:ind w:firstLine="50"/>
                    <w:jc w:val="center"/>
                    <w:rPr>
                      <w:rFonts w:hint="eastAsia"/>
                      <w:sz w:val="21"/>
                      <w:szCs w:val="21"/>
                    </w:rPr>
                  </w:pPr>
                  <w:r>
                    <w:rPr>
                      <w:sz w:val="21"/>
                      <w:szCs w:val="21"/>
                    </w:rPr>
                    <w:t>≤</w:t>
                  </w:r>
                  <w:r>
                    <w:rPr>
                      <w:rFonts w:hint="eastAsia"/>
                      <w:sz w:val="21"/>
                      <w:szCs w:val="21"/>
                    </w:rPr>
                    <w:t>500</w:t>
                  </w:r>
                </w:p>
              </w:tc>
              <w:tc>
                <w:tcPr>
                  <w:tcW w:w="885" w:type="dxa"/>
                  <w:vAlign w:val="center"/>
                </w:tcPr>
                <w:p>
                  <w:pPr>
                    <w:ind w:firstLine="50"/>
                    <w:jc w:val="center"/>
                    <w:rPr>
                      <w:rFonts w:hint="eastAsia"/>
                      <w:sz w:val="21"/>
                      <w:szCs w:val="21"/>
                    </w:rPr>
                  </w:pPr>
                  <w:r>
                    <w:rPr>
                      <w:sz w:val="21"/>
                      <w:szCs w:val="21"/>
                    </w:rPr>
                    <w:t>≤</w:t>
                  </w:r>
                  <w:r>
                    <w:rPr>
                      <w:rFonts w:hint="eastAsia"/>
                      <w:sz w:val="21"/>
                      <w:szCs w:val="21"/>
                    </w:rPr>
                    <w:t>300</w:t>
                  </w:r>
                </w:p>
              </w:tc>
              <w:tc>
                <w:tcPr>
                  <w:tcW w:w="705" w:type="dxa"/>
                  <w:vAlign w:val="center"/>
                </w:tcPr>
                <w:p>
                  <w:pPr>
                    <w:ind w:firstLine="50"/>
                    <w:jc w:val="center"/>
                    <w:rPr>
                      <w:rFonts w:hint="eastAsia"/>
                      <w:sz w:val="21"/>
                      <w:szCs w:val="21"/>
                    </w:rPr>
                  </w:pPr>
                  <w:r>
                    <w:rPr>
                      <w:rFonts w:hint="eastAsia"/>
                      <w:sz w:val="21"/>
                      <w:szCs w:val="21"/>
                    </w:rPr>
                    <w:t>--</w:t>
                  </w:r>
                </w:p>
              </w:tc>
              <w:tc>
                <w:tcPr>
                  <w:tcW w:w="735" w:type="dxa"/>
                  <w:vAlign w:val="center"/>
                </w:tcPr>
                <w:p>
                  <w:pPr>
                    <w:ind w:firstLine="50"/>
                    <w:jc w:val="center"/>
                    <w:rPr>
                      <w:rFonts w:hint="eastAsia"/>
                      <w:sz w:val="21"/>
                      <w:szCs w:val="21"/>
                    </w:rPr>
                  </w:pPr>
                  <w:r>
                    <w:rPr>
                      <w:sz w:val="21"/>
                      <w:szCs w:val="21"/>
                    </w:rPr>
                    <w:t>≤</w:t>
                  </w:r>
                  <w:r>
                    <w:rPr>
                      <w:rFonts w:hint="eastAsia"/>
                      <w:sz w:val="21"/>
                      <w:szCs w:val="21"/>
                    </w:rPr>
                    <w:t>400</w:t>
                  </w:r>
                </w:p>
              </w:tc>
              <w:tc>
                <w:tcPr>
                  <w:tcW w:w="1140" w:type="dxa"/>
                  <w:vAlign w:val="center"/>
                </w:tcPr>
                <w:p>
                  <w:pPr>
                    <w:ind w:firstLine="50"/>
                    <w:jc w:val="center"/>
                    <w:rPr>
                      <w:sz w:val="21"/>
                      <w:szCs w:val="21"/>
                    </w:rPr>
                  </w:pPr>
                  <w:r>
                    <w:rPr>
                      <w:sz w:val="21"/>
                      <w:szCs w:val="21"/>
                    </w:rPr>
                    <w:t>≤</w:t>
                  </w:r>
                  <w:r>
                    <w:rPr>
                      <w:rFonts w:hint="eastAsia"/>
                      <w:sz w:val="21"/>
                      <w:szCs w:val="21"/>
                    </w:rPr>
                    <w:t>100</w:t>
                  </w: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3256" w:type="dxa"/>
                  <w:vAlign w:val="center"/>
                </w:tcPr>
                <w:p>
                  <w:pPr>
                    <w:jc w:val="center"/>
                    <w:rPr>
                      <w:rFonts w:hint="eastAsia"/>
                      <w:sz w:val="21"/>
                      <w:szCs w:val="21"/>
                    </w:rPr>
                  </w:pPr>
                  <w:r>
                    <w:rPr>
                      <w:rFonts w:hint="eastAsia"/>
                      <w:sz w:val="21"/>
                      <w:szCs w:val="21"/>
                    </w:rPr>
                    <w:t>污水处理厂进水水质要求</w:t>
                  </w:r>
                </w:p>
              </w:tc>
              <w:tc>
                <w:tcPr>
                  <w:tcW w:w="1002" w:type="dxa"/>
                  <w:vAlign w:val="center"/>
                </w:tcPr>
                <w:p>
                  <w:pPr>
                    <w:ind w:firstLine="50"/>
                    <w:jc w:val="center"/>
                    <w:rPr>
                      <w:sz w:val="21"/>
                      <w:szCs w:val="21"/>
                    </w:rPr>
                  </w:pPr>
                  <w:r>
                    <w:rPr>
                      <w:sz w:val="21"/>
                      <w:szCs w:val="21"/>
                    </w:rPr>
                    <w:t>6~9</w:t>
                  </w:r>
                </w:p>
              </w:tc>
              <w:tc>
                <w:tcPr>
                  <w:tcW w:w="750" w:type="dxa"/>
                  <w:vAlign w:val="center"/>
                </w:tcPr>
                <w:p>
                  <w:pPr>
                    <w:ind w:firstLine="50"/>
                    <w:jc w:val="center"/>
                    <w:rPr>
                      <w:rFonts w:hint="eastAsia"/>
                      <w:sz w:val="21"/>
                      <w:szCs w:val="21"/>
                    </w:rPr>
                  </w:pPr>
                  <w:r>
                    <w:rPr>
                      <w:sz w:val="21"/>
                      <w:szCs w:val="21"/>
                    </w:rPr>
                    <w:t>≤</w:t>
                  </w:r>
                  <w:r>
                    <w:rPr>
                      <w:rFonts w:hint="eastAsia"/>
                      <w:sz w:val="21"/>
                      <w:szCs w:val="21"/>
                    </w:rPr>
                    <w:t>220</w:t>
                  </w:r>
                </w:p>
              </w:tc>
              <w:tc>
                <w:tcPr>
                  <w:tcW w:w="885" w:type="dxa"/>
                  <w:vAlign w:val="center"/>
                </w:tcPr>
                <w:p>
                  <w:pPr>
                    <w:ind w:firstLine="50"/>
                    <w:jc w:val="center"/>
                    <w:rPr>
                      <w:rFonts w:hint="eastAsia"/>
                      <w:sz w:val="21"/>
                      <w:szCs w:val="21"/>
                    </w:rPr>
                  </w:pPr>
                  <w:r>
                    <w:rPr>
                      <w:sz w:val="21"/>
                      <w:szCs w:val="21"/>
                    </w:rPr>
                    <w:t>≤</w:t>
                  </w:r>
                  <w:r>
                    <w:rPr>
                      <w:rFonts w:hint="eastAsia"/>
                      <w:sz w:val="21"/>
                      <w:szCs w:val="21"/>
                    </w:rPr>
                    <w:t>120</w:t>
                  </w:r>
                </w:p>
              </w:tc>
              <w:tc>
                <w:tcPr>
                  <w:tcW w:w="705" w:type="dxa"/>
                  <w:vAlign w:val="center"/>
                </w:tcPr>
                <w:p>
                  <w:pPr>
                    <w:ind w:firstLine="50"/>
                    <w:jc w:val="center"/>
                    <w:rPr>
                      <w:rFonts w:hint="eastAsia"/>
                      <w:sz w:val="21"/>
                      <w:szCs w:val="21"/>
                    </w:rPr>
                  </w:pPr>
                  <w:r>
                    <w:rPr>
                      <w:sz w:val="21"/>
                      <w:szCs w:val="21"/>
                    </w:rPr>
                    <w:t>≤</w:t>
                  </w:r>
                  <w:r>
                    <w:rPr>
                      <w:rFonts w:hint="eastAsia"/>
                      <w:sz w:val="21"/>
                      <w:szCs w:val="21"/>
                    </w:rPr>
                    <w:t>25</w:t>
                  </w:r>
                </w:p>
              </w:tc>
              <w:tc>
                <w:tcPr>
                  <w:tcW w:w="735" w:type="dxa"/>
                  <w:vAlign w:val="center"/>
                </w:tcPr>
                <w:p>
                  <w:pPr>
                    <w:ind w:firstLine="50"/>
                    <w:jc w:val="center"/>
                    <w:rPr>
                      <w:rFonts w:hint="eastAsia"/>
                      <w:sz w:val="21"/>
                      <w:szCs w:val="21"/>
                    </w:rPr>
                  </w:pPr>
                  <w:r>
                    <w:rPr>
                      <w:sz w:val="21"/>
                      <w:szCs w:val="21"/>
                    </w:rPr>
                    <w:t>≤</w:t>
                  </w:r>
                  <w:r>
                    <w:rPr>
                      <w:rFonts w:hint="eastAsia"/>
                      <w:sz w:val="21"/>
                      <w:szCs w:val="21"/>
                    </w:rPr>
                    <w:t>200</w:t>
                  </w:r>
                </w:p>
              </w:tc>
              <w:tc>
                <w:tcPr>
                  <w:tcW w:w="1140" w:type="dxa"/>
                  <w:vAlign w:val="center"/>
                </w:tcPr>
                <w:p>
                  <w:pPr>
                    <w:ind w:firstLine="50"/>
                    <w:jc w:val="center"/>
                    <w:rPr>
                      <w:sz w:val="21"/>
                      <w:szCs w:val="21"/>
                    </w:rPr>
                  </w:pPr>
                  <w:r>
                    <w:rPr>
                      <w:rFonts w:hint="eastAsia"/>
                      <w:sz w:val="21"/>
                      <w:szCs w:val="21"/>
                    </w:rPr>
                    <w:t>---</w:t>
                  </w:r>
                </w:p>
              </w:tc>
            </w:tr>
            <w:tr>
              <w:tblPrEx>
                <w:jc w:val="center"/>
                <w:tblInd w:w="123" w:type="dxa"/>
                <w:tblLayout w:type="fixed"/>
                <w:tblCellMar>
                  <w:top w:w="0" w:type="dxa"/>
                  <w:left w:w="108" w:type="dxa"/>
                  <w:bottom w:w="0" w:type="dxa"/>
                  <w:right w:w="108" w:type="dxa"/>
                </w:tblCellMar>
                <w:tblLook w:val="0000"/>
              </w:tblPrEx>
              <w:trPr>
                <w:trHeight w:val="397"/>
                <w:jc w:val="center"/>
              </w:trPr>
              <w:tc>
                <w:tcPr>
                  <w:tcW w:w="3256" w:type="dxa"/>
                  <w:vAlign w:val="center"/>
                </w:tcPr>
                <w:p>
                  <w:pPr>
                    <w:rPr>
                      <w:rFonts w:hint="eastAsia"/>
                      <w:sz w:val="21"/>
                      <w:szCs w:val="21"/>
                    </w:rPr>
                  </w:pPr>
                  <w:r>
                    <w:rPr>
                      <w:rFonts w:hint="eastAsia"/>
                      <w:sz w:val="21"/>
                      <w:szCs w:val="21"/>
                    </w:rPr>
                    <w:t>（GB18918-2002)一级B标准</w:t>
                  </w:r>
                </w:p>
              </w:tc>
              <w:tc>
                <w:tcPr>
                  <w:tcW w:w="1002" w:type="dxa"/>
                  <w:vAlign w:val="center"/>
                </w:tcPr>
                <w:p>
                  <w:pPr>
                    <w:ind w:firstLine="50"/>
                    <w:jc w:val="center"/>
                    <w:rPr>
                      <w:sz w:val="21"/>
                      <w:szCs w:val="21"/>
                    </w:rPr>
                  </w:pPr>
                  <w:r>
                    <w:rPr>
                      <w:sz w:val="21"/>
                      <w:szCs w:val="21"/>
                    </w:rPr>
                    <w:t>6~9</w:t>
                  </w:r>
                </w:p>
              </w:tc>
              <w:tc>
                <w:tcPr>
                  <w:tcW w:w="750" w:type="dxa"/>
                  <w:vAlign w:val="center"/>
                </w:tcPr>
                <w:p>
                  <w:pPr>
                    <w:ind w:firstLine="50"/>
                    <w:jc w:val="center"/>
                    <w:rPr>
                      <w:sz w:val="21"/>
                      <w:szCs w:val="21"/>
                    </w:rPr>
                  </w:pPr>
                  <w:r>
                    <w:rPr>
                      <w:sz w:val="21"/>
                      <w:szCs w:val="21"/>
                    </w:rPr>
                    <w:t>≤</w:t>
                  </w:r>
                  <w:r>
                    <w:rPr>
                      <w:rFonts w:hint="eastAsia"/>
                      <w:sz w:val="21"/>
                      <w:szCs w:val="21"/>
                    </w:rPr>
                    <w:t>60</w:t>
                  </w:r>
                </w:p>
              </w:tc>
              <w:tc>
                <w:tcPr>
                  <w:tcW w:w="885" w:type="dxa"/>
                  <w:vAlign w:val="center"/>
                </w:tcPr>
                <w:p>
                  <w:pPr>
                    <w:ind w:firstLine="50"/>
                    <w:jc w:val="center"/>
                    <w:rPr>
                      <w:sz w:val="21"/>
                      <w:szCs w:val="21"/>
                    </w:rPr>
                  </w:pPr>
                  <w:r>
                    <w:rPr>
                      <w:sz w:val="21"/>
                      <w:szCs w:val="21"/>
                    </w:rPr>
                    <w:t>≤</w:t>
                  </w:r>
                  <w:r>
                    <w:rPr>
                      <w:rFonts w:hint="eastAsia"/>
                      <w:sz w:val="21"/>
                      <w:szCs w:val="21"/>
                    </w:rPr>
                    <w:t>20</w:t>
                  </w:r>
                </w:p>
              </w:tc>
              <w:tc>
                <w:tcPr>
                  <w:tcW w:w="705" w:type="dxa"/>
                  <w:vAlign w:val="center"/>
                </w:tcPr>
                <w:p>
                  <w:pPr>
                    <w:ind w:firstLine="50"/>
                    <w:jc w:val="center"/>
                    <w:rPr>
                      <w:sz w:val="21"/>
                      <w:szCs w:val="21"/>
                    </w:rPr>
                  </w:pPr>
                  <w:r>
                    <w:rPr>
                      <w:sz w:val="21"/>
                      <w:szCs w:val="21"/>
                    </w:rPr>
                    <w:t>≤</w:t>
                  </w:r>
                  <w:r>
                    <w:rPr>
                      <w:rFonts w:hint="eastAsia"/>
                      <w:sz w:val="21"/>
                      <w:szCs w:val="21"/>
                    </w:rPr>
                    <w:t>8</w:t>
                  </w:r>
                </w:p>
              </w:tc>
              <w:tc>
                <w:tcPr>
                  <w:tcW w:w="735" w:type="dxa"/>
                  <w:vAlign w:val="center"/>
                </w:tcPr>
                <w:p>
                  <w:pPr>
                    <w:ind w:firstLine="50"/>
                    <w:jc w:val="center"/>
                    <w:rPr>
                      <w:sz w:val="21"/>
                      <w:szCs w:val="21"/>
                    </w:rPr>
                  </w:pPr>
                  <w:r>
                    <w:rPr>
                      <w:sz w:val="21"/>
                      <w:szCs w:val="21"/>
                    </w:rPr>
                    <w:t>≤</w:t>
                  </w:r>
                  <w:r>
                    <w:rPr>
                      <w:rFonts w:hint="eastAsia"/>
                      <w:sz w:val="21"/>
                      <w:szCs w:val="21"/>
                    </w:rPr>
                    <w:t>20</w:t>
                  </w:r>
                </w:p>
              </w:tc>
              <w:tc>
                <w:tcPr>
                  <w:tcW w:w="1140" w:type="dxa"/>
                  <w:vAlign w:val="center"/>
                </w:tcPr>
                <w:p>
                  <w:pPr>
                    <w:ind w:firstLine="50"/>
                    <w:jc w:val="center"/>
                    <w:rPr>
                      <w:sz w:val="21"/>
                      <w:szCs w:val="21"/>
                    </w:rPr>
                  </w:pPr>
                  <w:r>
                    <w:rPr>
                      <w:sz w:val="21"/>
                      <w:szCs w:val="21"/>
                    </w:rPr>
                    <w:t>≤</w:t>
                  </w:r>
                  <w:r>
                    <w:rPr>
                      <w:rFonts w:hint="eastAsia"/>
                      <w:sz w:val="21"/>
                      <w:szCs w:val="21"/>
                    </w:rPr>
                    <w:t>3</w:t>
                  </w:r>
                </w:p>
              </w:tc>
            </w:tr>
          </w:tbl>
          <w:p>
            <w:pPr>
              <w:numPr>
                <w:ilvl w:val="0"/>
                <w:numId w:val="3"/>
              </w:numPr>
              <w:spacing w:line="360" w:lineRule="auto"/>
              <w:rPr>
                <w:rFonts w:ascii="宋体" w:hAnsi="宋体" w:hint="eastAsia"/>
                <w:b/>
                <w:kern w:val="10"/>
                <w:sz w:val="24"/>
              </w:rPr>
            </w:pPr>
            <w:r>
              <w:rPr>
                <w:rFonts w:ascii="宋体" w:hAnsi="宋体" w:hint="eastAsia"/>
                <w:b/>
                <w:kern w:val="10"/>
                <w:sz w:val="24"/>
              </w:rPr>
              <w:t>废气</w:t>
            </w:r>
          </w:p>
          <w:p>
            <w:pPr>
              <w:pStyle w:val="5"/>
              <w:spacing w:before="0" w:beforeLines="0" w:line="360" w:lineRule="auto"/>
              <w:jc w:val="left"/>
              <w:rPr>
                <w:rFonts w:eastAsia="宋体" w:cs="Times New Roman"/>
                <w:sz w:val="24"/>
              </w:rPr>
            </w:pPr>
            <w:r>
              <w:rPr>
                <w:rFonts w:eastAsia="宋体" w:cs="Times New Roman" w:hint="eastAsia"/>
                <w:sz w:val="24"/>
              </w:rPr>
              <w:t xml:space="preserve">    </w:t>
            </w:r>
            <w:r>
              <w:rPr>
                <w:rFonts w:eastAsia="宋体" w:cs="Times New Roman"/>
                <w:sz w:val="24"/>
              </w:rPr>
              <w:t>施工期扬尘</w:t>
            </w:r>
            <w:r>
              <w:rPr>
                <w:rFonts w:eastAsia="宋体" w:cs="Times New Roman" w:hint="eastAsia"/>
                <w:sz w:val="24"/>
              </w:rPr>
              <w:t>排放</w:t>
            </w:r>
            <w:r>
              <w:rPr>
                <w:rFonts w:eastAsia="宋体" w:cs="Times New Roman"/>
                <w:sz w:val="24"/>
              </w:rPr>
              <w:t>执行《大气污染物综合排放标准》（GB16297-1996）</w:t>
            </w:r>
            <w:r>
              <w:rPr>
                <w:rFonts w:eastAsia="宋体" w:cs="Times New Roman" w:hint="eastAsia"/>
                <w:sz w:val="24"/>
              </w:rPr>
              <w:t>表2</w:t>
            </w:r>
            <w:r>
              <w:rPr>
                <w:rFonts w:eastAsia="宋体" w:cs="Times New Roman"/>
                <w:sz w:val="24"/>
              </w:rPr>
              <w:t>中无组织排放监控浓度限值；营运期停车场尾气</w:t>
            </w:r>
            <w:r>
              <w:rPr>
                <w:rFonts w:eastAsia="宋体" w:cs="Times New Roman" w:hint="eastAsia"/>
                <w:sz w:val="24"/>
              </w:rPr>
              <w:t>排放</w:t>
            </w:r>
            <w:r>
              <w:rPr>
                <w:rFonts w:eastAsia="宋体" w:cs="Times New Roman"/>
                <w:sz w:val="24"/>
              </w:rPr>
              <w:t>执行《大气污染物综合排放标准》（GB16297-1996）</w:t>
            </w:r>
            <w:r>
              <w:rPr>
                <w:rFonts w:eastAsia="宋体" w:cs="Times New Roman" w:hint="eastAsia"/>
                <w:sz w:val="24"/>
              </w:rPr>
              <w:t>表2</w:t>
            </w:r>
            <w:r>
              <w:rPr>
                <w:rFonts w:eastAsia="宋体" w:cs="Times New Roman"/>
                <w:sz w:val="24"/>
              </w:rPr>
              <w:t>中最高允许排放浓度限值；备用柴油发电机尾气排放执行《非道路移动机械用柴油机排气污染物排放限值及测量方法（中国第三、四阶段）》（GB20891-2014）相关标准限值</w:t>
            </w:r>
            <w:r>
              <w:rPr>
                <w:rFonts w:eastAsia="宋体" w:cs="Times New Roman" w:hint="eastAsia"/>
                <w:sz w:val="24"/>
              </w:rPr>
              <w:t>；员工餐</w:t>
            </w:r>
            <w:r>
              <w:rPr>
                <w:rFonts w:eastAsia="宋体" w:hAnsi="宋体" w:cs="Times New Roman"/>
                <w:sz w:val="24"/>
              </w:rPr>
              <w:t>厅及餐饮业油烟排放执行《饮食业油烟排放标准</w:t>
            </w:r>
            <w:r>
              <w:rPr>
                <w:rFonts w:eastAsia="宋体" w:cs="Times New Roman"/>
                <w:sz w:val="24"/>
              </w:rPr>
              <w:t>(</w:t>
            </w:r>
            <w:r>
              <w:rPr>
                <w:rFonts w:eastAsia="宋体" w:hAnsi="宋体" w:cs="Times New Roman"/>
                <w:sz w:val="24"/>
              </w:rPr>
              <w:t>试行</w:t>
            </w:r>
            <w:r>
              <w:rPr>
                <w:rFonts w:eastAsia="宋体" w:cs="Times New Roman"/>
                <w:sz w:val="24"/>
              </w:rPr>
              <w:t>)</w:t>
            </w:r>
            <w:r>
              <w:rPr>
                <w:rFonts w:eastAsia="宋体" w:hAnsi="宋体" w:cs="Times New Roman"/>
                <w:sz w:val="24"/>
              </w:rPr>
              <w:t>》</w:t>
            </w:r>
            <w:r>
              <w:rPr>
                <w:rFonts w:eastAsia="宋体" w:cs="Times New Roman"/>
                <w:sz w:val="24"/>
              </w:rPr>
              <w:t>(GB18483-2001)</w:t>
            </w:r>
            <w:r>
              <w:rPr>
                <w:rFonts w:eastAsia="宋体" w:cs="Times New Roman" w:hint="eastAsia"/>
                <w:sz w:val="24"/>
              </w:rPr>
              <w:t>中相应规模</w:t>
            </w:r>
            <w:r>
              <w:rPr>
                <w:rFonts w:eastAsia="宋体" w:hAnsi="宋体" w:cs="Times New Roman"/>
                <w:sz w:val="24"/>
              </w:rPr>
              <w:t>排放标准</w:t>
            </w:r>
            <w:r>
              <w:rPr>
                <w:rFonts w:eastAsia="宋体" w:hAnsi="宋体" w:cs="Times New Roman" w:hint="eastAsia"/>
                <w:sz w:val="24"/>
              </w:rPr>
              <w:t>。</w:t>
            </w:r>
          </w:p>
          <w:p>
            <w:pPr>
              <w:pStyle w:val="5"/>
              <w:spacing w:before="0" w:beforeLines="0" w:line="360" w:lineRule="auto"/>
              <w:rPr>
                <w:rFonts w:eastAsia="宋体" w:cs="Times New Roman"/>
                <w:b/>
                <w:sz w:val="24"/>
                <w:szCs w:val="24"/>
              </w:rPr>
            </w:pPr>
            <w:r>
              <w:rPr>
                <w:rFonts w:eastAsia="宋体" w:cs="Times New Roman"/>
                <w:b/>
                <w:sz w:val="24"/>
                <w:szCs w:val="24"/>
              </w:rPr>
              <w:t>表</w:t>
            </w:r>
            <w:r>
              <w:rPr>
                <w:rFonts w:eastAsia="宋体" w:cs="Times New Roman" w:hint="eastAsia"/>
                <w:b/>
                <w:sz w:val="24"/>
                <w:szCs w:val="24"/>
              </w:rPr>
              <w:t>11</w:t>
            </w:r>
            <w:r>
              <w:rPr>
                <w:rFonts w:eastAsia="宋体" w:cs="Times New Roman"/>
                <w:b/>
                <w:sz w:val="24"/>
                <w:szCs w:val="24"/>
              </w:rPr>
              <w:t xml:space="preserve">  大气污染物排放标准</w:t>
            </w:r>
            <w:r>
              <w:rPr>
                <w:rFonts w:eastAsia="宋体" w:cs="Times New Roman" w:hint="eastAsia"/>
                <w:b/>
                <w:sz w:val="24"/>
                <w:szCs w:val="24"/>
              </w:rPr>
              <w:t xml:space="preserve">  </w:t>
            </w:r>
            <w:r>
              <w:rPr>
                <w:rFonts w:eastAsia="宋体" w:cs="Times New Roman"/>
                <w:b/>
                <w:sz w:val="24"/>
                <w:szCs w:val="24"/>
              </w:rPr>
              <w:t>单位：mg/m</w:t>
            </w:r>
            <w:r>
              <w:rPr>
                <w:rFonts w:eastAsia="宋体" w:cs="Times New Roman"/>
                <w:b/>
                <w:sz w:val="24"/>
                <w:szCs w:val="24"/>
                <w:vertAlign w:val="superscript"/>
              </w:rPr>
              <w:t>3</w:t>
            </w:r>
            <w:r>
              <w:rPr>
                <w:rFonts w:eastAsia="宋体" w:cs="Times New Roman"/>
                <w:b/>
                <w:sz w:val="24"/>
                <w:szCs w:val="24"/>
              </w:rPr>
              <w:t xml:space="preserve">                                      </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44"/>
              <w:gridCol w:w="1339"/>
              <w:gridCol w:w="1559"/>
              <w:gridCol w:w="2506"/>
              <w:gridCol w:w="967"/>
              <w:gridCol w:w="851"/>
              <w:gridCol w:w="839"/>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6"/>
                <w:jc w:val="center"/>
              </w:trPr>
              <w:tc>
                <w:tcPr>
                  <w:tcW w:w="1783" w:type="dxa"/>
                  <w:gridSpan w:val="2"/>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项  目</w:t>
                  </w:r>
                </w:p>
              </w:tc>
              <w:tc>
                <w:tcPr>
                  <w:tcW w:w="1559" w:type="dxa"/>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标准名称</w:t>
                  </w:r>
                </w:p>
              </w:tc>
              <w:tc>
                <w:tcPr>
                  <w:tcW w:w="2506" w:type="dxa"/>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级 别</w:t>
                  </w:r>
                </w:p>
              </w:tc>
              <w:tc>
                <w:tcPr>
                  <w:tcW w:w="2657" w:type="dxa"/>
                  <w:gridSpan w:val="3"/>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排放标准值</w:t>
                  </w:r>
                </w:p>
              </w:tc>
            </w:tr>
            <w:tr>
              <w:tblPrEx>
                <w:jc w:val="center"/>
                <w:tblInd w:w="123" w:type="dxa"/>
                <w:tblLayout w:type="fixed"/>
                <w:tblCellMar>
                  <w:top w:w="0" w:type="dxa"/>
                  <w:left w:w="108" w:type="dxa"/>
                  <w:bottom w:w="0" w:type="dxa"/>
                  <w:right w:w="108" w:type="dxa"/>
                </w:tblCellMar>
                <w:tblLook w:val="0000"/>
              </w:tblPrEx>
              <w:trPr>
                <w:trHeight w:val="234"/>
                <w:jc w:val="center"/>
              </w:trPr>
              <w:tc>
                <w:tcPr>
                  <w:tcW w:w="1783" w:type="dxa"/>
                  <w:gridSpan w:val="2"/>
                  <w:vMerge w:val="restart"/>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施工期</w:t>
                  </w:r>
                </w:p>
              </w:tc>
              <w:tc>
                <w:tcPr>
                  <w:tcW w:w="1559" w:type="dxa"/>
                  <w:vMerge w:val="restart"/>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GB16297-1996</w:t>
                  </w:r>
                  <w:r>
                    <w:rPr>
                      <w:rFonts w:ascii="Times New Roman" w:hint="eastAsia"/>
                      <w:snapToGrid/>
                      <w:spacing w:val="0"/>
                      <w:w w:val="100"/>
                      <w:kern w:val="2"/>
                      <w:sz w:val="21"/>
                      <w:szCs w:val="21"/>
                    </w:rPr>
                    <w:t>表2中二级</w:t>
                  </w:r>
                </w:p>
              </w:tc>
              <w:tc>
                <w:tcPr>
                  <w:tcW w:w="2506" w:type="dxa"/>
                  <w:vMerge w:val="restart"/>
                  <w:vAlign w:val="center"/>
                </w:tcPr>
                <w:p>
                  <w:pPr>
                    <w:pStyle w:val="a1"/>
                    <w:tabs>
                      <w:tab w:val="left" w:pos="1485"/>
                      <w:tab w:val="center" w:pos="4113"/>
                    </w:tabs>
                    <w:spacing w:line="360" w:lineRule="auto"/>
                    <w:rPr>
                      <w:rFonts w:ascii="宋体" w:eastAsia="宋体" w:hAnsi="宋体" w:cs="宋体" w:hint="eastAsia"/>
                      <w:bCs/>
                      <w:spacing w:val="0"/>
                      <w:szCs w:val="21"/>
                    </w:rPr>
                  </w:pPr>
                  <w:r>
                    <w:rPr>
                      <w:rFonts w:ascii="宋体" w:eastAsia="宋体" w:hAnsi="宋体" w:cs="宋体" w:hint="eastAsia"/>
                      <w:bCs/>
                      <w:spacing w:val="0"/>
                      <w:szCs w:val="21"/>
                    </w:rPr>
                    <w:t>无组织排放监控浓度限值</w:t>
                  </w:r>
                </w:p>
              </w:tc>
              <w:tc>
                <w:tcPr>
                  <w:tcW w:w="2657" w:type="dxa"/>
                  <w:gridSpan w:val="3"/>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颗粒物</w:t>
                  </w:r>
                </w:p>
              </w:tc>
            </w:tr>
            <w:tr>
              <w:tblPrEx>
                <w:jc w:val="center"/>
                <w:tblInd w:w="123" w:type="dxa"/>
                <w:tblLayout w:type="fixed"/>
                <w:tblCellMar>
                  <w:top w:w="0" w:type="dxa"/>
                  <w:left w:w="108" w:type="dxa"/>
                  <w:bottom w:w="0" w:type="dxa"/>
                  <w:right w:w="108" w:type="dxa"/>
                </w:tblCellMar>
                <w:tblLook w:val="0000"/>
              </w:tblPrEx>
              <w:trPr>
                <w:trHeight w:val="234"/>
                <w:jc w:val="center"/>
              </w:trPr>
              <w:tc>
                <w:tcPr>
                  <w:tcW w:w="1783" w:type="dxa"/>
                  <w:gridSpan w:val="2"/>
                  <w:vMerge/>
                  <w:vAlign w:val="center"/>
                </w:tcPr>
                <w:p>
                  <w:pPr>
                    <w:pStyle w:val="a5"/>
                    <w:spacing w:line="360" w:lineRule="auto"/>
                    <w:rPr>
                      <w:rFonts w:ascii="Times New Roman"/>
                      <w:snapToGrid/>
                      <w:spacing w:val="0"/>
                      <w:w w:val="100"/>
                      <w:kern w:val="2"/>
                      <w:sz w:val="21"/>
                      <w:szCs w:val="21"/>
                    </w:rPr>
                  </w:pPr>
                </w:p>
              </w:tc>
              <w:tc>
                <w:tcPr>
                  <w:tcW w:w="1559" w:type="dxa"/>
                  <w:vMerge/>
                  <w:vAlign w:val="center"/>
                </w:tcPr>
                <w:p>
                  <w:pPr>
                    <w:pStyle w:val="a5"/>
                    <w:spacing w:line="360" w:lineRule="auto"/>
                    <w:rPr>
                      <w:rFonts w:ascii="Times New Roman"/>
                      <w:snapToGrid/>
                      <w:spacing w:val="0"/>
                      <w:w w:val="100"/>
                      <w:kern w:val="2"/>
                      <w:sz w:val="21"/>
                      <w:szCs w:val="21"/>
                    </w:rPr>
                  </w:pPr>
                </w:p>
              </w:tc>
              <w:tc>
                <w:tcPr>
                  <w:tcW w:w="2506" w:type="dxa"/>
                  <w:vMerge/>
                  <w:vAlign w:val="center"/>
                </w:tcPr>
                <w:p>
                  <w:pPr>
                    <w:pStyle w:val="a1"/>
                    <w:tabs>
                      <w:tab w:val="left" w:pos="1485"/>
                      <w:tab w:val="center" w:pos="4113"/>
                    </w:tabs>
                    <w:spacing w:line="360" w:lineRule="auto"/>
                    <w:ind w:left="842" w:hanging="422"/>
                    <w:rPr>
                      <w:rFonts w:ascii="宋体" w:eastAsia="宋体" w:hAnsi="宋体" w:cs="宋体" w:hint="eastAsia"/>
                      <w:bCs/>
                      <w:spacing w:val="0"/>
                      <w:szCs w:val="21"/>
                    </w:rPr>
                  </w:pPr>
                </w:p>
              </w:tc>
              <w:tc>
                <w:tcPr>
                  <w:tcW w:w="2657" w:type="dxa"/>
                  <w:gridSpan w:val="3"/>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1.0</w:t>
                  </w:r>
                </w:p>
              </w:tc>
            </w:tr>
            <w:tr>
              <w:tblPrEx>
                <w:jc w:val="center"/>
                <w:tblInd w:w="123" w:type="dxa"/>
                <w:tblLayout w:type="fixed"/>
                <w:tblCellMar>
                  <w:top w:w="0" w:type="dxa"/>
                  <w:left w:w="108" w:type="dxa"/>
                  <w:bottom w:w="0" w:type="dxa"/>
                  <w:right w:w="108" w:type="dxa"/>
                </w:tblCellMar>
                <w:tblLook w:val="0000"/>
              </w:tblPrEx>
              <w:trPr>
                <w:trHeight w:val="312"/>
                <w:jc w:val="center"/>
              </w:trPr>
              <w:tc>
                <w:tcPr>
                  <w:tcW w:w="444" w:type="dxa"/>
                  <w:vMerge w:val="restart"/>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营运期</w:t>
                  </w:r>
                </w:p>
              </w:tc>
              <w:tc>
                <w:tcPr>
                  <w:tcW w:w="1339" w:type="dxa"/>
                  <w:vMerge w:val="restart"/>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停车场汽车尾气</w:t>
                  </w:r>
                </w:p>
              </w:tc>
              <w:tc>
                <w:tcPr>
                  <w:tcW w:w="1559" w:type="dxa"/>
                  <w:vMerge/>
                  <w:vAlign w:val="center"/>
                </w:tcPr>
                <w:p>
                  <w:pPr>
                    <w:pStyle w:val="a5"/>
                    <w:spacing w:line="360" w:lineRule="auto"/>
                    <w:rPr>
                      <w:rFonts w:ascii="Times New Roman"/>
                      <w:snapToGrid/>
                      <w:spacing w:val="0"/>
                      <w:w w:val="100"/>
                      <w:kern w:val="2"/>
                      <w:sz w:val="21"/>
                      <w:szCs w:val="21"/>
                    </w:rPr>
                  </w:pPr>
                </w:p>
              </w:tc>
              <w:tc>
                <w:tcPr>
                  <w:tcW w:w="2506" w:type="dxa"/>
                  <w:vMerge w:val="restart"/>
                  <w:vAlign w:val="center"/>
                </w:tcPr>
                <w:p>
                  <w:pPr>
                    <w:pStyle w:val="a1"/>
                    <w:tabs>
                      <w:tab w:val="left" w:pos="1485"/>
                      <w:tab w:val="center" w:pos="4113"/>
                    </w:tabs>
                    <w:spacing w:line="360" w:lineRule="auto"/>
                    <w:ind w:left="842" w:hanging="422"/>
                    <w:jc w:val="both"/>
                    <w:rPr>
                      <w:rFonts w:ascii="宋体" w:eastAsia="宋体" w:hAnsi="宋体" w:cs="宋体" w:hint="eastAsia"/>
                      <w:bCs/>
                      <w:spacing w:val="0"/>
                      <w:szCs w:val="21"/>
                    </w:rPr>
                  </w:pPr>
                  <w:r>
                    <w:rPr>
                      <w:rFonts w:ascii="宋体" w:eastAsia="宋体" w:hAnsi="宋体" w:cs="宋体" w:hint="eastAsia"/>
                      <w:bCs/>
                      <w:spacing w:val="0"/>
                      <w:szCs w:val="21"/>
                    </w:rPr>
                    <w:t>最高允许排放浓度</w:t>
                  </w:r>
                </w:p>
              </w:tc>
              <w:tc>
                <w:tcPr>
                  <w:tcW w:w="967" w:type="dxa"/>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NOx</w:t>
                  </w:r>
                </w:p>
              </w:tc>
              <w:tc>
                <w:tcPr>
                  <w:tcW w:w="851" w:type="dxa"/>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CO</w:t>
                  </w:r>
                </w:p>
              </w:tc>
              <w:tc>
                <w:tcPr>
                  <w:tcW w:w="839" w:type="dxa"/>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THC</w:t>
                  </w:r>
                </w:p>
              </w:tc>
            </w:tr>
            <w:tr>
              <w:tblPrEx>
                <w:jc w:val="center"/>
                <w:tblInd w:w="123" w:type="dxa"/>
                <w:tblLayout w:type="fixed"/>
                <w:tblCellMar>
                  <w:top w:w="0" w:type="dxa"/>
                  <w:left w:w="108" w:type="dxa"/>
                  <w:bottom w:w="0" w:type="dxa"/>
                  <w:right w:w="108" w:type="dxa"/>
                </w:tblCellMar>
                <w:tblLook w:val="0000"/>
              </w:tblPrEx>
              <w:trPr>
                <w:trHeight w:val="185"/>
                <w:jc w:val="center"/>
              </w:trPr>
              <w:tc>
                <w:tcPr>
                  <w:tcW w:w="444" w:type="dxa"/>
                  <w:vMerge/>
                  <w:vAlign w:val="center"/>
                </w:tcPr>
                <w:p>
                  <w:pPr>
                    <w:pStyle w:val="a5"/>
                    <w:spacing w:line="360" w:lineRule="auto"/>
                    <w:rPr>
                      <w:rFonts w:ascii="Times New Roman"/>
                      <w:snapToGrid/>
                      <w:spacing w:val="0"/>
                      <w:w w:val="100"/>
                      <w:kern w:val="2"/>
                      <w:sz w:val="21"/>
                      <w:szCs w:val="21"/>
                    </w:rPr>
                  </w:pPr>
                </w:p>
              </w:tc>
              <w:tc>
                <w:tcPr>
                  <w:tcW w:w="1339" w:type="dxa"/>
                  <w:vMerge/>
                  <w:vAlign w:val="center"/>
                </w:tcPr>
                <w:p>
                  <w:pPr>
                    <w:pStyle w:val="a5"/>
                    <w:spacing w:line="360" w:lineRule="auto"/>
                    <w:rPr>
                      <w:rFonts w:ascii="Times New Roman"/>
                      <w:snapToGrid/>
                      <w:spacing w:val="0"/>
                      <w:w w:val="100"/>
                      <w:kern w:val="2"/>
                      <w:sz w:val="21"/>
                      <w:szCs w:val="21"/>
                    </w:rPr>
                  </w:pPr>
                </w:p>
              </w:tc>
              <w:tc>
                <w:tcPr>
                  <w:tcW w:w="1559" w:type="dxa"/>
                  <w:vMerge/>
                  <w:vAlign w:val="center"/>
                </w:tcPr>
                <w:p>
                  <w:pPr>
                    <w:pStyle w:val="a5"/>
                    <w:spacing w:line="360" w:lineRule="auto"/>
                    <w:rPr>
                      <w:rFonts w:ascii="Times New Roman"/>
                      <w:snapToGrid/>
                      <w:spacing w:val="0"/>
                      <w:w w:val="100"/>
                      <w:kern w:val="2"/>
                      <w:sz w:val="21"/>
                      <w:szCs w:val="21"/>
                    </w:rPr>
                  </w:pPr>
                </w:p>
              </w:tc>
              <w:tc>
                <w:tcPr>
                  <w:tcW w:w="2506" w:type="dxa"/>
                  <w:vMerge/>
                  <w:vAlign w:val="center"/>
                </w:tcPr>
                <w:p>
                  <w:pPr>
                    <w:pStyle w:val="a1"/>
                    <w:tabs>
                      <w:tab w:val="left" w:pos="1485"/>
                      <w:tab w:val="center" w:pos="4113"/>
                    </w:tabs>
                    <w:spacing w:line="360" w:lineRule="auto"/>
                    <w:ind w:left="842" w:hanging="422"/>
                    <w:rPr>
                      <w:rFonts w:ascii="Times New Roman"/>
                      <w:b/>
                      <w:spacing w:val="0"/>
                      <w:szCs w:val="21"/>
                    </w:rPr>
                  </w:pPr>
                </w:p>
              </w:tc>
              <w:tc>
                <w:tcPr>
                  <w:tcW w:w="967" w:type="dxa"/>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240</w:t>
                  </w:r>
                </w:p>
              </w:tc>
              <w:tc>
                <w:tcPr>
                  <w:tcW w:w="851" w:type="dxa"/>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w:t>
                  </w:r>
                </w:p>
              </w:tc>
              <w:tc>
                <w:tcPr>
                  <w:tcW w:w="839" w:type="dxa"/>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120</w:t>
                  </w:r>
                </w:p>
              </w:tc>
            </w:tr>
            <w:tr>
              <w:tblPrEx>
                <w:jc w:val="center"/>
                <w:tblInd w:w="123" w:type="dxa"/>
                <w:tblLayout w:type="fixed"/>
                <w:tblCellMar>
                  <w:top w:w="0" w:type="dxa"/>
                  <w:left w:w="108" w:type="dxa"/>
                  <w:bottom w:w="0" w:type="dxa"/>
                  <w:right w:w="108" w:type="dxa"/>
                </w:tblCellMar>
                <w:tblLook w:val="0000"/>
              </w:tblPrEx>
              <w:trPr>
                <w:trHeight w:val="565"/>
                <w:jc w:val="center"/>
              </w:trPr>
              <w:tc>
                <w:tcPr>
                  <w:tcW w:w="444" w:type="dxa"/>
                  <w:vMerge/>
                  <w:vAlign w:val="center"/>
                </w:tcPr>
                <w:p>
                  <w:pPr>
                    <w:pStyle w:val="a5"/>
                    <w:spacing w:line="360" w:lineRule="auto"/>
                    <w:rPr>
                      <w:rFonts w:ascii="Times New Roman"/>
                      <w:snapToGrid/>
                      <w:spacing w:val="0"/>
                      <w:w w:val="100"/>
                      <w:kern w:val="2"/>
                      <w:sz w:val="21"/>
                      <w:szCs w:val="21"/>
                    </w:rPr>
                  </w:pPr>
                </w:p>
              </w:tc>
              <w:tc>
                <w:tcPr>
                  <w:tcW w:w="1339" w:type="dxa"/>
                  <w:vMerge w:val="restart"/>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柴油发电机</w:t>
                  </w:r>
                </w:p>
              </w:tc>
              <w:tc>
                <w:tcPr>
                  <w:tcW w:w="1559" w:type="dxa"/>
                  <w:vMerge w:val="restart"/>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GB20891-20</w:t>
                  </w:r>
                  <w:r>
                    <w:rPr>
                      <w:rFonts w:ascii="Times New Roman" w:hint="eastAsia"/>
                      <w:snapToGrid/>
                      <w:spacing w:val="0"/>
                      <w:w w:val="100"/>
                      <w:kern w:val="2"/>
                      <w:sz w:val="21"/>
                      <w:szCs w:val="21"/>
                    </w:rPr>
                    <w:t>14</w:t>
                  </w:r>
                  <w:r>
                    <w:rPr>
                      <w:rFonts w:ascii="Times New Roman"/>
                      <w:snapToGrid/>
                      <w:spacing w:val="0"/>
                      <w:w w:val="100"/>
                      <w:kern w:val="2"/>
                      <w:sz w:val="21"/>
                      <w:szCs w:val="21"/>
                    </w:rPr>
                    <w:t>第</w:t>
                  </w:r>
                  <w:r>
                    <w:rPr>
                      <w:rFonts w:ascii="Times New Roman" w:hint="eastAsia"/>
                      <w:snapToGrid/>
                      <w:spacing w:val="0"/>
                      <w:w w:val="100"/>
                      <w:kern w:val="2"/>
                      <w:sz w:val="21"/>
                      <w:szCs w:val="21"/>
                    </w:rPr>
                    <w:t>Ⅲ</w:t>
                  </w:r>
                  <w:r>
                    <w:rPr>
                      <w:rFonts w:ascii="Times New Roman"/>
                      <w:snapToGrid/>
                      <w:spacing w:val="0"/>
                      <w:w w:val="100"/>
                      <w:kern w:val="2"/>
                      <w:sz w:val="21"/>
                      <w:szCs w:val="21"/>
                    </w:rPr>
                    <w:t>阶段</w:t>
                  </w:r>
                </w:p>
              </w:tc>
              <w:tc>
                <w:tcPr>
                  <w:tcW w:w="2506" w:type="dxa"/>
                  <w:vAlign w:val="center"/>
                </w:tcPr>
                <w:p>
                  <w:pPr>
                    <w:pStyle w:val="a5"/>
                    <w:spacing w:line="360" w:lineRule="auto"/>
                    <w:rPr>
                      <w:rFonts w:ascii="Times New Roman" w:hint="eastAsia"/>
                      <w:snapToGrid/>
                      <w:spacing w:val="0"/>
                      <w:w w:val="100"/>
                      <w:kern w:val="2"/>
                      <w:sz w:val="21"/>
                      <w:szCs w:val="21"/>
                    </w:rPr>
                  </w:pPr>
                  <w:r>
                    <w:rPr>
                      <w:rFonts w:ascii="Times New Roman" w:hint="eastAsia"/>
                      <w:snapToGrid/>
                      <w:spacing w:val="0"/>
                      <w:w w:val="100"/>
                      <w:kern w:val="2"/>
                      <w:sz w:val="21"/>
                      <w:szCs w:val="21"/>
                    </w:rPr>
                    <w:t>额定净功率</w:t>
                  </w:r>
                </w:p>
              </w:tc>
              <w:tc>
                <w:tcPr>
                  <w:tcW w:w="967" w:type="dxa"/>
                  <w:vAlign w:val="center"/>
                </w:tcPr>
                <w:p>
                  <w:pPr>
                    <w:pStyle w:val="a5"/>
                    <w:spacing w:line="360" w:lineRule="auto"/>
                    <w:rPr>
                      <w:rFonts w:ascii="Times New Roman"/>
                      <w:sz w:val="21"/>
                      <w:szCs w:val="21"/>
                    </w:rPr>
                  </w:pPr>
                  <w:r>
                    <w:rPr>
                      <w:rFonts w:ascii="Times New Roman"/>
                      <w:sz w:val="21"/>
                      <w:szCs w:val="21"/>
                    </w:rPr>
                    <w:t>CO</w:t>
                  </w:r>
                  <w:r>
                    <w:rPr>
                      <w:rFonts w:ascii="Times New Roman"/>
                      <w:snapToGrid/>
                      <w:spacing w:val="0"/>
                      <w:w w:val="100"/>
                      <w:kern w:val="2"/>
                      <w:sz w:val="21"/>
                      <w:szCs w:val="21"/>
                    </w:rPr>
                    <w:t xml:space="preserve"> g/kwh</w:t>
                  </w:r>
                </w:p>
              </w:tc>
              <w:tc>
                <w:tcPr>
                  <w:tcW w:w="851" w:type="dxa"/>
                  <w:vAlign w:val="center"/>
                </w:tcPr>
                <w:p>
                  <w:pPr>
                    <w:pStyle w:val="a5"/>
                    <w:spacing w:line="360" w:lineRule="auto"/>
                    <w:rPr>
                      <w:rFonts w:ascii="Times New Roman"/>
                      <w:sz w:val="21"/>
                      <w:szCs w:val="21"/>
                    </w:rPr>
                  </w:pPr>
                  <w:r>
                    <w:rPr>
                      <w:rFonts w:ascii="Times New Roman"/>
                      <w:sz w:val="21"/>
                      <w:szCs w:val="21"/>
                    </w:rPr>
                    <w:t>HC</w:t>
                  </w:r>
                  <w:r>
                    <w:rPr>
                      <w:rFonts w:ascii="Times New Roman"/>
                      <w:snapToGrid/>
                      <w:spacing w:val="0"/>
                      <w:w w:val="100"/>
                      <w:kern w:val="2"/>
                      <w:sz w:val="21"/>
                      <w:szCs w:val="21"/>
                    </w:rPr>
                    <w:t xml:space="preserve"> g/kwh</w:t>
                  </w:r>
                </w:p>
              </w:tc>
              <w:tc>
                <w:tcPr>
                  <w:tcW w:w="839" w:type="dxa"/>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NOx</w:t>
                  </w:r>
                </w:p>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g/kwh</w:t>
                  </w:r>
                </w:p>
              </w:tc>
            </w:tr>
            <w:tr>
              <w:tblPrEx>
                <w:jc w:val="center"/>
                <w:tblInd w:w="123" w:type="dxa"/>
                <w:tblLayout w:type="fixed"/>
                <w:tblCellMar>
                  <w:top w:w="0" w:type="dxa"/>
                  <w:left w:w="108" w:type="dxa"/>
                  <w:bottom w:w="0" w:type="dxa"/>
                  <w:right w:w="108" w:type="dxa"/>
                </w:tblCellMar>
                <w:tblLook w:val="0000"/>
              </w:tblPrEx>
              <w:trPr>
                <w:trHeight w:val="165"/>
                <w:jc w:val="center"/>
              </w:trPr>
              <w:tc>
                <w:tcPr>
                  <w:tcW w:w="444" w:type="dxa"/>
                  <w:vMerge/>
                  <w:vAlign w:val="center"/>
                </w:tcPr>
                <w:p>
                  <w:pPr>
                    <w:pStyle w:val="a5"/>
                    <w:spacing w:line="360" w:lineRule="auto"/>
                    <w:rPr>
                      <w:rFonts w:ascii="Times New Roman"/>
                      <w:snapToGrid/>
                      <w:spacing w:val="0"/>
                      <w:w w:val="100"/>
                      <w:kern w:val="2"/>
                      <w:sz w:val="21"/>
                      <w:szCs w:val="21"/>
                    </w:rPr>
                  </w:pPr>
                </w:p>
              </w:tc>
              <w:tc>
                <w:tcPr>
                  <w:tcW w:w="1339" w:type="dxa"/>
                  <w:vMerge/>
                  <w:vAlign w:val="center"/>
                </w:tcPr>
                <w:p>
                  <w:pPr>
                    <w:pStyle w:val="a5"/>
                    <w:spacing w:line="360" w:lineRule="auto"/>
                    <w:rPr>
                      <w:rFonts w:ascii="Times New Roman"/>
                      <w:snapToGrid/>
                      <w:spacing w:val="0"/>
                      <w:w w:val="100"/>
                      <w:kern w:val="2"/>
                      <w:sz w:val="21"/>
                      <w:szCs w:val="21"/>
                    </w:rPr>
                  </w:pPr>
                </w:p>
              </w:tc>
              <w:tc>
                <w:tcPr>
                  <w:tcW w:w="1559" w:type="dxa"/>
                  <w:vMerge/>
                  <w:vAlign w:val="center"/>
                </w:tcPr>
                <w:p>
                  <w:pPr>
                    <w:pStyle w:val="a5"/>
                    <w:spacing w:line="360" w:lineRule="auto"/>
                    <w:rPr>
                      <w:rFonts w:ascii="Times New Roman"/>
                      <w:snapToGrid/>
                      <w:spacing w:val="0"/>
                      <w:w w:val="100"/>
                      <w:kern w:val="2"/>
                      <w:sz w:val="21"/>
                      <w:szCs w:val="21"/>
                    </w:rPr>
                  </w:pPr>
                </w:p>
              </w:tc>
              <w:tc>
                <w:tcPr>
                  <w:tcW w:w="2506" w:type="dxa"/>
                  <w:vAlign w:val="center"/>
                </w:tcPr>
                <w:p>
                  <w:pPr>
                    <w:pStyle w:val="a5"/>
                    <w:spacing w:line="360" w:lineRule="auto"/>
                    <w:rPr>
                      <w:rFonts w:ascii="Times New Roman"/>
                      <w:snapToGrid/>
                      <w:spacing w:val="0"/>
                      <w:w w:val="100"/>
                      <w:kern w:val="2"/>
                      <w:sz w:val="21"/>
                      <w:szCs w:val="21"/>
                    </w:rPr>
                  </w:pPr>
                  <w:r>
                    <w:rPr>
                      <w:rFonts w:ascii="Times New Roman"/>
                      <w:sz w:val="21"/>
                      <w:szCs w:val="21"/>
                    </w:rPr>
                    <w:t>Pmax&gt;560</w:t>
                  </w:r>
                </w:p>
              </w:tc>
              <w:tc>
                <w:tcPr>
                  <w:tcW w:w="967" w:type="dxa"/>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3.5</w:t>
                  </w:r>
                </w:p>
              </w:tc>
              <w:tc>
                <w:tcPr>
                  <w:tcW w:w="851" w:type="dxa"/>
                  <w:vAlign w:val="center"/>
                </w:tcPr>
                <w:p>
                  <w:pPr>
                    <w:pStyle w:val="a5"/>
                    <w:spacing w:line="360" w:lineRule="auto"/>
                    <w:rPr>
                      <w:rFonts w:ascii="Times New Roman" w:hint="eastAsia"/>
                      <w:snapToGrid/>
                      <w:spacing w:val="0"/>
                      <w:w w:val="100"/>
                      <w:kern w:val="2"/>
                      <w:sz w:val="21"/>
                      <w:szCs w:val="21"/>
                    </w:rPr>
                  </w:pPr>
                  <w:r>
                    <w:rPr>
                      <w:rFonts w:ascii="Times New Roman" w:hint="eastAsia"/>
                      <w:snapToGrid/>
                      <w:spacing w:val="0"/>
                      <w:w w:val="100"/>
                      <w:kern w:val="2"/>
                      <w:sz w:val="21"/>
                      <w:szCs w:val="21"/>
                    </w:rPr>
                    <w:t>-</w:t>
                  </w:r>
                </w:p>
              </w:tc>
              <w:tc>
                <w:tcPr>
                  <w:tcW w:w="839" w:type="dxa"/>
                  <w:vAlign w:val="center"/>
                </w:tcPr>
                <w:p>
                  <w:pPr>
                    <w:pStyle w:val="a5"/>
                    <w:spacing w:line="360" w:lineRule="auto"/>
                    <w:rPr>
                      <w:rFonts w:ascii="Times New Roman" w:hint="eastAsia"/>
                      <w:snapToGrid/>
                      <w:spacing w:val="0"/>
                      <w:w w:val="100"/>
                      <w:kern w:val="2"/>
                      <w:sz w:val="21"/>
                      <w:szCs w:val="21"/>
                    </w:rPr>
                  </w:pPr>
                  <w:r>
                    <w:rPr>
                      <w:rFonts w:ascii="Times New Roman" w:hint="eastAsia"/>
                      <w:snapToGrid/>
                      <w:spacing w:val="0"/>
                      <w:w w:val="100"/>
                      <w:kern w:val="2"/>
                      <w:sz w:val="21"/>
                      <w:szCs w:val="21"/>
                    </w:rPr>
                    <w:t>-</w:t>
                  </w:r>
                </w:p>
              </w:tc>
            </w:tr>
          </w:tbl>
          <w:p/>
        </w:tc>
      </w:tr>
    </w:tbl>
    <w:p>
      <w:pPr>
        <w:sectPr>
          <w:footerReference w:type="even" r:id="rId55"/>
          <w:footerReference w:type="default" r:id="rId56"/>
          <w:footerReference w:type="first" r:id="rId57"/>
          <w:type w:val="nextPage"/>
          <w:pgSz w:w="11906" w:h="16838"/>
          <w:pgMar w:top="1134" w:right="1418" w:bottom="1134" w:left="1418" w:header="851" w:footer="992" w:gutter="0"/>
          <w:pgNumType w:start="18"/>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0" w:type="dxa"/>
          <w:bottom w:w="0" w:type="dxa"/>
          <w:right w:w="0" w:type="dxa"/>
        </w:tblCellMar>
        <w:tblLook w:val="0000"/>
      </w:tblPr>
      <w:tblGrid>
        <w:gridCol w:w="567"/>
        <w:gridCol w:w="8787"/>
      </w:tblGrid>
      <w:tr>
        <w:tblPrEx>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0" w:type="dxa"/>
            <w:bottom w:w="0" w:type="dxa"/>
            <w:right w:w="0" w:type="dxa"/>
          </w:tblCellMar>
          <w:tblLook w:val="0000"/>
        </w:tblPrEx>
        <w:trPr>
          <w:trHeight w:val="1203"/>
          <w:jc w:val="center"/>
        </w:trPr>
        <w:tc>
          <w:tcPr>
            <w:tcW w:w="567" w:type="dxa"/>
            <w:vAlign w:val="center"/>
          </w:tcPr>
          <w:p/>
        </w:tc>
        <w:tc>
          <w:tcPr>
            <w:tcW w:w="8787" w:type="dxa"/>
            <w:vAlign w:val="center"/>
          </w:tcPr>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44"/>
              <w:gridCol w:w="1339"/>
              <w:gridCol w:w="1559"/>
              <w:gridCol w:w="2506"/>
              <w:gridCol w:w="1380"/>
              <w:gridCol w:w="7"/>
              <w:gridCol w:w="1270"/>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80"/>
                <w:jc w:val="center"/>
              </w:trPr>
              <w:tc>
                <w:tcPr>
                  <w:tcW w:w="444" w:type="dxa"/>
                  <w:vMerge w:val="restart"/>
                  <w:vAlign w:val="center"/>
                </w:tcPr>
                <w:p>
                  <w:pPr>
                    <w:pStyle w:val="a5"/>
                    <w:spacing w:line="360" w:lineRule="auto"/>
                    <w:rPr>
                      <w:rFonts w:ascii="Times New Roman"/>
                      <w:snapToGrid/>
                      <w:spacing w:val="0"/>
                      <w:w w:val="100"/>
                      <w:kern w:val="2"/>
                      <w:sz w:val="21"/>
                      <w:szCs w:val="21"/>
                    </w:rPr>
                  </w:pPr>
                </w:p>
              </w:tc>
              <w:tc>
                <w:tcPr>
                  <w:tcW w:w="1339" w:type="dxa"/>
                  <w:vMerge w:val="restart"/>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厨房油烟</w:t>
                  </w:r>
                </w:p>
              </w:tc>
              <w:tc>
                <w:tcPr>
                  <w:tcW w:w="1559" w:type="dxa"/>
                  <w:vMerge w:val="restart"/>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GB184</w:t>
                  </w:r>
                  <w:r>
                    <w:rPr>
                      <w:rFonts w:ascii="Times New Roman"/>
                      <w:snapToGrid/>
                      <w:spacing w:val="0"/>
                      <w:w w:val="100"/>
                      <w:kern w:val="2"/>
                      <w:sz w:val="21"/>
                      <w:szCs w:val="21"/>
                    </w:rPr>
                    <w:cr/>
                  </w:r>
                  <w:r>
                    <w:rPr>
                      <w:rFonts w:ascii="Times New Roman"/>
                      <w:snapToGrid/>
                      <w:spacing w:val="0"/>
                      <w:w w:val="100"/>
                      <w:kern w:val="2"/>
                      <w:sz w:val="21"/>
                      <w:szCs w:val="21"/>
                    </w:rPr>
                    <w:t>3-2001</w:t>
                  </w:r>
                </w:p>
              </w:tc>
              <w:tc>
                <w:tcPr>
                  <w:tcW w:w="2506" w:type="dxa"/>
                  <w:vAlign w:val="center"/>
                </w:tcPr>
                <w:p>
                  <w:pPr>
                    <w:pStyle w:val="a5"/>
                    <w:spacing w:line="360" w:lineRule="auto"/>
                    <w:rPr>
                      <w:rFonts w:ascii="Times New Roman" w:hint="eastAsia"/>
                      <w:snapToGrid/>
                      <w:spacing w:val="0"/>
                      <w:w w:val="100"/>
                      <w:kern w:val="2"/>
                      <w:sz w:val="21"/>
                      <w:szCs w:val="21"/>
                    </w:rPr>
                  </w:pPr>
                  <w:r>
                    <w:rPr>
                      <w:rFonts w:ascii="Times New Roman" w:hint="eastAsia"/>
                      <w:snapToGrid/>
                      <w:spacing w:val="0"/>
                      <w:w w:val="100"/>
                      <w:kern w:val="2"/>
                      <w:sz w:val="21"/>
                      <w:szCs w:val="21"/>
                    </w:rPr>
                    <w:t>规模</w:t>
                  </w:r>
                </w:p>
              </w:tc>
              <w:tc>
                <w:tcPr>
                  <w:tcW w:w="1380" w:type="dxa"/>
                  <w:vAlign w:val="center"/>
                </w:tcPr>
                <w:p>
                  <w:pPr>
                    <w:pStyle w:val="a5"/>
                    <w:spacing w:line="360" w:lineRule="auto"/>
                    <w:rPr>
                      <w:rFonts w:ascii="Times New Roman"/>
                      <w:snapToGrid/>
                      <w:spacing w:val="0"/>
                      <w:w w:val="100"/>
                      <w:kern w:val="2"/>
                      <w:sz w:val="21"/>
                      <w:szCs w:val="21"/>
                    </w:rPr>
                  </w:pPr>
                  <w:r>
                    <w:rPr>
                      <w:rFonts w:ascii="Times New Roman"/>
                      <w:snapToGrid/>
                      <w:spacing w:val="0"/>
                      <w:w w:val="100"/>
                      <w:kern w:val="2"/>
                      <w:sz w:val="21"/>
                      <w:szCs w:val="21"/>
                    </w:rPr>
                    <w:t>排放浓度</w:t>
                  </w:r>
                </w:p>
              </w:tc>
              <w:tc>
                <w:tcPr>
                  <w:tcW w:w="1277" w:type="dxa"/>
                  <w:gridSpan w:val="2"/>
                  <w:vAlign w:val="center"/>
                </w:tcPr>
                <w:p>
                  <w:pPr>
                    <w:pStyle w:val="a5"/>
                    <w:spacing w:line="360" w:lineRule="auto"/>
                    <w:rPr>
                      <w:rFonts w:ascii="Times New Roman" w:hint="eastAsia"/>
                      <w:snapToGrid/>
                      <w:spacing w:val="0"/>
                      <w:w w:val="100"/>
                      <w:kern w:val="2"/>
                      <w:sz w:val="21"/>
                      <w:szCs w:val="21"/>
                    </w:rPr>
                  </w:pPr>
                  <w:r>
                    <w:rPr>
                      <w:rFonts w:ascii="Times New Roman"/>
                      <w:snapToGrid/>
                      <w:spacing w:val="0"/>
                      <w:w w:val="100"/>
                      <w:kern w:val="2"/>
                      <w:sz w:val="21"/>
                      <w:szCs w:val="21"/>
                    </w:rPr>
                    <w:t>去除效率</w:t>
                  </w:r>
                </w:p>
              </w:tc>
            </w:tr>
            <w:tr>
              <w:tblPrEx>
                <w:jc w:val="center"/>
                <w:tblInd w:w="123" w:type="dxa"/>
                <w:tblLayout w:type="fixed"/>
                <w:tblCellMar>
                  <w:top w:w="0" w:type="dxa"/>
                  <w:left w:w="108" w:type="dxa"/>
                  <w:bottom w:w="0" w:type="dxa"/>
                  <w:right w:w="108" w:type="dxa"/>
                </w:tblCellMar>
                <w:tblLook w:val="0000"/>
              </w:tblPrEx>
              <w:trPr>
                <w:trHeight w:val="207"/>
                <w:jc w:val="center"/>
              </w:trPr>
              <w:tc>
                <w:tcPr>
                  <w:tcW w:w="444" w:type="dxa"/>
                  <w:vMerge/>
                  <w:vAlign w:val="center"/>
                </w:tcPr>
                <w:p>
                  <w:pPr>
                    <w:pStyle w:val="a5"/>
                    <w:spacing w:line="360" w:lineRule="auto"/>
                    <w:rPr>
                      <w:rFonts w:ascii="Times New Roman"/>
                      <w:snapToGrid/>
                      <w:spacing w:val="0"/>
                      <w:w w:val="100"/>
                      <w:kern w:val="2"/>
                      <w:sz w:val="21"/>
                      <w:szCs w:val="21"/>
                    </w:rPr>
                  </w:pPr>
                </w:p>
              </w:tc>
              <w:tc>
                <w:tcPr>
                  <w:tcW w:w="1339" w:type="dxa"/>
                  <w:vMerge/>
                  <w:vAlign w:val="center"/>
                </w:tcPr>
                <w:p>
                  <w:pPr>
                    <w:pStyle w:val="a5"/>
                    <w:spacing w:line="360" w:lineRule="auto"/>
                    <w:rPr>
                      <w:rFonts w:ascii="Times New Roman"/>
                      <w:snapToGrid/>
                      <w:spacing w:val="0"/>
                      <w:w w:val="100"/>
                      <w:kern w:val="2"/>
                      <w:sz w:val="21"/>
                      <w:szCs w:val="21"/>
                    </w:rPr>
                  </w:pPr>
                </w:p>
              </w:tc>
              <w:tc>
                <w:tcPr>
                  <w:tcW w:w="1559" w:type="dxa"/>
                  <w:vMerge/>
                  <w:vAlign w:val="center"/>
                </w:tcPr>
                <w:p>
                  <w:pPr>
                    <w:pStyle w:val="a5"/>
                    <w:spacing w:line="360" w:lineRule="auto"/>
                    <w:rPr>
                      <w:rFonts w:ascii="Times New Roman"/>
                      <w:snapToGrid/>
                      <w:spacing w:val="0"/>
                      <w:w w:val="100"/>
                      <w:kern w:val="2"/>
                      <w:sz w:val="21"/>
                      <w:szCs w:val="21"/>
                    </w:rPr>
                  </w:pPr>
                </w:p>
              </w:tc>
              <w:tc>
                <w:tcPr>
                  <w:tcW w:w="2506" w:type="dxa"/>
                  <w:vAlign w:val="center"/>
                </w:tcPr>
                <w:p>
                  <w:pPr>
                    <w:jc w:val="center"/>
                    <w:rPr>
                      <w:rFonts w:hint="eastAsia"/>
                      <w:sz w:val="21"/>
                      <w:szCs w:val="21"/>
                    </w:rPr>
                  </w:pPr>
                  <w:r>
                    <w:rPr>
                      <w:rFonts w:hint="eastAsia"/>
                      <w:sz w:val="21"/>
                      <w:szCs w:val="21"/>
                    </w:rPr>
                    <w:t>小型</w:t>
                  </w:r>
                </w:p>
              </w:tc>
              <w:tc>
                <w:tcPr>
                  <w:tcW w:w="1387" w:type="dxa"/>
                  <w:gridSpan w:val="2"/>
                  <w:vMerge w:val="restart"/>
                  <w:vAlign w:val="center"/>
                </w:tcPr>
                <w:p>
                  <w:pPr>
                    <w:jc w:val="center"/>
                    <w:rPr>
                      <w:rFonts w:hint="eastAsia"/>
                      <w:sz w:val="21"/>
                      <w:szCs w:val="21"/>
                    </w:rPr>
                  </w:pPr>
                  <w:r>
                    <w:rPr>
                      <w:sz w:val="21"/>
                      <w:szCs w:val="21"/>
                    </w:rPr>
                    <w:t>2.</w:t>
                  </w:r>
                  <w:r>
                    <w:rPr>
                      <w:rFonts w:hint="eastAsia"/>
                      <w:sz w:val="21"/>
                      <w:szCs w:val="21"/>
                    </w:rPr>
                    <w:t>0</w:t>
                  </w:r>
                </w:p>
              </w:tc>
              <w:tc>
                <w:tcPr>
                  <w:tcW w:w="1270" w:type="dxa"/>
                  <w:vAlign w:val="center"/>
                </w:tcPr>
                <w:p>
                  <w:pPr>
                    <w:jc w:val="center"/>
                    <w:rPr>
                      <w:rFonts w:hint="eastAsia"/>
                      <w:sz w:val="21"/>
                      <w:szCs w:val="21"/>
                    </w:rPr>
                  </w:pPr>
                  <w:r>
                    <w:rPr>
                      <w:rFonts w:hint="eastAsia"/>
                      <w:sz w:val="21"/>
                      <w:szCs w:val="21"/>
                    </w:rPr>
                    <w:t>60%</w:t>
                  </w:r>
                </w:p>
              </w:tc>
            </w:tr>
            <w:tr>
              <w:tblPrEx>
                <w:jc w:val="center"/>
                <w:tblInd w:w="123" w:type="dxa"/>
                <w:tblLayout w:type="fixed"/>
                <w:tblCellMar>
                  <w:top w:w="0" w:type="dxa"/>
                  <w:left w:w="108" w:type="dxa"/>
                  <w:bottom w:w="0" w:type="dxa"/>
                  <w:right w:w="108" w:type="dxa"/>
                </w:tblCellMar>
                <w:tblLook w:val="0000"/>
              </w:tblPrEx>
              <w:trPr>
                <w:trHeight w:val="210"/>
                <w:jc w:val="center"/>
              </w:trPr>
              <w:tc>
                <w:tcPr>
                  <w:tcW w:w="444" w:type="dxa"/>
                  <w:vMerge/>
                  <w:vAlign w:val="center"/>
                </w:tcPr>
                <w:p>
                  <w:pPr>
                    <w:pStyle w:val="a5"/>
                    <w:spacing w:line="360" w:lineRule="auto"/>
                    <w:rPr>
                      <w:rFonts w:ascii="Times New Roman"/>
                      <w:snapToGrid/>
                      <w:spacing w:val="0"/>
                      <w:w w:val="100"/>
                      <w:kern w:val="2"/>
                      <w:sz w:val="21"/>
                      <w:szCs w:val="21"/>
                    </w:rPr>
                  </w:pPr>
                </w:p>
              </w:tc>
              <w:tc>
                <w:tcPr>
                  <w:tcW w:w="1339" w:type="dxa"/>
                  <w:vMerge/>
                  <w:vAlign w:val="center"/>
                </w:tcPr>
                <w:p>
                  <w:pPr>
                    <w:pStyle w:val="a5"/>
                    <w:spacing w:line="360" w:lineRule="auto"/>
                    <w:rPr>
                      <w:rFonts w:ascii="Times New Roman"/>
                      <w:snapToGrid/>
                      <w:spacing w:val="0"/>
                      <w:w w:val="100"/>
                      <w:kern w:val="2"/>
                      <w:sz w:val="21"/>
                      <w:szCs w:val="21"/>
                    </w:rPr>
                  </w:pPr>
                </w:p>
              </w:tc>
              <w:tc>
                <w:tcPr>
                  <w:tcW w:w="1559" w:type="dxa"/>
                  <w:vMerge/>
                  <w:vAlign w:val="center"/>
                </w:tcPr>
                <w:p>
                  <w:pPr>
                    <w:pStyle w:val="a5"/>
                    <w:spacing w:line="360" w:lineRule="auto"/>
                    <w:rPr>
                      <w:rFonts w:ascii="Times New Roman"/>
                      <w:snapToGrid/>
                      <w:spacing w:val="0"/>
                      <w:w w:val="100"/>
                      <w:kern w:val="2"/>
                      <w:sz w:val="21"/>
                      <w:szCs w:val="21"/>
                    </w:rPr>
                  </w:pPr>
                </w:p>
              </w:tc>
              <w:tc>
                <w:tcPr>
                  <w:tcW w:w="2506" w:type="dxa"/>
                  <w:vAlign w:val="center"/>
                </w:tcPr>
                <w:p>
                  <w:pPr>
                    <w:jc w:val="center"/>
                    <w:rPr>
                      <w:rFonts w:hint="eastAsia"/>
                      <w:sz w:val="21"/>
                      <w:szCs w:val="21"/>
                    </w:rPr>
                  </w:pPr>
                  <w:r>
                    <w:rPr>
                      <w:rFonts w:hint="eastAsia"/>
                      <w:sz w:val="21"/>
                      <w:szCs w:val="21"/>
                    </w:rPr>
                    <w:t>中型</w:t>
                  </w:r>
                </w:p>
              </w:tc>
              <w:tc>
                <w:tcPr>
                  <w:tcW w:w="1387" w:type="dxa"/>
                  <w:gridSpan w:val="2"/>
                  <w:vMerge/>
                  <w:vAlign w:val="center"/>
                </w:tcPr>
                <w:p>
                  <w:pPr>
                    <w:jc w:val="center"/>
                    <w:rPr>
                      <w:sz w:val="21"/>
                      <w:szCs w:val="21"/>
                    </w:rPr>
                  </w:pPr>
                </w:p>
              </w:tc>
              <w:tc>
                <w:tcPr>
                  <w:tcW w:w="1270" w:type="dxa"/>
                  <w:vAlign w:val="center"/>
                </w:tcPr>
                <w:p>
                  <w:pPr>
                    <w:jc w:val="center"/>
                    <w:rPr>
                      <w:rFonts w:hint="eastAsia"/>
                      <w:sz w:val="21"/>
                      <w:szCs w:val="21"/>
                    </w:rPr>
                  </w:pPr>
                  <w:r>
                    <w:rPr>
                      <w:rFonts w:hint="eastAsia"/>
                      <w:sz w:val="21"/>
                      <w:szCs w:val="21"/>
                    </w:rPr>
                    <w:t>75%</w:t>
                  </w:r>
                </w:p>
              </w:tc>
            </w:tr>
            <w:tr>
              <w:tblPrEx>
                <w:jc w:val="center"/>
                <w:tblInd w:w="123" w:type="dxa"/>
                <w:tblLayout w:type="fixed"/>
                <w:tblCellMar>
                  <w:top w:w="0" w:type="dxa"/>
                  <w:left w:w="108" w:type="dxa"/>
                  <w:bottom w:w="0" w:type="dxa"/>
                  <w:right w:w="108" w:type="dxa"/>
                </w:tblCellMar>
                <w:tblLook w:val="0000"/>
              </w:tblPrEx>
              <w:trPr>
                <w:trHeight w:val="192"/>
                <w:jc w:val="center"/>
              </w:trPr>
              <w:tc>
                <w:tcPr>
                  <w:tcW w:w="444" w:type="dxa"/>
                  <w:vMerge/>
                  <w:vAlign w:val="center"/>
                </w:tcPr>
                <w:p>
                  <w:pPr>
                    <w:pStyle w:val="a5"/>
                    <w:spacing w:line="360" w:lineRule="auto"/>
                    <w:rPr>
                      <w:rFonts w:ascii="Times New Roman"/>
                      <w:snapToGrid/>
                      <w:spacing w:val="0"/>
                      <w:w w:val="100"/>
                      <w:kern w:val="2"/>
                      <w:sz w:val="21"/>
                      <w:szCs w:val="21"/>
                    </w:rPr>
                  </w:pPr>
                </w:p>
              </w:tc>
              <w:tc>
                <w:tcPr>
                  <w:tcW w:w="1339" w:type="dxa"/>
                  <w:vMerge/>
                  <w:vAlign w:val="center"/>
                </w:tcPr>
                <w:p>
                  <w:pPr>
                    <w:pStyle w:val="a5"/>
                    <w:spacing w:line="360" w:lineRule="auto"/>
                    <w:rPr>
                      <w:rFonts w:ascii="Times New Roman"/>
                      <w:snapToGrid/>
                      <w:spacing w:val="0"/>
                      <w:w w:val="100"/>
                      <w:kern w:val="2"/>
                      <w:sz w:val="21"/>
                      <w:szCs w:val="21"/>
                    </w:rPr>
                  </w:pPr>
                </w:p>
              </w:tc>
              <w:tc>
                <w:tcPr>
                  <w:tcW w:w="1559" w:type="dxa"/>
                  <w:vMerge/>
                  <w:vAlign w:val="center"/>
                </w:tcPr>
                <w:p>
                  <w:pPr>
                    <w:pStyle w:val="a5"/>
                    <w:spacing w:line="360" w:lineRule="auto"/>
                    <w:rPr>
                      <w:rFonts w:ascii="Times New Roman"/>
                      <w:snapToGrid/>
                      <w:spacing w:val="0"/>
                      <w:w w:val="100"/>
                      <w:kern w:val="2"/>
                      <w:sz w:val="21"/>
                      <w:szCs w:val="21"/>
                    </w:rPr>
                  </w:pPr>
                </w:p>
              </w:tc>
              <w:tc>
                <w:tcPr>
                  <w:tcW w:w="2506" w:type="dxa"/>
                  <w:vAlign w:val="center"/>
                </w:tcPr>
                <w:p>
                  <w:pPr>
                    <w:jc w:val="center"/>
                    <w:rPr>
                      <w:rFonts w:hint="eastAsia"/>
                      <w:sz w:val="21"/>
                      <w:szCs w:val="21"/>
                    </w:rPr>
                  </w:pPr>
                  <w:r>
                    <w:rPr>
                      <w:rFonts w:hint="eastAsia"/>
                      <w:sz w:val="21"/>
                      <w:szCs w:val="21"/>
                    </w:rPr>
                    <w:t>大型</w:t>
                  </w:r>
                </w:p>
              </w:tc>
              <w:tc>
                <w:tcPr>
                  <w:tcW w:w="1387" w:type="dxa"/>
                  <w:gridSpan w:val="2"/>
                  <w:vMerge/>
                  <w:vAlign w:val="center"/>
                </w:tcPr>
                <w:p>
                  <w:pPr>
                    <w:jc w:val="center"/>
                    <w:rPr>
                      <w:sz w:val="21"/>
                      <w:szCs w:val="21"/>
                    </w:rPr>
                  </w:pPr>
                </w:p>
              </w:tc>
              <w:tc>
                <w:tcPr>
                  <w:tcW w:w="1270" w:type="dxa"/>
                  <w:vAlign w:val="center"/>
                </w:tcPr>
                <w:p>
                  <w:pPr>
                    <w:jc w:val="center"/>
                    <w:rPr>
                      <w:rFonts w:hint="eastAsia"/>
                      <w:sz w:val="21"/>
                      <w:szCs w:val="21"/>
                    </w:rPr>
                  </w:pPr>
                  <w:r>
                    <w:rPr>
                      <w:rFonts w:hint="eastAsia"/>
                      <w:sz w:val="21"/>
                      <w:szCs w:val="21"/>
                    </w:rPr>
                    <w:t>80%</w:t>
                  </w:r>
                </w:p>
              </w:tc>
            </w:tr>
          </w:tbl>
          <w:p>
            <w:pPr>
              <w:spacing w:line="360" w:lineRule="auto"/>
              <w:rPr>
                <w:rFonts w:ascii="宋体" w:hAnsi="宋体" w:hint="eastAsia"/>
                <w:b/>
                <w:kern w:val="10"/>
                <w:sz w:val="24"/>
              </w:rPr>
            </w:pPr>
            <w:r>
              <w:rPr>
                <w:rFonts w:ascii="宋体" w:hAnsi="宋体" w:hint="eastAsia"/>
                <w:b/>
                <w:kern w:val="10"/>
                <w:sz w:val="24"/>
              </w:rPr>
              <w:t xml:space="preserve"> 三、噪声</w:t>
            </w:r>
          </w:p>
          <w:p>
            <w:pPr>
              <w:adjustRightInd w:val="0"/>
              <w:snapToGrid w:val="0"/>
              <w:spacing w:line="360" w:lineRule="auto"/>
              <w:ind w:firstLine="480" w:firstLineChars="200"/>
              <w:jc w:val="center"/>
              <w:rPr>
                <w:b/>
                <w:sz w:val="24"/>
              </w:rPr>
            </w:pPr>
            <w:r>
              <w:rPr>
                <w:sz w:val="24"/>
                <w:szCs w:val="24"/>
              </w:rPr>
              <w:t>施工期噪声执行《建筑施工场界环境噪声排放标准》(GB12523-2011)排放标准</w:t>
            </w:r>
            <w:r>
              <w:rPr>
                <w:rStyle w:val="Strong"/>
                <w:rFonts w:hint="eastAsia"/>
                <w:b w:val="0"/>
                <w:sz w:val="24"/>
              </w:rPr>
              <w:t xml:space="preserve">。 </w:t>
            </w:r>
            <w:r>
              <w:rPr>
                <w:b/>
                <w:sz w:val="24"/>
              </w:rPr>
              <w:t>表</w:t>
            </w:r>
            <w:r>
              <w:rPr>
                <w:rFonts w:hint="eastAsia"/>
                <w:b/>
                <w:sz w:val="24"/>
              </w:rPr>
              <w:t xml:space="preserve">12  </w:t>
            </w:r>
            <w:r>
              <w:rPr>
                <w:b/>
                <w:sz w:val="24"/>
              </w:rPr>
              <w:t>建筑施工场界噪声</w:t>
            </w:r>
            <w:r>
              <w:rPr>
                <w:rFonts w:hint="eastAsia"/>
                <w:b/>
                <w:sz w:val="24"/>
              </w:rPr>
              <w:t xml:space="preserve">排放标准  </w:t>
            </w:r>
            <w:r>
              <w:rPr>
                <w:b/>
                <w:sz w:val="24"/>
              </w:rPr>
              <w:t>单位：dB(A)</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820"/>
              <w:gridCol w:w="2236"/>
              <w:gridCol w:w="2432"/>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3820" w:type="dxa"/>
                  <w:vMerge w:val="restart"/>
                  <w:vAlign w:val="center"/>
                </w:tcPr>
                <w:p>
                  <w:pPr>
                    <w:pStyle w:val="a2"/>
                    <w:tabs>
                      <w:tab w:val="left" w:pos="-2848"/>
                    </w:tabs>
                    <w:spacing w:before="0" w:after="0" w:line="240" w:lineRule="auto"/>
                    <w:rPr>
                      <w:b/>
                      <w:bCs/>
                      <w:szCs w:val="21"/>
                    </w:rPr>
                  </w:pPr>
                  <w:r>
                    <w:rPr>
                      <w:b/>
                      <w:bCs/>
                      <w:szCs w:val="21"/>
                    </w:rPr>
                    <w:t>施工阶段</w:t>
                  </w:r>
                </w:p>
              </w:tc>
              <w:tc>
                <w:tcPr>
                  <w:tcW w:w="4668" w:type="dxa"/>
                  <w:gridSpan w:val="2"/>
                </w:tcPr>
                <w:p>
                  <w:pPr>
                    <w:pStyle w:val="a2"/>
                    <w:tabs>
                      <w:tab w:val="left" w:pos="-2848"/>
                    </w:tabs>
                    <w:spacing w:before="0" w:after="0" w:line="240" w:lineRule="auto"/>
                    <w:rPr>
                      <w:b/>
                      <w:bCs/>
                      <w:szCs w:val="21"/>
                    </w:rPr>
                  </w:pPr>
                  <w:r>
                    <w:rPr>
                      <w:rFonts w:hint="eastAsia"/>
                      <w:b/>
                      <w:bCs/>
                      <w:szCs w:val="21"/>
                    </w:rPr>
                    <w:t>排放</w:t>
                  </w:r>
                  <w:r>
                    <w:rPr>
                      <w:b/>
                      <w:bCs/>
                      <w:szCs w:val="21"/>
                    </w:rPr>
                    <w:t>限值</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3820" w:type="dxa"/>
                  <w:vMerge/>
                  <w:vAlign w:val="center"/>
                </w:tcPr>
                <w:p>
                  <w:pPr>
                    <w:pStyle w:val="a2"/>
                    <w:tabs>
                      <w:tab w:val="left" w:pos="-2848"/>
                    </w:tabs>
                    <w:spacing w:before="0" w:after="0" w:line="240" w:lineRule="auto"/>
                    <w:rPr>
                      <w:szCs w:val="21"/>
                    </w:rPr>
                  </w:pPr>
                </w:p>
              </w:tc>
              <w:tc>
                <w:tcPr>
                  <w:tcW w:w="2236" w:type="dxa"/>
                  <w:vAlign w:val="center"/>
                </w:tcPr>
                <w:p>
                  <w:pPr>
                    <w:pStyle w:val="a2"/>
                    <w:tabs>
                      <w:tab w:val="left" w:pos="-2848"/>
                    </w:tabs>
                    <w:spacing w:before="0" w:after="0" w:line="240" w:lineRule="auto"/>
                    <w:rPr>
                      <w:szCs w:val="21"/>
                    </w:rPr>
                  </w:pPr>
                  <w:r>
                    <w:rPr>
                      <w:szCs w:val="21"/>
                    </w:rPr>
                    <w:t>昼间</w:t>
                  </w:r>
                </w:p>
              </w:tc>
              <w:tc>
                <w:tcPr>
                  <w:tcW w:w="2432" w:type="dxa"/>
                  <w:vAlign w:val="center"/>
                </w:tcPr>
                <w:p>
                  <w:pPr>
                    <w:pStyle w:val="a2"/>
                    <w:tabs>
                      <w:tab w:val="left" w:pos="-2848"/>
                    </w:tabs>
                    <w:spacing w:before="0" w:after="0" w:line="240" w:lineRule="auto"/>
                    <w:rPr>
                      <w:szCs w:val="21"/>
                    </w:rPr>
                  </w:pPr>
                  <w:r>
                    <w:rPr>
                      <w:szCs w:val="21"/>
                    </w:rPr>
                    <w:t>夜间</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3820" w:type="dxa"/>
                  <w:vAlign w:val="center"/>
                </w:tcPr>
                <w:p>
                  <w:pPr>
                    <w:pStyle w:val="a2"/>
                    <w:tabs>
                      <w:tab w:val="left" w:pos="-2848"/>
                    </w:tabs>
                    <w:spacing w:before="0" w:after="0" w:line="240" w:lineRule="auto"/>
                    <w:rPr>
                      <w:rFonts w:hint="eastAsia"/>
                      <w:szCs w:val="21"/>
                    </w:rPr>
                  </w:pPr>
                  <w:r>
                    <w:rPr>
                      <w:rFonts w:hint="eastAsia"/>
                      <w:szCs w:val="21"/>
                    </w:rPr>
                    <w:t>场界</w:t>
                  </w:r>
                </w:p>
              </w:tc>
              <w:tc>
                <w:tcPr>
                  <w:tcW w:w="2236" w:type="dxa"/>
                  <w:vAlign w:val="center"/>
                </w:tcPr>
                <w:p>
                  <w:pPr>
                    <w:pStyle w:val="a2"/>
                    <w:tabs>
                      <w:tab w:val="left" w:pos="-2848"/>
                    </w:tabs>
                    <w:spacing w:before="0" w:after="0" w:line="240" w:lineRule="auto"/>
                    <w:rPr>
                      <w:rFonts w:hint="eastAsia"/>
                      <w:szCs w:val="21"/>
                    </w:rPr>
                  </w:pPr>
                  <w:r>
                    <w:rPr>
                      <w:rFonts w:hint="eastAsia"/>
                      <w:szCs w:val="21"/>
                    </w:rPr>
                    <w:t>70</w:t>
                  </w:r>
                </w:p>
              </w:tc>
              <w:tc>
                <w:tcPr>
                  <w:tcW w:w="2432" w:type="dxa"/>
                  <w:vAlign w:val="center"/>
                </w:tcPr>
                <w:p>
                  <w:pPr>
                    <w:pStyle w:val="a2"/>
                    <w:tabs>
                      <w:tab w:val="left" w:pos="-2848"/>
                    </w:tabs>
                    <w:spacing w:before="0" w:after="0" w:line="240" w:lineRule="auto"/>
                    <w:rPr>
                      <w:szCs w:val="21"/>
                    </w:rPr>
                  </w:pPr>
                  <w:r>
                    <w:rPr>
                      <w:szCs w:val="21"/>
                    </w:rPr>
                    <w:t>55</w:t>
                  </w:r>
                </w:p>
              </w:tc>
            </w:tr>
          </w:tbl>
          <w:p>
            <w:pPr>
              <w:adjustRightInd w:val="0"/>
              <w:snapToGrid w:val="0"/>
              <w:spacing w:line="360" w:lineRule="auto"/>
              <w:rPr>
                <w:rFonts w:hint="eastAsia"/>
                <w:sz w:val="24"/>
              </w:rPr>
            </w:pPr>
            <w:r>
              <w:rPr>
                <w:rFonts w:hint="eastAsia"/>
                <w:sz w:val="24"/>
              </w:rPr>
              <w:t xml:space="preserve">    </w:t>
            </w:r>
            <w:r>
              <w:rPr>
                <w:sz w:val="24"/>
              </w:rPr>
              <w:t>项目</w:t>
            </w:r>
            <w:r>
              <w:rPr>
                <w:rFonts w:hint="eastAsia"/>
                <w:sz w:val="24"/>
              </w:rPr>
              <w:t>营运期用地场界</w:t>
            </w:r>
            <w:r>
              <w:rPr>
                <w:sz w:val="24"/>
              </w:rPr>
              <w:t>临近</w:t>
            </w:r>
            <w:r>
              <w:rPr>
                <w:rFonts w:hint="eastAsia"/>
                <w:sz w:val="24"/>
              </w:rPr>
              <w:t>迎宾大道和曾巩大道</w:t>
            </w:r>
            <w:r>
              <w:rPr>
                <w:sz w:val="24"/>
              </w:rPr>
              <w:t>一侧噪声</w:t>
            </w:r>
            <w:r>
              <w:rPr>
                <w:rFonts w:hint="eastAsia"/>
                <w:sz w:val="24"/>
              </w:rPr>
              <w:t>排放</w:t>
            </w:r>
            <w:r>
              <w:rPr>
                <w:sz w:val="24"/>
              </w:rPr>
              <w:t>执行《社会生活环境噪声排放标准》(GB22337-2008)中“表1 社会生活噪声排放源边界噪声排放限值”</w:t>
            </w:r>
            <w:r>
              <w:rPr>
                <w:rFonts w:hint="eastAsia"/>
                <w:sz w:val="24"/>
              </w:rPr>
              <w:t>4</w:t>
            </w:r>
            <w:r>
              <w:rPr>
                <w:sz w:val="24"/>
              </w:rPr>
              <w:t>类标准；</w:t>
            </w:r>
            <w:r>
              <w:rPr>
                <w:rFonts w:hint="eastAsia"/>
                <w:sz w:val="24"/>
              </w:rPr>
              <w:t>其它场界排放</w:t>
            </w:r>
            <w:r>
              <w:rPr>
                <w:sz w:val="24"/>
              </w:rPr>
              <w:t>执行</w:t>
            </w:r>
            <w:r>
              <w:rPr>
                <w:rFonts w:hint="eastAsia"/>
                <w:sz w:val="24"/>
              </w:rPr>
              <w:t>2</w:t>
            </w:r>
            <w:r>
              <w:rPr>
                <w:sz w:val="24"/>
              </w:rPr>
              <w:t>类标准，</w:t>
            </w:r>
            <w:r>
              <w:rPr>
                <w:rFonts w:hint="eastAsia"/>
                <w:sz w:val="24"/>
              </w:rPr>
              <w:t>具体见下表。</w:t>
            </w:r>
          </w:p>
          <w:p>
            <w:pPr>
              <w:spacing w:line="360" w:lineRule="auto"/>
              <w:jc w:val="center"/>
              <w:rPr>
                <w:b/>
                <w:kern w:val="0"/>
                <w:szCs w:val="21"/>
              </w:rPr>
            </w:pPr>
            <w:r>
              <w:rPr>
                <w:rFonts w:hAnsi="宋体"/>
                <w:b/>
                <w:kern w:val="0"/>
                <w:sz w:val="24"/>
              </w:rPr>
              <w:t>表</w:t>
            </w:r>
            <w:r>
              <w:rPr>
                <w:rFonts w:hAnsi="宋体" w:hint="eastAsia"/>
                <w:b/>
                <w:kern w:val="0"/>
                <w:sz w:val="24"/>
              </w:rPr>
              <w:t>13</w:t>
            </w:r>
            <w:r>
              <w:rPr>
                <w:rFonts w:hint="eastAsia"/>
                <w:b/>
                <w:kern w:val="0"/>
                <w:sz w:val="24"/>
              </w:rPr>
              <w:t xml:space="preserve">  社会生活环境噪声排放标准  </w:t>
            </w:r>
            <w:r>
              <w:rPr>
                <w:rFonts w:hint="eastAsia"/>
                <w:b/>
                <w:sz w:val="24"/>
              </w:rPr>
              <w:t xml:space="preserve"> </w:t>
            </w:r>
            <w:r>
              <w:rPr>
                <w:b/>
                <w:sz w:val="24"/>
              </w:rPr>
              <w:t>单位：dB(A)</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820"/>
              <w:gridCol w:w="2236"/>
              <w:gridCol w:w="2432"/>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3820" w:type="dxa"/>
                  <w:vAlign w:val="center"/>
                </w:tcPr>
                <w:p>
                  <w:pPr>
                    <w:pStyle w:val="a2"/>
                    <w:tabs>
                      <w:tab w:val="left" w:pos="-2848"/>
                    </w:tabs>
                    <w:spacing w:before="0" w:after="0" w:line="240" w:lineRule="auto"/>
                    <w:rPr>
                      <w:rFonts w:hint="eastAsia"/>
                      <w:b/>
                      <w:bCs/>
                      <w:szCs w:val="21"/>
                    </w:rPr>
                  </w:pPr>
                  <w:r>
                    <w:rPr>
                      <w:rFonts w:hint="eastAsia"/>
                      <w:b/>
                      <w:bCs/>
                      <w:szCs w:val="21"/>
                    </w:rPr>
                    <w:t>适用标准</w:t>
                  </w:r>
                </w:p>
              </w:tc>
              <w:tc>
                <w:tcPr>
                  <w:tcW w:w="2236" w:type="dxa"/>
                </w:tcPr>
                <w:p>
                  <w:pPr>
                    <w:pStyle w:val="a2"/>
                    <w:tabs>
                      <w:tab w:val="left" w:pos="-2848"/>
                    </w:tabs>
                    <w:spacing w:before="0" w:after="0" w:line="240" w:lineRule="auto"/>
                    <w:rPr>
                      <w:rFonts w:hint="eastAsia"/>
                      <w:b/>
                      <w:bCs/>
                      <w:szCs w:val="21"/>
                    </w:rPr>
                  </w:pPr>
                  <w:r>
                    <w:rPr>
                      <w:rFonts w:hint="eastAsia"/>
                      <w:b/>
                      <w:bCs/>
                      <w:szCs w:val="21"/>
                    </w:rPr>
                    <w:t>昼间</w:t>
                  </w:r>
                </w:p>
              </w:tc>
              <w:tc>
                <w:tcPr>
                  <w:tcW w:w="2432" w:type="dxa"/>
                </w:tcPr>
                <w:p>
                  <w:pPr>
                    <w:pStyle w:val="a2"/>
                    <w:tabs>
                      <w:tab w:val="left" w:pos="-2848"/>
                    </w:tabs>
                    <w:spacing w:before="0" w:after="0" w:line="240" w:lineRule="auto"/>
                    <w:rPr>
                      <w:rFonts w:hint="eastAsia"/>
                      <w:b/>
                      <w:bCs/>
                      <w:szCs w:val="21"/>
                    </w:rPr>
                  </w:pPr>
                  <w:r>
                    <w:rPr>
                      <w:rFonts w:hint="eastAsia"/>
                      <w:b/>
                      <w:bCs/>
                      <w:szCs w:val="21"/>
                    </w:rPr>
                    <w:t>夜间</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3820" w:type="dxa"/>
                  <w:vAlign w:val="center"/>
                </w:tcPr>
                <w:p>
                  <w:pPr>
                    <w:pStyle w:val="a2"/>
                    <w:tabs>
                      <w:tab w:val="left" w:pos="-2848"/>
                    </w:tabs>
                    <w:spacing w:before="0" w:after="0" w:line="240" w:lineRule="auto"/>
                    <w:rPr>
                      <w:rFonts w:hint="eastAsia"/>
                      <w:szCs w:val="21"/>
                    </w:rPr>
                  </w:pPr>
                  <w:r>
                    <w:rPr>
                      <w:rFonts w:hint="eastAsia"/>
                      <w:szCs w:val="21"/>
                    </w:rPr>
                    <w:t>2类</w:t>
                  </w:r>
                </w:p>
              </w:tc>
              <w:tc>
                <w:tcPr>
                  <w:tcW w:w="2236" w:type="dxa"/>
                  <w:vAlign w:val="center"/>
                </w:tcPr>
                <w:p>
                  <w:pPr>
                    <w:pStyle w:val="a2"/>
                    <w:tabs>
                      <w:tab w:val="left" w:pos="-2848"/>
                    </w:tabs>
                    <w:spacing w:before="0" w:after="0" w:line="240" w:lineRule="auto"/>
                    <w:rPr>
                      <w:rFonts w:hint="eastAsia"/>
                      <w:szCs w:val="21"/>
                    </w:rPr>
                  </w:pPr>
                  <w:r>
                    <w:rPr>
                      <w:rFonts w:hint="eastAsia"/>
                      <w:szCs w:val="21"/>
                    </w:rPr>
                    <w:t>60</w:t>
                  </w:r>
                </w:p>
              </w:tc>
              <w:tc>
                <w:tcPr>
                  <w:tcW w:w="2432" w:type="dxa"/>
                  <w:vAlign w:val="center"/>
                </w:tcPr>
                <w:p>
                  <w:pPr>
                    <w:pStyle w:val="a2"/>
                    <w:tabs>
                      <w:tab w:val="left" w:pos="-2848"/>
                    </w:tabs>
                    <w:spacing w:before="0" w:after="0" w:line="240" w:lineRule="auto"/>
                    <w:rPr>
                      <w:rFonts w:hint="eastAsia"/>
                      <w:szCs w:val="21"/>
                    </w:rPr>
                  </w:pPr>
                  <w:r>
                    <w:rPr>
                      <w:rFonts w:hint="eastAsia"/>
                      <w:szCs w:val="21"/>
                    </w:rPr>
                    <w:t>50</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3820" w:type="dxa"/>
                  <w:vAlign w:val="center"/>
                </w:tcPr>
                <w:p>
                  <w:pPr>
                    <w:pStyle w:val="a2"/>
                    <w:tabs>
                      <w:tab w:val="left" w:pos="-2848"/>
                    </w:tabs>
                    <w:spacing w:before="0" w:after="0" w:line="240" w:lineRule="auto"/>
                    <w:rPr>
                      <w:rFonts w:hint="eastAsia"/>
                      <w:szCs w:val="21"/>
                    </w:rPr>
                  </w:pPr>
                  <w:r>
                    <w:rPr>
                      <w:rFonts w:hint="eastAsia"/>
                      <w:szCs w:val="21"/>
                    </w:rPr>
                    <w:t>4类</w:t>
                  </w:r>
                </w:p>
              </w:tc>
              <w:tc>
                <w:tcPr>
                  <w:tcW w:w="2236" w:type="dxa"/>
                  <w:vAlign w:val="center"/>
                </w:tcPr>
                <w:p>
                  <w:pPr>
                    <w:pStyle w:val="a2"/>
                    <w:tabs>
                      <w:tab w:val="left" w:pos="-2848"/>
                    </w:tabs>
                    <w:spacing w:before="0" w:after="0" w:line="240" w:lineRule="auto"/>
                    <w:rPr>
                      <w:rFonts w:hint="eastAsia"/>
                      <w:szCs w:val="21"/>
                    </w:rPr>
                  </w:pPr>
                  <w:r>
                    <w:rPr>
                      <w:rFonts w:hint="eastAsia"/>
                      <w:szCs w:val="21"/>
                    </w:rPr>
                    <w:t>70</w:t>
                  </w:r>
                </w:p>
              </w:tc>
              <w:tc>
                <w:tcPr>
                  <w:tcW w:w="2432" w:type="dxa"/>
                  <w:vAlign w:val="center"/>
                </w:tcPr>
                <w:p>
                  <w:pPr>
                    <w:pStyle w:val="a2"/>
                    <w:tabs>
                      <w:tab w:val="left" w:pos="-2848"/>
                    </w:tabs>
                    <w:spacing w:before="0" w:after="0" w:line="240" w:lineRule="auto"/>
                    <w:rPr>
                      <w:szCs w:val="21"/>
                    </w:rPr>
                  </w:pPr>
                  <w:r>
                    <w:rPr>
                      <w:szCs w:val="21"/>
                    </w:rPr>
                    <w:t>55</w:t>
                  </w:r>
                </w:p>
              </w:tc>
            </w:tr>
          </w:tbl>
          <w:p>
            <w:pPr>
              <w:numPr>
                <w:ilvl w:val="0"/>
                <w:numId w:val="4"/>
              </w:numPr>
              <w:spacing w:line="360" w:lineRule="auto"/>
              <w:rPr>
                <w:rFonts w:ascii="宋体" w:hAnsi="宋体" w:hint="eastAsia"/>
                <w:b/>
                <w:kern w:val="10"/>
                <w:sz w:val="24"/>
              </w:rPr>
            </w:pPr>
            <w:r>
              <w:rPr>
                <w:rFonts w:ascii="宋体" w:hAnsi="宋体" w:hint="eastAsia"/>
                <w:b/>
                <w:kern w:val="10"/>
                <w:sz w:val="24"/>
              </w:rPr>
              <w:t>固体废弃物</w:t>
            </w:r>
          </w:p>
          <w:p>
            <w:pPr>
              <w:spacing w:line="360" w:lineRule="auto"/>
              <w:rPr>
                <w:sz w:val="24"/>
                <w:szCs w:val="24"/>
              </w:rPr>
            </w:pPr>
            <w:r>
              <w:rPr>
                <w:rFonts w:hint="eastAsia"/>
                <w:kern w:val="10"/>
                <w:sz w:val="24"/>
              </w:rPr>
              <w:t xml:space="preserve">    固体废物</w:t>
            </w:r>
            <w:r>
              <w:rPr>
                <w:kern w:val="10"/>
                <w:sz w:val="24"/>
              </w:rPr>
              <w:t>执行《一般工业固体废物贮存、处置场污染控制标准》（GB18599-2001）及其</w:t>
            </w:r>
            <w:r>
              <w:rPr>
                <w:kern w:val="10"/>
                <w:sz w:val="24"/>
                <w:szCs w:val="24"/>
              </w:rPr>
              <w:t>2013年修改单相关要求。</w:t>
            </w:r>
          </w:p>
        </w:tc>
      </w:tr>
      <w:tr>
        <w:tblPrEx>
          <w:jc w:val="center"/>
          <w:tblInd w:w="-15" w:type="dxa"/>
          <w:tblLayout w:type="fixed"/>
          <w:tblCellMar>
            <w:top w:w="0" w:type="dxa"/>
            <w:left w:w="0" w:type="dxa"/>
            <w:bottom w:w="0" w:type="dxa"/>
            <w:right w:w="0" w:type="dxa"/>
          </w:tblCellMar>
          <w:tblLook w:val="0000"/>
        </w:tblPrEx>
        <w:trPr>
          <w:trHeight w:val="1052"/>
          <w:jc w:val="center"/>
        </w:trPr>
        <w:tc>
          <w:tcPr>
            <w:tcW w:w="567" w:type="dxa"/>
            <w:vAlign w:val="center"/>
          </w:tcPr>
          <w:p>
            <w:pPr>
              <w:spacing w:line="460" w:lineRule="exact"/>
              <w:rPr>
                <w:b/>
                <w:sz w:val="24"/>
                <w:szCs w:val="24"/>
              </w:rPr>
            </w:pPr>
          </w:p>
          <w:p>
            <w:pPr>
              <w:spacing w:line="460" w:lineRule="exact"/>
              <w:jc w:val="center"/>
              <w:rPr>
                <w:b/>
                <w:sz w:val="24"/>
                <w:szCs w:val="24"/>
              </w:rPr>
            </w:pPr>
            <w:r>
              <w:rPr>
                <w:b/>
                <w:sz w:val="24"/>
                <w:szCs w:val="24"/>
              </w:rPr>
              <w:t xml:space="preserve">总 </w:t>
            </w:r>
          </w:p>
          <w:p>
            <w:pPr>
              <w:spacing w:line="460" w:lineRule="exact"/>
              <w:jc w:val="center"/>
              <w:rPr>
                <w:b/>
                <w:sz w:val="24"/>
                <w:szCs w:val="24"/>
              </w:rPr>
            </w:pPr>
            <w:r>
              <w:rPr>
                <w:b/>
                <w:sz w:val="24"/>
                <w:szCs w:val="24"/>
              </w:rPr>
              <w:t>量</w:t>
            </w:r>
          </w:p>
          <w:p>
            <w:pPr>
              <w:spacing w:line="460" w:lineRule="exact"/>
              <w:jc w:val="center"/>
              <w:rPr>
                <w:b/>
                <w:sz w:val="24"/>
                <w:szCs w:val="24"/>
              </w:rPr>
            </w:pPr>
            <w:r>
              <w:rPr>
                <w:b/>
                <w:sz w:val="24"/>
                <w:szCs w:val="24"/>
              </w:rPr>
              <w:t xml:space="preserve">控 </w:t>
            </w:r>
          </w:p>
          <w:p>
            <w:pPr>
              <w:spacing w:line="460" w:lineRule="exact"/>
              <w:jc w:val="center"/>
              <w:rPr>
                <w:b/>
                <w:sz w:val="24"/>
                <w:szCs w:val="24"/>
              </w:rPr>
            </w:pPr>
            <w:r>
              <w:rPr>
                <w:b/>
                <w:sz w:val="24"/>
                <w:szCs w:val="24"/>
              </w:rPr>
              <w:t>制</w:t>
            </w:r>
          </w:p>
          <w:p>
            <w:pPr>
              <w:spacing w:line="460" w:lineRule="exact"/>
              <w:jc w:val="center"/>
              <w:rPr>
                <w:b/>
                <w:sz w:val="24"/>
                <w:szCs w:val="24"/>
              </w:rPr>
            </w:pPr>
            <w:r>
              <w:rPr>
                <w:b/>
                <w:sz w:val="24"/>
                <w:szCs w:val="24"/>
              </w:rPr>
              <w:t xml:space="preserve">指 </w:t>
            </w:r>
          </w:p>
          <w:p>
            <w:pPr>
              <w:spacing w:line="460" w:lineRule="exact"/>
              <w:jc w:val="center"/>
              <w:rPr>
                <w:sz w:val="21"/>
              </w:rPr>
            </w:pPr>
            <w:r>
              <w:rPr>
                <w:b/>
                <w:sz w:val="24"/>
                <w:szCs w:val="24"/>
              </w:rPr>
              <w:t>标</w:t>
            </w:r>
          </w:p>
        </w:tc>
        <w:tc>
          <w:tcPr>
            <w:tcW w:w="8787" w:type="dxa"/>
          </w:tcPr>
          <w:p>
            <w:pPr>
              <w:spacing w:line="360" w:lineRule="auto"/>
              <w:ind w:firstLine="480" w:firstLineChars="200"/>
              <w:rPr>
                <w:sz w:val="24"/>
              </w:rPr>
            </w:pPr>
          </w:p>
          <w:p>
            <w:pPr>
              <w:spacing w:line="360" w:lineRule="auto"/>
              <w:rPr>
                <w:rFonts w:hint="eastAsia"/>
                <w:sz w:val="24"/>
              </w:rPr>
            </w:pPr>
          </w:p>
          <w:p>
            <w:pPr>
              <w:spacing w:line="360" w:lineRule="auto"/>
              <w:rPr>
                <w:rFonts w:hint="eastAsia"/>
                <w:sz w:val="24"/>
              </w:rPr>
            </w:pPr>
          </w:p>
          <w:p>
            <w:pPr>
              <w:spacing w:line="360" w:lineRule="auto"/>
              <w:rPr>
                <w:rFonts w:hint="eastAsia"/>
                <w:sz w:val="24"/>
              </w:rPr>
            </w:pPr>
            <w:r>
              <w:rPr>
                <w:rFonts w:hint="eastAsia"/>
                <w:sz w:val="24"/>
              </w:rPr>
              <w:t xml:space="preserve">    </w:t>
            </w:r>
            <w:r>
              <w:rPr>
                <w:sz w:val="24"/>
              </w:rPr>
              <w:t>根据工程分析可知，本项目总量</w:t>
            </w:r>
            <w:r>
              <w:rPr>
                <w:rFonts w:hint="eastAsia"/>
                <w:sz w:val="24"/>
              </w:rPr>
              <w:t>控制指标主要为COD</w:t>
            </w:r>
            <w:r>
              <w:rPr>
                <w:rFonts w:hint="eastAsia"/>
                <w:sz w:val="24"/>
                <w:vertAlign w:val="subscript"/>
              </w:rPr>
              <w:t>cr</w:t>
            </w:r>
            <w:r>
              <w:rPr>
                <w:rFonts w:hint="eastAsia"/>
                <w:sz w:val="24"/>
              </w:rPr>
              <w:t>、</w:t>
            </w:r>
            <w:r>
              <w:rPr>
                <w:bCs/>
                <w:sz w:val="24"/>
              </w:rPr>
              <w:t>NH</w:t>
            </w:r>
            <w:r>
              <w:rPr>
                <w:bCs/>
                <w:sz w:val="24"/>
                <w:vertAlign w:val="subscript"/>
              </w:rPr>
              <w:t>3</w:t>
            </w:r>
            <w:r>
              <w:rPr>
                <w:bCs/>
                <w:sz w:val="24"/>
              </w:rPr>
              <w:t>-N</w:t>
            </w:r>
            <w:r>
              <w:rPr>
                <w:rFonts w:hint="eastAsia"/>
                <w:sz w:val="24"/>
              </w:rPr>
              <w:t>，</w:t>
            </w:r>
            <w:r>
              <w:rPr>
                <w:rFonts w:hAnsi="宋体"/>
                <w:sz w:val="24"/>
              </w:rPr>
              <w:t>项目主要</w:t>
            </w:r>
            <w:r>
              <w:rPr>
                <w:rFonts w:hAnsi="宋体" w:hint="eastAsia"/>
                <w:sz w:val="24"/>
              </w:rPr>
              <w:t>废水</w:t>
            </w:r>
            <w:r>
              <w:rPr>
                <w:rFonts w:hAnsi="宋体"/>
                <w:sz w:val="24"/>
              </w:rPr>
              <w:t>污染物</w:t>
            </w:r>
            <w:r>
              <w:rPr>
                <w:rFonts w:hAnsi="宋体" w:hint="eastAsia"/>
                <w:sz w:val="24"/>
              </w:rPr>
              <w:t>主要</w:t>
            </w:r>
            <w:r>
              <w:rPr>
                <w:rFonts w:hAnsi="宋体"/>
                <w:sz w:val="24"/>
              </w:rPr>
              <w:t>为生活污水，水质</w:t>
            </w:r>
            <w:r>
              <w:rPr>
                <w:rFonts w:hAnsi="宋体" w:hint="eastAsia"/>
                <w:sz w:val="24"/>
              </w:rPr>
              <w:t>较为</w:t>
            </w:r>
            <w:r>
              <w:rPr>
                <w:rFonts w:hAnsi="宋体"/>
                <w:sz w:val="24"/>
              </w:rPr>
              <w:t>简单，</w:t>
            </w:r>
            <w:r>
              <w:rPr>
                <w:rFonts w:hAnsi="宋体" w:hint="eastAsia"/>
                <w:sz w:val="24"/>
              </w:rPr>
              <w:t>产生的污水</w:t>
            </w:r>
            <w:r>
              <w:rPr>
                <w:rFonts w:hAnsi="宋体"/>
                <w:sz w:val="24"/>
              </w:rPr>
              <w:t>经过</w:t>
            </w:r>
            <w:r>
              <w:rPr>
                <w:rFonts w:hAnsi="宋体" w:hint="eastAsia"/>
                <w:sz w:val="24"/>
              </w:rPr>
              <w:t>隔油池+化粪池预处理后由</w:t>
            </w:r>
            <w:r>
              <w:rPr>
                <w:rFonts w:hint="eastAsia"/>
                <w:sz w:val="24"/>
                <w:szCs w:val="24"/>
              </w:rPr>
              <w:t>抚州市中心城区污水处理厂</w:t>
            </w:r>
            <w:r>
              <w:rPr>
                <w:rFonts w:hAnsi="宋体" w:hint="eastAsia"/>
                <w:sz w:val="24"/>
              </w:rPr>
              <w:t>接纳进一步处理达标排放，</w:t>
            </w:r>
            <w:r>
              <w:rPr>
                <w:rFonts w:hint="eastAsia"/>
                <w:sz w:val="24"/>
              </w:rPr>
              <w:t>总量纳入</w:t>
            </w:r>
            <w:r>
              <w:rPr>
                <w:rFonts w:hint="eastAsia"/>
                <w:sz w:val="24"/>
                <w:szCs w:val="24"/>
              </w:rPr>
              <w:t>抚州市中心城区污水处理厂</w:t>
            </w:r>
            <w:r>
              <w:rPr>
                <w:rFonts w:hint="eastAsia"/>
                <w:sz w:val="24"/>
              </w:rPr>
              <w:t>排放总量指标范围，不需另行申请。</w:t>
            </w:r>
          </w:p>
          <w:p>
            <w:pPr>
              <w:spacing w:line="360" w:lineRule="auto"/>
              <w:rPr>
                <w:rFonts w:hint="eastAsia"/>
                <w:sz w:val="24"/>
              </w:rPr>
            </w:pPr>
          </w:p>
          <w:p>
            <w:pPr>
              <w:spacing w:line="360" w:lineRule="auto"/>
              <w:rPr>
                <w:rFonts w:hint="eastAsia"/>
                <w:kern w:val="0"/>
                <w:sz w:val="24"/>
              </w:rPr>
            </w:pPr>
          </w:p>
        </w:tc>
      </w:tr>
    </w:tbl>
    <w:p>
      <w:pPr>
        <w:sectPr>
          <w:footerReference w:type="even" r:id="rId58"/>
          <w:footerReference w:type="default" r:id="rId59"/>
          <w:footerReference w:type="first" r:id="rId60"/>
          <w:type w:val="nextPage"/>
          <w:pgSz w:w="11906" w:h="16838"/>
          <w:pgMar w:top="1134" w:right="1418" w:bottom="1134" w:left="1418" w:header="851" w:footer="992" w:gutter="0"/>
          <w:pgNumType w:start="19"/>
          <w:cols w:space="708"/>
          <w:titlePg w:val="0"/>
          <w:docGrid w:type="linesAndChars" w:linePitch="381"/>
        </w:sectPr>
      </w:pPr>
    </w:p>
    <w:p>
      <w:pPr>
        <w:pStyle w:val="NormalWeb"/>
        <w:spacing w:before="0" w:beforeAutospacing="0" w:after="0" w:afterAutospacing="0"/>
        <w:outlineLvl w:val="0"/>
        <w:rPr>
          <w:rFonts w:ascii="Times New Roman" w:hAnsi="Times New Roman" w:hint="default"/>
          <w:b/>
          <w:kern w:val="2"/>
          <w:sz w:val="28"/>
          <w:szCs w:val="20"/>
        </w:rPr>
      </w:pPr>
    </w:p>
    <w:p>
      <w:pPr>
        <w:pStyle w:val="NormalWeb"/>
        <w:spacing w:before="0" w:beforeAutospacing="0" w:after="0" w:afterAutospacing="0"/>
        <w:outlineLvl w:val="0"/>
        <w:rPr>
          <w:rFonts w:ascii="Times New Roman" w:hAnsi="Times New Roman" w:hint="default"/>
          <w:b/>
        </w:rPr>
      </w:pPr>
      <w:r>
        <w:rPr>
          <w:rFonts w:ascii="Times New Roman" w:hAnsi="Times New Roman" w:hint="default"/>
          <w:b/>
          <w:kern w:val="2"/>
          <w:sz w:val="28"/>
          <w:szCs w:val="20"/>
        </w:rPr>
        <w:t>建设项目工程分析</w:t>
      </w: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CellMar>
          <w:top w:w="0" w:type="dxa"/>
          <w:left w:w="0" w:type="dxa"/>
          <w:bottom w:w="0" w:type="dxa"/>
          <w:right w:w="0" w:type="dxa"/>
        </w:tblCellMar>
        <w:tblLook w:val="0000"/>
      </w:tblPr>
      <w:tblGrid>
        <w:gridCol w:w="9072"/>
      </w:tblGrid>
      <w:tr>
        <w:tblPrEx>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CellMar>
            <w:top w:w="0" w:type="dxa"/>
            <w:left w:w="0" w:type="dxa"/>
            <w:bottom w:w="0" w:type="dxa"/>
            <w:right w:w="0" w:type="dxa"/>
          </w:tblCellMar>
          <w:tblLook w:val="0000"/>
        </w:tblPrEx>
        <w:trPr>
          <w:trHeight w:val="2840"/>
          <w:jc w:val="center"/>
        </w:trPr>
        <w:tc>
          <w:tcPr>
            <w:tcW w:w="9072" w:type="dxa"/>
          </w:tcPr>
          <w:p>
            <w:pPr>
              <w:spacing w:before="120" w:after="120"/>
            </w:pPr>
            <w:r>
              <w:rPr>
                <w:b/>
              </w:rPr>
              <w:t>工艺流程简述(图示)</w:t>
            </w:r>
            <w:r>
              <w:t>：</w:t>
            </w:r>
          </w:p>
          <w:p>
            <w:pPr>
              <w:spacing w:line="360" w:lineRule="auto"/>
              <w:ind w:firstLine="560" w:firstLineChars="200"/>
              <w:rPr>
                <w:b/>
                <w:sz w:val="24"/>
              </w:rPr>
            </w:pPr>
            <w:r>
              <w:rPr>
                <w:rFonts w:ascii="Arial" w:hAnsi="Arial"/>
                <w:b/>
                <w:szCs w:val="28"/>
              </w:rPr>
              <w:pict>
                <v:group id="Group 205" o:spid="_x0000_s1025" style="width:376.2pt;height:124pt;margin-top:13.35pt;margin-left:34.9pt;position:absolute;z-index:251658240" coordorigin="0,0" coordsize="7524,2480">
                  <o:lock v:ext="edit" aspectratio="f"/>
                  <v:rect id="Rectangle 206" o:spid="_x0000_s1026" style="width:3120;height:750;mso-wrap-style:square;position:absolute;top:826">
                    <v:stroke dashstyle="dash" linestyle="single"/>
                    <o:lock v:ext="edit" aspectratio="f"/>
                  </v:rect>
                  <v:line id="Line 207" o:spid="_x0000_s1027" style="mso-wrap-style:square;position:absolute" from="1830,1669" to="1830,2072">
                    <v:stroke dashstyle="1 1" linestyle="single" endarrow="block" endarrowwidth="narrow"/>
                    <o:lock v:ext="edit" aspectratio="f"/>
                  </v:line>
                  <v:rect id="Rectangle 208" o:spid="_x0000_s1028" style="width:1169;height:408;left:196;mso-wrap-style:square;position:absolute;top:1006">
                    <v:stroke linestyle="single"/>
                    <o:lock v:ext="edit" aspectratio="f"/>
                    <v:textbox inset="1.42pt,0.28pt,1.42pt,0.28pt">
                      <w:txbxContent>
                        <w:p>
                          <w:pPr>
                            <w:pStyle w:val="a0"/>
                            <w:rPr>
                              <w:sz w:val="21"/>
                              <w:szCs w:val="21"/>
                            </w:rPr>
                          </w:pPr>
                          <w:r>
                            <w:rPr>
                              <w:rFonts w:hint="eastAsia"/>
                              <w:sz w:val="21"/>
                              <w:szCs w:val="21"/>
                            </w:rPr>
                            <w:t>土石方工程</w:t>
                          </w:r>
                        </w:p>
                      </w:txbxContent>
                    </v:textbox>
                  </v:rect>
                  <v:shapetype id="_x0000_t32" coordsize="21600,21600" o:spt="32" o:oned="t" path="m,l21600,21600e" filled="f">
                    <v:path arrowok="t" fillok="f" o:connecttype="none"/>
                    <o:lock v:ext="edit" shapetype="t"/>
                  </v:shapetype>
                  <v:shape id="AutoShape 209" o:spid="_x0000_s1029" type="#_x0000_t32" style="width:585;height:0;left:1365;mso-wrap-style:square;position:absolute;top:1186" o:connectortype="straight" filled="f">
                    <v:stroke linestyle="single" endarrow="block"/>
                    <v:path arrowok="t" fillok="f"/>
                    <o:lock v:ext="edit" aspectratio="f"/>
                  </v:shape>
                  <v:rect id="Rectangle 210" o:spid="_x0000_s1030" style="width:960;height:408;left:1950;mso-wrap-style:square;position:absolute;top:1006">
                    <v:stroke linestyle="single"/>
                    <o:lock v:ext="edit" aspectratio="f"/>
                    <v:textbox inset="1.42pt,0.28pt,1.42pt,0.28pt">
                      <w:txbxContent>
                        <w:p>
                          <w:pPr>
                            <w:pStyle w:val="a0"/>
                            <w:rPr>
                              <w:szCs w:val="21"/>
                            </w:rPr>
                          </w:pPr>
                          <w:r>
                            <w:rPr>
                              <w:rFonts w:hint="eastAsia"/>
                              <w:sz w:val="21"/>
                              <w:szCs w:val="21"/>
                            </w:rPr>
                            <w:t>基础工程</w:t>
                          </w:r>
                        </w:p>
                      </w:txbxContent>
                    </v:textbox>
                  </v:rect>
                  <v:shape id="AutoShape 211" o:spid="_x0000_s1031" type="#_x0000_t32" style="width:585;height:0;left:2910;mso-wrap-style:square;position:absolute;top:1186" o:connectortype="straight" filled="f">
                    <v:stroke linestyle="single" endarrow="block"/>
                    <v:path arrowok="t" fillok="f"/>
                    <o:lock v:ext="edit" aspectratio="f"/>
                  </v:shape>
                  <v:rect id="Rectangle 212" o:spid="_x0000_s1032" style="width:960;height:408;left:3495;mso-wrap-style:square;position:absolute;top:1006">
                    <v:stroke linestyle="single"/>
                    <o:lock v:ext="edit" aspectratio="f"/>
                    <v:textbox inset="1.42pt,0.28pt,1.42pt,0.28pt">
                      <w:txbxContent>
                        <w:p>
                          <w:pPr>
                            <w:pStyle w:val="a0"/>
                            <w:rPr>
                              <w:sz w:val="21"/>
                              <w:szCs w:val="21"/>
                            </w:rPr>
                          </w:pPr>
                          <w:r>
                            <w:rPr>
                              <w:rFonts w:hint="eastAsia"/>
                              <w:sz w:val="21"/>
                              <w:szCs w:val="21"/>
                            </w:rPr>
                            <w:t>结构工程</w:t>
                          </w:r>
                        </w:p>
                      </w:txbxContent>
                    </v:textbox>
                  </v:rect>
                  <v:shape id="AutoShape 213" o:spid="_x0000_s1033" type="#_x0000_t32" style="width:585;height:0;left:4455;mso-wrap-style:square;position:absolute;top:1186" o:connectortype="straight" filled="f">
                    <v:stroke linestyle="single" endarrow="block"/>
                    <v:path arrowok="t" fillok="f"/>
                    <o:lock v:ext="edit" aspectratio="f"/>
                  </v:shape>
                  <v:rect id="Rectangle 214" o:spid="_x0000_s1034" style="width:960;height:408;left:5019;mso-wrap-style:square;position:absolute;top:1006">
                    <v:stroke linestyle="single"/>
                    <o:lock v:ext="edit" aspectratio="f"/>
                    <v:textbox inset="1.42pt,0.28pt,1.42pt,0.28pt">
                      <w:txbxContent>
                        <w:p>
                          <w:pPr>
                            <w:pStyle w:val="a0"/>
                            <w:rPr>
                              <w:sz w:val="21"/>
                              <w:szCs w:val="21"/>
                            </w:rPr>
                          </w:pPr>
                          <w:r>
                            <w:rPr>
                              <w:rFonts w:hint="eastAsia"/>
                              <w:sz w:val="21"/>
                              <w:szCs w:val="21"/>
                            </w:rPr>
                            <w:t>装修工程</w:t>
                          </w:r>
                        </w:p>
                      </w:txbxContent>
                    </v:textbox>
                  </v:rect>
                  <v:shape id="AutoShape 215" o:spid="_x0000_s1035" type="#_x0000_t32" style="width:585;height:0;left:5979;mso-wrap-style:square;position:absolute;top:1186" o:connectortype="straight" filled="f">
                    <v:stroke linestyle="single" endarrow="block"/>
                    <v:path arrowok="t" fillok="f"/>
                    <o:lock v:ext="edit" aspectratio="f"/>
                  </v:shape>
                  <v:rect id="Rectangle 216" o:spid="_x0000_s1036" style="width:960;height:408;left:6564;mso-wrap-style:square;position:absolute;top:1006" strokecolor="white">
                    <v:stroke linestyle="single"/>
                    <o:lock v:ext="edit" aspectratio="f"/>
                    <v:textbox inset="1.42pt,0.28pt,1.42pt,0.28pt">
                      <w:txbxContent>
                        <w:p>
                          <w:pPr>
                            <w:pStyle w:val="a0"/>
                            <w:rPr>
                              <w:sz w:val="21"/>
                              <w:szCs w:val="21"/>
                            </w:rPr>
                          </w:pPr>
                          <w:r>
                            <w:rPr>
                              <w:rFonts w:hint="eastAsia"/>
                              <w:sz w:val="21"/>
                              <w:szCs w:val="21"/>
                            </w:rPr>
                            <w:t>工程验收</w:t>
                          </w:r>
                        </w:p>
                      </w:txbxContent>
                    </v:textbox>
                  </v:rect>
                  <v:rect id="Rectangle 217" o:spid="_x0000_s1037" style="width:5395;height:408;left:1391;mso-wrap-style:square;position:absolute;top:2072" strokecolor="white">
                    <v:stroke linestyle="single"/>
                    <o:lock v:ext="edit" aspectratio="f"/>
                    <v:textbox inset="1.42pt,0.28pt,1.42pt,0.28pt">
                      <w:txbxContent>
                        <w:p>
                          <w:pPr>
                            <w:pStyle w:val="a0"/>
                            <w:rPr>
                              <w:szCs w:val="21"/>
                            </w:rPr>
                          </w:pPr>
                          <w:r>
                            <w:rPr>
                              <w:rFonts w:hint="eastAsia"/>
                              <w:sz w:val="21"/>
                              <w:szCs w:val="21"/>
                            </w:rPr>
                            <w:t>施工废水、建筑垃圾、施工人员生活污水和生活垃圾</w:t>
                          </w:r>
                        </w:p>
                      </w:txbxContent>
                    </v:textbox>
                  </v:rect>
                  <v:line id="Line 218" o:spid="_x0000_s1038" style="mso-wrap-style:square;position:absolute" from="4005,1414" to="4005,2072">
                    <v:stroke dashstyle="1 1" linestyle="single" endarrow="block" endarrowwidth="narrow"/>
                    <o:lock v:ext="edit" aspectratio="f"/>
                  </v:line>
                  <v:line id="Line 219" o:spid="_x0000_s1039" style="mso-wrap-style:square;position:absolute" from="5550,1414" to="5550,2072">
                    <v:stroke dashstyle="1 1" linestyle="single" endarrow="block" endarrowwidth="narrow"/>
                    <o:lock v:ext="edit" aspectratio="f"/>
                  </v:line>
                  <v:line id="Line 220" o:spid="_x0000_s1040" style="mso-wrap-style:square;position:absolute;rotation:180" from="1725,423" to="1725,826">
                    <v:stroke dashstyle="1 1" linestyle="single" endarrow="block" endarrowwidth="narrow"/>
                    <o:lock v:ext="edit" aspectratio="f"/>
                  </v:line>
                  <v:rect id="Rectangle 221" o:spid="_x0000_s1041" style="width:2536;height:408;left:584;mso-wrap-style:square;position:absolute;top:15" strokecolor="white">
                    <v:stroke linestyle="single"/>
                    <o:lock v:ext="edit" aspectratio="f"/>
                    <v:textbox inset="1.42pt,0.28pt,1.42pt,0.28pt">
                      <w:txbxContent>
                        <w:p>
                          <w:pPr>
                            <w:pStyle w:val="a0"/>
                            <w:rPr>
                              <w:szCs w:val="21"/>
                            </w:rPr>
                          </w:pPr>
                          <w:r>
                            <w:rPr>
                              <w:rFonts w:hint="eastAsia"/>
                              <w:sz w:val="21"/>
                              <w:szCs w:val="21"/>
                            </w:rPr>
                            <w:t>噪声、扬尘、施工机械废气</w:t>
                          </w:r>
                        </w:p>
                      </w:txbxContent>
                    </v:textbox>
                  </v:rect>
                  <v:line id="Line 222" o:spid="_x0000_s1042" style="mso-wrap-style:square;position:absolute;rotation:180" from="3963,423" to="3963,931">
                    <v:stroke dashstyle="1 1" linestyle="single" endarrow="block" endarrowwidth="narrow"/>
                    <o:lock v:ext="edit" aspectratio="f"/>
                  </v:line>
                  <v:rect id="Rectangle 223" o:spid="_x0000_s1043" style="width:695;height:408;left:3645;mso-wrap-style:square;position:absolute" strokecolor="white">
                    <v:stroke linestyle="single"/>
                    <o:lock v:ext="edit" aspectratio="f"/>
                    <v:textbox inset="1.42pt,0.28pt,1.42pt,0.28pt">
                      <w:txbxContent>
                        <w:p>
                          <w:pPr>
                            <w:pStyle w:val="a0"/>
                            <w:rPr>
                              <w:sz w:val="21"/>
                              <w:szCs w:val="21"/>
                            </w:rPr>
                          </w:pPr>
                          <w:r>
                            <w:rPr>
                              <w:rFonts w:hint="eastAsia"/>
                              <w:sz w:val="21"/>
                              <w:szCs w:val="21"/>
                            </w:rPr>
                            <w:t>噪声</w:t>
                          </w:r>
                        </w:p>
                      </w:txbxContent>
                    </v:textbox>
                  </v:rect>
                  <v:line id="Line 224" o:spid="_x0000_s1044" style="mso-wrap-style:square;position:absolute;rotation:180" from="5550,498" to="5550,1006">
                    <v:stroke dashstyle="1 1" linestyle="single" endarrow="block" endarrowwidth="narrow"/>
                    <o:lock v:ext="edit" aspectratio="f"/>
                  </v:line>
                  <v:rect id="Rectangle 225" o:spid="_x0000_s1045" style="width:1771;height:408;left:4793;mso-wrap-style:square;position:absolute" strokecolor="white">
                    <v:stroke linestyle="single"/>
                    <o:lock v:ext="edit" aspectratio="f"/>
                    <v:textbox inset="1.42pt,0.28pt,1.42pt,0.28pt">
                      <w:txbxContent>
                        <w:p>
                          <w:pPr>
                            <w:pStyle w:val="a0"/>
                            <w:rPr>
                              <w:sz w:val="21"/>
                              <w:szCs w:val="21"/>
                            </w:rPr>
                          </w:pPr>
                          <w:r>
                            <w:rPr>
                              <w:rFonts w:hint="eastAsia"/>
                              <w:sz w:val="21"/>
                              <w:szCs w:val="21"/>
                            </w:rPr>
                            <w:t>噪声、装修废气</w:t>
                          </w:r>
                        </w:p>
                      </w:txbxContent>
                    </v:textbox>
                  </v:rect>
                </v:group>
              </w:pict>
            </w:r>
          </w:p>
          <w:p>
            <w:pPr>
              <w:spacing w:line="360" w:lineRule="auto"/>
              <w:ind w:firstLine="480" w:firstLineChars="200"/>
              <w:rPr>
                <w:b/>
                <w:sz w:val="24"/>
              </w:rPr>
            </w:pPr>
          </w:p>
          <w:p>
            <w:pPr>
              <w:spacing w:line="360" w:lineRule="auto"/>
              <w:ind w:firstLine="480" w:firstLineChars="200"/>
              <w:rPr>
                <w:b/>
                <w:sz w:val="24"/>
              </w:rPr>
            </w:pPr>
          </w:p>
          <w:p>
            <w:pPr>
              <w:spacing w:line="360" w:lineRule="auto"/>
              <w:ind w:firstLine="480" w:firstLineChars="200"/>
              <w:rPr>
                <w:b/>
                <w:sz w:val="24"/>
              </w:rPr>
            </w:pPr>
          </w:p>
          <w:p>
            <w:pPr>
              <w:spacing w:before="190" w:beforeLines="50" w:after="190" w:afterLines="50" w:line="240" w:lineRule="atLeast"/>
              <w:rPr>
                <w:rFonts w:ascii="宋体" w:hAnsi="宋体" w:hint="eastAsia"/>
                <w:kern w:val="10"/>
                <w:sz w:val="24"/>
                <w:szCs w:val="23"/>
              </w:rPr>
            </w:pPr>
          </w:p>
          <w:p>
            <w:pPr>
              <w:pStyle w:val="CommentText"/>
              <w:autoSpaceDE w:val="0"/>
              <w:autoSpaceDN w:val="0"/>
              <w:snapToGrid w:val="0"/>
              <w:ind w:firstLine="482"/>
              <w:jc w:val="center"/>
              <w:rPr>
                <w:b/>
                <w:sz w:val="24"/>
              </w:rPr>
            </w:pPr>
            <w:r>
              <w:rPr>
                <w:b/>
                <w:sz w:val="24"/>
              </w:rPr>
              <w:t>图1：项目施工流程及产污环节图</w:t>
            </w:r>
          </w:p>
          <w:p>
            <w:pPr>
              <w:pStyle w:val="CommentText"/>
              <w:autoSpaceDE w:val="0"/>
              <w:autoSpaceDN w:val="0"/>
              <w:snapToGrid w:val="0"/>
              <w:ind w:firstLine="482"/>
              <w:jc w:val="center"/>
              <w:rPr>
                <w:rFonts w:ascii="Arial" w:hAnsi="Arial" w:cs="Arial" w:hint="eastAsia"/>
                <w:b/>
                <w:sz w:val="24"/>
              </w:rPr>
            </w:pPr>
          </w:p>
          <w:p>
            <w:pPr>
              <w:pStyle w:val="CommentText"/>
              <w:autoSpaceDE w:val="0"/>
              <w:autoSpaceDN w:val="0"/>
              <w:adjustRightInd w:val="0"/>
              <w:snapToGrid w:val="0"/>
              <w:spacing w:line="360" w:lineRule="auto"/>
              <w:ind w:firstLine="480" w:firstLineChars="200"/>
              <w:jc w:val="both"/>
              <w:rPr>
                <w:sz w:val="24"/>
                <w:szCs w:val="24"/>
              </w:rPr>
            </w:pPr>
            <w:r>
              <w:rPr>
                <w:sz w:val="24"/>
                <w:szCs w:val="24"/>
              </w:rPr>
              <w:t>本项目施工流程为：征地后进入基础施工阶段，如挖土方、打桩等，然后进行结构施工，</w:t>
            </w:r>
            <w:r>
              <w:rPr>
                <w:rFonts w:hint="eastAsia"/>
                <w:sz w:val="24"/>
                <w:szCs w:val="24"/>
              </w:rPr>
              <w:t>建筑物</w:t>
            </w:r>
            <w:r>
              <w:rPr>
                <w:sz w:val="24"/>
                <w:szCs w:val="24"/>
              </w:rPr>
              <w:t>装修</w:t>
            </w:r>
            <w:r>
              <w:rPr>
                <w:rFonts w:hint="eastAsia"/>
                <w:sz w:val="24"/>
                <w:szCs w:val="24"/>
              </w:rPr>
              <w:t>，配套设施安装，最后工程验收后</w:t>
            </w:r>
            <w:r>
              <w:rPr>
                <w:sz w:val="24"/>
                <w:szCs w:val="24"/>
              </w:rPr>
              <w:t>后即可使用。</w:t>
            </w:r>
          </w:p>
          <w:p>
            <w:pPr>
              <w:pStyle w:val="CommentText"/>
              <w:autoSpaceDE w:val="0"/>
              <w:autoSpaceDN w:val="0"/>
              <w:adjustRightInd w:val="0"/>
              <w:snapToGrid w:val="0"/>
              <w:spacing w:line="360" w:lineRule="auto"/>
              <w:jc w:val="both"/>
              <w:rPr>
                <w:rFonts w:ascii="宋体" w:hAnsi="宋体" w:hint="eastAsia"/>
                <w:b/>
                <w:kern w:val="10"/>
                <w:szCs w:val="28"/>
              </w:rPr>
            </w:pPr>
            <w:r>
              <w:rPr>
                <w:rFonts w:ascii="宋体" w:hAnsi="宋体" w:hint="eastAsia"/>
                <w:b/>
                <w:kern w:val="10"/>
                <w:szCs w:val="28"/>
              </w:rPr>
              <w:t>污染源强分析：</w:t>
            </w:r>
          </w:p>
          <w:p>
            <w:pPr>
              <w:adjustRightInd w:val="0"/>
              <w:snapToGrid w:val="0"/>
              <w:spacing w:line="360" w:lineRule="auto"/>
              <w:ind w:firstLine="480" w:firstLineChars="200"/>
              <w:rPr>
                <w:rFonts w:ascii="宋体" w:hAnsi="宋体"/>
                <w:b/>
                <w:sz w:val="24"/>
              </w:rPr>
            </w:pPr>
            <w:r>
              <w:rPr>
                <w:rFonts w:ascii="宋体" w:hAnsi="宋体"/>
                <w:b/>
                <w:sz w:val="24"/>
              </w:rPr>
              <w:t>一、施工</w:t>
            </w:r>
            <w:r>
              <w:rPr>
                <w:rFonts w:ascii="宋体" w:hAnsi="宋体"/>
                <w:b/>
                <w:sz w:val="24"/>
                <w:szCs w:val="24"/>
              </w:rPr>
              <w:t>期</w:t>
            </w:r>
            <w:r>
              <w:rPr>
                <w:rFonts w:ascii="宋体" w:hAnsi="宋体" w:hint="eastAsia"/>
                <w:b/>
                <w:bCs/>
                <w:sz w:val="24"/>
                <w:szCs w:val="24"/>
              </w:rPr>
              <w:t>主要环境问题</w:t>
            </w:r>
          </w:p>
          <w:p>
            <w:pPr>
              <w:spacing w:line="360" w:lineRule="auto"/>
              <w:ind w:firstLine="480" w:firstLineChars="200"/>
              <w:rPr>
                <w:b/>
                <w:sz w:val="24"/>
              </w:rPr>
            </w:pPr>
            <w:r>
              <w:rPr>
                <w:b/>
                <w:sz w:val="24"/>
              </w:rPr>
              <w:t>（1）废气</w:t>
            </w:r>
          </w:p>
          <w:p>
            <w:pPr>
              <w:spacing w:line="360" w:lineRule="auto"/>
              <w:ind w:firstLine="480" w:firstLineChars="200"/>
              <w:rPr>
                <w:rFonts w:ascii="宋体" w:hAnsi="宋体"/>
                <w:bCs/>
                <w:sz w:val="24"/>
              </w:rPr>
            </w:pPr>
            <w:r>
              <w:rPr>
                <w:rFonts w:ascii="宋体" w:hAnsi="宋体"/>
                <w:bCs/>
                <w:sz w:val="24"/>
              </w:rPr>
              <w:t>废气主要为施工扬尘、施工和运输机械排放的尾气</w:t>
            </w:r>
            <w:r>
              <w:rPr>
                <w:rFonts w:ascii="宋体" w:hAnsi="宋体" w:hint="eastAsia"/>
                <w:bCs/>
                <w:sz w:val="24"/>
              </w:rPr>
              <w:t>、以及建筑物</w:t>
            </w:r>
            <w:r>
              <w:rPr>
                <w:rFonts w:ascii="Arial" w:hAnsi="Arial" w:cs="Arial" w:hint="eastAsia"/>
                <w:sz w:val="24"/>
              </w:rPr>
              <w:t>室内室外装修阶段产生的油漆废气</w:t>
            </w:r>
            <w:r>
              <w:rPr>
                <w:rFonts w:ascii="宋体" w:hAnsi="宋体"/>
                <w:bCs/>
                <w:sz w:val="24"/>
              </w:rPr>
              <w:t>。</w:t>
            </w:r>
          </w:p>
          <w:p>
            <w:pPr>
              <w:spacing w:line="360" w:lineRule="auto"/>
              <w:ind w:firstLine="480" w:firstLineChars="200"/>
              <w:rPr>
                <w:rFonts w:ascii="宋体" w:hAnsi="宋体"/>
                <w:bCs/>
                <w:sz w:val="24"/>
              </w:rPr>
            </w:pPr>
            <w:r>
              <w:rPr>
                <w:rFonts w:ascii="宋体" w:hAnsi="宋体"/>
                <w:bCs/>
                <w:sz w:val="24"/>
              </w:rPr>
              <w:t>项目须进行“三通一平”、地基处理及打桩处理，才能进行地面建筑，而且需要运输废土、石、混凝土和建筑材料等，施工扬尘主要产生于土石方、挖掘地基、打桩、地面建筑结构、土建施工以及建筑材料的运输和堆放等过程中，扬尘量与施工作业方式及气象条件有密切关系，难以定量。一般来说，干燥及风力大的条件下，扬尘量较大，属无组织排放。</w:t>
            </w:r>
          </w:p>
          <w:p>
            <w:pPr>
              <w:spacing w:line="360" w:lineRule="auto"/>
              <w:ind w:firstLine="480" w:firstLineChars="200"/>
              <w:rPr>
                <w:rFonts w:ascii="宋体" w:hAnsi="宋体"/>
                <w:bCs/>
                <w:sz w:val="24"/>
              </w:rPr>
            </w:pPr>
            <w:r>
              <w:rPr>
                <w:rFonts w:ascii="宋体" w:hAnsi="宋体"/>
                <w:bCs/>
                <w:sz w:val="24"/>
              </w:rPr>
              <w:t>施工和运输机械运行时会产生一</w:t>
            </w:r>
            <w:r>
              <w:rPr>
                <w:bCs/>
                <w:sz w:val="24"/>
              </w:rPr>
              <w:t>定量的尾气，主要成分为CO、碳氢化合物、NOx等，</w:t>
            </w:r>
            <w:r>
              <w:rPr>
                <w:rFonts w:ascii="宋体" w:hAnsi="宋体"/>
                <w:bCs/>
                <w:sz w:val="24"/>
              </w:rPr>
              <w:t>呈无组织排放。</w:t>
            </w:r>
          </w:p>
          <w:p>
            <w:pPr>
              <w:spacing w:after="0" w:line="360" w:lineRule="auto"/>
              <w:ind w:firstLine="480" w:firstLineChars="200"/>
              <w:rPr>
                <w:rFonts w:ascii="Arial" w:hAnsi="Arial" w:cs="Arial" w:hint="eastAsia"/>
                <w:sz w:val="24"/>
              </w:rPr>
            </w:pPr>
          </w:p>
        </w:tc>
      </w:tr>
    </w:tbl>
    <w:p>
      <w:pPr>
        <w:sectPr>
          <w:footerReference w:type="even" r:id="rId61"/>
          <w:footerReference w:type="default" r:id="rId62"/>
          <w:footerReference w:type="first" r:id="rId63"/>
          <w:type w:val="nextPage"/>
          <w:pgSz w:w="11906" w:h="16838"/>
          <w:pgMar w:top="1134" w:right="1418" w:bottom="1134" w:left="1418" w:header="851" w:footer="992" w:gutter="0"/>
          <w:pgNumType w:start="20"/>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CellMar>
          <w:top w:w="0" w:type="dxa"/>
          <w:left w:w="0" w:type="dxa"/>
          <w:bottom w:w="0" w:type="dxa"/>
          <w:right w:w="0" w:type="dxa"/>
        </w:tblCellMar>
        <w:tblLook w:val="0000"/>
      </w:tblPr>
      <w:tblGrid>
        <w:gridCol w:w="9072"/>
      </w:tblGrid>
      <w:tr>
        <w:tblPrEx>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CellMar>
            <w:top w:w="0" w:type="dxa"/>
            <w:left w:w="0" w:type="dxa"/>
            <w:bottom w:w="0" w:type="dxa"/>
            <w:right w:w="0" w:type="dxa"/>
          </w:tblCellMar>
          <w:tblLook w:val="0000"/>
        </w:tblPrEx>
        <w:trPr>
          <w:trHeight w:val="2840"/>
          <w:jc w:val="center"/>
        </w:trPr>
        <w:tc>
          <w:tcPr>
            <w:tcW w:w="9072" w:type="dxa"/>
          </w:tcPr>
          <w:p>
            <w:pPr>
              <w:spacing w:before="0" w:line="360" w:lineRule="auto"/>
              <w:ind w:firstLine="480" w:firstLineChars="200"/>
              <w:rPr>
                <w:rFonts w:ascii="Arial" w:hAnsi="Arial" w:cs="Arial" w:hint="eastAsia"/>
                <w:sz w:val="24"/>
              </w:rPr>
            </w:pPr>
            <w:r>
              <w:rPr>
                <w:rFonts w:ascii="Arial" w:hAnsi="Arial" w:cs="Arial" w:hint="eastAsia"/>
                <w:sz w:val="24"/>
              </w:rPr>
              <w:t>装修阶段产生的油漆废气主要污染因子是作为稀释剂的二甲苯，此外还有较少量的醋酸丁酯、乙醇、丁醇等，该废气的排放属无组织排放。在装修期间，应加强室内的通风换气，油漆结束完成以后，也应每天进行通风换气一至二个月后才能营业。由于装修时采用的三合板和油漆中含有的甲醛、甲苯、二甲苯等影响环境质量的有毒有害物质挥发时间长，所以投入运营后也要注意室内空气的流畅。</w:t>
            </w:r>
          </w:p>
          <w:p>
            <w:pPr>
              <w:spacing w:line="360" w:lineRule="auto"/>
              <w:ind w:left="280" w:firstLine="281" w:leftChars="100" w:firstLineChars="117"/>
              <w:rPr>
                <w:rFonts w:ascii="宋体" w:hAnsi="宋体"/>
                <w:b/>
                <w:bCs/>
                <w:sz w:val="24"/>
              </w:rPr>
            </w:pPr>
            <w:r>
              <w:rPr>
                <w:rFonts w:ascii="宋体" w:hAnsi="宋体" w:hint="eastAsia"/>
                <w:b/>
                <w:bCs/>
                <w:sz w:val="24"/>
              </w:rPr>
              <w:t>（</w:t>
            </w:r>
            <w:r>
              <w:rPr>
                <w:rFonts w:ascii="宋体" w:hAnsi="宋体"/>
                <w:b/>
                <w:bCs/>
                <w:sz w:val="24"/>
              </w:rPr>
              <w:t>2</w:t>
            </w:r>
            <w:r>
              <w:rPr>
                <w:rFonts w:ascii="宋体" w:hAnsi="宋体" w:hint="eastAsia"/>
                <w:b/>
                <w:bCs/>
                <w:sz w:val="24"/>
              </w:rPr>
              <w:t>）</w:t>
            </w:r>
            <w:r>
              <w:rPr>
                <w:rFonts w:ascii="宋体" w:hAnsi="宋体"/>
                <w:b/>
                <w:bCs/>
                <w:sz w:val="24"/>
              </w:rPr>
              <w:t>废水</w:t>
            </w:r>
          </w:p>
          <w:p>
            <w:pPr>
              <w:spacing w:line="360" w:lineRule="auto"/>
              <w:ind w:firstLine="480" w:firstLineChars="200"/>
              <w:rPr>
                <w:bCs/>
                <w:sz w:val="24"/>
              </w:rPr>
            </w:pPr>
            <w:r>
              <w:rPr>
                <w:sz w:val="24"/>
              </w:rPr>
              <w:t>施工期主要为地表径流及施工人员生活污水和施工机械废水，施工机械废水主要是机械设备运转的冷却水和洗涤水，产生量约</w:t>
            </w:r>
            <w:r>
              <w:rPr>
                <w:rFonts w:hint="eastAsia"/>
                <w:sz w:val="24"/>
              </w:rPr>
              <w:t>2</w:t>
            </w:r>
            <w:r>
              <w:rPr>
                <w:sz w:val="24"/>
              </w:rPr>
              <w:t>t/d，经过沉淀处理后用于洒水降尘等</w:t>
            </w:r>
            <w:r>
              <w:rPr>
                <w:rFonts w:hint="eastAsia"/>
                <w:sz w:val="24"/>
              </w:rPr>
              <w:t>；</w:t>
            </w:r>
            <w:r>
              <w:rPr>
                <w:sz w:val="24"/>
              </w:rPr>
              <w:t>施工人员约</w:t>
            </w:r>
            <w:r>
              <w:rPr>
                <w:rFonts w:hint="eastAsia"/>
                <w:sz w:val="24"/>
              </w:rPr>
              <w:t>5</w:t>
            </w:r>
            <w:r>
              <w:rPr>
                <w:sz w:val="24"/>
              </w:rPr>
              <w:t>0人，用水量为50L/d·人，约为</w:t>
            </w:r>
            <w:r>
              <w:rPr>
                <w:rFonts w:hint="eastAsia"/>
                <w:sz w:val="24"/>
              </w:rPr>
              <w:t>2.5</w:t>
            </w:r>
            <w:r>
              <w:rPr>
                <w:sz w:val="24"/>
              </w:rPr>
              <w:t>m</w:t>
            </w:r>
            <w:r>
              <w:rPr>
                <w:sz w:val="24"/>
                <w:vertAlign w:val="superscript"/>
              </w:rPr>
              <w:t>3</w:t>
            </w:r>
            <w:r>
              <w:rPr>
                <w:sz w:val="24"/>
              </w:rPr>
              <w:t>/d，</w:t>
            </w:r>
            <w:r>
              <w:rPr>
                <w:bCs/>
                <w:sz w:val="24"/>
              </w:rPr>
              <w:t>排水量按用水量的80</w:t>
            </w:r>
            <w:r>
              <w:rPr>
                <w:rFonts w:hint="eastAsia"/>
                <w:bCs/>
                <w:sz w:val="24"/>
              </w:rPr>
              <w:t>%</w:t>
            </w:r>
            <w:r>
              <w:rPr>
                <w:bCs/>
                <w:sz w:val="24"/>
              </w:rPr>
              <w:t>计，施工生活污水产生量约为</w:t>
            </w:r>
            <w:r>
              <w:rPr>
                <w:rFonts w:hint="eastAsia"/>
                <w:bCs/>
                <w:sz w:val="24"/>
              </w:rPr>
              <w:t>2</w:t>
            </w:r>
            <w:r>
              <w:rPr>
                <w:bCs/>
                <w:sz w:val="24"/>
              </w:rPr>
              <w:t>m</w:t>
            </w:r>
            <w:r>
              <w:rPr>
                <w:bCs/>
                <w:sz w:val="24"/>
                <w:vertAlign w:val="superscript"/>
              </w:rPr>
              <w:t>3</w:t>
            </w:r>
            <w:r>
              <w:rPr>
                <w:bCs/>
                <w:sz w:val="24"/>
              </w:rPr>
              <w:t>/d。</w:t>
            </w:r>
          </w:p>
          <w:p>
            <w:pPr>
              <w:spacing w:line="360" w:lineRule="auto"/>
              <w:rPr>
                <w:rFonts w:ascii="宋体" w:hAnsi="宋体"/>
                <w:sz w:val="24"/>
              </w:rPr>
            </w:pPr>
            <w:r>
              <w:rPr>
                <w:rFonts w:ascii="宋体" w:hAnsi="宋体" w:hint="eastAsia"/>
                <w:b/>
                <w:bCs/>
                <w:sz w:val="24"/>
              </w:rPr>
              <w:t xml:space="preserve">    （</w:t>
            </w:r>
            <w:r>
              <w:rPr>
                <w:rFonts w:ascii="宋体" w:hAnsi="宋体"/>
                <w:b/>
                <w:bCs/>
                <w:sz w:val="24"/>
              </w:rPr>
              <w:t>3</w:t>
            </w:r>
            <w:r>
              <w:rPr>
                <w:rFonts w:ascii="宋体" w:hAnsi="宋体" w:hint="eastAsia"/>
                <w:b/>
                <w:bCs/>
                <w:sz w:val="24"/>
              </w:rPr>
              <w:t>）</w:t>
            </w:r>
            <w:r>
              <w:rPr>
                <w:rFonts w:ascii="宋体" w:hAnsi="宋体"/>
                <w:b/>
                <w:bCs/>
                <w:sz w:val="24"/>
              </w:rPr>
              <w:t>固体废物</w:t>
            </w:r>
          </w:p>
          <w:p>
            <w:pPr>
              <w:spacing w:line="360" w:lineRule="auto"/>
              <w:rPr>
                <w:rFonts w:ascii="宋体" w:hAnsi="宋体" w:hint="eastAsia"/>
                <w:sz w:val="24"/>
              </w:rPr>
            </w:pPr>
            <w:r>
              <w:rPr>
                <w:rFonts w:ascii="宋体" w:hAnsi="宋体" w:hint="eastAsia"/>
                <w:sz w:val="24"/>
              </w:rPr>
              <w:t xml:space="preserve">    </w:t>
            </w:r>
            <w:r>
              <w:rPr>
                <w:rFonts w:ascii="宋体" w:hAnsi="宋体"/>
                <w:sz w:val="24"/>
              </w:rPr>
              <w:t>固体废物主要为</w:t>
            </w:r>
            <w:r>
              <w:rPr>
                <w:sz w:val="24"/>
              </w:rPr>
              <w:t>地下车库开挖产生的余土</w:t>
            </w:r>
            <w:r>
              <w:rPr>
                <w:rFonts w:hint="eastAsia"/>
                <w:sz w:val="24"/>
              </w:rPr>
              <w:t>、</w:t>
            </w:r>
            <w:r>
              <w:rPr>
                <w:sz w:val="24"/>
              </w:rPr>
              <w:t>建筑</w:t>
            </w:r>
            <w:r>
              <w:rPr>
                <w:rFonts w:hint="eastAsia"/>
                <w:sz w:val="24"/>
              </w:rPr>
              <w:t>施工</w:t>
            </w:r>
            <w:r>
              <w:rPr>
                <w:sz w:val="24"/>
              </w:rPr>
              <w:t>垃圾（包括废砖块、水泥块、废木料、钢筋头等）和施工人员生活垃圾</w:t>
            </w:r>
            <w:r>
              <w:rPr>
                <w:rFonts w:hint="eastAsia"/>
                <w:sz w:val="24"/>
              </w:rPr>
              <w:t>。</w:t>
            </w:r>
            <w:r>
              <w:rPr>
                <w:sz w:val="24"/>
                <w:szCs w:val="24"/>
              </w:rPr>
              <w:t>本项目总建筑面积</w:t>
            </w:r>
            <w:r>
              <w:rPr>
                <w:rFonts w:hint="eastAsia"/>
                <w:sz w:val="24"/>
                <w:szCs w:val="24"/>
              </w:rPr>
              <w:t>为140184.9</w:t>
            </w:r>
            <w:r>
              <w:rPr>
                <w:sz w:val="24"/>
                <w:szCs w:val="24"/>
              </w:rPr>
              <w:t>m</w:t>
            </w:r>
            <w:r>
              <w:rPr>
                <w:sz w:val="24"/>
                <w:szCs w:val="24"/>
                <w:vertAlign w:val="superscript"/>
              </w:rPr>
              <w:t>2</w:t>
            </w:r>
            <w:r>
              <w:rPr>
                <w:sz w:val="24"/>
                <w:szCs w:val="24"/>
              </w:rPr>
              <w:t>，类比同类项目建设期</w:t>
            </w:r>
            <w:r>
              <w:rPr>
                <w:rFonts w:hint="eastAsia"/>
                <w:sz w:val="24"/>
                <w:szCs w:val="24"/>
              </w:rPr>
              <w:t>建筑施工垃圾</w:t>
            </w:r>
            <w:r>
              <w:rPr>
                <w:sz w:val="24"/>
                <w:szCs w:val="24"/>
              </w:rPr>
              <w:t>排放情况类比，每平方米面积产生建筑垃圾约4.4kg，则本项目在建设期将产生建筑</w:t>
            </w:r>
            <w:r>
              <w:rPr>
                <w:rFonts w:hint="eastAsia"/>
                <w:sz w:val="24"/>
                <w:szCs w:val="24"/>
              </w:rPr>
              <w:t>施工</w:t>
            </w:r>
            <w:r>
              <w:rPr>
                <w:sz w:val="24"/>
                <w:szCs w:val="24"/>
              </w:rPr>
              <w:t>垃圾约</w:t>
            </w:r>
            <w:r>
              <w:rPr>
                <w:rFonts w:hint="eastAsia"/>
                <w:sz w:val="24"/>
                <w:szCs w:val="24"/>
              </w:rPr>
              <w:t>610</w:t>
            </w:r>
            <w:r>
              <w:rPr>
                <w:sz w:val="24"/>
                <w:szCs w:val="24"/>
              </w:rPr>
              <w:t>t</w:t>
            </w:r>
            <w:r>
              <w:rPr>
                <w:sz w:val="24"/>
              </w:rPr>
              <w:t>；</w:t>
            </w:r>
            <w:r>
              <w:rPr>
                <w:rFonts w:hint="eastAsia"/>
                <w:sz w:val="24"/>
              </w:rPr>
              <w:t>本</w:t>
            </w:r>
            <w:r>
              <w:rPr>
                <w:sz w:val="24"/>
              </w:rPr>
              <w:t>项目地下建筑面积为</w:t>
            </w:r>
            <w:r>
              <w:rPr>
                <w:rFonts w:hint="eastAsia"/>
                <w:sz w:val="24"/>
              </w:rPr>
              <w:t>40000</w:t>
            </w:r>
            <w:r>
              <w:rPr>
                <w:sz w:val="24"/>
              </w:rPr>
              <w:t>m</w:t>
            </w:r>
            <w:r>
              <w:rPr>
                <w:sz w:val="24"/>
                <w:vertAlign w:val="superscript"/>
              </w:rPr>
              <w:t>2</w:t>
            </w:r>
            <w:r>
              <w:rPr>
                <w:sz w:val="24"/>
              </w:rPr>
              <w:t>，</w:t>
            </w:r>
            <w:r>
              <w:rPr>
                <w:rFonts w:hint="eastAsia"/>
                <w:sz w:val="24"/>
              </w:rPr>
              <w:t>共设地下两层，</w:t>
            </w:r>
            <w:r>
              <w:rPr>
                <w:sz w:val="24"/>
              </w:rPr>
              <w:t>高</w:t>
            </w:r>
            <w:r>
              <w:rPr>
                <w:rFonts w:hint="eastAsia"/>
                <w:sz w:val="24"/>
              </w:rPr>
              <w:t>约7</w:t>
            </w:r>
            <w:r>
              <w:rPr>
                <w:sz w:val="24"/>
              </w:rPr>
              <w:t>m，</w:t>
            </w:r>
            <w:r>
              <w:rPr>
                <w:rFonts w:hint="eastAsia"/>
                <w:sz w:val="24"/>
              </w:rPr>
              <w:t>则</w:t>
            </w:r>
            <w:r>
              <w:rPr>
                <w:sz w:val="24"/>
              </w:rPr>
              <w:t>挖方量共计约</w:t>
            </w:r>
            <w:r>
              <w:rPr>
                <w:rFonts w:hint="eastAsia"/>
                <w:sz w:val="24"/>
              </w:rPr>
              <w:t>28万</w:t>
            </w:r>
            <w:r>
              <w:rPr>
                <w:sz w:val="24"/>
              </w:rPr>
              <w:t>m</w:t>
            </w:r>
            <w:r>
              <w:rPr>
                <w:sz w:val="24"/>
                <w:vertAlign w:val="superscript"/>
              </w:rPr>
              <w:t>3</w:t>
            </w:r>
            <w:r>
              <w:rPr>
                <w:rFonts w:hint="eastAsia"/>
                <w:sz w:val="24"/>
              </w:rPr>
              <w:t>，挖方用于景观覆土1m（覆土面积按绿地面积10107.2</w:t>
            </w:r>
            <w:r>
              <w:rPr>
                <w:sz w:val="24"/>
              </w:rPr>
              <w:t>m</w:t>
            </w:r>
            <w:r>
              <w:rPr>
                <w:sz w:val="24"/>
                <w:vertAlign w:val="superscript"/>
              </w:rPr>
              <w:t>2</w:t>
            </w:r>
            <w:r>
              <w:rPr>
                <w:rFonts w:hint="eastAsia"/>
                <w:sz w:val="24"/>
              </w:rPr>
              <w:t>计），需求土方量约3.32</w:t>
            </w:r>
            <w:r>
              <w:rPr>
                <w:sz w:val="24"/>
              </w:rPr>
              <w:t>万m</w:t>
            </w:r>
            <w:r>
              <w:rPr>
                <w:sz w:val="24"/>
                <w:vertAlign w:val="superscript"/>
              </w:rPr>
              <w:t>3</w:t>
            </w:r>
            <w:r>
              <w:rPr>
                <w:sz w:val="24"/>
              </w:rPr>
              <w:t>，</w:t>
            </w:r>
            <w:r>
              <w:rPr>
                <w:rFonts w:hint="eastAsia"/>
                <w:sz w:val="24"/>
              </w:rPr>
              <w:t>因此本项目产生余土量约27.09</w:t>
            </w:r>
            <w:r>
              <w:rPr>
                <w:sz w:val="24"/>
              </w:rPr>
              <w:t>万m</w:t>
            </w:r>
            <w:r>
              <w:rPr>
                <w:sz w:val="24"/>
                <w:vertAlign w:val="superscript"/>
              </w:rPr>
              <w:t>3</w:t>
            </w:r>
            <w:r>
              <w:rPr>
                <w:rFonts w:hint="eastAsia"/>
                <w:sz w:val="24"/>
              </w:rPr>
              <w:t>；</w:t>
            </w:r>
            <w:r>
              <w:rPr>
                <w:sz w:val="24"/>
              </w:rPr>
              <w:t>施工人员</w:t>
            </w:r>
            <w:r>
              <w:rPr>
                <w:rFonts w:hint="eastAsia"/>
                <w:sz w:val="24"/>
              </w:rPr>
              <w:t>约50人，</w:t>
            </w:r>
            <w:r>
              <w:rPr>
                <w:sz w:val="24"/>
              </w:rPr>
              <w:t>生活垃圾按0.5kg/d·人</w:t>
            </w:r>
            <w:r>
              <w:rPr>
                <w:rFonts w:hint="eastAsia"/>
                <w:sz w:val="24"/>
              </w:rPr>
              <w:t>计</w:t>
            </w:r>
            <w:r>
              <w:rPr>
                <w:sz w:val="24"/>
              </w:rPr>
              <w:t>算，施工生活垃圾产生量为10kg/d。</w:t>
            </w:r>
          </w:p>
          <w:p>
            <w:pPr>
              <w:spacing w:line="360" w:lineRule="auto"/>
              <w:ind w:firstLine="480" w:firstLineChars="200"/>
              <w:rPr>
                <w:rFonts w:ascii="宋体" w:hAnsi="宋体"/>
                <w:b/>
                <w:bCs/>
                <w:sz w:val="24"/>
              </w:rPr>
            </w:pPr>
            <w:r>
              <w:rPr>
                <w:rFonts w:ascii="宋体" w:hAnsi="宋体" w:hint="eastAsia"/>
                <w:b/>
                <w:bCs/>
                <w:sz w:val="24"/>
              </w:rPr>
              <w:t>（</w:t>
            </w:r>
            <w:r>
              <w:rPr>
                <w:rFonts w:ascii="宋体" w:hAnsi="宋体"/>
                <w:b/>
                <w:bCs/>
                <w:sz w:val="24"/>
              </w:rPr>
              <w:t>4</w:t>
            </w:r>
            <w:r>
              <w:rPr>
                <w:rFonts w:ascii="宋体" w:hAnsi="宋体" w:hint="eastAsia"/>
                <w:b/>
                <w:bCs/>
                <w:sz w:val="24"/>
              </w:rPr>
              <w:t>）</w:t>
            </w:r>
            <w:r>
              <w:rPr>
                <w:rFonts w:ascii="宋体" w:hAnsi="宋体"/>
                <w:b/>
                <w:bCs/>
                <w:sz w:val="24"/>
              </w:rPr>
              <w:t>噪声</w:t>
            </w:r>
          </w:p>
          <w:p>
            <w:pPr>
              <w:spacing w:line="360" w:lineRule="auto"/>
              <w:ind w:firstLine="480" w:firstLineChars="200"/>
              <w:rPr>
                <w:sz w:val="24"/>
              </w:rPr>
            </w:pPr>
            <w:r>
              <w:rPr>
                <w:sz w:val="24"/>
              </w:rPr>
              <w:t>项目施工期间将使用打桩机、搅拌机、混凝土振捣机、电锯、电钻、车辆等施工机械和运输机械，在运行中将产生噪声，噪声源约为80～110dB(A)，特点为突发性和间歇性。</w:t>
            </w:r>
          </w:p>
          <w:p>
            <w:pPr>
              <w:spacing w:line="360" w:lineRule="auto"/>
              <w:ind w:firstLine="480" w:firstLineChars="200"/>
              <w:rPr>
                <w:rFonts w:ascii="宋体" w:hAnsi="宋体"/>
                <w:b/>
                <w:bCs/>
                <w:sz w:val="24"/>
              </w:rPr>
            </w:pPr>
            <w:r>
              <w:rPr>
                <w:rFonts w:ascii="宋体" w:hAnsi="宋体" w:hint="eastAsia"/>
                <w:b/>
                <w:bCs/>
                <w:sz w:val="24"/>
              </w:rPr>
              <w:t>（</w:t>
            </w:r>
            <w:r>
              <w:rPr>
                <w:rFonts w:ascii="宋体" w:hAnsi="宋体"/>
                <w:b/>
                <w:bCs/>
                <w:sz w:val="24"/>
              </w:rPr>
              <w:t>5</w:t>
            </w:r>
            <w:r>
              <w:rPr>
                <w:rFonts w:ascii="宋体" w:hAnsi="宋体" w:hint="eastAsia"/>
                <w:b/>
                <w:bCs/>
                <w:sz w:val="24"/>
              </w:rPr>
              <w:t>）</w:t>
            </w:r>
            <w:r>
              <w:rPr>
                <w:rFonts w:ascii="宋体" w:hAnsi="宋体"/>
                <w:b/>
                <w:bCs/>
                <w:sz w:val="24"/>
              </w:rPr>
              <w:t>生态环境</w:t>
            </w:r>
          </w:p>
          <w:p>
            <w:pPr>
              <w:spacing w:line="360" w:lineRule="auto"/>
              <w:ind w:firstLine="480" w:firstLineChars="200"/>
              <w:rPr>
                <w:rFonts w:ascii="宋体" w:hAnsi="宋体"/>
                <w:sz w:val="24"/>
              </w:rPr>
            </w:pPr>
            <w:r>
              <w:rPr>
                <w:rFonts w:ascii="宋体" w:hAnsi="宋体"/>
                <w:bCs/>
                <w:sz w:val="24"/>
              </w:rPr>
              <w:t>项目</w:t>
            </w:r>
            <w:r>
              <w:rPr>
                <w:rFonts w:ascii="宋体" w:hAnsi="宋体" w:hint="eastAsia"/>
                <w:bCs/>
                <w:sz w:val="24"/>
              </w:rPr>
              <w:t>位于</w:t>
            </w:r>
            <w:r>
              <w:rPr>
                <w:rFonts w:hint="eastAsia"/>
                <w:sz w:val="24"/>
                <w:szCs w:val="24"/>
              </w:rPr>
              <w:t>抚州市迎宾</w:t>
            </w:r>
            <w:r>
              <w:rPr>
                <w:rFonts w:ascii="宋体" w:hAnsi="Arial" w:hint="eastAsia"/>
                <w:sz w:val="24"/>
                <w:szCs w:val="24"/>
              </w:rPr>
              <w:t>大道以南、曾巩大道以东地块</w:t>
            </w:r>
            <w:r>
              <w:rPr>
                <w:rFonts w:ascii="宋体" w:hAnsi="宋体" w:hint="eastAsia"/>
                <w:bCs/>
                <w:sz w:val="24"/>
              </w:rPr>
              <w:t>，用地</w:t>
            </w:r>
            <w:r>
              <w:rPr>
                <w:rFonts w:ascii="宋体" w:hAnsi="宋体"/>
                <w:bCs/>
                <w:sz w:val="24"/>
              </w:rPr>
              <w:t>区域</w:t>
            </w:r>
            <w:r>
              <w:rPr>
                <w:rFonts w:ascii="宋体" w:hAnsi="宋体" w:hint="eastAsia"/>
                <w:bCs/>
                <w:sz w:val="24"/>
              </w:rPr>
              <w:t>目前以空地为主</w:t>
            </w:r>
            <w:r>
              <w:rPr>
                <w:rFonts w:ascii="宋体" w:hAnsi="宋体"/>
                <w:sz w:val="24"/>
              </w:rPr>
              <w:t>。施工期间，在地基开挖、弃土堆置区都不可避免地会改变原有地形地貌，雨季会造成一定程度的水土流失。</w:t>
            </w:r>
          </w:p>
          <w:p>
            <w:pPr>
              <w:spacing w:line="360" w:lineRule="auto"/>
              <w:ind w:firstLine="480" w:firstLineChars="200"/>
              <w:rPr>
                <w:rFonts w:ascii="宋体" w:hAnsi="宋体"/>
                <w:sz w:val="24"/>
              </w:rPr>
            </w:pPr>
          </w:p>
          <w:p>
            <w:pPr>
              <w:spacing w:line="360" w:lineRule="auto"/>
              <w:rPr>
                <w:rFonts w:ascii="宋体" w:hAnsi="宋体" w:hint="eastAsia"/>
                <w:sz w:val="24"/>
              </w:rPr>
            </w:pPr>
          </w:p>
        </w:tc>
      </w:tr>
    </w:tbl>
    <w:p>
      <w:pPr>
        <w:sectPr>
          <w:footerReference w:type="even" r:id="rId64"/>
          <w:footerReference w:type="default" r:id="rId65"/>
          <w:footerReference w:type="first" r:id="rId66"/>
          <w:type w:val="nextPage"/>
          <w:pgSz w:w="11906" w:h="16838"/>
          <w:pgMar w:top="1134" w:right="1418" w:bottom="1134" w:left="1418" w:header="851" w:footer="992" w:gutter="0"/>
          <w:pgNumType w:start="21"/>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CellMar>
          <w:top w:w="0" w:type="dxa"/>
          <w:left w:w="0" w:type="dxa"/>
          <w:bottom w:w="0" w:type="dxa"/>
          <w:right w:w="0" w:type="dxa"/>
        </w:tblCellMar>
        <w:tblLook w:val="0000"/>
      </w:tblPr>
      <w:tblGrid>
        <w:gridCol w:w="9072"/>
      </w:tblGrid>
      <w:tr>
        <w:tblPrEx>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CellMar>
            <w:top w:w="0" w:type="dxa"/>
            <w:left w:w="0" w:type="dxa"/>
            <w:bottom w:w="0" w:type="dxa"/>
            <w:right w:w="0" w:type="dxa"/>
          </w:tblCellMar>
          <w:tblLook w:val="0000"/>
        </w:tblPrEx>
        <w:trPr>
          <w:trHeight w:val="7108"/>
          <w:jc w:val="center"/>
        </w:trPr>
        <w:tc>
          <w:tcPr>
            <w:tcW w:w="9072" w:type="dxa"/>
          </w:tcPr>
          <w:p>
            <w:pPr>
              <w:adjustRightInd w:val="0"/>
              <w:snapToGrid w:val="0"/>
              <w:spacing w:line="360" w:lineRule="auto"/>
              <w:rPr>
                <w:b/>
                <w:sz w:val="24"/>
              </w:rPr>
            </w:pPr>
            <w:r>
              <w:rPr>
                <w:rFonts w:hint="eastAsia"/>
                <w:b/>
                <w:sz w:val="24"/>
              </w:rPr>
              <w:t xml:space="preserve">    </w:t>
            </w:r>
            <w:r>
              <w:rPr>
                <w:b/>
                <w:sz w:val="24"/>
              </w:rPr>
              <w:t>二、营运期</w:t>
            </w:r>
            <w:r>
              <w:rPr>
                <w:rFonts w:hint="eastAsia"/>
                <w:b/>
                <w:sz w:val="24"/>
              </w:rPr>
              <w:t>主要环境问题</w:t>
            </w:r>
          </w:p>
          <w:p>
            <w:pPr>
              <w:tabs>
                <w:tab w:val="left" w:pos="425"/>
              </w:tabs>
              <w:adjustRightInd w:val="0"/>
              <w:snapToGrid w:val="0"/>
              <w:spacing w:line="360" w:lineRule="auto"/>
              <w:ind w:firstLine="480" w:firstLineChars="200"/>
              <w:rPr>
                <w:b/>
                <w:sz w:val="24"/>
                <w:szCs w:val="24"/>
              </w:rPr>
            </w:pPr>
            <w:r>
              <w:rPr>
                <w:b/>
                <w:sz w:val="24"/>
                <w:szCs w:val="24"/>
              </w:rPr>
              <w:t>1、</w:t>
            </w:r>
            <w:r>
              <w:rPr>
                <w:rFonts w:hint="eastAsia"/>
                <w:b/>
                <w:sz w:val="24"/>
                <w:szCs w:val="24"/>
              </w:rPr>
              <w:t>废气</w:t>
            </w:r>
          </w:p>
          <w:p>
            <w:pPr>
              <w:tabs>
                <w:tab w:val="left" w:pos="425"/>
              </w:tabs>
              <w:adjustRightInd w:val="0"/>
              <w:snapToGrid w:val="0"/>
              <w:spacing w:line="360" w:lineRule="auto"/>
              <w:ind w:firstLine="480" w:firstLineChars="200"/>
              <w:rPr>
                <w:sz w:val="24"/>
                <w:szCs w:val="24"/>
              </w:rPr>
            </w:pPr>
            <w:r>
              <w:rPr>
                <w:sz w:val="24"/>
                <w:szCs w:val="24"/>
              </w:rPr>
              <w:t>项目</w:t>
            </w:r>
            <w:r>
              <w:rPr>
                <w:rFonts w:hint="eastAsia"/>
                <w:sz w:val="24"/>
                <w:szCs w:val="24"/>
              </w:rPr>
              <w:t>营运期</w:t>
            </w:r>
            <w:r>
              <w:rPr>
                <w:sz w:val="24"/>
                <w:szCs w:val="24"/>
              </w:rPr>
              <w:t>大气污染物主要</w:t>
            </w:r>
            <w:r>
              <w:rPr>
                <w:rFonts w:hint="eastAsia"/>
                <w:sz w:val="24"/>
                <w:szCs w:val="24"/>
              </w:rPr>
              <w:t>为</w:t>
            </w:r>
            <w:r>
              <w:rPr>
                <w:sz w:val="24"/>
                <w:szCs w:val="24"/>
              </w:rPr>
              <w:t>项目内停车场机动车尾气</w:t>
            </w:r>
            <w:r>
              <w:rPr>
                <w:rFonts w:hint="eastAsia"/>
                <w:sz w:val="24"/>
                <w:szCs w:val="24"/>
              </w:rPr>
              <w:t>、员工餐厅及餐饮业油烟废气、天然气燃烧废气和应急电源柴油发电机组烟气。</w:t>
            </w:r>
          </w:p>
          <w:p>
            <w:pPr>
              <w:numPr>
                <w:ilvl w:val="0"/>
                <w:numId w:val="5"/>
              </w:numPr>
              <w:adjustRightInd w:val="0"/>
              <w:snapToGrid w:val="0"/>
              <w:spacing w:line="360" w:lineRule="auto"/>
              <w:ind w:firstLine="480" w:firstLineChars="200"/>
              <w:rPr>
                <w:bCs/>
                <w:spacing w:val="6"/>
                <w:sz w:val="24"/>
              </w:rPr>
            </w:pPr>
            <w:r>
              <w:rPr>
                <w:bCs/>
                <w:spacing w:val="6"/>
                <w:sz w:val="24"/>
              </w:rPr>
              <w:t>停车场机动车尾气</w:t>
            </w:r>
            <w:bookmarkStart w:id="16" w:name="OLE_LINK3"/>
          </w:p>
          <w:p>
            <w:pPr>
              <w:adjustRightInd w:val="0"/>
              <w:snapToGrid w:val="0"/>
              <w:spacing w:line="360" w:lineRule="auto"/>
              <w:rPr>
                <w:sz w:val="24"/>
              </w:rPr>
            </w:pPr>
            <w:r>
              <w:rPr>
                <w:rFonts w:hint="eastAsia"/>
                <w:sz w:val="24"/>
              </w:rPr>
              <w:t xml:space="preserve">    本项目总计机动车停车位801个，其中地上机动车停车位50个，地下车库停车位751个，地下车库分布于地下一层和地下二层，每</w:t>
            </w:r>
            <w:r>
              <w:rPr>
                <w:sz w:val="24"/>
              </w:rPr>
              <w:t>层车库高</w:t>
            </w:r>
            <w:r>
              <w:rPr>
                <w:rFonts w:hint="eastAsia"/>
                <w:sz w:val="24"/>
              </w:rPr>
              <w:t>3</w:t>
            </w:r>
            <w:r>
              <w:rPr>
                <w:sz w:val="24"/>
              </w:rPr>
              <w:t>m，</w:t>
            </w:r>
            <w:r>
              <w:rPr>
                <w:rFonts w:hint="eastAsia"/>
                <w:sz w:val="24"/>
                <w:szCs w:val="24"/>
              </w:rPr>
              <w:t>合计总</w:t>
            </w:r>
            <w:r>
              <w:rPr>
                <w:sz w:val="24"/>
                <w:szCs w:val="24"/>
              </w:rPr>
              <w:t>面积</w:t>
            </w:r>
            <w:r>
              <w:rPr>
                <w:rFonts w:hint="eastAsia"/>
                <w:sz w:val="24"/>
                <w:szCs w:val="24"/>
              </w:rPr>
              <w:t>40049.25m</w:t>
            </w:r>
            <w:r>
              <w:rPr>
                <w:rFonts w:hint="eastAsia"/>
                <w:sz w:val="24"/>
                <w:szCs w:val="24"/>
                <w:vertAlign w:val="superscript"/>
              </w:rPr>
              <w:t>2</w:t>
            </w:r>
            <w:r>
              <w:rPr>
                <w:sz w:val="24"/>
                <w:szCs w:val="24"/>
              </w:rPr>
              <w:t>。</w:t>
            </w:r>
            <w:r>
              <w:rPr>
                <w:rFonts w:hint="eastAsia"/>
                <w:sz w:val="24"/>
              </w:rPr>
              <w:t>地下一层设停</w:t>
            </w:r>
            <w:r>
              <w:rPr>
                <w:rFonts w:hint="eastAsia"/>
                <w:sz w:val="24"/>
                <w:szCs w:val="24"/>
              </w:rPr>
              <w:t>车位461辆，总</w:t>
            </w:r>
            <w:r>
              <w:rPr>
                <w:sz w:val="24"/>
                <w:szCs w:val="24"/>
              </w:rPr>
              <w:t>面积</w:t>
            </w:r>
            <w:r>
              <w:rPr>
                <w:rFonts w:hint="eastAsia"/>
                <w:sz w:val="24"/>
                <w:szCs w:val="24"/>
              </w:rPr>
              <w:t>24941.31m</w:t>
            </w:r>
            <w:r>
              <w:rPr>
                <w:rFonts w:hint="eastAsia"/>
                <w:sz w:val="24"/>
                <w:szCs w:val="24"/>
                <w:vertAlign w:val="superscript"/>
              </w:rPr>
              <w:t>2</w:t>
            </w:r>
            <w:r>
              <w:rPr>
                <w:rFonts w:hint="eastAsia"/>
                <w:sz w:val="24"/>
                <w:szCs w:val="24"/>
              </w:rPr>
              <w:t>；地下二层设停车位290辆，总</w:t>
            </w:r>
            <w:r>
              <w:rPr>
                <w:sz w:val="24"/>
                <w:szCs w:val="24"/>
              </w:rPr>
              <w:t>面积</w:t>
            </w:r>
            <w:r>
              <w:rPr>
                <w:rFonts w:hint="eastAsia"/>
                <w:sz w:val="24"/>
                <w:szCs w:val="24"/>
              </w:rPr>
              <w:t>15107.94m</w:t>
            </w:r>
            <w:r>
              <w:rPr>
                <w:rFonts w:hint="eastAsia"/>
                <w:sz w:val="24"/>
                <w:szCs w:val="24"/>
                <w:vertAlign w:val="superscript"/>
              </w:rPr>
              <w:t>2</w:t>
            </w:r>
            <w:r>
              <w:rPr>
                <w:rFonts w:hint="eastAsia"/>
                <w:sz w:val="24"/>
                <w:szCs w:val="24"/>
              </w:rPr>
              <w:t>；</w:t>
            </w:r>
            <w:r>
              <w:rPr>
                <w:sz w:val="24"/>
                <w:szCs w:val="24"/>
              </w:rPr>
              <w:t>地下车库</w:t>
            </w:r>
            <w:r>
              <w:rPr>
                <w:rFonts w:hint="eastAsia"/>
                <w:sz w:val="24"/>
                <w:szCs w:val="24"/>
              </w:rPr>
              <w:t>换气方式采用全面通</w:t>
            </w:r>
            <w:r>
              <w:rPr>
                <w:rFonts w:hint="eastAsia"/>
                <w:sz w:val="24"/>
              </w:rPr>
              <w:t>风方式，</w:t>
            </w:r>
            <w:r>
              <w:rPr>
                <w:sz w:val="24"/>
              </w:rPr>
              <w:t>换气频率为6次每小时。</w:t>
            </w:r>
          </w:p>
          <w:p>
            <w:pPr>
              <w:spacing w:line="360" w:lineRule="auto"/>
              <w:ind w:firstLine="480" w:firstLineChars="200"/>
              <w:rPr>
                <w:rFonts w:hint="eastAsia"/>
                <w:sz w:val="24"/>
              </w:rPr>
            </w:pPr>
            <w:bookmarkEnd w:id="16"/>
            <w:r>
              <w:rPr>
                <w:sz w:val="24"/>
              </w:rPr>
              <w:t>根据《环境保护实用数据手册》和《大气污染物分析》等资料，汽车燃油污染物排放系数如表</w:t>
            </w:r>
            <w:r>
              <w:rPr>
                <w:rFonts w:hint="eastAsia"/>
                <w:sz w:val="24"/>
              </w:rPr>
              <w:t>14</w:t>
            </w:r>
            <w:r>
              <w:rPr>
                <w:sz w:val="24"/>
              </w:rPr>
              <w:t>所示。</w:t>
            </w:r>
          </w:p>
          <w:p>
            <w:pPr>
              <w:spacing w:line="360" w:lineRule="auto"/>
              <w:ind w:firstLine="480" w:firstLineChars="200"/>
              <w:jc w:val="center"/>
              <w:rPr>
                <w:b/>
                <w:sz w:val="24"/>
              </w:rPr>
            </w:pPr>
            <w:r>
              <w:rPr>
                <w:b/>
                <w:sz w:val="24"/>
              </w:rPr>
              <w:t>表</w:t>
            </w:r>
            <w:r>
              <w:rPr>
                <w:rFonts w:hint="eastAsia"/>
                <w:b/>
                <w:sz w:val="24"/>
              </w:rPr>
              <w:t>14</w:t>
            </w:r>
            <w:r>
              <w:rPr>
                <w:b/>
                <w:sz w:val="24"/>
              </w:rPr>
              <w:t xml:space="preserve">  汽车燃油污染物排放系数</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38"/>
              <w:gridCol w:w="3443"/>
              <w:gridCol w:w="4184"/>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379"/>
                <w:jc w:val="center"/>
              </w:trPr>
              <w:tc>
                <w:tcPr>
                  <w:tcW w:w="1138" w:type="dxa"/>
                  <w:vAlign w:val="center"/>
                </w:tcPr>
                <w:p>
                  <w:pPr>
                    <w:jc w:val="center"/>
                    <w:rPr>
                      <w:b/>
                      <w:bCs/>
                      <w:kern w:val="10"/>
                      <w:sz w:val="21"/>
                      <w:szCs w:val="21"/>
                    </w:rPr>
                  </w:pPr>
                  <w:r>
                    <w:rPr>
                      <w:b/>
                      <w:bCs/>
                      <w:kern w:val="10"/>
                      <w:sz w:val="21"/>
                      <w:szCs w:val="21"/>
                    </w:rPr>
                    <w:t>序号</w:t>
                  </w:r>
                </w:p>
              </w:tc>
              <w:tc>
                <w:tcPr>
                  <w:tcW w:w="3443" w:type="dxa"/>
                  <w:vAlign w:val="center"/>
                </w:tcPr>
                <w:p>
                  <w:pPr>
                    <w:jc w:val="center"/>
                    <w:rPr>
                      <w:b/>
                      <w:bCs/>
                      <w:kern w:val="10"/>
                      <w:sz w:val="21"/>
                      <w:szCs w:val="21"/>
                    </w:rPr>
                  </w:pPr>
                  <w:r>
                    <w:rPr>
                      <w:b/>
                      <w:bCs/>
                      <w:kern w:val="10"/>
                      <w:sz w:val="21"/>
                      <w:szCs w:val="21"/>
                    </w:rPr>
                    <w:t>污染物</w:t>
                  </w:r>
                </w:p>
              </w:tc>
              <w:tc>
                <w:tcPr>
                  <w:tcW w:w="4184" w:type="dxa"/>
                  <w:vAlign w:val="center"/>
                </w:tcPr>
                <w:p>
                  <w:pPr>
                    <w:ind w:firstLine="420" w:firstLineChars="200"/>
                    <w:jc w:val="center"/>
                    <w:rPr>
                      <w:b/>
                      <w:bCs/>
                      <w:kern w:val="10"/>
                      <w:sz w:val="21"/>
                      <w:szCs w:val="21"/>
                    </w:rPr>
                  </w:pPr>
                  <w:r>
                    <w:rPr>
                      <w:b/>
                      <w:bCs/>
                      <w:kern w:val="10"/>
                      <w:sz w:val="21"/>
                      <w:szCs w:val="21"/>
                    </w:rPr>
                    <w:t>以汽油为燃料（g/L）</w:t>
                  </w:r>
                </w:p>
              </w:tc>
            </w:tr>
            <w:tr>
              <w:tblPrEx>
                <w:jc w:val="center"/>
                <w:tblInd w:w="123" w:type="dxa"/>
                <w:tblLayout w:type="fixed"/>
                <w:tblCellMar>
                  <w:top w:w="0" w:type="dxa"/>
                  <w:left w:w="108" w:type="dxa"/>
                  <w:bottom w:w="0" w:type="dxa"/>
                  <w:right w:w="108" w:type="dxa"/>
                </w:tblCellMar>
                <w:tblLook w:val="0000"/>
              </w:tblPrEx>
              <w:trPr>
                <w:cantSplit/>
                <w:trHeight w:val="379"/>
                <w:jc w:val="center"/>
              </w:trPr>
              <w:tc>
                <w:tcPr>
                  <w:tcW w:w="1138" w:type="dxa"/>
                  <w:vAlign w:val="center"/>
                </w:tcPr>
                <w:p>
                  <w:pPr>
                    <w:jc w:val="center"/>
                    <w:rPr>
                      <w:kern w:val="10"/>
                      <w:sz w:val="21"/>
                      <w:szCs w:val="21"/>
                    </w:rPr>
                  </w:pPr>
                  <w:r>
                    <w:rPr>
                      <w:kern w:val="10"/>
                      <w:sz w:val="21"/>
                      <w:szCs w:val="21"/>
                    </w:rPr>
                    <w:t>1</w:t>
                  </w:r>
                </w:p>
              </w:tc>
              <w:tc>
                <w:tcPr>
                  <w:tcW w:w="3443" w:type="dxa"/>
                  <w:vAlign w:val="center"/>
                </w:tcPr>
                <w:p>
                  <w:pPr>
                    <w:jc w:val="center"/>
                    <w:rPr>
                      <w:kern w:val="10"/>
                      <w:sz w:val="21"/>
                      <w:szCs w:val="21"/>
                    </w:rPr>
                  </w:pPr>
                  <w:r>
                    <w:rPr>
                      <w:kern w:val="10"/>
                      <w:sz w:val="21"/>
                      <w:szCs w:val="21"/>
                    </w:rPr>
                    <w:t>CO</w:t>
                  </w:r>
                </w:p>
              </w:tc>
              <w:tc>
                <w:tcPr>
                  <w:tcW w:w="4184" w:type="dxa"/>
                  <w:vAlign w:val="center"/>
                </w:tcPr>
                <w:p>
                  <w:pPr>
                    <w:ind w:firstLine="32" w:firstLineChars="15"/>
                    <w:jc w:val="center"/>
                    <w:rPr>
                      <w:kern w:val="10"/>
                      <w:sz w:val="21"/>
                      <w:szCs w:val="21"/>
                    </w:rPr>
                  </w:pPr>
                  <w:r>
                    <w:rPr>
                      <w:kern w:val="10"/>
                      <w:sz w:val="21"/>
                      <w:szCs w:val="21"/>
                    </w:rPr>
                    <w:t>169.0</w:t>
                  </w:r>
                </w:p>
              </w:tc>
            </w:tr>
            <w:tr>
              <w:tblPrEx>
                <w:jc w:val="center"/>
                <w:tblInd w:w="123" w:type="dxa"/>
                <w:tblLayout w:type="fixed"/>
                <w:tblCellMar>
                  <w:top w:w="0" w:type="dxa"/>
                  <w:left w:w="108" w:type="dxa"/>
                  <w:bottom w:w="0" w:type="dxa"/>
                  <w:right w:w="108" w:type="dxa"/>
                </w:tblCellMar>
                <w:tblLook w:val="0000"/>
              </w:tblPrEx>
              <w:trPr>
                <w:cantSplit/>
                <w:trHeight w:val="394"/>
                <w:jc w:val="center"/>
              </w:trPr>
              <w:tc>
                <w:tcPr>
                  <w:tcW w:w="1138" w:type="dxa"/>
                  <w:vAlign w:val="center"/>
                </w:tcPr>
                <w:p>
                  <w:pPr>
                    <w:jc w:val="center"/>
                    <w:rPr>
                      <w:kern w:val="10"/>
                      <w:sz w:val="21"/>
                      <w:szCs w:val="21"/>
                    </w:rPr>
                  </w:pPr>
                  <w:r>
                    <w:rPr>
                      <w:kern w:val="10"/>
                      <w:sz w:val="21"/>
                      <w:szCs w:val="21"/>
                    </w:rPr>
                    <w:t>2</w:t>
                  </w:r>
                </w:p>
              </w:tc>
              <w:tc>
                <w:tcPr>
                  <w:tcW w:w="3443" w:type="dxa"/>
                  <w:vAlign w:val="center"/>
                </w:tcPr>
                <w:p>
                  <w:pPr>
                    <w:jc w:val="center"/>
                    <w:rPr>
                      <w:kern w:val="10"/>
                      <w:sz w:val="21"/>
                      <w:szCs w:val="21"/>
                    </w:rPr>
                  </w:pPr>
                  <w:r>
                    <w:rPr>
                      <w:kern w:val="10"/>
                      <w:sz w:val="21"/>
                      <w:szCs w:val="21"/>
                    </w:rPr>
                    <w:t>NO</w:t>
                  </w:r>
                  <w:r>
                    <w:rPr>
                      <w:kern w:val="10"/>
                      <w:sz w:val="21"/>
                      <w:szCs w:val="21"/>
                      <w:vertAlign w:val="subscript"/>
                    </w:rPr>
                    <w:t>x</w:t>
                  </w:r>
                </w:p>
              </w:tc>
              <w:tc>
                <w:tcPr>
                  <w:tcW w:w="4184" w:type="dxa"/>
                  <w:vAlign w:val="center"/>
                </w:tcPr>
                <w:p>
                  <w:pPr>
                    <w:ind w:firstLine="32" w:firstLineChars="15"/>
                    <w:jc w:val="center"/>
                    <w:rPr>
                      <w:kern w:val="10"/>
                      <w:sz w:val="21"/>
                      <w:szCs w:val="21"/>
                    </w:rPr>
                  </w:pPr>
                  <w:r>
                    <w:rPr>
                      <w:kern w:val="10"/>
                      <w:sz w:val="21"/>
                      <w:szCs w:val="21"/>
                    </w:rPr>
                    <w:t>21.1</w:t>
                  </w:r>
                </w:p>
              </w:tc>
            </w:tr>
            <w:tr>
              <w:tblPrEx>
                <w:jc w:val="center"/>
                <w:tblInd w:w="123" w:type="dxa"/>
                <w:tblLayout w:type="fixed"/>
                <w:tblCellMar>
                  <w:top w:w="0" w:type="dxa"/>
                  <w:left w:w="108" w:type="dxa"/>
                  <w:bottom w:w="0" w:type="dxa"/>
                  <w:right w:w="108" w:type="dxa"/>
                </w:tblCellMar>
                <w:tblLook w:val="0000"/>
              </w:tblPrEx>
              <w:trPr>
                <w:cantSplit/>
                <w:trHeight w:val="394"/>
                <w:jc w:val="center"/>
              </w:trPr>
              <w:tc>
                <w:tcPr>
                  <w:tcW w:w="1138" w:type="dxa"/>
                  <w:vAlign w:val="center"/>
                </w:tcPr>
                <w:p>
                  <w:pPr>
                    <w:jc w:val="center"/>
                    <w:rPr>
                      <w:kern w:val="10"/>
                      <w:sz w:val="21"/>
                      <w:szCs w:val="21"/>
                    </w:rPr>
                  </w:pPr>
                  <w:r>
                    <w:rPr>
                      <w:kern w:val="10"/>
                      <w:sz w:val="21"/>
                      <w:szCs w:val="21"/>
                    </w:rPr>
                    <w:t>3</w:t>
                  </w:r>
                </w:p>
              </w:tc>
              <w:tc>
                <w:tcPr>
                  <w:tcW w:w="3443" w:type="dxa"/>
                  <w:vAlign w:val="center"/>
                </w:tcPr>
                <w:p>
                  <w:pPr>
                    <w:jc w:val="center"/>
                    <w:rPr>
                      <w:kern w:val="10"/>
                      <w:sz w:val="21"/>
                      <w:szCs w:val="21"/>
                    </w:rPr>
                  </w:pPr>
                  <w:r>
                    <w:rPr>
                      <w:kern w:val="10"/>
                      <w:sz w:val="21"/>
                      <w:szCs w:val="21"/>
                    </w:rPr>
                    <w:t>THC</w:t>
                  </w:r>
                </w:p>
              </w:tc>
              <w:tc>
                <w:tcPr>
                  <w:tcW w:w="4184" w:type="dxa"/>
                  <w:vAlign w:val="center"/>
                </w:tcPr>
                <w:p>
                  <w:pPr>
                    <w:ind w:firstLine="32" w:firstLineChars="15"/>
                    <w:jc w:val="center"/>
                    <w:rPr>
                      <w:kern w:val="10"/>
                      <w:sz w:val="21"/>
                      <w:szCs w:val="21"/>
                    </w:rPr>
                  </w:pPr>
                  <w:r>
                    <w:rPr>
                      <w:kern w:val="10"/>
                      <w:sz w:val="21"/>
                      <w:szCs w:val="21"/>
                    </w:rPr>
                    <w:t>33.3</w:t>
                  </w:r>
                </w:p>
              </w:tc>
            </w:tr>
          </w:tbl>
          <w:p>
            <w:pPr>
              <w:spacing w:line="360" w:lineRule="auto"/>
              <w:ind w:firstLine="480" w:firstLineChars="200"/>
              <w:rPr>
                <w:sz w:val="24"/>
              </w:rPr>
            </w:pPr>
            <w:r>
              <w:rPr>
                <w:sz w:val="24"/>
              </w:rPr>
              <w:t>停车场的汽车尾气排放量与汽车在停车场内的运行时间和车流量有关。一般汽车出入停车</w:t>
            </w:r>
            <w:r>
              <w:rPr>
                <w:rFonts w:hint="eastAsia"/>
                <w:sz w:val="24"/>
              </w:rPr>
              <w:t>位</w:t>
            </w:r>
            <w:r>
              <w:rPr>
                <w:sz w:val="24"/>
              </w:rPr>
              <w:t>的行驶速度要求不大于5km/h，出入口到泊位的平均距离如按照</w:t>
            </w:r>
            <w:r>
              <w:rPr>
                <w:rFonts w:hint="eastAsia"/>
                <w:sz w:val="24"/>
              </w:rPr>
              <w:t>10</w:t>
            </w:r>
            <w:r>
              <w:rPr>
                <w:sz w:val="24"/>
              </w:rPr>
              <w:t>0m计算，汽车从出入口到泊位的运行时间约为</w:t>
            </w:r>
            <w:r>
              <w:rPr>
                <w:rFonts w:hint="eastAsia"/>
                <w:sz w:val="24"/>
              </w:rPr>
              <w:t>72</w:t>
            </w:r>
            <w:r>
              <w:rPr>
                <w:sz w:val="24"/>
              </w:rPr>
              <w:t>s；从汽车停在泊位至关闭发动机一般在1s</w:t>
            </w:r>
            <w:r>
              <w:rPr>
                <w:rFonts w:hint="eastAsia"/>
                <w:sz w:val="24"/>
              </w:rPr>
              <w:t>～</w:t>
            </w:r>
            <w:r>
              <w:rPr>
                <w:sz w:val="24"/>
              </w:rPr>
              <w:t>3s；而汽车从泊位启动至出车一般在3s-3min，平均约95s，故汽车出入停车场与在停车场内的运行时间约为1</w:t>
            </w:r>
            <w:r>
              <w:rPr>
                <w:rFonts w:hint="eastAsia"/>
                <w:sz w:val="24"/>
              </w:rPr>
              <w:t>70</w:t>
            </w:r>
            <w:r>
              <w:rPr>
                <w:sz w:val="24"/>
              </w:rPr>
              <w:t>s。车辆进出停车场的公里耗油量为0.20L/km，则每辆汽车进出停车场产生的废气污染物的量可由下式计算：</w:t>
            </w:r>
          </w:p>
          <w:p>
            <w:pPr>
              <w:spacing w:line="360" w:lineRule="auto"/>
              <w:ind w:firstLine="1200" w:firstLineChars="500"/>
              <w:rPr>
                <w:sz w:val="24"/>
                <w:lang w:val="de-DE"/>
              </w:rPr>
            </w:pPr>
            <w:r>
              <w:rPr>
                <w:sz w:val="24"/>
                <w:lang w:val="de-DE"/>
              </w:rPr>
              <w:t>g=f·M</w:t>
            </w:r>
          </w:p>
          <w:p>
            <w:pPr>
              <w:spacing w:line="360" w:lineRule="auto"/>
              <w:ind w:firstLine="480" w:firstLineChars="200"/>
              <w:rPr>
                <w:sz w:val="24"/>
                <w:lang w:val="de-DE"/>
              </w:rPr>
            </w:pPr>
            <w:r>
              <w:rPr>
                <w:sz w:val="24"/>
              </w:rPr>
              <w:t>其中</w:t>
            </w:r>
            <w:r>
              <w:rPr>
                <w:sz w:val="24"/>
                <w:lang w:val="de-DE"/>
              </w:rPr>
              <w:t>：M= m·t</w:t>
            </w:r>
          </w:p>
          <w:p>
            <w:pPr>
              <w:spacing w:line="360" w:lineRule="auto"/>
              <w:ind w:firstLine="480" w:firstLineChars="200"/>
              <w:rPr>
                <w:sz w:val="24"/>
              </w:rPr>
            </w:pPr>
            <w:r>
              <w:rPr>
                <w:sz w:val="24"/>
              </w:rPr>
              <w:t>式中：f—大气污染物排放系数（g/L汽油），具体见表</w:t>
            </w:r>
            <w:r>
              <w:rPr>
                <w:rFonts w:hint="eastAsia"/>
                <w:sz w:val="24"/>
              </w:rPr>
              <w:t>15</w:t>
            </w:r>
            <w:r>
              <w:rPr>
                <w:sz w:val="24"/>
              </w:rPr>
              <w:t>；</w:t>
            </w:r>
          </w:p>
          <w:p>
            <w:pPr>
              <w:spacing w:line="360" w:lineRule="auto"/>
              <w:ind w:firstLine="1212" w:firstLineChars="505"/>
              <w:rPr>
                <w:sz w:val="24"/>
              </w:rPr>
            </w:pPr>
            <w:r>
              <w:rPr>
                <w:sz w:val="24"/>
              </w:rPr>
              <w:t>M—每辆汽车进出停车场耗油量（L）；</w:t>
            </w:r>
          </w:p>
          <w:p>
            <w:pPr>
              <w:spacing w:line="360" w:lineRule="auto"/>
              <w:ind w:firstLine="1200" w:firstLineChars="500"/>
              <w:rPr>
                <w:sz w:val="24"/>
              </w:rPr>
            </w:pPr>
            <w:r>
              <w:rPr>
                <w:sz w:val="24"/>
              </w:rPr>
              <w:t>t—汽车出入停车场的运行时间总和，由上述分析可知，约为1</w:t>
            </w:r>
            <w:r>
              <w:rPr>
                <w:rFonts w:hint="eastAsia"/>
                <w:sz w:val="24"/>
              </w:rPr>
              <w:t>70</w:t>
            </w:r>
            <w:r>
              <w:rPr>
                <w:sz w:val="24"/>
              </w:rPr>
              <w:t>s；</w:t>
            </w:r>
          </w:p>
          <w:p>
            <w:pPr>
              <w:spacing w:after="0" w:line="360" w:lineRule="auto"/>
              <w:ind w:firstLine="1212" w:firstLineChars="505"/>
              <w:rPr>
                <w:sz w:val="24"/>
              </w:rPr>
            </w:pPr>
          </w:p>
        </w:tc>
      </w:tr>
    </w:tbl>
    <w:p>
      <w:pPr>
        <w:sectPr>
          <w:footerReference w:type="even" r:id="rId67"/>
          <w:footerReference w:type="default" r:id="rId68"/>
          <w:footerReference w:type="first" r:id="rId69"/>
          <w:type w:val="nextPage"/>
          <w:pgSz w:w="11906" w:h="16838"/>
          <w:pgMar w:top="1134" w:right="1418" w:bottom="1134" w:left="1418" w:header="851" w:footer="992" w:gutter="0"/>
          <w:pgNumType w:start="22"/>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CellMar>
          <w:top w:w="0" w:type="dxa"/>
          <w:left w:w="0" w:type="dxa"/>
          <w:bottom w:w="0" w:type="dxa"/>
          <w:right w:w="0" w:type="dxa"/>
        </w:tblCellMar>
        <w:tblLook w:val="0000"/>
      </w:tblPr>
      <w:tblGrid>
        <w:gridCol w:w="9072"/>
      </w:tblGrid>
      <w:tr>
        <w:tblPrEx>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CellMar>
            <w:top w:w="0" w:type="dxa"/>
            <w:left w:w="0" w:type="dxa"/>
            <w:bottom w:w="0" w:type="dxa"/>
            <w:right w:w="0" w:type="dxa"/>
          </w:tblCellMar>
          <w:tblLook w:val="0000"/>
        </w:tblPrEx>
        <w:trPr>
          <w:trHeight w:val="7108"/>
          <w:jc w:val="center"/>
        </w:trPr>
        <w:tc>
          <w:tcPr>
            <w:tcW w:w="9072" w:type="dxa"/>
          </w:tcPr>
          <w:p>
            <w:pPr>
              <w:spacing w:before="0" w:line="360" w:lineRule="auto"/>
              <w:ind w:firstLine="1212" w:firstLineChars="505"/>
              <w:rPr>
                <w:sz w:val="24"/>
              </w:rPr>
            </w:pPr>
            <w:r>
              <w:rPr>
                <w:sz w:val="24"/>
              </w:rPr>
              <w:t>m—车辆进出停车场的小时耗油量，公里耗油量约为0.20L/km，按照车速5km/h计算，可得m=1L/h。</w:t>
            </w:r>
          </w:p>
          <w:p>
            <w:pPr>
              <w:spacing w:line="360" w:lineRule="auto"/>
              <w:ind w:firstLine="480" w:firstLineChars="200"/>
              <w:rPr>
                <w:sz w:val="24"/>
              </w:rPr>
            </w:pPr>
            <w:r>
              <w:rPr>
                <w:sz w:val="24"/>
              </w:rPr>
              <w:t>由上式计算可知每辆汽车进出停车场一次耗油量为0.0</w:t>
            </w:r>
            <w:r>
              <w:rPr>
                <w:rFonts w:hint="eastAsia"/>
                <w:sz w:val="24"/>
              </w:rPr>
              <w:t>47</w:t>
            </w:r>
            <w:r>
              <w:rPr>
                <w:sz w:val="24"/>
              </w:rPr>
              <w:t>L（出入口到泊位的平均距离以</w:t>
            </w:r>
            <w:r>
              <w:rPr>
                <w:rFonts w:hint="eastAsia"/>
                <w:sz w:val="24"/>
              </w:rPr>
              <w:t>10</w:t>
            </w:r>
            <w:r>
              <w:rPr>
                <w:sz w:val="24"/>
              </w:rPr>
              <w:t>0m计），再乘以污染物排放系数，每辆汽车进出停车场一次产生的废气污染物CO、NO</w:t>
            </w:r>
            <w:r>
              <w:rPr>
                <w:sz w:val="24"/>
                <w:vertAlign w:val="subscript"/>
              </w:rPr>
              <w:t>x</w:t>
            </w:r>
            <w:r>
              <w:rPr>
                <w:sz w:val="24"/>
              </w:rPr>
              <w:t>、THC的量分别为</w:t>
            </w:r>
            <w:r>
              <w:rPr>
                <w:rFonts w:hint="eastAsia"/>
                <w:sz w:val="24"/>
              </w:rPr>
              <w:t>7.94</w:t>
            </w:r>
            <w:r>
              <w:rPr>
                <w:sz w:val="24"/>
              </w:rPr>
              <w:t>g、0.</w:t>
            </w:r>
            <w:r>
              <w:rPr>
                <w:rFonts w:hint="eastAsia"/>
                <w:sz w:val="24"/>
              </w:rPr>
              <w:t>9</w:t>
            </w:r>
            <w:r>
              <w:rPr>
                <w:sz w:val="24"/>
              </w:rPr>
              <w:t>9g、1.</w:t>
            </w:r>
            <w:r>
              <w:rPr>
                <w:rFonts w:hint="eastAsia"/>
                <w:sz w:val="24"/>
              </w:rPr>
              <w:t>57</w:t>
            </w:r>
            <w:r>
              <w:rPr>
                <w:sz w:val="24"/>
              </w:rPr>
              <w:t>g。</w:t>
            </w:r>
            <w:r>
              <w:rPr>
                <w:rFonts w:hint="eastAsia"/>
                <w:sz w:val="24"/>
              </w:rPr>
              <w:t>本项目地上停车位及地下车库</w:t>
            </w:r>
            <w:r>
              <w:rPr>
                <w:sz w:val="24"/>
              </w:rPr>
              <w:t>废气</w:t>
            </w:r>
            <w:r>
              <w:rPr>
                <w:rFonts w:hint="eastAsia"/>
                <w:sz w:val="24"/>
              </w:rPr>
              <w:t>产生</w:t>
            </w:r>
            <w:r>
              <w:rPr>
                <w:sz w:val="24"/>
              </w:rPr>
              <w:t>情况见表</w:t>
            </w:r>
            <w:r>
              <w:rPr>
                <w:rFonts w:hint="eastAsia"/>
                <w:sz w:val="24"/>
              </w:rPr>
              <w:t>15</w:t>
            </w:r>
            <w:r>
              <w:rPr>
                <w:sz w:val="24"/>
              </w:rPr>
              <w:t>。</w:t>
            </w:r>
          </w:p>
          <w:p>
            <w:pPr>
              <w:spacing w:line="360" w:lineRule="auto"/>
              <w:jc w:val="center"/>
              <w:rPr>
                <w:b/>
                <w:sz w:val="24"/>
              </w:rPr>
            </w:pPr>
            <w:r>
              <w:rPr>
                <w:b/>
                <w:sz w:val="24"/>
              </w:rPr>
              <w:t>表</w:t>
            </w:r>
            <w:r>
              <w:rPr>
                <w:rFonts w:hint="eastAsia"/>
                <w:b/>
                <w:sz w:val="24"/>
              </w:rPr>
              <w:t>15</w:t>
            </w:r>
            <w:r>
              <w:rPr>
                <w:b/>
                <w:sz w:val="24"/>
              </w:rPr>
              <w:t xml:space="preserve">  项目</w:t>
            </w:r>
            <w:r>
              <w:rPr>
                <w:rFonts w:hint="eastAsia"/>
                <w:b/>
                <w:sz w:val="24"/>
              </w:rPr>
              <w:t>停车场</w:t>
            </w:r>
            <w:r>
              <w:rPr>
                <w:b/>
                <w:sz w:val="24"/>
              </w:rPr>
              <w:t>汽车废气污染物产生情况</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35"/>
              <w:gridCol w:w="690"/>
              <w:gridCol w:w="750"/>
              <w:gridCol w:w="885"/>
              <w:gridCol w:w="928"/>
              <w:gridCol w:w="1251"/>
              <w:gridCol w:w="1408"/>
              <w:gridCol w:w="1155"/>
              <w:gridCol w:w="1063"/>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340"/>
                <w:jc w:val="center"/>
              </w:trPr>
              <w:tc>
                <w:tcPr>
                  <w:tcW w:w="2075" w:type="dxa"/>
                  <w:gridSpan w:val="3"/>
                  <w:vAlign w:val="center"/>
                </w:tcPr>
                <w:p>
                  <w:pPr>
                    <w:jc w:val="center"/>
                    <w:rPr>
                      <w:b/>
                      <w:bCs/>
                      <w:sz w:val="21"/>
                      <w:szCs w:val="21"/>
                    </w:rPr>
                  </w:pPr>
                  <w:r>
                    <w:rPr>
                      <w:b/>
                      <w:bCs/>
                      <w:sz w:val="21"/>
                      <w:szCs w:val="21"/>
                    </w:rPr>
                    <w:t>污染物产生量（g/辆）</w:t>
                  </w:r>
                </w:p>
              </w:tc>
              <w:tc>
                <w:tcPr>
                  <w:tcW w:w="885" w:type="dxa"/>
                  <w:vMerge w:val="restart"/>
                  <w:vAlign w:val="center"/>
                </w:tcPr>
                <w:p>
                  <w:pPr>
                    <w:jc w:val="center"/>
                    <w:rPr>
                      <w:rFonts w:hint="eastAsia"/>
                      <w:b/>
                      <w:bCs/>
                      <w:sz w:val="21"/>
                      <w:szCs w:val="21"/>
                    </w:rPr>
                  </w:pPr>
                  <w:r>
                    <w:rPr>
                      <w:rFonts w:hint="eastAsia"/>
                      <w:b/>
                      <w:bCs/>
                      <w:sz w:val="21"/>
                      <w:szCs w:val="21"/>
                    </w:rPr>
                    <w:t>停车</w:t>
                  </w:r>
                </w:p>
                <w:p>
                  <w:pPr>
                    <w:jc w:val="center"/>
                    <w:rPr>
                      <w:rFonts w:hint="eastAsia"/>
                      <w:b/>
                      <w:bCs/>
                      <w:sz w:val="21"/>
                      <w:szCs w:val="21"/>
                    </w:rPr>
                  </w:pPr>
                  <w:r>
                    <w:rPr>
                      <w:rFonts w:hint="eastAsia"/>
                      <w:b/>
                      <w:bCs/>
                      <w:sz w:val="21"/>
                      <w:szCs w:val="21"/>
                    </w:rPr>
                    <w:t>位置</w:t>
                  </w:r>
                </w:p>
              </w:tc>
              <w:tc>
                <w:tcPr>
                  <w:tcW w:w="928" w:type="dxa"/>
                  <w:vMerge w:val="restart"/>
                  <w:vAlign w:val="center"/>
                </w:tcPr>
                <w:p>
                  <w:pPr>
                    <w:jc w:val="center"/>
                    <w:rPr>
                      <w:b/>
                      <w:bCs/>
                      <w:sz w:val="21"/>
                      <w:szCs w:val="21"/>
                    </w:rPr>
                  </w:pPr>
                  <w:r>
                    <w:rPr>
                      <w:b/>
                      <w:bCs/>
                      <w:sz w:val="21"/>
                      <w:szCs w:val="21"/>
                    </w:rPr>
                    <w:t>车流量</w:t>
                  </w:r>
                </w:p>
                <w:p>
                  <w:pPr>
                    <w:jc w:val="center"/>
                    <w:rPr>
                      <w:b/>
                      <w:bCs/>
                      <w:sz w:val="21"/>
                      <w:szCs w:val="21"/>
                    </w:rPr>
                  </w:pPr>
                  <w:r>
                    <w:rPr>
                      <w:b/>
                      <w:bCs/>
                      <w:sz w:val="21"/>
                      <w:szCs w:val="21"/>
                    </w:rPr>
                    <w:t>(辆/日)</w:t>
                  </w:r>
                </w:p>
              </w:tc>
              <w:tc>
                <w:tcPr>
                  <w:tcW w:w="1251" w:type="dxa"/>
                  <w:vMerge w:val="restart"/>
                  <w:vAlign w:val="center"/>
                </w:tcPr>
                <w:p>
                  <w:pPr>
                    <w:widowControl/>
                    <w:jc w:val="left"/>
                    <w:rPr>
                      <w:rFonts w:hint="eastAsia"/>
                      <w:b/>
                      <w:bCs/>
                      <w:sz w:val="21"/>
                      <w:szCs w:val="21"/>
                    </w:rPr>
                  </w:pPr>
                  <w:r>
                    <w:rPr>
                      <w:b/>
                      <w:bCs/>
                      <w:sz w:val="21"/>
                      <w:szCs w:val="21"/>
                    </w:rPr>
                    <w:t>进出</w:t>
                  </w:r>
                  <w:r>
                    <w:rPr>
                      <w:rFonts w:hint="eastAsia"/>
                      <w:b/>
                      <w:bCs/>
                      <w:sz w:val="21"/>
                      <w:szCs w:val="21"/>
                    </w:rPr>
                    <w:t>次数</w:t>
                  </w:r>
                </w:p>
                <w:p>
                  <w:pPr>
                    <w:jc w:val="center"/>
                    <w:rPr>
                      <w:b/>
                      <w:bCs/>
                      <w:sz w:val="21"/>
                      <w:szCs w:val="21"/>
                    </w:rPr>
                  </w:pPr>
                  <w:r>
                    <w:rPr>
                      <w:b/>
                      <w:bCs/>
                      <w:sz w:val="21"/>
                      <w:szCs w:val="21"/>
                    </w:rPr>
                    <w:t>（</w:t>
                  </w:r>
                  <w:r>
                    <w:rPr>
                      <w:rFonts w:hint="eastAsia"/>
                      <w:b/>
                      <w:bCs/>
                      <w:sz w:val="21"/>
                      <w:szCs w:val="21"/>
                    </w:rPr>
                    <w:t>次</w:t>
                  </w:r>
                  <w:r>
                    <w:rPr>
                      <w:b/>
                      <w:bCs/>
                      <w:sz w:val="21"/>
                      <w:szCs w:val="21"/>
                    </w:rPr>
                    <w:t>/d）</w:t>
                  </w:r>
                </w:p>
              </w:tc>
              <w:tc>
                <w:tcPr>
                  <w:tcW w:w="3626" w:type="dxa"/>
                  <w:gridSpan w:val="3"/>
                  <w:vAlign w:val="center"/>
                </w:tcPr>
                <w:p>
                  <w:pPr>
                    <w:jc w:val="center"/>
                    <w:rPr>
                      <w:rFonts w:hint="eastAsia"/>
                      <w:b/>
                      <w:bCs/>
                      <w:sz w:val="21"/>
                      <w:szCs w:val="21"/>
                    </w:rPr>
                  </w:pPr>
                  <w:r>
                    <w:rPr>
                      <w:rFonts w:hint="eastAsia"/>
                      <w:b/>
                      <w:bCs/>
                      <w:sz w:val="21"/>
                      <w:szCs w:val="21"/>
                    </w:rPr>
                    <w:t>产生量（kg/d）及</w:t>
                  </w:r>
                  <w:r>
                    <w:rPr>
                      <w:b/>
                      <w:bCs/>
                      <w:sz w:val="21"/>
                      <w:szCs w:val="21"/>
                      <w:lang w:val="en-GB"/>
                    </w:rPr>
                    <w:t>速率</w:t>
                  </w:r>
                  <w:r>
                    <w:rPr>
                      <w:b/>
                      <w:bCs/>
                      <w:sz w:val="21"/>
                      <w:szCs w:val="21"/>
                    </w:rPr>
                    <w:t>（kg/h</w:t>
                  </w:r>
                  <w:r>
                    <w:rPr>
                      <w:rFonts w:hint="eastAsia"/>
                      <w:b/>
                      <w:bCs/>
                      <w:sz w:val="21"/>
                      <w:szCs w:val="21"/>
                    </w:rPr>
                    <w:t>，16h/d）</w:t>
                  </w:r>
                </w:p>
              </w:tc>
            </w:tr>
            <w:tr>
              <w:tblPrEx>
                <w:jc w:val="center"/>
                <w:tblInd w:w="123" w:type="dxa"/>
                <w:tblLayout w:type="fixed"/>
                <w:tblCellMar>
                  <w:top w:w="0" w:type="dxa"/>
                  <w:left w:w="108" w:type="dxa"/>
                  <w:bottom w:w="0" w:type="dxa"/>
                  <w:right w:w="108" w:type="dxa"/>
                </w:tblCellMar>
                <w:tblLook w:val="0000"/>
              </w:tblPrEx>
              <w:trPr>
                <w:cantSplit/>
                <w:trHeight w:val="340"/>
                <w:jc w:val="center"/>
              </w:trPr>
              <w:tc>
                <w:tcPr>
                  <w:tcW w:w="635" w:type="dxa"/>
                  <w:vAlign w:val="center"/>
                </w:tcPr>
                <w:p>
                  <w:pPr>
                    <w:jc w:val="center"/>
                    <w:rPr>
                      <w:b/>
                      <w:bCs/>
                      <w:sz w:val="21"/>
                      <w:szCs w:val="21"/>
                    </w:rPr>
                  </w:pPr>
                  <w:r>
                    <w:rPr>
                      <w:b/>
                      <w:bCs/>
                      <w:sz w:val="21"/>
                      <w:szCs w:val="21"/>
                    </w:rPr>
                    <w:t>CO</w:t>
                  </w:r>
                </w:p>
              </w:tc>
              <w:tc>
                <w:tcPr>
                  <w:tcW w:w="690" w:type="dxa"/>
                  <w:vAlign w:val="center"/>
                </w:tcPr>
                <w:p>
                  <w:pPr>
                    <w:jc w:val="center"/>
                    <w:rPr>
                      <w:b/>
                      <w:bCs/>
                      <w:sz w:val="21"/>
                      <w:szCs w:val="21"/>
                    </w:rPr>
                  </w:pPr>
                  <w:r>
                    <w:rPr>
                      <w:b/>
                      <w:bCs/>
                      <w:sz w:val="21"/>
                      <w:szCs w:val="21"/>
                    </w:rPr>
                    <w:t>NO</w:t>
                  </w:r>
                  <w:r>
                    <w:rPr>
                      <w:b/>
                      <w:bCs/>
                      <w:sz w:val="21"/>
                      <w:szCs w:val="21"/>
                      <w:vertAlign w:val="subscript"/>
                    </w:rPr>
                    <w:t>X</w:t>
                  </w:r>
                </w:p>
              </w:tc>
              <w:tc>
                <w:tcPr>
                  <w:tcW w:w="750" w:type="dxa"/>
                  <w:vAlign w:val="center"/>
                </w:tcPr>
                <w:p>
                  <w:pPr>
                    <w:jc w:val="center"/>
                    <w:rPr>
                      <w:b/>
                      <w:bCs/>
                      <w:sz w:val="21"/>
                      <w:szCs w:val="21"/>
                    </w:rPr>
                  </w:pPr>
                  <w:r>
                    <w:rPr>
                      <w:b/>
                      <w:bCs/>
                      <w:sz w:val="21"/>
                      <w:szCs w:val="21"/>
                    </w:rPr>
                    <w:t>THC</w:t>
                  </w:r>
                </w:p>
              </w:tc>
              <w:tc>
                <w:tcPr>
                  <w:tcW w:w="885" w:type="dxa"/>
                  <w:vMerge/>
                  <w:vAlign w:val="center"/>
                </w:tcPr>
                <w:p>
                  <w:pPr>
                    <w:jc w:val="center"/>
                    <w:rPr>
                      <w:b/>
                      <w:bCs/>
                      <w:sz w:val="21"/>
                      <w:szCs w:val="21"/>
                    </w:rPr>
                  </w:pPr>
                </w:p>
              </w:tc>
              <w:tc>
                <w:tcPr>
                  <w:tcW w:w="928" w:type="dxa"/>
                  <w:vMerge/>
                  <w:vAlign w:val="center"/>
                </w:tcPr>
                <w:p>
                  <w:pPr>
                    <w:jc w:val="center"/>
                    <w:rPr>
                      <w:b/>
                      <w:bCs/>
                      <w:sz w:val="21"/>
                      <w:szCs w:val="21"/>
                    </w:rPr>
                  </w:pPr>
                </w:p>
              </w:tc>
              <w:tc>
                <w:tcPr>
                  <w:tcW w:w="1251" w:type="dxa"/>
                  <w:vMerge/>
                  <w:vAlign w:val="center"/>
                </w:tcPr>
                <w:p>
                  <w:pPr>
                    <w:jc w:val="center"/>
                    <w:rPr>
                      <w:b/>
                      <w:bCs/>
                      <w:sz w:val="21"/>
                      <w:szCs w:val="21"/>
                    </w:rPr>
                  </w:pPr>
                </w:p>
              </w:tc>
              <w:tc>
                <w:tcPr>
                  <w:tcW w:w="1408" w:type="dxa"/>
                  <w:vAlign w:val="center"/>
                </w:tcPr>
                <w:p>
                  <w:pPr>
                    <w:jc w:val="center"/>
                    <w:rPr>
                      <w:b/>
                      <w:bCs/>
                      <w:sz w:val="21"/>
                      <w:szCs w:val="21"/>
                    </w:rPr>
                  </w:pPr>
                  <w:r>
                    <w:rPr>
                      <w:b/>
                      <w:bCs/>
                      <w:sz w:val="21"/>
                      <w:szCs w:val="21"/>
                    </w:rPr>
                    <w:t>CO</w:t>
                  </w:r>
                </w:p>
              </w:tc>
              <w:tc>
                <w:tcPr>
                  <w:tcW w:w="1155" w:type="dxa"/>
                  <w:vAlign w:val="center"/>
                </w:tcPr>
                <w:p>
                  <w:pPr>
                    <w:jc w:val="center"/>
                    <w:rPr>
                      <w:b/>
                      <w:bCs/>
                      <w:sz w:val="21"/>
                      <w:szCs w:val="21"/>
                    </w:rPr>
                  </w:pPr>
                  <w:r>
                    <w:rPr>
                      <w:b/>
                      <w:bCs/>
                      <w:sz w:val="21"/>
                      <w:szCs w:val="21"/>
                    </w:rPr>
                    <w:t>NO</w:t>
                  </w:r>
                  <w:r>
                    <w:rPr>
                      <w:b/>
                      <w:bCs/>
                      <w:sz w:val="21"/>
                      <w:szCs w:val="21"/>
                      <w:vertAlign w:val="subscript"/>
                    </w:rPr>
                    <w:t>X</w:t>
                  </w:r>
                </w:p>
              </w:tc>
              <w:tc>
                <w:tcPr>
                  <w:tcW w:w="1063" w:type="dxa"/>
                  <w:vAlign w:val="center"/>
                </w:tcPr>
                <w:p>
                  <w:pPr>
                    <w:jc w:val="center"/>
                    <w:rPr>
                      <w:b/>
                      <w:bCs/>
                      <w:sz w:val="21"/>
                      <w:szCs w:val="21"/>
                    </w:rPr>
                  </w:pPr>
                  <w:r>
                    <w:rPr>
                      <w:b/>
                      <w:bCs/>
                      <w:sz w:val="21"/>
                      <w:szCs w:val="21"/>
                    </w:rPr>
                    <w:t>THC</w:t>
                  </w:r>
                </w:p>
              </w:tc>
            </w:tr>
            <w:tr>
              <w:tblPrEx>
                <w:jc w:val="center"/>
                <w:tblInd w:w="123" w:type="dxa"/>
                <w:tblLayout w:type="fixed"/>
                <w:tblCellMar>
                  <w:top w:w="0" w:type="dxa"/>
                  <w:left w:w="108" w:type="dxa"/>
                  <w:bottom w:w="0" w:type="dxa"/>
                  <w:right w:w="108" w:type="dxa"/>
                </w:tblCellMar>
                <w:tblLook w:val="0000"/>
              </w:tblPrEx>
              <w:trPr>
                <w:cantSplit/>
                <w:trHeight w:val="224"/>
                <w:jc w:val="center"/>
              </w:trPr>
              <w:tc>
                <w:tcPr>
                  <w:tcW w:w="635" w:type="dxa"/>
                  <w:vMerge w:val="restart"/>
                  <w:vAlign w:val="center"/>
                </w:tcPr>
                <w:p>
                  <w:pPr>
                    <w:jc w:val="center"/>
                    <w:rPr>
                      <w:rFonts w:hint="eastAsia"/>
                      <w:sz w:val="21"/>
                      <w:szCs w:val="21"/>
                      <w:lang w:val="en-GB"/>
                    </w:rPr>
                  </w:pPr>
                  <w:r>
                    <w:rPr>
                      <w:rFonts w:hint="eastAsia"/>
                      <w:sz w:val="21"/>
                      <w:szCs w:val="21"/>
                    </w:rPr>
                    <w:t>7.94</w:t>
                  </w:r>
                </w:p>
              </w:tc>
              <w:tc>
                <w:tcPr>
                  <w:tcW w:w="690" w:type="dxa"/>
                  <w:vMerge w:val="restart"/>
                  <w:vAlign w:val="center"/>
                </w:tcPr>
                <w:p>
                  <w:pPr>
                    <w:jc w:val="center"/>
                    <w:rPr>
                      <w:sz w:val="21"/>
                      <w:szCs w:val="21"/>
                      <w:lang w:val="en-GB"/>
                    </w:rPr>
                  </w:pPr>
                  <w:r>
                    <w:rPr>
                      <w:sz w:val="21"/>
                      <w:szCs w:val="21"/>
                      <w:lang w:val="en-GB"/>
                    </w:rPr>
                    <w:t>0.</w:t>
                  </w:r>
                  <w:r>
                    <w:rPr>
                      <w:rFonts w:hint="eastAsia"/>
                      <w:sz w:val="21"/>
                      <w:szCs w:val="21"/>
                    </w:rPr>
                    <w:t>99</w:t>
                  </w:r>
                </w:p>
              </w:tc>
              <w:tc>
                <w:tcPr>
                  <w:tcW w:w="750" w:type="dxa"/>
                  <w:vMerge w:val="restart"/>
                  <w:vAlign w:val="center"/>
                </w:tcPr>
                <w:p>
                  <w:pPr>
                    <w:jc w:val="center"/>
                    <w:rPr>
                      <w:sz w:val="21"/>
                      <w:szCs w:val="21"/>
                      <w:lang w:val="en-GB"/>
                    </w:rPr>
                  </w:pPr>
                  <w:r>
                    <w:rPr>
                      <w:sz w:val="21"/>
                      <w:szCs w:val="21"/>
                      <w:lang w:val="en-GB"/>
                    </w:rPr>
                    <w:t>1.</w:t>
                  </w:r>
                  <w:r>
                    <w:rPr>
                      <w:rFonts w:hint="eastAsia"/>
                      <w:sz w:val="21"/>
                      <w:szCs w:val="21"/>
                    </w:rPr>
                    <w:t>57</w:t>
                  </w:r>
                </w:p>
              </w:tc>
              <w:tc>
                <w:tcPr>
                  <w:tcW w:w="885" w:type="dxa"/>
                  <w:vMerge w:val="restart"/>
                  <w:vAlign w:val="center"/>
                </w:tcPr>
                <w:p>
                  <w:pPr>
                    <w:jc w:val="center"/>
                    <w:rPr>
                      <w:rFonts w:hint="eastAsia"/>
                      <w:sz w:val="21"/>
                      <w:szCs w:val="21"/>
                    </w:rPr>
                  </w:pPr>
                  <w:r>
                    <w:rPr>
                      <w:rFonts w:hint="eastAsia"/>
                      <w:sz w:val="21"/>
                      <w:szCs w:val="21"/>
                    </w:rPr>
                    <w:t>地上</w:t>
                  </w:r>
                </w:p>
              </w:tc>
              <w:tc>
                <w:tcPr>
                  <w:tcW w:w="928" w:type="dxa"/>
                  <w:vMerge w:val="restart"/>
                  <w:vAlign w:val="center"/>
                </w:tcPr>
                <w:p>
                  <w:pPr>
                    <w:jc w:val="center"/>
                    <w:rPr>
                      <w:rFonts w:hint="eastAsia"/>
                      <w:sz w:val="21"/>
                      <w:szCs w:val="21"/>
                    </w:rPr>
                  </w:pPr>
                  <w:r>
                    <w:rPr>
                      <w:rFonts w:hint="eastAsia"/>
                      <w:sz w:val="21"/>
                      <w:szCs w:val="21"/>
                    </w:rPr>
                    <w:t>50</w:t>
                  </w:r>
                </w:p>
              </w:tc>
              <w:tc>
                <w:tcPr>
                  <w:tcW w:w="1251" w:type="dxa"/>
                  <w:vMerge w:val="restart"/>
                  <w:vAlign w:val="center"/>
                </w:tcPr>
                <w:p>
                  <w:pPr>
                    <w:jc w:val="center"/>
                    <w:rPr>
                      <w:rFonts w:hint="eastAsia"/>
                      <w:sz w:val="21"/>
                      <w:szCs w:val="21"/>
                    </w:rPr>
                  </w:pPr>
                  <w:r>
                    <w:rPr>
                      <w:rFonts w:hint="eastAsia"/>
                      <w:sz w:val="21"/>
                      <w:szCs w:val="21"/>
                    </w:rPr>
                    <w:t>2</w:t>
                  </w:r>
                </w:p>
              </w:tc>
              <w:tc>
                <w:tcPr>
                  <w:tcW w:w="1408" w:type="dxa"/>
                  <w:vAlign w:val="center"/>
                </w:tcPr>
                <w:p>
                  <w:pPr>
                    <w:jc w:val="center"/>
                    <w:rPr>
                      <w:rFonts w:hint="eastAsia"/>
                      <w:sz w:val="21"/>
                      <w:szCs w:val="21"/>
                    </w:rPr>
                  </w:pPr>
                  <w:r>
                    <w:rPr>
                      <w:rFonts w:hint="eastAsia"/>
                      <w:sz w:val="21"/>
                      <w:szCs w:val="21"/>
                    </w:rPr>
                    <w:t>0.794</w:t>
                  </w:r>
                </w:p>
              </w:tc>
              <w:tc>
                <w:tcPr>
                  <w:tcW w:w="1155" w:type="dxa"/>
                  <w:vAlign w:val="center"/>
                </w:tcPr>
                <w:p>
                  <w:pPr>
                    <w:jc w:val="center"/>
                    <w:rPr>
                      <w:rFonts w:hint="eastAsia"/>
                      <w:sz w:val="21"/>
                      <w:szCs w:val="21"/>
                    </w:rPr>
                  </w:pPr>
                  <w:r>
                    <w:rPr>
                      <w:rFonts w:hint="eastAsia"/>
                      <w:sz w:val="21"/>
                      <w:szCs w:val="21"/>
                    </w:rPr>
                    <w:t>0.099</w:t>
                  </w:r>
                </w:p>
              </w:tc>
              <w:tc>
                <w:tcPr>
                  <w:tcW w:w="1063" w:type="dxa"/>
                  <w:vAlign w:val="center"/>
                </w:tcPr>
                <w:p>
                  <w:pPr>
                    <w:jc w:val="center"/>
                    <w:rPr>
                      <w:rFonts w:hint="eastAsia"/>
                      <w:sz w:val="21"/>
                      <w:szCs w:val="21"/>
                    </w:rPr>
                  </w:pPr>
                  <w:r>
                    <w:rPr>
                      <w:rFonts w:hint="eastAsia"/>
                      <w:sz w:val="21"/>
                      <w:szCs w:val="21"/>
                    </w:rPr>
                    <w:t>0.304</w:t>
                  </w:r>
                </w:p>
              </w:tc>
            </w:tr>
            <w:tr>
              <w:tblPrEx>
                <w:jc w:val="center"/>
                <w:tblInd w:w="123" w:type="dxa"/>
                <w:tblLayout w:type="fixed"/>
                <w:tblCellMar>
                  <w:top w:w="0" w:type="dxa"/>
                  <w:left w:w="108" w:type="dxa"/>
                  <w:bottom w:w="0" w:type="dxa"/>
                  <w:right w:w="108" w:type="dxa"/>
                </w:tblCellMar>
                <w:tblLook w:val="0000"/>
              </w:tblPrEx>
              <w:trPr>
                <w:cantSplit/>
                <w:trHeight w:val="167"/>
                <w:jc w:val="center"/>
              </w:trPr>
              <w:tc>
                <w:tcPr>
                  <w:tcW w:w="635" w:type="dxa"/>
                  <w:vMerge/>
                  <w:vAlign w:val="center"/>
                </w:tcPr>
                <w:p>
                  <w:pPr>
                    <w:jc w:val="center"/>
                    <w:rPr>
                      <w:rFonts w:hint="eastAsia"/>
                      <w:sz w:val="21"/>
                      <w:szCs w:val="21"/>
                    </w:rPr>
                  </w:pPr>
                </w:p>
              </w:tc>
              <w:tc>
                <w:tcPr>
                  <w:tcW w:w="690" w:type="dxa"/>
                  <w:vMerge/>
                  <w:vAlign w:val="center"/>
                </w:tcPr>
                <w:p>
                  <w:pPr>
                    <w:jc w:val="center"/>
                    <w:rPr>
                      <w:sz w:val="21"/>
                      <w:szCs w:val="21"/>
                      <w:lang w:val="en-GB"/>
                    </w:rPr>
                  </w:pPr>
                </w:p>
              </w:tc>
              <w:tc>
                <w:tcPr>
                  <w:tcW w:w="750" w:type="dxa"/>
                  <w:vMerge/>
                  <w:vAlign w:val="center"/>
                </w:tcPr>
                <w:p>
                  <w:pPr>
                    <w:jc w:val="center"/>
                    <w:rPr>
                      <w:sz w:val="21"/>
                      <w:szCs w:val="21"/>
                      <w:lang w:val="en-GB"/>
                    </w:rPr>
                  </w:pPr>
                </w:p>
              </w:tc>
              <w:tc>
                <w:tcPr>
                  <w:tcW w:w="885" w:type="dxa"/>
                  <w:vMerge/>
                  <w:vAlign w:val="center"/>
                </w:tcPr>
                <w:p>
                  <w:pPr>
                    <w:jc w:val="center"/>
                    <w:rPr>
                      <w:rFonts w:hint="eastAsia"/>
                      <w:sz w:val="21"/>
                      <w:szCs w:val="21"/>
                    </w:rPr>
                  </w:pPr>
                </w:p>
              </w:tc>
              <w:tc>
                <w:tcPr>
                  <w:tcW w:w="928" w:type="dxa"/>
                  <w:vMerge/>
                  <w:vAlign w:val="center"/>
                </w:tcPr>
                <w:p>
                  <w:pPr>
                    <w:jc w:val="center"/>
                    <w:rPr>
                      <w:rFonts w:hint="eastAsia"/>
                      <w:sz w:val="21"/>
                      <w:szCs w:val="21"/>
                    </w:rPr>
                  </w:pPr>
                </w:p>
              </w:tc>
              <w:tc>
                <w:tcPr>
                  <w:tcW w:w="1251" w:type="dxa"/>
                  <w:vMerge/>
                  <w:vAlign w:val="center"/>
                </w:tcPr>
                <w:p>
                  <w:pPr>
                    <w:jc w:val="center"/>
                    <w:rPr>
                      <w:rFonts w:hint="eastAsia"/>
                      <w:sz w:val="21"/>
                      <w:szCs w:val="21"/>
                    </w:rPr>
                  </w:pPr>
                </w:p>
              </w:tc>
              <w:tc>
                <w:tcPr>
                  <w:tcW w:w="1408" w:type="dxa"/>
                  <w:vAlign w:val="center"/>
                </w:tcPr>
                <w:p>
                  <w:pPr>
                    <w:jc w:val="center"/>
                    <w:rPr>
                      <w:rFonts w:hint="eastAsia"/>
                      <w:sz w:val="21"/>
                      <w:szCs w:val="21"/>
                    </w:rPr>
                  </w:pPr>
                  <w:r>
                    <w:rPr>
                      <w:rFonts w:hint="eastAsia"/>
                      <w:sz w:val="21"/>
                      <w:szCs w:val="21"/>
                    </w:rPr>
                    <w:t>0.05</w:t>
                  </w:r>
                  <w:r>
                    <w:rPr>
                      <w:rFonts w:hint="eastAsia"/>
                      <w:sz w:val="21"/>
                      <w:szCs w:val="21"/>
                    </w:rPr>
                    <w:cr/>
                  </w:r>
                </w:p>
              </w:tc>
              <w:tc>
                <w:tcPr>
                  <w:tcW w:w="1155" w:type="dxa"/>
                  <w:vAlign w:val="center"/>
                </w:tcPr>
                <w:p>
                  <w:pPr>
                    <w:jc w:val="center"/>
                    <w:rPr>
                      <w:rFonts w:hint="eastAsia"/>
                      <w:sz w:val="21"/>
                      <w:szCs w:val="21"/>
                    </w:rPr>
                  </w:pPr>
                  <w:r>
                    <w:rPr>
                      <w:rFonts w:hint="eastAsia"/>
                      <w:sz w:val="21"/>
                      <w:szCs w:val="21"/>
                    </w:rPr>
                    <w:t>0.006</w:t>
                  </w:r>
                </w:p>
              </w:tc>
              <w:tc>
                <w:tcPr>
                  <w:tcW w:w="1063" w:type="dxa"/>
                  <w:vAlign w:val="center"/>
                </w:tcPr>
                <w:p>
                  <w:pPr>
                    <w:jc w:val="center"/>
                    <w:rPr>
                      <w:rFonts w:hint="eastAsia"/>
                      <w:sz w:val="21"/>
                      <w:szCs w:val="21"/>
                    </w:rPr>
                  </w:pPr>
                  <w:r>
                    <w:rPr>
                      <w:rFonts w:hint="eastAsia"/>
                      <w:sz w:val="21"/>
                      <w:szCs w:val="21"/>
                    </w:rPr>
                    <w:t>0.010</w:t>
                  </w:r>
                </w:p>
              </w:tc>
            </w:tr>
            <w:tr>
              <w:tblPrEx>
                <w:jc w:val="center"/>
                <w:tblInd w:w="123" w:type="dxa"/>
                <w:tblLayout w:type="fixed"/>
                <w:tblCellMar>
                  <w:top w:w="0" w:type="dxa"/>
                  <w:left w:w="108" w:type="dxa"/>
                  <w:bottom w:w="0" w:type="dxa"/>
                  <w:right w:w="108" w:type="dxa"/>
                </w:tblCellMar>
                <w:tblLook w:val="0000"/>
              </w:tblPrEx>
              <w:trPr>
                <w:cantSplit/>
                <w:trHeight w:val="237"/>
                <w:jc w:val="center"/>
              </w:trPr>
              <w:tc>
                <w:tcPr>
                  <w:tcW w:w="635" w:type="dxa"/>
                  <w:vMerge/>
                  <w:vAlign w:val="center"/>
                </w:tcPr>
                <w:p>
                  <w:pPr>
                    <w:jc w:val="center"/>
                    <w:rPr>
                      <w:sz w:val="21"/>
                      <w:szCs w:val="21"/>
                      <w:lang w:val="en-GB"/>
                    </w:rPr>
                  </w:pPr>
                </w:p>
              </w:tc>
              <w:tc>
                <w:tcPr>
                  <w:tcW w:w="690" w:type="dxa"/>
                  <w:vMerge/>
                  <w:vAlign w:val="center"/>
                </w:tcPr>
                <w:p>
                  <w:pPr>
                    <w:jc w:val="center"/>
                    <w:rPr>
                      <w:sz w:val="21"/>
                      <w:szCs w:val="21"/>
                      <w:lang w:val="en-GB"/>
                    </w:rPr>
                  </w:pPr>
                </w:p>
              </w:tc>
              <w:tc>
                <w:tcPr>
                  <w:tcW w:w="750" w:type="dxa"/>
                  <w:vMerge/>
                  <w:vAlign w:val="center"/>
                </w:tcPr>
                <w:p>
                  <w:pPr>
                    <w:jc w:val="center"/>
                    <w:rPr>
                      <w:sz w:val="21"/>
                      <w:szCs w:val="21"/>
                      <w:lang w:val="en-GB"/>
                    </w:rPr>
                  </w:pPr>
                </w:p>
              </w:tc>
              <w:tc>
                <w:tcPr>
                  <w:tcW w:w="885" w:type="dxa"/>
                  <w:vMerge w:val="restart"/>
                  <w:vAlign w:val="center"/>
                </w:tcPr>
                <w:p>
                  <w:pPr>
                    <w:jc w:val="center"/>
                    <w:rPr>
                      <w:rFonts w:hint="eastAsia"/>
                      <w:sz w:val="21"/>
                      <w:szCs w:val="21"/>
                    </w:rPr>
                  </w:pPr>
                  <w:r>
                    <w:rPr>
                      <w:rFonts w:hint="eastAsia"/>
                      <w:sz w:val="21"/>
                      <w:szCs w:val="21"/>
                    </w:rPr>
                    <w:t>—</w:t>
                  </w:r>
                  <w:r>
                    <w:rPr>
                      <w:rFonts w:hint="eastAsia"/>
                      <w:sz w:val="21"/>
                      <w:szCs w:val="21"/>
                    </w:rPr>
                    <w:t>1F</w:t>
                  </w:r>
                </w:p>
              </w:tc>
              <w:tc>
                <w:tcPr>
                  <w:tcW w:w="928" w:type="dxa"/>
                  <w:vMerge w:val="restart"/>
                  <w:vAlign w:val="center"/>
                </w:tcPr>
                <w:p>
                  <w:pPr>
                    <w:jc w:val="center"/>
                    <w:rPr>
                      <w:rFonts w:hint="eastAsia"/>
                      <w:sz w:val="21"/>
                      <w:szCs w:val="21"/>
                    </w:rPr>
                  </w:pPr>
                  <w:r>
                    <w:rPr>
                      <w:rFonts w:hint="eastAsia"/>
                      <w:sz w:val="21"/>
                      <w:szCs w:val="21"/>
                    </w:rPr>
                    <w:t>461</w:t>
                  </w:r>
                </w:p>
              </w:tc>
              <w:tc>
                <w:tcPr>
                  <w:tcW w:w="1251" w:type="dxa"/>
                  <w:vMerge w:val="restart"/>
                  <w:vAlign w:val="center"/>
                </w:tcPr>
                <w:p>
                  <w:pPr>
                    <w:jc w:val="center"/>
                    <w:rPr>
                      <w:rFonts w:hint="eastAsia"/>
                      <w:sz w:val="21"/>
                      <w:szCs w:val="21"/>
                    </w:rPr>
                  </w:pPr>
                  <w:r>
                    <w:rPr>
                      <w:rFonts w:hint="eastAsia"/>
                      <w:sz w:val="21"/>
                      <w:szCs w:val="21"/>
                    </w:rPr>
                    <w:t>2</w:t>
                  </w:r>
                </w:p>
              </w:tc>
              <w:tc>
                <w:tcPr>
                  <w:tcW w:w="1408" w:type="dxa"/>
                  <w:vAlign w:val="center"/>
                </w:tcPr>
                <w:p>
                  <w:pPr>
                    <w:jc w:val="center"/>
                    <w:rPr>
                      <w:rFonts w:hint="eastAsia"/>
                      <w:sz w:val="21"/>
                      <w:szCs w:val="21"/>
                    </w:rPr>
                  </w:pPr>
                  <w:r>
                    <w:rPr>
                      <w:rFonts w:hint="eastAsia"/>
                      <w:sz w:val="21"/>
                      <w:szCs w:val="21"/>
                    </w:rPr>
                    <w:t>7.321</w:t>
                  </w:r>
                </w:p>
              </w:tc>
              <w:tc>
                <w:tcPr>
                  <w:tcW w:w="1155" w:type="dxa"/>
                  <w:vAlign w:val="center"/>
                </w:tcPr>
                <w:p>
                  <w:pPr>
                    <w:jc w:val="center"/>
                    <w:rPr>
                      <w:rFonts w:hint="eastAsia"/>
                      <w:sz w:val="21"/>
                      <w:szCs w:val="21"/>
                    </w:rPr>
                  </w:pPr>
                  <w:r>
                    <w:rPr>
                      <w:rFonts w:hint="eastAsia"/>
                      <w:sz w:val="21"/>
                      <w:szCs w:val="21"/>
                    </w:rPr>
                    <w:t>0.913</w:t>
                  </w:r>
                </w:p>
              </w:tc>
              <w:tc>
                <w:tcPr>
                  <w:tcW w:w="1063" w:type="dxa"/>
                  <w:vAlign w:val="center"/>
                </w:tcPr>
                <w:p>
                  <w:pPr>
                    <w:jc w:val="center"/>
                    <w:rPr>
                      <w:rFonts w:hint="eastAsia"/>
                      <w:sz w:val="21"/>
                      <w:szCs w:val="21"/>
                    </w:rPr>
                  </w:pPr>
                  <w:r>
                    <w:rPr>
                      <w:rFonts w:hint="eastAsia"/>
                      <w:sz w:val="21"/>
                      <w:szCs w:val="21"/>
                    </w:rPr>
                    <w:t>1.448</w:t>
                  </w:r>
                </w:p>
              </w:tc>
            </w:tr>
            <w:tr>
              <w:tblPrEx>
                <w:jc w:val="center"/>
                <w:tblInd w:w="123" w:type="dxa"/>
                <w:tblLayout w:type="fixed"/>
                <w:tblCellMar>
                  <w:top w:w="0" w:type="dxa"/>
                  <w:left w:w="108" w:type="dxa"/>
                  <w:bottom w:w="0" w:type="dxa"/>
                  <w:right w:w="108" w:type="dxa"/>
                </w:tblCellMar>
                <w:tblLook w:val="0000"/>
              </w:tblPrEx>
              <w:trPr>
                <w:cantSplit/>
                <w:trHeight w:val="154"/>
                <w:jc w:val="center"/>
              </w:trPr>
              <w:tc>
                <w:tcPr>
                  <w:tcW w:w="635" w:type="dxa"/>
                  <w:vMerge/>
                  <w:vAlign w:val="center"/>
                </w:tcPr>
                <w:p>
                  <w:pPr>
                    <w:jc w:val="center"/>
                    <w:rPr>
                      <w:sz w:val="21"/>
                      <w:szCs w:val="21"/>
                      <w:lang w:val="en-GB"/>
                    </w:rPr>
                  </w:pPr>
                </w:p>
              </w:tc>
              <w:tc>
                <w:tcPr>
                  <w:tcW w:w="690" w:type="dxa"/>
                  <w:vMerge/>
                  <w:vAlign w:val="center"/>
                </w:tcPr>
                <w:p>
                  <w:pPr>
                    <w:jc w:val="center"/>
                    <w:rPr>
                      <w:sz w:val="21"/>
                      <w:szCs w:val="21"/>
                      <w:lang w:val="en-GB"/>
                    </w:rPr>
                  </w:pPr>
                </w:p>
              </w:tc>
              <w:tc>
                <w:tcPr>
                  <w:tcW w:w="750" w:type="dxa"/>
                  <w:vMerge/>
                  <w:vAlign w:val="center"/>
                </w:tcPr>
                <w:p>
                  <w:pPr>
                    <w:jc w:val="center"/>
                    <w:rPr>
                      <w:sz w:val="21"/>
                      <w:szCs w:val="21"/>
                      <w:lang w:val="en-GB"/>
                    </w:rPr>
                  </w:pPr>
                </w:p>
              </w:tc>
              <w:tc>
                <w:tcPr>
                  <w:tcW w:w="885" w:type="dxa"/>
                  <w:vMerge/>
                  <w:vAlign w:val="center"/>
                </w:tcPr>
                <w:p>
                  <w:pPr>
                    <w:jc w:val="center"/>
                    <w:rPr>
                      <w:rFonts w:hint="eastAsia"/>
                      <w:sz w:val="21"/>
                      <w:szCs w:val="21"/>
                    </w:rPr>
                  </w:pPr>
                </w:p>
              </w:tc>
              <w:tc>
                <w:tcPr>
                  <w:tcW w:w="928" w:type="dxa"/>
                  <w:vMerge/>
                  <w:vAlign w:val="center"/>
                </w:tcPr>
                <w:p>
                  <w:pPr>
                    <w:jc w:val="center"/>
                    <w:rPr>
                      <w:rFonts w:hint="eastAsia"/>
                      <w:sz w:val="21"/>
                      <w:szCs w:val="21"/>
                    </w:rPr>
                  </w:pPr>
                </w:p>
              </w:tc>
              <w:tc>
                <w:tcPr>
                  <w:tcW w:w="1251" w:type="dxa"/>
                  <w:vMerge/>
                  <w:vAlign w:val="center"/>
                </w:tcPr>
                <w:p>
                  <w:pPr>
                    <w:jc w:val="center"/>
                    <w:rPr>
                      <w:rFonts w:hint="eastAsia"/>
                      <w:sz w:val="21"/>
                      <w:szCs w:val="21"/>
                    </w:rPr>
                  </w:pPr>
                </w:p>
              </w:tc>
              <w:tc>
                <w:tcPr>
                  <w:tcW w:w="1408" w:type="dxa"/>
                  <w:vAlign w:val="center"/>
                </w:tcPr>
                <w:p>
                  <w:pPr>
                    <w:jc w:val="center"/>
                    <w:rPr>
                      <w:rFonts w:hint="eastAsia"/>
                      <w:sz w:val="21"/>
                      <w:szCs w:val="21"/>
                    </w:rPr>
                  </w:pPr>
                  <w:r>
                    <w:rPr>
                      <w:rFonts w:hint="eastAsia"/>
                      <w:sz w:val="21"/>
                      <w:szCs w:val="21"/>
                    </w:rPr>
                    <w:t>0.458</w:t>
                  </w:r>
                </w:p>
              </w:tc>
              <w:tc>
                <w:tcPr>
                  <w:tcW w:w="1155" w:type="dxa"/>
                  <w:vAlign w:val="center"/>
                </w:tcPr>
                <w:p>
                  <w:pPr>
                    <w:jc w:val="center"/>
                    <w:rPr>
                      <w:rFonts w:hint="eastAsia"/>
                      <w:sz w:val="21"/>
                      <w:szCs w:val="21"/>
                    </w:rPr>
                  </w:pPr>
                  <w:r>
                    <w:rPr>
                      <w:rFonts w:hint="eastAsia"/>
                      <w:sz w:val="21"/>
                      <w:szCs w:val="21"/>
                    </w:rPr>
                    <w:t>0.057</w:t>
                  </w:r>
                </w:p>
              </w:tc>
              <w:tc>
                <w:tcPr>
                  <w:tcW w:w="1063" w:type="dxa"/>
                  <w:vAlign w:val="center"/>
                </w:tcPr>
                <w:p>
                  <w:pPr>
                    <w:jc w:val="center"/>
                    <w:rPr>
                      <w:rFonts w:hint="eastAsia"/>
                      <w:sz w:val="21"/>
                      <w:szCs w:val="21"/>
                    </w:rPr>
                  </w:pPr>
                  <w:r>
                    <w:rPr>
                      <w:rFonts w:hint="eastAsia"/>
                      <w:sz w:val="21"/>
                      <w:szCs w:val="21"/>
                    </w:rPr>
                    <w:t>0.091</w:t>
                  </w:r>
                </w:p>
              </w:tc>
            </w:tr>
            <w:tr>
              <w:tblPrEx>
                <w:jc w:val="center"/>
                <w:tblInd w:w="123" w:type="dxa"/>
                <w:tblLayout w:type="fixed"/>
                <w:tblCellMar>
                  <w:top w:w="0" w:type="dxa"/>
                  <w:left w:w="108" w:type="dxa"/>
                  <w:bottom w:w="0" w:type="dxa"/>
                  <w:right w:w="108" w:type="dxa"/>
                </w:tblCellMar>
                <w:tblLook w:val="0000"/>
              </w:tblPrEx>
              <w:trPr>
                <w:cantSplit/>
                <w:trHeight w:val="175"/>
                <w:jc w:val="center"/>
              </w:trPr>
              <w:tc>
                <w:tcPr>
                  <w:tcW w:w="635" w:type="dxa"/>
                  <w:vMerge/>
                  <w:vAlign w:val="center"/>
                </w:tcPr>
                <w:p>
                  <w:pPr>
                    <w:jc w:val="center"/>
                    <w:rPr>
                      <w:sz w:val="21"/>
                      <w:szCs w:val="21"/>
                      <w:lang w:val="en-GB"/>
                    </w:rPr>
                  </w:pPr>
                </w:p>
              </w:tc>
              <w:tc>
                <w:tcPr>
                  <w:tcW w:w="690" w:type="dxa"/>
                  <w:vMerge/>
                  <w:vAlign w:val="center"/>
                </w:tcPr>
                <w:p>
                  <w:pPr>
                    <w:jc w:val="center"/>
                    <w:rPr>
                      <w:sz w:val="21"/>
                      <w:szCs w:val="21"/>
                      <w:lang w:val="en-GB"/>
                    </w:rPr>
                  </w:pPr>
                </w:p>
              </w:tc>
              <w:tc>
                <w:tcPr>
                  <w:tcW w:w="750" w:type="dxa"/>
                  <w:vMerge/>
                  <w:vAlign w:val="center"/>
                </w:tcPr>
                <w:p>
                  <w:pPr>
                    <w:jc w:val="center"/>
                    <w:rPr>
                      <w:sz w:val="21"/>
                      <w:szCs w:val="21"/>
                      <w:lang w:val="en-GB"/>
                    </w:rPr>
                  </w:pPr>
                </w:p>
              </w:tc>
              <w:tc>
                <w:tcPr>
                  <w:tcW w:w="885" w:type="dxa"/>
                  <w:vMerge w:val="restart"/>
                  <w:vAlign w:val="center"/>
                </w:tcPr>
                <w:p>
                  <w:pPr>
                    <w:jc w:val="center"/>
                    <w:rPr>
                      <w:rFonts w:hint="eastAsia"/>
                      <w:sz w:val="21"/>
                      <w:szCs w:val="21"/>
                    </w:rPr>
                  </w:pPr>
                  <w:r>
                    <w:rPr>
                      <w:rFonts w:hint="eastAsia"/>
                      <w:sz w:val="21"/>
                      <w:szCs w:val="21"/>
                    </w:rPr>
                    <w:t>—</w:t>
                  </w:r>
                  <w:r>
                    <w:rPr>
                      <w:rFonts w:hint="eastAsia"/>
                      <w:sz w:val="21"/>
                      <w:szCs w:val="21"/>
                    </w:rPr>
                    <w:t>2F</w:t>
                  </w:r>
                </w:p>
              </w:tc>
              <w:tc>
                <w:tcPr>
                  <w:tcW w:w="928" w:type="dxa"/>
                  <w:vMerge w:val="restart"/>
                  <w:vAlign w:val="center"/>
                </w:tcPr>
                <w:p>
                  <w:pPr>
                    <w:jc w:val="center"/>
                    <w:rPr>
                      <w:rFonts w:hint="eastAsia"/>
                      <w:sz w:val="21"/>
                      <w:szCs w:val="21"/>
                    </w:rPr>
                  </w:pPr>
                  <w:r>
                    <w:rPr>
                      <w:rFonts w:hint="eastAsia"/>
                      <w:sz w:val="21"/>
                      <w:szCs w:val="21"/>
                    </w:rPr>
                    <w:t>290</w:t>
                  </w:r>
                </w:p>
              </w:tc>
              <w:tc>
                <w:tcPr>
                  <w:tcW w:w="1251" w:type="dxa"/>
                  <w:vMerge w:val="restart"/>
                  <w:vAlign w:val="center"/>
                </w:tcPr>
                <w:p>
                  <w:pPr>
                    <w:jc w:val="center"/>
                    <w:rPr>
                      <w:rFonts w:hint="eastAsia"/>
                      <w:sz w:val="21"/>
                      <w:szCs w:val="21"/>
                    </w:rPr>
                  </w:pPr>
                  <w:r>
                    <w:rPr>
                      <w:rFonts w:hint="eastAsia"/>
                      <w:sz w:val="21"/>
                      <w:szCs w:val="21"/>
                    </w:rPr>
                    <w:t>2</w:t>
                  </w:r>
                </w:p>
              </w:tc>
              <w:tc>
                <w:tcPr>
                  <w:tcW w:w="1408" w:type="dxa"/>
                  <w:vAlign w:val="center"/>
                </w:tcPr>
                <w:p>
                  <w:pPr>
                    <w:jc w:val="center"/>
                    <w:rPr>
                      <w:rFonts w:hint="eastAsia"/>
                      <w:sz w:val="21"/>
                      <w:szCs w:val="21"/>
                    </w:rPr>
                  </w:pPr>
                  <w:r>
                    <w:rPr>
                      <w:rFonts w:hint="eastAsia"/>
                      <w:sz w:val="21"/>
                      <w:szCs w:val="21"/>
                    </w:rPr>
                    <w:t>4.605</w:t>
                  </w:r>
                </w:p>
              </w:tc>
              <w:tc>
                <w:tcPr>
                  <w:tcW w:w="1155" w:type="dxa"/>
                  <w:vAlign w:val="center"/>
                </w:tcPr>
                <w:p>
                  <w:pPr>
                    <w:jc w:val="center"/>
                    <w:rPr>
                      <w:rFonts w:hint="eastAsia"/>
                      <w:sz w:val="21"/>
                      <w:szCs w:val="21"/>
                    </w:rPr>
                  </w:pPr>
                  <w:r>
                    <w:rPr>
                      <w:rFonts w:hint="eastAsia"/>
                      <w:sz w:val="21"/>
                      <w:szCs w:val="21"/>
                    </w:rPr>
                    <w:t>0.574</w:t>
                  </w:r>
                </w:p>
              </w:tc>
              <w:tc>
                <w:tcPr>
                  <w:tcW w:w="1063" w:type="dxa"/>
                  <w:vAlign w:val="center"/>
                </w:tcPr>
                <w:p>
                  <w:pPr>
                    <w:jc w:val="center"/>
                    <w:rPr>
                      <w:rFonts w:hint="eastAsia"/>
                      <w:sz w:val="21"/>
                      <w:szCs w:val="21"/>
                    </w:rPr>
                  </w:pPr>
                  <w:r>
                    <w:rPr>
                      <w:rFonts w:hint="eastAsia"/>
                      <w:sz w:val="21"/>
                      <w:szCs w:val="21"/>
                    </w:rPr>
                    <w:t>0.911</w:t>
                  </w:r>
                </w:p>
              </w:tc>
            </w:tr>
            <w:tr>
              <w:tblPrEx>
                <w:jc w:val="center"/>
                <w:tblInd w:w="123" w:type="dxa"/>
                <w:tblLayout w:type="fixed"/>
                <w:tblCellMar>
                  <w:top w:w="0" w:type="dxa"/>
                  <w:left w:w="108" w:type="dxa"/>
                  <w:bottom w:w="0" w:type="dxa"/>
                  <w:right w:w="108" w:type="dxa"/>
                </w:tblCellMar>
                <w:tblLook w:val="0000"/>
              </w:tblPrEx>
              <w:trPr>
                <w:cantSplit/>
                <w:trHeight w:val="246"/>
                <w:jc w:val="center"/>
              </w:trPr>
              <w:tc>
                <w:tcPr>
                  <w:tcW w:w="635" w:type="dxa"/>
                  <w:vMerge/>
                  <w:vAlign w:val="center"/>
                </w:tcPr>
                <w:p>
                  <w:pPr>
                    <w:jc w:val="center"/>
                    <w:rPr>
                      <w:sz w:val="21"/>
                      <w:szCs w:val="21"/>
                      <w:lang w:val="en-GB"/>
                    </w:rPr>
                  </w:pPr>
                </w:p>
              </w:tc>
              <w:tc>
                <w:tcPr>
                  <w:tcW w:w="690" w:type="dxa"/>
                  <w:vMerge/>
                  <w:vAlign w:val="center"/>
                </w:tcPr>
                <w:p>
                  <w:pPr>
                    <w:jc w:val="center"/>
                    <w:rPr>
                      <w:sz w:val="21"/>
                      <w:szCs w:val="21"/>
                      <w:lang w:val="en-GB"/>
                    </w:rPr>
                  </w:pPr>
                </w:p>
              </w:tc>
              <w:tc>
                <w:tcPr>
                  <w:tcW w:w="750" w:type="dxa"/>
                  <w:vMerge/>
                  <w:vAlign w:val="center"/>
                </w:tcPr>
                <w:p>
                  <w:pPr>
                    <w:jc w:val="center"/>
                    <w:rPr>
                      <w:sz w:val="21"/>
                      <w:szCs w:val="21"/>
                      <w:lang w:val="en-GB"/>
                    </w:rPr>
                  </w:pPr>
                </w:p>
              </w:tc>
              <w:tc>
                <w:tcPr>
                  <w:tcW w:w="885" w:type="dxa"/>
                  <w:vMerge/>
                  <w:vAlign w:val="center"/>
                </w:tcPr>
                <w:p>
                  <w:pPr>
                    <w:jc w:val="center"/>
                    <w:rPr>
                      <w:rFonts w:hint="eastAsia"/>
                      <w:sz w:val="21"/>
                      <w:szCs w:val="21"/>
                    </w:rPr>
                  </w:pPr>
                </w:p>
              </w:tc>
              <w:tc>
                <w:tcPr>
                  <w:tcW w:w="928" w:type="dxa"/>
                  <w:vMerge/>
                  <w:vAlign w:val="center"/>
                </w:tcPr>
                <w:p>
                  <w:pPr>
                    <w:jc w:val="center"/>
                    <w:rPr>
                      <w:rFonts w:hint="eastAsia"/>
                      <w:sz w:val="21"/>
                      <w:szCs w:val="21"/>
                    </w:rPr>
                  </w:pPr>
                </w:p>
              </w:tc>
              <w:tc>
                <w:tcPr>
                  <w:tcW w:w="1251" w:type="dxa"/>
                  <w:vMerge/>
                  <w:vAlign w:val="center"/>
                </w:tcPr>
                <w:p>
                  <w:pPr>
                    <w:jc w:val="center"/>
                    <w:rPr>
                      <w:rFonts w:hint="eastAsia"/>
                      <w:sz w:val="21"/>
                      <w:szCs w:val="21"/>
                    </w:rPr>
                  </w:pPr>
                </w:p>
              </w:tc>
              <w:tc>
                <w:tcPr>
                  <w:tcW w:w="1408" w:type="dxa"/>
                  <w:vAlign w:val="center"/>
                </w:tcPr>
                <w:p>
                  <w:pPr>
                    <w:jc w:val="center"/>
                    <w:rPr>
                      <w:rFonts w:hint="eastAsia"/>
                      <w:sz w:val="21"/>
                      <w:szCs w:val="21"/>
                    </w:rPr>
                  </w:pPr>
                  <w:r>
                    <w:rPr>
                      <w:rFonts w:hint="eastAsia"/>
                      <w:sz w:val="21"/>
                      <w:szCs w:val="21"/>
                    </w:rPr>
                    <w:t>0.288</w:t>
                  </w:r>
                </w:p>
              </w:tc>
              <w:tc>
                <w:tcPr>
                  <w:tcW w:w="1155" w:type="dxa"/>
                  <w:vAlign w:val="center"/>
                </w:tcPr>
                <w:p>
                  <w:pPr>
                    <w:jc w:val="center"/>
                    <w:rPr>
                      <w:rFonts w:hint="eastAsia"/>
                      <w:sz w:val="21"/>
                      <w:szCs w:val="21"/>
                    </w:rPr>
                  </w:pPr>
                  <w:r>
                    <w:rPr>
                      <w:rFonts w:hint="eastAsia"/>
                      <w:sz w:val="21"/>
                      <w:szCs w:val="21"/>
                    </w:rPr>
                    <w:t>0.036</w:t>
                  </w:r>
                </w:p>
              </w:tc>
              <w:tc>
                <w:tcPr>
                  <w:tcW w:w="1063" w:type="dxa"/>
                  <w:vAlign w:val="center"/>
                </w:tcPr>
                <w:p>
                  <w:pPr>
                    <w:jc w:val="center"/>
                    <w:rPr>
                      <w:rFonts w:hint="eastAsia"/>
                      <w:sz w:val="21"/>
                      <w:szCs w:val="21"/>
                    </w:rPr>
                  </w:pPr>
                  <w:r>
                    <w:rPr>
                      <w:rFonts w:hint="eastAsia"/>
                      <w:sz w:val="21"/>
                      <w:szCs w:val="21"/>
                    </w:rPr>
                    <w:t>0.057</w:t>
                  </w:r>
                </w:p>
              </w:tc>
            </w:tr>
          </w:tbl>
          <w:p>
            <w:pPr>
              <w:adjustRightInd w:val="0"/>
              <w:snapToGrid w:val="0"/>
              <w:spacing w:line="360" w:lineRule="auto"/>
              <w:rPr>
                <w:sz w:val="24"/>
              </w:rPr>
            </w:pPr>
            <w:r>
              <w:rPr>
                <w:rFonts w:hint="eastAsia"/>
                <w:sz w:val="24"/>
              </w:rPr>
              <w:t xml:space="preserve">    本项目地上停车位较少，产生的汽车尾气呈</w:t>
            </w:r>
            <w:r>
              <w:rPr>
                <w:sz w:val="24"/>
                <w:szCs w:val="24"/>
              </w:rPr>
              <w:t>无组织排放</w:t>
            </w:r>
            <w:r>
              <w:rPr>
                <w:rFonts w:hint="eastAsia"/>
                <w:sz w:val="24"/>
                <w:szCs w:val="24"/>
              </w:rPr>
              <w:t>且分散面积较大；</w:t>
            </w:r>
            <w:r>
              <w:rPr>
                <w:sz w:val="24"/>
                <w:szCs w:val="24"/>
              </w:rPr>
              <w:t>地下车库</w:t>
            </w:r>
            <w:r>
              <w:rPr>
                <w:rFonts w:hint="eastAsia"/>
                <w:sz w:val="24"/>
                <w:szCs w:val="24"/>
              </w:rPr>
              <w:t>换气方式采用全面通</w:t>
            </w:r>
            <w:r>
              <w:rPr>
                <w:rFonts w:hint="eastAsia"/>
                <w:sz w:val="24"/>
              </w:rPr>
              <w:t>风方式，</w:t>
            </w:r>
            <w:r>
              <w:rPr>
                <w:sz w:val="24"/>
              </w:rPr>
              <w:t>换气频率为6次每小时</w:t>
            </w:r>
            <w:r>
              <w:rPr>
                <w:rFonts w:hint="eastAsia"/>
                <w:sz w:val="24"/>
              </w:rPr>
              <w:t>，废气通过不低于2.5m的多个排气口排放</w:t>
            </w:r>
            <w:r>
              <w:rPr>
                <w:sz w:val="24"/>
              </w:rPr>
              <w:t>。</w:t>
            </w:r>
            <w:r>
              <w:rPr>
                <w:rFonts w:hint="eastAsia"/>
                <w:sz w:val="24"/>
                <w:szCs w:val="24"/>
              </w:rPr>
              <w:t>本评价针对地下车库汽车尾气进行浓度排放达标行分析。</w:t>
            </w:r>
            <w:r>
              <w:rPr>
                <w:sz w:val="24"/>
              </w:rPr>
              <w:t>按</w:t>
            </w:r>
            <w:r>
              <w:rPr>
                <w:rFonts w:hint="eastAsia"/>
                <w:sz w:val="24"/>
              </w:rPr>
              <w:t>地下</w:t>
            </w:r>
            <w:r>
              <w:rPr>
                <w:sz w:val="24"/>
              </w:rPr>
              <w:t>停车库体积及单位时间换气次数，计算单位时间废气排放量，再按照污染</w:t>
            </w:r>
            <w:r>
              <w:rPr>
                <w:rFonts w:hint="eastAsia"/>
                <w:sz w:val="24"/>
              </w:rPr>
              <w:t>物</w:t>
            </w:r>
            <w:r>
              <w:rPr>
                <w:sz w:val="24"/>
              </w:rPr>
              <w:t>排放速率，计算各停车库的污染排放浓度，计算方法如下：</w:t>
            </w:r>
          </w:p>
          <w:p>
            <w:pPr>
              <w:spacing w:line="360" w:lineRule="auto"/>
              <w:ind w:firstLine="960" w:firstLineChars="400"/>
              <w:rPr>
                <w:sz w:val="24"/>
              </w:rPr>
            </w:pPr>
            <w:r>
              <w:rPr>
                <w:position w:val="-44"/>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i1046" type="#_x0000_t75" style="width:59.23pt;height:47.57pt;mso-position-horizontal-relative:page;mso-position-vertical-relative:page;mso-wrap-style:square" o:ole="" o:preferrelative="t" filled="f" stroked="f">
                  <v:stroke linestyle="single"/>
                  <v:imagedata r:id="rId70" o:title=""/>
                  <v:path o:extrusionok="f"/>
                  <o:lock v:ext="edit" aspectratio="t"/>
                </v:shape>
                <o:OLEObject Type="Embed" ProgID="Equation.DSMT4" ShapeID="Picture 26" DrawAspect="Content" ObjectID="_1234567890" r:id="rId71"/>
              </w:object>
            </w:r>
          </w:p>
          <w:p>
            <w:pPr>
              <w:spacing w:line="360" w:lineRule="auto"/>
              <w:rPr>
                <w:rFonts w:hint="eastAsia"/>
                <w:sz w:val="24"/>
              </w:rPr>
            </w:pPr>
            <w:r>
              <w:rPr>
                <w:sz w:val="24"/>
              </w:rPr>
              <w:t>式中，</w:t>
            </w:r>
            <w:r>
              <w:rPr>
                <w:rFonts w:hint="eastAsia"/>
                <w:sz w:val="24"/>
              </w:rPr>
              <w:t>V为地下室体积，m</w:t>
            </w:r>
            <w:r>
              <w:rPr>
                <w:rFonts w:hint="eastAsia"/>
                <w:sz w:val="24"/>
                <w:vertAlign w:val="superscript"/>
              </w:rPr>
              <w:t>3</w:t>
            </w:r>
          </w:p>
          <w:p>
            <w:pPr>
              <w:spacing w:line="360" w:lineRule="auto"/>
              <w:ind w:firstLine="720" w:firstLineChars="300"/>
              <w:rPr>
                <w:rFonts w:hint="eastAsia"/>
                <w:sz w:val="24"/>
              </w:rPr>
            </w:pPr>
            <w:r>
              <w:rPr>
                <w:rFonts w:hint="eastAsia"/>
                <w:sz w:val="24"/>
              </w:rPr>
              <w:t>n为换气次数次/h</w:t>
            </w:r>
          </w:p>
          <w:p>
            <w:pPr>
              <w:spacing w:line="360" w:lineRule="auto"/>
              <w:ind w:firstLine="720" w:firstLineChars="300"/>
              <w:rPr>
                <w:sz w:val="24"/>
              </w:rPr>
            </w:pPr>
            <w:r>
              <w:rPr>
                <w:position w:val="-6"/>
                <w:sz w:val="24"/>
              </w:rPr>
              <w:object>
                <v:shape id="Picture 27" o:spid="_x0000_i1047" type="#_x0000_t75" style="width:12.02pt;height:13.93pt;mso-position-horizontal-relative:page;mso-position-vertical-relative:page;mso-wrap-style:square" o:ole="" o:preferrelative="t" filled="f" stroked="f">
                  <v:stroke linestyle="single"/>
                  <v:imagedata r:id="rId72" o:title=""/>
                  <v:path o:extrusionok="f"/>
                  <o:lock v:ext="edit" aspectratio="t"/>
                </v:shape>
                <o:OLEObject Type="Embed" ProgID="Equation.DSMT4" ShapeID="Picture 27" DrawAspect="Content" ObjectID="_1234567891" r:id="rId73"/>
              </w:object>
            </w:r>
            <w:r>
              <w:rPr>
                <w:sz w:val="24"/>
              </w:rPr>
              <w:t>为污染排放浓度，</w:t>
            </w:r>
            <w:r>
              <w:rPr>
                <w:rFonts w:hint="eastAsia"/>
                <w:sz w:val="24"/>
              </w:rPr>
              <w:t>mg/m</w:t>
            </w:r>
            <w:r>
              <w:rPr>
                <w:rFonts w:hint="eastAsia"/>
                <w:sz w:val="24"/>
                <w:vertAlign w:val="superscript"/>
              </w:rPr>
              <w:t>3</w:t>
            </w:r>
          </w:p>
          <w:p>
            <w:pPr>
              <w:spacing w:line="360" w:lineRule="auto"/>
              <w:rPr>
                <w:rFonts w:hint="eastAsia"/>
                <w:i/>
                <w:sz w:val="24"/>
              </w:rPr>
            </w:pPr>
            <w:r>
              <w:rPr>
                <w:sz w:val="24"/>
              </w:rPr>
              <w:t xml:space="preserve">      </w:t>
            </w:r>
            <w:r>
              <w:rPr>
                <w:position w:val="-6"/>
                <w:sz w:val="24"/>
              </w:rPr>
              <w:object>
                <v:shape id="Picture 28" o:spid="_x0000_i1048" type="#_x0000_t75" style="width:12.98pt;height:13.93pt;mso-position-horizontal-relative:page;mso-position-vertical-relative:page;mso-wrap-style:square" o:ole="" o:preferrelative="t" filled="f" stroked="f">
                  <v:stroke linestyle="single"/>
                  <v:imagedata r:id="rId74" o:title=""/>
                  <v:path o:extrusionok="f"/>
                  <o:lock v:ext="edit" aspectratio="t"/>
                </v:shape>
                <o:OLEObject Type="Embed" ProgID="Equation.DSMT4" ShapeID="Picture 28" DrawAspect="Content" ObjectID="_1234567892" r:id="rId75"/>
              </w:object>
            </w:r>
            <w:r>
              <w:rPr>
                <w:sz w:val="24"/>
              </w:rPr>
              <w:t>为污染物排放速率，</w:t>
            </w:r>
            <w:r>
              <w:rPr>
                <w:rFonts w:hint="eastAsia"/>
                <w:sz w:val="24"/>
              </w:rPr>
              <w:t>kg/h</w:t>
            </w:r>
          </w:p>
          <w:p>
            <w:pPr>
              <w:spacing w:line="360" w:lineRule="auto"/>
              <w:rPr>
                <w:sz w:val="24"/>
              </w:rPr>
            </w:pPr>
            <w:r>
              <w:rPr>
                <w:sz w:val="24"/>
              </w:rPr>
              <w:t xml:space="preserve">     </w:t>
            </w:r>
            <w:r>
              <w:rPr>
                <w:i/>
                <w:sz w:val="24"/>
              </w:rPr>
              <w:t xml:space="preserve"> </w:t>
            </w:r>
            <w:r>
              <w:rPr>
                <w:i/>
                <w:position w:val="-10"/>
                <w:sz w:val="24"/>
              </w:rPr>
              <w:object>
                <v:shape id="Picture 29" o:spid="_x0000_i1049" type="#_x0000_t75" style="width:11.98pt;height:16.02pt;mso-position-horizontal-relative:page;mso-position-vertical-relative:page;mso-wrap-style:square" o:ole="" o:preferrelative="t" filled="f" stroked="f">
                  <v:stroke linestyle="single"/>
                  <v:imagedata r:id="rId76" o:title=""/>
                  <v:path o:extrusionok="f"/>
                  <o:lock v:ext="edit" aspectratio="t"/>
                </v:shape>
                <o:OLEObject Type="Embed" ProgID="Equation.DSMT4" ShapeID="Picture 29" DrawAspect="Content" ObjectID="_1234567893" r:id="rId77"/>
              </w:object>
            </w:r>
            <w:r>
              <w:rPr>
                <w:sz w:val="24"/>
              </w:rPr>
              <w:t>为废气排放量，</w:t>
            </w:r>
            <w:r>
              <w:rPr>
                <w:rFonts w:hint="eastAsia"/>
                <w:sz w:val="24"/>
              </w:rPr>
              <w:t>m</w:t>
            </w:r>
            <w:r>
              <w:rPr>
                <w:rFonts w:hint="eastAsia"/>
                <w:sz w:val="24"/>
                <w:vertAlign w:val="superscript"/>
              </w:rPr>
              <w:t>3</w:t>
            </w:r>
            <w:r>
              <w:rPr>
                <w:rFonts w:hint="eastAsia"/>
                <w:sz w:val="24"/>
              </w:rPr>
              <w:t>/h</w:t>
            </w:r>
          </w:p>
          <w:p>
            <w:pPr>
              <w:spacing w:line="360" w:lineRule="auto"/>
              <w:ind w:firstLine="480"/>
              <w:rPr>
                <w:rFonts w:hint="eastAsia"/>
                <w:sz w:val="24"/>
              </w:rPr>
            </w:pPr>
            <w:r>
              <w:rPr>
                <w:sz w:val="24"/>
              </w:rPr>
              <w:t>按此方法计算地下停车库污染物排放浓度，结果见表</w:t>
            </w:r>
            <w:r>
              <w:rPr>
                <w:rFonts w:hint="eastAsia"/>
                <w:sz w:val="24"/>
              </w:rPr>
              <w:t>16</w:t>
            </w:r>
            <w:r>
              <w:rPr>
                <w:sz w:val="24"/>
              </w:rPr>
              <w:t>。</w:t>
            </w:r>
          </w:p>
          <w:p>
            <w:pPr>
              <w:spacing w:line="360" w:lineRule="auto"/>
              <w:jc w:val="center"/>
              <w:rPr>
                <w:b/>
                <w:sz w:val="24"/>
              </w:rPr>
            </w:pPr>
            <w:r>
              <w:rPr>
                <w:b/>
                <w:sz w:val="24"/>
              </w:rPr>
              <w:t>表</w:t>
            </w:r>
            <w:r>
              <w:rPr>
                <w:rFonts w:hint="eastAsia"/>
                <w:b/>
                <w:sz w:val="24"/>
              </w:rPr>
              <w:t>16</w:t>
            </w:r>
            <w:r>
              <w:rPr>
                <w:b/>
                <w:sz w:val="24"/>
              </w:rPr>
              <w:t xml:space="preserve">  地下停车库废气排放浓度</w:t>
            </w:r>
          </w:p>
        </w:tc>
      </w:tr>
    </w:tbl>
    <w:p>
      <w:pPr>
        <w:sectPr>
          <w:footerReference w:type="even" r:id="rId78"/>
          <w:footerReference w:type="default" r:id="rId79"/>
          <w:footerReference w:type="first" r:id="rId80"/>
          <w:type w:val="nextPage"/>
          <w:pgSz w:w="11906" w:h="16838"/>
          <w:pgMar w:top="1134" w:right="1418" w:bottom="1134" w:left="1418" w:header="851" w:footer="992" w:gutter="0"/>
          <w:pgNumType w:start="23"/>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CellMar>
          <w:top w:w="0" w:type="dxa"/>
          <w:left w:w="0" w:type="dxa"/>
          <w:bottom w:w="0" w:type="dxa"/>
          <w:right w:w="0" w:type="dxa"/>
        </w:tblCellMar>
        <w:tblLook w:val="0000"/>
      </w:tblPr>
      <w:tblGrid>
        <w:gridCol w:w="9072"/>
      </w:tblGrid>
      <w:tr>
        <w:tblPrEx>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CellMar>
            <w:top w:w="0" w:type="dxa"/>
            <w:left w:w="0" w:type="dxa"/>
            <w:bottom w:w="0" w:type="dxa"/>
            <w:right w:w="0" w:type="dxa"/>
          </w:tblCellMar>
          <w:tblLook w:val="0000"/>
        </w:tblPrEx>
        <w:trPr>
          <w:trHeight w:val="7108"/>
          <w:jc w:val="center"/>
        </w:trPr>
        <w:tc>
          <w:tcPr>
            <w:tcW w:w="9072" w:type="dxa"/>
          </w:tcPr>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95"/>
              <w:gridCol w:w="1007"/>
              <w:gridCol w:w="1375"/>
              <w:gridCol w:w="1232"/>
              <w:gridCol w:w="1666"/>
              <w:gridCol w:w="1647"/>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334"/>
                <w:jc w:val="center"/>
              </w:trPr>
              <w:tc>
                <w:tcPr>
                  <w:tcW w:w="1595" w:type="dxa"/>
                  <w:vMerge w:val="restart"/>
                  <w:vAlign w:val="center"/>
                </w:tcPr>
                <w:p>
                  <w:pPr>
                    <w:jc w:val="center"/>
                    <w:rPr>
                      <w:b/>
                      <w:bCs/>
                      <w:sz w:val="21"/>
                      <w:szCs w:val="21"/>
                    </w:rPr>
                  </w:pPr>
                  <w:r>
                    <w:rPr>
                      <w:b/>
                      <w:bCs/>
                      <w:sz w:val="21"/>
                      <w:szCs w:val="21"/>
                    </w:rPr>
                    <w:t>泊位</w:t>
                  </w:r>
                  <w:r>
                    <w:rPr>
                      <w:rFonts w:hint="eastAsia"/>
                      <w:b/>
                      <w:bCs/>
                      <w:sz w:val="21"/>
                      <w:szCs w:val="21"/>
                    </w:rPr>
                    <w:t>位置及数量</w:t>
                  </w:r>
                </w:p>
              </w:tc>
              <w:tc>
                <w:tcPr>
                  <w:tcW w:w="1007" w:type="dxa"/>
                  <w:vMerge w:val="restart"/>
                  <w:vAlign w:val="center"/>
                </w:tcPr>
                <w:p>
                  <w:pPr>
                    <w:jc w:val="center"/>
                    <w:rPr>
                      <w:b/>
                      <w:bCs/>
                      <w:sz w:val="21"/>
                      <w:szCs w:val="21"/>
                    </w:rPr>
                  </w:pPr>
                  <w:r>
                    <w:rPr>
                      <w:b/>
                      <w:bCs/>
                      <w:sz w:val="21"/>
                      <w:szCs w:val="21"/>
                    </w:rPr>
                    <w:t>污染物</w:t>
                  </w:r>
                </w:p>
              </w:tc>
              <w:tc>
                <w:tcPr>
                  <w:tcW w:w="1375" w:type="dxa"/>
                  <w:vMerge w:val="restart"/>
                  <w:vAlign w:val="center"/>
                </w:tcPr>
                <w:p>
                  <w:pPr>
                    <w:jc w:val="center"/>
                    <w:rPr>
                      <w:b/>
                      <w:bCs/>
                      <w:sz w:val="21"/>
                      <w:szCs w:val="21"/>
                    </w:rPr>
                  </w:pPr>
                  <w:r>
                    <w:rPr>
                      <w:b/>
                      <w:bCs/>
                      <w:sz w:val="21"/>
                      <w:szCs w:val="21"/>
                    </w:rPr>
                    <w:t>排放浓度</w:t>
                  </w:r>
                </w:p>
                <w:p>
                  <w:pPr>
                    <w:jc w:val="center"/>
                    <w:rPr>
                      <w:b/>
                      <w:bCs/>
                      <w:sz w:val="21"/>
                      <w:szCs w:val="21"/>
                    </w:rPr>
                  </w:pPr>
                  <w:r>
                    <w:rPr>
                      <w:b/>
                      <w:bCs/>
                      <w:sz w:val="21"/>
                      <w:szCs w:val="21"/>
                    </w:rPr>
                    <w:t>（mg/m</w:t>
                  </w:r>
                  <w:r>
                    <w:rPr>
                      <w:b/>
                      <w:bCs/>
                      <w:sz w:val="21"/>
                      <w:szCs w:val="21"/>
                      <w:vertAlign w:val="superscript"/>
                    </w:rPr>
                    <w:t>3</w:t>
                  </w:r>
                  <w:r>
                    <w:rPr>
                      <w:b/>
                      <w:bCs/>
                      <w:sz w:val="21"/>
                      <w:szCs w:val="21"/>
                    </w:rPr>
                    <w:t>）</w:t>
                  </w:r>
                </w:p>
              </w:tc>
              <w:tc>
                <w:tcPr>
                  <w:tcW w:w="1232" w:type="dxa"/>
                  <w:vMerge w:val="restart"/>
                  <w:vAlign w:val="center"/>
                </w:tcPr>
                <w:p>
                  <w:pPr>
                    <w:jc w:val="center"/>
                    <w:rPr>
                      <w:b/>
                      <w:bCs/>
                      <w:sz w:val="21"/>
                      <w:szCs w:val="21"/>
                    </w:rPr>
                  </w:pPr>
                  <w:r>
                    <w:rPr>
                      <w:b/>
                      <w:bCs/>
                      <w:sz w:val="21"/>
                      <w:szCs w:val="21"/>
                    </w:rPr>
                    <w:t>排放量</w:t>
                  </w:r>
                </w:p>
                <w:p>
                  <w:pPr>
                    <w:jc w:val="center"/>
                    <w:rPr>
                      <w:b/>
                      <w:bCs/>
                      <w:sz w:val="21"/>
                      <w:szCs w:val="21"/>
                    </w:rPr>
                  </w:pPr>
                  <w:r>
                    <w:rPr>
                      <w:b/>
                      <w:bCs/>
                      <w:sz w:val="21"/>
                      <w:szCs w:val="21"/>
                    </w:rPr>
                    <w:t>（</w:t>
                  </w:r>
                  <w:r>
                    <w:rPr>
                      <w:rFonts w:hint="eastAsia"/>
                      <w:b/>
                      <w:bCs/>
                      <w:sz w:val="21"/>
                      <w:szCs w:val="21"/>
                    </w:rPr>
                    <w:t>t</w:t>
                  </w:r>
                  <w:r>
                    <w:rPr>
                      <w:b/>
                      <w:bCs/>
                      <w:sz w:val="21"/>
                      <w:szCs w:val="21"/>
                    </w:rPr>
                    <w:t>/</w:t>
                  </w:r>
                  <w:r>
                    <w:rPr>
                      <w:rFonts w:hint="eastAsia"/>
                      <w:b/>
                      <w:bCs/>
                      <w:sz w:val="21"/>
                      <w:szCs w:val="21"/>
                    </w:rPr>
                    <w:t>a</w:t>
                  </w:r>
                  <w:r>
                    <w:rPr>
                      <w:b/>
                      <w:bCs/>
                      <w:sz w:val="21"/>
                      <w:szCs w:val="21"/>
                    </w:rPr>
                    <w:t>）</w:t>
                  </w:r>
                </w:p>
              </w:tc>
              <w:tc>
                <w:tcPr>
                  <w:tcW w:w="3313" w:type="dxa"/>
                  <w:gridSpan w:val="2"/>
                  <w:vAlign w:val="center"/>
                </w:tcPr>
                <w:p>
                  <w:pPr>
                    <w:widowControl/>
                    <w:jc w:val="center"/>
                    <w:rPr>
                      <w:b/>
                      <w:bCs/>
                      <w:sz w:val="21"/>
                      <w:szCs w:val="21"/>
                    </w:rPr>
                  </w:pPr>
                  <w:r>
                    <w:rPr>
                      <w:b/>
                      <w:bCs/>
                      <w:sz w:val="21"/>
                      <w:szCs w:val="21"/>
                    </w:rPr>
                    <w:t>标准值（</w:t>
                  </w:r>
                  <w:r>
                    <w:rPr>
                      <w:rFonts w:hint="eastAsia"/>
                      <w:b/>
                      <w:bCs/>
                      <w:sz w:val="21"/>
                      <w:szCs w:val="21"/>
                    </w:rPr>
                    <w:t>单位：</w:t>
                  </w:r>
                  <w:r>
                    <w:rPr>
                      <w:b/>
                      <w:bCs/>
                      <w:sz w:val="21"/>
                      <w:szCs w:val="21"/>
                    </w:rPr>
                    <w:t>mg/m</w:t>
                  </w:r>
                  <w:r>
                    <w:rPr>
                      <w:b/>
                      <w:bCs/>
                      <w:sz w:val="21"/>
                      <w:szCs w:val="21"/>
                      <w:vertAlign w:val="superscript"/>
                    </w:rPr>
                    <w:t>3</w:t>
                  </w:r>
                  <w:r>
                    <w:rPr>
                      <w:b/>
                      <w:bCs/>
                      <w:sz w:val="21"/>
                      <w:szCs w:val="21"/>
                    </w:rPr>
                    <w:t>）</w:t>
                  </w:r>
                </w:p>
              </w:tc>
            </w:tr>
            <w:tr>
              <w:tblPrEx>
                <w:jc w:val="center"/>
                <w:tblInd w:w="123" w:type="dxa"/>
                <w:tblLayout w:type="fixed"/>
                <w:tblCellMar>
                  <w:top w:w="0" w:type="dxa"/>
                  <w:left w:w="108" w:type="dxa"/>
                  <w:bottom w:w="0" w:type="dxa"/>
                  <w:right w:w="108" w:type="dxa"/>
                </w:tblCellMar>
                <w:tblLook w:val="0000"/>
              </w:tblPrEx>
              <w:trPr>
                <w:cantSplit/>
                <w:trHeight w:val="839"/>
                <w:jc w:val="center"/>
              </w:trPr>
              <w:tc>
                <w:tcPr>
                  <w:tcW w:w="1595" w:type="dxa"/>
                  <w:vMerge/>
                  <w:vAlign w:val="center"/>
                </w:tcPr>
                <w:p>
                  <w:pPr>
                    <w:jc w:val="center"/>
                    <w:rPr>
                      <w:b/>
                      <w:bCs/>
                      <w:sz w:val="21"/>
                      <w:szCs w:val="21"/>
                    </w:rPr>
                  </w:pPr>
                </w:p>
              </w:tc>
              <w:tc>
                <w:tcPr>
                  <w:tcW w:w="1007" w:type="dxa"/>
                  <w:vMerge/>
                  <w:vAlign w:val="center"/>
                </w:tcPr>
                <w:p>
                  <w:pPr>
                    <w:jc w:val="center"/>
                    <w:rPr>
                      <w:b/>
                      <w:bCs/>
                      <w:sz w:val="21"/>
                      <w:szCs w:val="21"/>
                    </w:rPr>
                  </w:pPr>
                </w:p>
              </w:tc>
              <w:tc>
                <w:tcPr>
                  <w:tcW w:w="1375" w:type="dxa"/>
                  <w:vMerge/>
                  <w:vAlign w:val="center"/>
                </w:tcPr>
                <w:p>
                  <w:pPr>
                    <w:jc w:val="center"/>
                    <w:rPr>
                      <w:b/>
                      <w:bCs/>
                      <w:sz w:val="21"/>
                      <w:szCs w:val="21"/>
                    </w:rPr>
                  </w:pPr>
                </w:p>
              </w:tc>
              <w:tc>
                <w:tcPr>
                  <w:tcW w:w="1232" w:type="dxa"/>
                  <w:vMerge/>
                  <w:vAlign w:val="center"/>
                </w:tcPr>
                <w:p>
                  <w:pPr>
                    <w:jc w:val="center"/>
                    <w:rPr>
                      <w:b/>
                      <w:bCs/>
                      <w:sz w:val="21"/>
                      <w:szCs w:val="21"/>
                    </w:rPr>
                  </w:pPr>
                </w:p>
              </w:tc>
              <w:tc>
                <w:tcPr>
                  <w:tcW w:w="1666" w:type="dxa"/>
                  <w:vAlign w:val="center"/>
                </w:tcPr>
                <w:p>
                  <w:pPr>
                    <w:widowControl/>
                    <w:jc w:val="center"/>
                    <w:rPr>
                      <w:sz w:val="21"/>
                      <w:szCs w:val="21"/>
                    </w:rPr>
                  </w:pPr>
                  <w:r>
                    <w:rPr>
                      <w:sz w:val="21"/>
                      <w:szCs w:val="21"/>
                    </w:rPr>
                    <w:t>GBZ1-2007</w:t>
                  </w:r>
                </w:p>
                <w:p>
                  <w:pPr>
                    <w:widowControl/>
                    <w:jc w:val="center"/>
                    <w:rPr>
                      <w:b/>
                      <w:bCs/>
                      <w:sz w:val="21"/>
                      <w:szCs w:val="21"/>
                    </w:rPr>
                  </w:pPr>
                  <w:r>
                    <w:rPr>
                      <w:rFonts w:hint="eastAsia"/>
                      <w:sz w:val="21"/>
                      <w:szCs w:val="21"/>
                    </w:rPr>
                    <w:t>浓度限值</w:t>
                  </w:r>
                </w:p>
              </w:tc>
              <w:tc>
                <w:tcPr>
                  <w:tcW w:w="1647" w:type="dxa"/>
                  <w:vAlign w:val="center"/>
                </w:tcPr>
                <w:p>
                  <w:pPr>
                    <w:widowControl/>
                    <w:jc w:val="center"/>
                    <w:rPr>
                      <w:b/>
                      <w:bCs/>
                      <w:sz w:val="21"/>
                      <w:szCs w:val="21"/>
                    </w:rPr>
                  </w:pPr>
                  <w:r>
                    <w:rPr>
                      <w:sz w:val="21"/>
                      <w:szCs w:val="21"/>
                    </w:rPr>
                    <w:t>GB16297-1996</w:t>
                  </w:r>
                  <w:r>
                    <w:rPr>
                      <w:rFonts w:hint="eastAsia"/>
                      <w:sz w:val="21"/>
                      <w:szCs w:val="21"/>
                    </w:rPr>
                    <w:t>表2中二级</w:t>
                  </w:r>
                </w:p>
              </w:tc>
            </w:tr>
            <w:tr>
              <w:tblPrEx>
                <w:jc w:val="center"/>
                <w:tblInd w:w="123" w:type="dxa"/>
                <w:tblLayout w:type="fixed"/>
                <w:tblCellMar>
                  <w:top w:w="0" w:type="dxa"/>
                  <w:left w:w="108" w:type="dxa"/>
                  <w:bottom w:w="0" w:type="dxa"/>
                  <w:right w:w="108" w:type="dxa"/>
                </w:tblCellMar>
                <w:tblLook w:val="0000"/>
              </w:tblPrEx>
              <w:trPr>
                <w:cantSplit/>
                <w:jc w:val="center"/>
              </w:trPr>
              <w:tc>
                <w:tcPr>
                  <w:tcW w:w="1595" w:type="dxa"/>
                  <w:vMerge w:val="restart"/>
                  <w:vAlign w:val="center"/>
                </w:tcPr>
                <w:p>
                  <w:pPr>
                    <w:jc w:val="center"/>
                    <w:rPr>
                      <w:sz w:val="21"/>
                      <w:szCs w:val="21"/>
                    </w:rPr>
                  </w:pPr>
                  <w:r>
                    <w:rPr>
                      <w:sz w:val="21"/>
                      <w:szCs w:val="21"/>
                    </w:rPr>
                    <w:t>地下</w:t>
                  </w:r>
                  <w:r>
                    <w:rPr>
                      <w:rFonts w:hint="eastAsia"/>
                      <w:sz w:val="21"/>
                      <w:szCs w:val="21"/>
                    </w:rPr>
                    <w:t>一层</w:t>
                  </w:r>
                  <w:r>
                    <w:rPr>
                      <w:sz w:val="21"/>
                      <w:szCs w:val="21"/>
                    </w:rPr>
                    <w:t>停车库</w:t>
                  </w:r>
                  <w:r>
                    <w:rPr>
                      <w:rFonts w:hint="eastAsia"/>
                      <w:sz w:val="21"/>
                      <w:szCs w:val="21"/>
                    </w:rPr>
                    <w:t>（461</w:t>
                  </w:r>
                  <w:r>
                    <w:rPr>
                      <w:sz w:val="21"/>
                      <w:szCs w:val="21"/>
                    </w:rPr>
                    <w:t>辆</w:t>
                  </w:r>
                  <w:r>
                    <w:rPr>
                      <w:rFonts w:hint="eastAsia"/>
                      <w:sz w:val="21"/>
                      <w:szCs w:val="21"/>
                    </w:rPr>
                    <w:t>）</w:t>
                  </w:r>
                </w:p>
              </w:tc>
              <w:tc>
                <w:tcPr>
                  <w:tcW w:w="1007" w:type="dxa"/>
                  <w:vAlign w:val="center"/>
                </w:tcPr>
                <w:p>
                  <w:pPr>
                    <w:jc w:val="center"/>
                    <w:rPr>
                      <w:sz w:val="21"/>
                      <w:szCs w:val="21"/>
                    </w:rPr>
                  </w:pPr>
                  <w:r>
                    <w:rPr>
                      <w:sz w:val="21"/>
                      <w:szCs w:val="21"/>
                    </w:rPr>
                    <w:t>CO</w:t>
                  </w:r>
                </w:p>
              </w:tc>
              <w:tc>
                <w:tcPr>
                  <w:tcW w:w="1375" w:type="dxa"/>
                  <w:vAlign w:val="center"/>
                </w:tcPr>
                <w:p>
                  <w:pPr>
                    <w:jc w:val="center"/>
                    <w:rPr>
                      <w:rFonts w:hint="eastAsia"/>
                      <w:sz w:val="21"/>
                      <w:szCs w:val="21"/>
                    </w:rPr>
                  </w:pPr>
                  <w:r>
                    <w:rPr>
                      <w:rFonts w:hint="eastAsia"/>
                      <w:sz w:val="21"/>
                      <w:szCs w:val="21"/>
                    </w:rPr>
                    <w:t>3.06</w:t>
                  </w:r>
                </w:p>
              </w:tc>
              <w:tc>
                <w:tcPr>
                  <w:tcW w:w="1232" w:type="dxa"/>
                  <w:vAlign w:val="center"/>
                </w:tcPr>
                <w:p>
                  <w:pPr>
                    <w:jc w:val="center"/>
                    <w:rPr>
                      <w:rFonts w:hint="eastAsia"/>
                      <w:sz w:val="21"/>
                      <w:szCs w:val="21"/>
                    </w:rPr>
                  </w:pPr>
                  <w:r>
                    <w:rPr>
                      <w:rFonts w:hint="eastAsia"/>
                      <w:sz w:val="21"/>
                      <w:szCs w:val="21"/>
                    </w:rPr>
                    <w:t>2.67</w:t>
                  </w:r>
                </w:p>
              </w:tc>
              <w:tc>
                <w:tcPr>
                  <w:tcW w:w="1666" w:type="dxa"/>
                  <w:vAlign w:val="center"/>
                </w:tcPr>
                <w:p>
                  <w:pPr>
                    <w:jc w:val="center"/>
                    <w:rPr>
                      <w:sz w:val="21"/>
                      <w:szCs w:val="21"/>
                    </w:rPr>
                  </w:pPr>
                  <w:r>
                    <w:rPr>
                      <w:rFonts w:hint="eastAsia"/>
                      <w:sz w:val="21"/>
                      <w:szCs w:val="21"/>
                    </w:rPr>
                    <w:t>2</w:t>
                  </w:r>
                  <w:r>
                    <w:rPr>
                      <w:sz w:val="21"/>
                      <w:szCs w:val="21"/>
                    </w:rPr>
                    <w:t>0</w:t>
                  </w:r>
                </w:p>
              </w:tc>
              <w:tc>
                <w:tcPr>
                  <w:tcW w:w="1647" w:type="dxa"/>
                  <w:vAlign w:val="center"/>
                </w:tcPr>
                <w:p>
                  <w:pPr>
                    <w:jc w:val="center"/>
                    <w:rPr>
                      <w:rFonts w:hint="eastAsia"/>
                      <w:sz w:val="21"/>
                      <w:szCs w:val="21"/>
                    </w:rPr>
                  </w:pPr>
                  <w:r>
                    <w:rPr>
                      <w:rFonts w:hint="eastAsia"/>
                      <w:sz w:val="21"/>
                      <w:szCs w:val="21"/>
                    </w:rPr>
                    <w:t>/</w:t>
                  </w:r>
                </w:p>
              </w:tc>
            </w:tr>
            <w:tr>
              <w:tblPrEx>
                <w:jc w:val="center"/>
                <w:tblInd w:w="123" w:type="dxa"/>
                <w:tblLayout w:type="fixed"/>
                <w:tblCellMar>
                  <w:top w:w="0" w:type="dxa"/>
                  <w:left w:w="108" w:type="dxa"/>
                  <w:bottom w:w="0" w:type="dxa"/>
                  <w:right w:w="108" w:type="dxa"/>
                </w:tblCellMar>
                <w:tblLook w:val="0000"/>
              </w:tblPrEx>
              <w:trPr>
                <w:cantSplit/>
                <w:jc w:val="center"/>
              </w:trPr>
              <w:tc>
                <w:tcPr>
                  <w:tcW w:w="1595" w:type="dxa"/>
                  <w:vMerge/>
                  <w:vAlign w:val="center"/>
                </w:tcPr>
                <w:p>
                  <w:pPr>
                    <w:jc w:val="center"/>
                    <w:rPr>
                      <w:sz w:val="21"/>
                      <w:szCs w:val="21"/>
                    </w:rPr>
                  </w:pPr>
                </w:p>
              </w:tc>
              <w:tc>
                <w:tcPr>
                  <w:tcW w:w="1007" w:type="dxa"/>
                  <w:vAlign w:val="center"/>
                </w:tcPr>
                <w:p>
                  <w:pPr>
                    <w:jc w:val="center"/>
                    <w:rPr>
                      <w:sz w:val="21"/>
                      <w:szCs w:val="21"/>
                    </w:rPr>
                  </w:pPr>
                  <w:r>
                    <w:rPr>
                      <w:sz w:val="21"/>
                      <w:szCs w:val="21"/>
                    </w:rPr>
                    <w:t>NO</w:t>
                  </w:r>
                  <w:r>
                    <w:rPr>
                      <w:sz w:val="21"/>
                      <w:szCs w:val="21"/>
                      <w:vertAlign w:val="subscript"/>
                    </w:rPr>
                    <w:t>X</w:t>
                  </w:r>
                </w:p>
              </w:tc>
              <w:tc>
                <w:tcPr>
                  <w:tcW w:w="1375" w:type="dxa"/>
                  <w:vAlign w:val="center"/>
                </w:tcPr>
                <w:p>
                  <w:pPr>
                    <w:jc w:val="center"/>
                    <w:rPr>
                      <w:rFonts w:hint="eastAsia"/>
                      <w:sz w:val="21"/>
                      <w:szCs w:val="21"/>
                    </w:rPr>
                  </w:pPr>
                  <w:r>
                    <w:rPr>
                      <w:rFonts w:hint="eastAsia"/>
                      <w:sz w:val="21"/>
                      <w:szCs w:val="21"/>
                    </w:rPr>
                    <w:t>0.38</w:t>
                  </w:r>
                </w:p>
              </w:tc>
              <w:tc>
                <w:tcPr>
                  <w:tcW w:w="1232" w:type="dxa"/>
                  <w:vAlign w:val="center"/>
                </w:tcPr>
                <w:p>
                  <w:pPr>
                    <w:jc w:val="center"/>
                    <w:rPr>
                      <w:rFonts w:hint="eastAsia"/>
                      <w:sz w:val="21"/>
                      <w:szCs w:val="21"/>
                    </w:rPr>
                  </w:pPr>
                  <w:r>
                    <w:rPr>
                      <w:rFonts w:hint="eastAsia"/>
                      <w:sz w:val="21"/>
                      <w:szCs w:val="21"/>
                    </w:rPr>
                    <w:t>0.33</w:t>
                  </w:r>
                </w:p>
              </w:tc>
              <w:tc>
                <w:tcPr>
                  <w:tcW w:w="1666" w:type="dxa"/>
                  <w:vAlign w:val="center"/>
                </w:tcPr>
                <w:p>
                  <w:pPr>
                    <w:jc w:val="center"/>
                    <w:rPr>
                      <w:sz w:val="21"/>
                      <w:szCs w:val="21"/>
                    </w:rPr>
                  </w:pPr>
                  <w:r>
                    <w:rPr>
                      <w:sz w:val="21"/>
                      <w:szCs w:val="21"/>
                    </w:rPr>
                    <w:t>5</w:t>
                  </w:r>
                </w:p>
              </w:tc>
              <w:tc>
                <w:tcPr>
                  <w:tcW w:w="1647" w:type="dxa"/>
                  <w:vAlign w:val="center"/>
                </w:tcPr>
                <w:p>
                  <w:pPr>
                    <w:jc w:val="center"/>
                    <w:rPr>
                      <w:rFonts w:hint="eastAsia"/>
                      <w:sz w:val="21"/>
                      <w:szCs w:val="21"/>
                    </w:rPr>
                  </w:pPr>
                  <w:r>
                    <w:rPr>
                      <w:rFonts w:hint="eastAsia"/>
                      <w:sz w:val="21"/>
                      <w:szCs w:val="21"/>
                    </w:rPr>
                    <w:t>240</w:t>
                  </w:r>
                </w:p>
              </w:tc>
            </w:tr>
            <w:tr>
              <w:tblPrEx>
                <w:jc w:val="center"/>
                <w:tblInd w:w="123" w:type="dxa"/>
                <w:tblLayout w:type="fixed"/>
                <w:tblCellMar>
                  <w:top w:w="0" w:type="dxa"/>
                  <w:left w:w="108" w:type="dxa"/>
                  <w:bottom w:w="0" w:type="dxa"/>
                  <w:right w:w="108" w:type="dxa"/>
                </w:tblCellMar>
                <w:tblLook w:val="0000"/>
              </w:tblPrEx>
              <w:trPr>
                <w:cantSplit/>
                <w:trHeight w:val="381"/>
                <w:jc w:val="center"/>
              </w:trPr>
              <w:tc>
                <w:tcPr>
                  <w:tcW w:w="1595" w:type="dxa"/>
                  <w:vMerge/>
                  <w:vAlign w:val="center"/>
                </w:tcPr>
                <w:p>
                  <w:pPr>
                    <w:jc w:val="center"/>
                    <w:rPr>
                      <w:sz w:val="21"/>
                      <w:szCs w:val="21"/>
                    </w:rPr>
                  </w:pPr>
                </w:p>
              </w:tc>
              <w:tc>
                <w:tcPr>
                  <w:tcW w:w="1007" w:type="dxa"/>
                  <w:vAlign w:val="center"/>
                </w:tcPr>
                <w:p>
                  <w:pPr>
                    <w:jc w:val="center"/>
                    <w:rPr>
                      <w:sz w:val="21"/>
                      <w:szCs w:val="21"/>
                    </w:rPr>
                  </w:pPr>
                  <w:r>
                    <w:rPr>
                      <w:sz w:val="21"/>
                      <w:szCs w:val="21"/>
                    </w:rPr>
                    <w:t>THC</w:t>
                  </w:r>
                </w:p>
              </w:tc>
              <w:tc>
                <w:tcPr>
                  <w:tcW w:w="1375" w:type="dxa"/>
                  <w:vAlign w:val="center"/>
                </w:tcPr>
                <w:p>
                  <w:pPr>
                    <w:jc w:val="center"/>
                    <w:rPr>
                      <w:rFonts w:hint="eastAsia"/>
                      <w:sz w:val="21"/>
                      <w:szCs w:val="21"/>
                    </w:rPr>
                  </w:pPr>
                  <w:r>
                    <w:rPr>
                      <w:rFonts w:hint="eastAsia"/>
                      <w:sz w:val="21"/>
                      <w:szCs w:val="21"/>
                    </w:rPr>
                    <w:t>0.61</w:t>
                  </w:r>
                </w:p>
              </w:tc>
              <w:tc>
                <w:tcPr>
                  <w:tcW w:w="1232" w:type="dxa"/>
                  <w:vAlign w:val="center"/>
                </w:tcPr>
                <w:p>
                  <w:pPr>
                    <w:jc w:val="center"/>
                    <w:rPr>
                      <w:rFonts w:hint="eastAsia"/>
                      <w:sz w:val="21"/>
                      <w:szCs w:val="21"/>
                    </w:rPr>
                  </w:pPr>
                  <w:r>
                    <w:rPr>
                      <w:rFonts w:hint="eastAsia"/>
                      <w:sz w:val="21"/>
                      <w:szCs w:val="21"/>
                    </w:rPr>
                    <w:t>0.53</w:t>
                  </w:r>
                </w:p>
              </w:tc>
              <w:tc>
                <w:tcPr>
                  <w:tcW w:w="1666" w:type="dxa"/>
                  <w:vAlign w:val="center"/>
                </w:tcPr>
                <w:p>
                  <w:pPr>
                    <w:jc w:val="center"/>
                    <w:rPr>
                      <w:sz w:val="21"/>
                      <w:szCs w:val="21"/>
                    </w:rPr>
                  </w:pPr>
                  <w:r>
                    <w:rPr>
                      <w:sz w:val="21"/>
                      <w:szCs w:val="21"/>
                    </w:rPr>
                    <w:t>/</w:t>
                  </w:r>
                </w:p>
              </w:tc>
              <w:tc>
                <w:tcPr>
                  <w:tcW w:w="1647" w:type="dxa"/>
                  <w:vAlign w:val="center"/>
                </w:tcPr>
                <w:p>
                  <w:pPr>
                    <w:jc w:val="center"/>
                    <w:rPr>
                      <w:rFonts w:hint="eastAsia"/>
                      <w:sz w:val="21"/>
                      <w:szCs w:val="21"/>
                    </w:rPr>
                  </w:pPr>
                  <w:r>
                    <w:rPr>
                      <w:rFonts w:hint="eastAsia"/>
                      <w:sz w:val="21"/>
                      <w:szCs w:val="21"/>
                    </w:rPr>
                    <w:t>120</w:t>
                  </w:r>
                </w:p>
              </w:tc>
            </w:tr>
            <w:tr>
              <w:tblPrEx>
                <w:jc w:val="center"/>
                <w:tblInd w:w="123" w:type="dxa"/>
                <w:tblLayout w:type="fixed"/>
                <w:tblCellMar>
                  <w:top w:w="0" w:type="dxa"/>
                  <w:left w:w="108" w:type="dxa"/>
                  <w:bottom w:w="0" w:type="dxa"/>
                  <w:right w:w="108" w:type="dxa"/>
                </w:tblCellMar>
                <w:tblLook w:val="0000"/>
              </w:tblPrEx>
              <w:trPr>
                <w:cantSplit/>
                <w:trHeight w:val="200"/>
                <w:jc w:val="center"/>
              </w:trPr>
              <w:tc>
                <w:tcPr>
                  <w:tcW w:w="1595" w:type="dxa"/>
                  <w:vMerge w:val="restart"/>
                  <w:vAlign w:val="center"/>
                </w:tcPr>
                <w:p>
                  <w:pPr>
                    <w:jc w:val="center"/>
                    <w:rPr>
                      <w:sz w:val="21"/>
                      <w:szCs w:val="21"/>
                    </w:rPr>
                  </w:pPr>
                  <w:r>
                    <w:rPr>
                      <w:sz w:val="21"/>
                      <w:szCs w:val="21"/>
                    </w:rPr>
                    <w:t>地下</w:t>
                  </w:r>
                  <w:r>
                    <w:rPr>
                      <w:rFonts w:hint="eastAsia"/>
                      <w:sz w:val="21"/>
                      <w:szCs w:val="21"/>
                    </w:rPr>
                    <w:t>二层</w:t>
                  </w:r>
                  <w:r>
                    <w:rPr>
                      <w:sz w:val="21"/>
                      <w:szCs w:val="21"/>
                    </w:rPr>
                    <w:t>停车库</w:t>
                  </w:r>
                  <w:r>
                    <w:rPr>
                      <w:rFonts w:hint="eastAsia"/>
                      <w:sz w:val="21"/>
                      <w:szCs w:val="21"/>
                    </w:rPr>
                    <w:t>（290</w:t>
                  </w:r>
                  <w:r>
                    <w:rPr>
                      <w:sz w:val="21"/>
                      <w:szCs w:val="21"/>
                    </w:rPr>
                    <w:t>辆</w:t>
                  </w:r>
                  <w:r>
                    <w:rPr>
                      <w:rFonts w:hint="eastAsia"/>
                      <w:sz w:val="21"/>
                      <w:szCs w:val="21"/>
                    </w:rPr>
                    <w:t>）</w:t>
                  </w:r>
                </w:p>
              </w:tc>
              <w:tc>
                <w:tcPr>
                  <w:tcW w:w="1007" w:type="dxa"/>
                  <w:vAlign w:val="center"/>
                </w:tcPr>
                <w:p>
                  <w:pPr>
                    <w:jc w:val="center"/>
                    <w:rPr>
                      <w:sz w:val="21"/>
                      <w:szCs w:val="21"/>
                    </w:rPr>
                  </w:pPr>
                  <w:r>
                    <w:rPr>
                      <w:sz w:val="21"/>
                      <w:szCs w:val="21"/>
                    </w:rPr>
                    <w:t>CO</w:t>
                  </w:r>
                </w:p>
              </w:tc>
              <w:tc>
                <w:tcPr>
                  <w:tcW w:w="1375" w:type="dxa"/>
                  <w:vAlign w:val="center"/>
                </w:tcPr>
                <w:p>
                  <w:pPr>
                    <w:jc w:val="center"/>
                    <w:rPr>
                      <w:rFonts w:hint="eastAsia"/>
                      <w:sz w:val="21"/>
                      <w:szCs w:val="21"/>
                    </w:rPr>
                  </w:pPr>
                  <w:r>
                    <w:rPr>
                      <w:rFonts w:hint="eastAsia"/>
                      <w:sz w:val="21"/>
                      <w:szCs w:val="21"/>
                    </w:rPr>
                    <w:t>3.18</w:t>
                  </w:r>
                </w:p>
              </w:tc>
              <w:tc>
                <w:tcPr>
                  <w:tcW w:w="1232" w:type="dxa"/>
                  <w:vAlign w:val="center"/>
                </w:tcPr>
                <w:p>
                  <w:pPr>
                    <w:jc w:val="center"/>
                    <w:rPr>
                      <w:rFonts w:hint="eastAsia"/>
                      <w:sz w:val="21"/>
                      <w:szCs w:val="21"/>
                    </w:rPr>
                  </w:pPr>
                  <w:r>
                    <w:rPr>
                      <w:rFonts w:hint="eastAsia"/>
                      <w:sz w:val="21"/>
                      <w:szCs w:val="21"/>
                    </w:rPr>
                    <w:t>1.68</w:t>
                  </w:r>
                </w:p>
              </w:tc>
              <w:tc>
                <w:tcPr>
                  <w:tcW w:w="1666" w:type="dxa"/>
                  <w:vAlign w:val="center"/>
                </w:tcPr>
                <w:p>
                  <w:pPr>
                    <w:jc w:val="center"/>
                    <w:rPr>
                      <w:sz w:val="21"/>
                      <w:szCs w:val="21"/>
                    </w:rPr>
                  </w:pPr>
                  <w:r>
                    <w:rPr>
                      <w:rFonts w:hint="eastAsia"/>
                      <w:sz w:val="21"/>
                      <w:szCs w:val="21"/>
                    </w:rPr>
                    <w:t>2</w:t>
                  </w:r>
                  <w:r>
                    <w:rPr>
                      <w:sz w:val="21"/>
                      <w:szCs w:val="21"/>
                    </w:rPr>
                    <w:t>0</w:t>
                  </w:r>
                </w:p>
              </w:tc>
              <w:tc>
                <w:tcPr>
                  <w:tcW w:w="1647" w:type="dxa"/>
                  <w:vAlign w:val="center"/>
                </w:tcPr>
                <w:p>
                  <w:pPr>
                    <w:jc w:val="center"/>
                    <w:rPr>
                      <w:rFonts w:hint="eastAsia"/>
                      <w:sz w:val="21"/>
                      <w:szCs w:val="21"/>
                    </w:rPr>
                  </w:pPr>
                  <w:r>
                    <w:rPr>
                      <w:rFonts w:hint="eastAsia"/>
                      <w:sz w:val="21"/>
                      <w:szCs w:val="21"/>
                    </w:rPr>
                    <w:t>/</w:t>
                  </w:r>
                </w:p>
              </w:tc>
            </w:tr>
            <w:tr>
              <w:tblPrEx>
                <w:jc w:val="center"/>
                <w:tblInd w:w="123" w:type="dxa"/>
                <w:tblLayout w:type="fixed"/>
                <w:tblCellMar>
                  <w:top w:w="0" w:type="dxa"/>
                  <w:left w:w="108" w:type="dxa"/>
                  <w:bottom w:w="0" w:type="dxa"/>
                  <w:right w:w="108" w:type="dxa"/>
                </w:tblCellMar>
                <w:tblLook w:val="0000"/>
              </w:tblPrEx>
              <w:trPr>
                <w:cantSplit/>
                <w:trHeight w:val="191"/>
                <w:jc w:val="center"/>
              </w:trPr>
              <w:tc>
                <w:tcPr>
                  <w:tcW w:w="1595" w:type="dxa"/>
                  <w:vMerge/>
                  <w:vAlign w:val="center"/>
                </w:tcPr>
                <w:p>
                  <w:pPr>
                    <w:jc w:val="center"/>
                    <w:rPr>
                      <w:sz w:val="21"/>
                      <w:szCs w:val="21"/>
                    </w:rPr>
                  </w:pPr>
                </w:p>
              </w:tc>
              <w:tc>
                <w:tcPr>
                  <w:tcW w:w="1007" w:type="dxa"/>
                  <w:vAlign w:val="center"/>
                </w:tcPr>
                <w:p>
                  <w:pPr>
                    <w:jc w:val="center"/>
                    <w:rPr>
                      <w:sz w:val="21"/>
                      <w:szCs w:val="21"/>
                    </w:rPr>
                  </w:pPr>
                  <w:r>
                    <w:rPr>
                      <w:sz w:val="21"/>
                      <w:szCs w:val="21"/>
                    </w:rPr>
                    <w:t>NO</w:t>
                  </w:r>
                  <w:r>
                    <w:rPr>
                      <w:sz w:val="21"/>
                      <w:szCs w:val="21"/>
                      <w:vertAlign w:val="subscript"/>
                    </w:rPr>
                    <w:t>X</w:t>
                  </w:r>
                </w:p>
              </w:tc>
              <w:tc>
                <w:tcPr>
                  <w:tcW w:w="1375" w:type="dxa"/>
                  <w:vAlign w:val="center"/>
                </w:tcPr>
                <w:p>
                  <w:pPr>
                    <w:jc w:val="center"/>
                    <w:rPr>
                      <w:rFonts w:hint="eastAsia"/>
                      <w:sz w:val="21"/>
                      <w:szCs w:val="21"/>
                    </w:rPr>
                  </w:pPr>
                  <w:r>
                    <w:rPr>
                      <w:rFonts w:hint="eastAsia"/>
                      <w:sz w:val="21"/>
                      <w:szCs w:val="21"/>
                    </w:rPr>
                    <w:t>0.40</w:t>
                  </w:r>
                </w:p>
              </w:tc>
              <w:tc>
                <w:tcPr>
                  <w:tcW w:w="1232" w:type="dxa"/>
                  <w:vAlign w:val="center"/>
                </w:tcPr>
                <w:p>
                  <w:pPr>
                    <w:jc w:val="center"/>
                    <w:rPr>
                      <w:rFonts w:hint="eastAsia"/>
                      <w:sz w:val="21"/>
                      <w:szCs w:val="21"/>
                    </w:rPr>
                  </w:pPr>
                  <w:r>
                    <w:rPr>
                      <w:rFonts w:hint="eastAsia"/>
                      <w:sz w:val="21"/>
                      <w:szCs w:val="21"/>
                    </w:rPr>
                    <w:t>0.21</w:t>
                  </w:r>
                </w:p>
              </w:tc>
              <w:tc>
                <w:tcPr>
                  <w:tcW w:w="1666" w:type="dxa"/>
                  <w:vAlign w:val="center"/>
                </w:tcPr>
                <w:p>
                  <w:pPr>
                    <w:jc w:val="center"/>
                    <w:rPr>
                      <w:sz w:val="21"/>
                      <w:szCs w:val="21"/>
                    </w:rPr>
                  </w:pPr>
                  <w:r>
                    <w:rPr>
                      <w:sz w:val="21"/>
                      <w:szCs w:val="21"/>
                    </w:rPr>
                    <w:t>5</w:t>
                  </w:r>
                </w:p>
              </w:tc>
              <w:tc>
                <w:tcPr>
                  <w:tcW w:w="1647" w:type="dxa"/>
                  <w:vAlign w:val="center"/>
                </w:tcPr>
                <w:p>
                  <w:pPr>
                    <w:jc w:val="center"/>
                    <w:rPr>
                      <w:sz w:val="21"/>
                      <w:szCs w:val="21"/>
                    </w:rPr>
                  </w:pPr>
                  <w:r>
                    <w:rPr>
                      <w:rFonts w:hint="eastAsia"/>
                      <w:sz w:val="21"/>
                      <w:szCs w:val="21"/>
                    </w:rPr>
                    <w:t>240</w:t>
                  </w:r>
                </w:p>
              </w:tc>
            </w:tr>
            <w:tr>
              <w:tblPrEx>
                <w:jc w:val="center"/>
                <w:tblInd w:w="123" w:type="dxa"/>
                <w:tblLayout w:type="fixed"/>
                <w:tblCellMar>
                  <w:top w:w="0" w:type="dxa"/>
                  <w:left w:w="108" w:type="dxa"/>
                  <w:bottom w:w="0" w:type="dxa"/>
                  <w:right w:w="108" w:type="dxa"/>
                </w:tblCellMar>
                <w:tblLook w:val="0000"/>
              </w:tblPrEx>
              <w:trPr>
                <w:cantSplit/>
                <w:trHeight w:val="176"/>
                <w:jc w:val="center"/>
              </w:trPr>
              <w:tc>
                <w:tcPr>
                  <w:tcW w:w="1595" w:type="dxa"/>
                  <w:vMerge/>
                  <w:vAlign w:val="center"/>
                </w:tcPr>
                <w:p>
                  <w:pPr>
                    <w:jc w:val="center"/>
                    <w:rPr>
                      <w:sz w:val="21"/>
                      <w:szCs w:val="21"/>
                    </w:rPr>
                  </w:pPr>
                </w:p>
              </w:tc>
              <w:tc>
                <w:tcPr>
                  <w:tcW w:w="1007" w:type="dxa"/>
                  <w:vAlign w:val="center"/>
                </w:tcPr>
                <w:p>
                  <w:pPr>
                    <w:jc w:val="center"/>
                    <w:rPr>
                      <w:sz w:val="21"/>
                      <w:szCs w:val="21"/>
                    </w:rPr>
                  </w:pPr>
                  <w:r>
                    <w:rPr>
                      <w:sz w:val="21"/>
                      <w:szCs w:val="21"/>
                    </w:rPr>
                    <w:t>THC</w:t>
                  </w:r>
                </w:p>
              </w:tc>
              <w:tc>
                <w:tcPr>
                  <w:tcW w:w="1375" w:type="dxa"/>
                  <w:vAlign w:val="center"/>
                </w:tcPr>
                <w:p>
                  <w:pPr>
                    <w:jc w:val="center"/>
                    <w:rPr>
                      <w:rFonts w:hint="eastAsia"/>
                      <w:sz w:val="21"/>
                      <w:szCs w:val="21"/>
                    </w:rPr>
                  </w:pPr>
                  <w:r>
                    <w:rPr>
                      <w:rFonts w:hint="eastAsia"/>
                      <w:sz w:val="21"/>
                      <w:szCs w:val="21"/>
                    </w:rPr>
                    <w:t>0.63</w:t>
                  </w:r>
                </w:p>
              </w:tc>
              <w:tc>
                <w:tcPr>
                  <w:tcW w:w="1232" w:type="dxa"/>
                  <w:vAlign w:val="center"/>
                </w:tcPr>
                <w:p>
                  <w:pPr>
                    <w:jc w:val="center"/>
                    <w:rPr>
                      <w:rFonts w:hint="eastAsia"/>
                      <w:sz w:val="21"/>
                      <w:szCs w:val="21"/>
                    </w:rPr>
                  </w:pPr>
                  <w:r>
                    <w:rPr>
                      <w:rFonts w:hint="eastAsia"/>
                      <w:sz w:val="21"/>
                      <w:szCs w:val="21"/>
                    </w:rPr>
                    <w:t>0.33</w:t>
                  </w:r>
                </w:p>
              </w:tc>
              <w:tc>
                <w:tcPr>
                  <w:tcW w:w="1666" w:type="dxa"/>
                  <w:vAlign w:val="center"/>
                </w:tcPr>
                <w:p>
                  <w:pPr>
                    <w:jc w:val="center"/>
                    <w:rPr>
                      <w:sz w:val="21"/>
                      <w:szCs w:val="21"/>
                    </w:rPr>
                  </w:pPr>
                  <w:r>
                    <w:rPr>
                      <w:sz w:val="21"/>
                      <w:szCs w:val="21"/>
                    </w:rPr>
                    <w:t>/</w:t>
                  </w:r>
                </w:p>
              </w:tc>
              <w:tc>
                <w:tcPr>
                  <w:tcW w:w="1647" w:type="dxa"/>
                  <w:vAlign w:val="center"/>
                </w:tcPr>
                <w:p>
                  <w:pPr>
                    <w:jc w:val="center"/>
                    <w:rPr>
                      <w:sz w:val="21"/>
                      <w:szCs w:val="21"/>
                    </w:rPr>
                  </w:pPr>
                  <w:r>
                    <w:rPr>
                      <w:rFonts w:hint="eastAsia"/>
                      <w:sz w:val="21"/>
                      <w:szCs w:val="21"/>
                    </w:rPr>
                    <w:t>120</w:t>
                  </w:r>
                </w:p>
              </w:tc>
            </w:tr>
          </w:tbl>
          <w:p>
            <w:pPr>
              <w:spacing w:before="100" w:beforeAutospacing="1" w:line="360" w:lineRule="auto"/>
              <w:rPr>
                <w:rFonts w:hint="eastAsia"/>
                <w:sz w:val="24"/>
              </w:rPr>
            </w:pPr>
            <w:r>
              <w:rPr>
                <w:rFonts w:hint="eastAsia"/>
                <w:sz w:val="24"/>
              </w:rPr>
              <w:t xml:space="preserve">    </w:t>
            </w:r>
            <w:r>
              <w:rPr>
                <w:sz w:val="24"/>
              </w:rPr>
              <w:t>由</w:t>
            </w:r>
            <w:r>
              <w:rPr>
                <w:rFonts w:hint="eastAsia"/>
                <w:sz w:val="24"/>
              </w:rPr>
              <w:t>上表</w:t>
            </w:r>
            <w:r>
              <w:rPr>
                <w:sz w:val="24"/>
              </w:rPr>
              <w:t>可知</w:t>
            </w:r>
            <w:r>
              <w:rPr>
                <w:rFonts w:hint="eastAsia"/>
                <w:sz w:val="24"/>
              </w:rPr>
              <w:t>项目各层地下车库产生的汽车尾气</w:t>
            </w:r>
            <w:r>
              <w:rPr>
                <w:sz w:val="24"/>
              </w:rPr>
              <w:t>污染物中NO</w:t>
            </w:r>
            <w:r>
              <w:rPr>
                <w:sz w:val="24"/>
                <w:vertAlign w:val="subscript"/>
              </w:rPr>
              <w:t>X</w:t>
            </w:r>
            <w:r>
              <w:rPr>
                <w:sz w:val="24"/>
              </w:rPr>
              <w:t>、THC的排放浓度</w:t>
            </w:r>
            <w:r>
              <w:rPr>
                <w:rFonts w:hint="eastAsia"/>
                <w:sz w:val="24"/>
              </w:rPr>
              <w:t>均</w:t>
            </w:r>
            <w:r>
              <w:rPr>
                <w:sz w:val="24"/>
              </w:rPr>
              <w:t>符合</w:t>
            </w:r>
            <w:r>
              <w:rPr>
                <w:kern w:val="24"/>
                <w:sz w:val="24"/>
              </w:rPr>
              <w:t>执行《大气污染物综合排放标准》(GB16297-1996)表2中</w:t>
            </w:r>
            <w:r>
              <w:rPr>
                <w:rFonts w:hint="eastAsia"/>
                <w:kern w:val="24"/>
                <w:sz w:val="24"/>
              </w:rPr>
              <w:t>最高允许排放浓度要求，同时地下车库空气质量</w:t>
            </w:r>
            <w:r>
              <w:rPr>
                <w:rFonts w:hint="eastAsia"/>
                <w:sz w:val="24"/>
              </w:rPr>
              <w:t>可满足标准值</w:t>
            </w:r>
            <w:r>
              <w:rPr>
                <w:sz w:val="24"/>
              </w:rPr>
              <w:t>《工作场所有害因素职业接触限值第1部分：化学有害因素》（GBZ1-2007）中表1时间加权平均允许浓度限</w:t>
            </w:r>
            <w:r>
              <w:rPr>
                <w:rFonts w:hint="eastAsia"/>
                <w:sz w:val="24"/>
              </w:rPr>
              <w:t>值</w:t>
            </w:r>
            <w:r>
              <w:rPr>
                <w:rFonts w:hint="eastAsia"/>
                <w:kern w:val="24"/>
                <w:sz w:val="24"/>
              </w:rPr>
              <w:t>（</w:t>
            </w:r>
            <w:r>
              <w:rPr>
                <w:sz w:val="24"/>
              </w:rPr>
              <w:t>NO</w:t>
            </w:r>
            <w:r>
              <w:rPr>
                <w:sz w:val="24"/>
                <w:vertAlign w:val="subscript"/>
              </w:rPr>
              <w:t>X</w:t>
            </w:r>
            <w:r>
              <w:rPr>
                <w:sz w:val="24"/>
              </w:rPr>
              <w:t>、</w:t>
            </w:r>
            <w:r>
              <w:rPr>
                <w:rFonts w:hint="eastAsia"/>
                <w:sz w:val="24"/>
              </w:rPr>
              <w:t>CO排放浓度低于标准值）。地下车库废气通过多个排气口排放，排气口高度不低于2.5m，排气筒位置与项目构筑物的水平距离</w:t>
            </w:r>
            <w:r>
              <w:rPr>
                <w:rFonts w:hint="eastAsia"/>
                <w:sz w:val="24"/>
              </w:rPr>
              <w:t>≥</w:t>
            </w:r>
            <w:r>
              <w:rPr>
                <w:rFonts w:hint="eastAsia"/>
                <w:sz w:val="24"/>
              </w:rPr>
              <w:t>10m</w:t>
            </w:r>
            <w:r>
              <w:rPr>
                <w:sz w:val="24"/>
              </w:rPr>
              <w:t>，</w:t>
            </w:r>
            <w:r>
              <w:rPr>
                <w:rFonts w:hint="eastAsia"/>
                <w:sz w:val="24"/>
              </w:rPr>
              <w:t>对周边环境及项目商业活动影响很小。</w:t>
            </w:r>
          </w:p>
          <w:p>
            <w:pPr>
              <w:tabs>
                <w:tab w:val="left" w:pos="425"/>
              </w:tabs>
              <w:adjustRightInd w:val="0"/>
              <w:snapToGrid w:val="0"/>
              <w:spacing w:line="360" w:lineRule="auto"/>
              <w:ind w:firstLine="480" w:firstLineChars="200"/>
              <w:rPr>
                <w:sz w:val="24"/>
                <w:szCs w:val="24"/>
              </w:rPr>
            </w:pPr>
            <w:r>
              <w:rPr>
                <w:sz w:val="24"/>
                <w:szCs w:val="24"/>
              </w:rPr>
              <w:t>（2）柴油发电机组烟气</w:t>
            </w:r>
          </w:p>
          <w:p>
            <w:pPr>
              <w:tabs>
                <w:tab w:val="left" w:pos="425"/>
              </w:tabs>
              <w:adjustRightInd w:val="0"/>
              <w:snapToGrid w:val="0"/>
              <w:spacing w:line="360" w:lineRule="auto"/>
              <w:ind w:firstLine="480" w:firstLineChars="200"/>
              <w:rPr>
                <w:bCs/>
                <w:sz w:val="24"/>
              </w:rPr>
            </w:pPr>
            <w:r>
              <w:rPr>
                <w:sz w:val="24"/>
                <w:szCs w:val="24"/>
              </w:rPr>
              <w:t>项目</w:t>
            </w:r>
            <w:r>
              <w:rPr>
                <w:rFonts w:hint="eastAsia"/>
                <w:sz w:val="24"/>
                <w:szCs w:val="24"/>
              </w:rPr>
              <w:t>拟配备一台</w:t>
            </w:r>
            <w:r>
              <w:rPr>
                <w:sz w:val="24"/>
                <w:szCs w:val="24"/>
              </w:rPr>
              <w:t>1</w:t>
            </w:r>
            <w:r>
              <w:rPr>
                <w:bCs/>
                <w:sz w:val="24"/>
              </w:rPr>
              <w:t>台功率为1000kw的</w:t>
            </w:r>
            <w:r>
              <w:rPr>
                <w:sz w:val="24"/>
                <w:szCs w:val="24"/>
              </w:rPr>
              <w:t>应急电源</w:t>
            </w:r>
            <w:r>
              <w:rPr>
                <w:bCs/>
                <w:sz w:val="24"/>
              </w:rPr>
              <w:t>柴油发电机组，并设置在地下二层专用发电机房内，在主电源故障或停电时作为备用电源。根据</w:t>
            </w:r>
            <w:r>
              <w:rPr>
                <w:rFonts w:hint="eastAsia"/>
                <w:bCs/>
                <w:sz w:val="24"/>
              </w:rPr>
              <w:t>抚州市</w:t>
            </w:r>
            <w:r>
              <w:rPr>
                <w:bCs/>
                <w:sz w:val="24"/>
              </w:rPr>
              <w:t>同类项目类比分析，柴油发电机年使用时间约为</w:t>
            </w:r>
            <w:r>
              <w:rPr>
                <w:rFonts w:hint="eastAsia"/>
                <w:bCs/>
                <w:sz w:val="24"/>
              </w:rPr>
              <w:t>9</w:t>
            </w:r>
            <w:r>
              <w:rPr>
                <w:bCs/>
                <w:sz w:val="24"/>
              </w:rPr>
              <w:t>0小时，柴油发电机耗油率为212.5g/kwh，则柴油发电机年消耗柴油</w:t>
            </w:r>
            <w:r>
              <w:rPr>
                <w:rFonts w:hint="eastAsia"/>
                <w:bCs/>
                <w:sz w:val="24"/>
              </w:rPr>
              <w:t>量为19.14</w:t>
            </w:r>
            <w:r>
              <w:rPr>
                <w:bCs/>
                <w:sz w:val="24"/>
              </w:rPr>
              <w:t>t</w:t>
            </w:r>
            <w:r>
              <w:rPr>
                <w:rFonts w:hint="eastAsia"/>
                <w:bCs/>
                <w:sz w:val="24"/>
              </w:rPr>
              <w:t>（22.92m</w:t>
            </w:r>
            <w:r>
              <w:rPr>
                <w:rFonts w:hint="eastAsia"/>
                <w:bCs/>
                <w:sz w:val="24"/>
                <w:vertAlign w:val="superscript"/>
              </w:rPr>
              <w:t>3</w:t>
            </w:r>
            <w:r>
              <w:rPr>
                <w:rFonts w:hint="eastAsia"/>
                <w:bCs/>
                <w:sz w:val="24"/>
              </w:rPr>
              <w:t>）</w:t>
            </w:r>
            <w:r>
              <w:rPr>
                <w:bCs/>
                <w:sz w:val="24"/>
              </w:rPr>
              <w:t>，发电机燃油采用含硫量低于0.035％的优质0＃柴油，烟气量按10.8m</w:t>
            </w:r>
            <w:r>
              <w:rPr>
                <w:bCs/>
                <w:sz w:val="24"/>
                <w:vertAlign w:val="superscript"/>
              </w:rPr>
              <w:t>3</w:t>
            </w:r>
            <w:r>
              <w:rPr>
                <w:bCs/>
                <w:sz w:val="24"/>
              </w:rPr>
              <w:t>/</w:t>
            </w:r>
            <w:r>
              <w:rPr>
                <w:rFonts w:hint="eastAsia"/>
                <w:bCs/>
                <w:sz w:val="24"/>
              </w:rPr>
              <w:t>kw</w:t>
            </w:r>
            <w:r>
              <w:rPr>
                <w:bCs/>
                <w:sz w:val="24"/>
              </w:rPr>
              <w:t>计算，</w:t>
            </w:r>
            <w:r>
              <w:rPr>
                <w:rFonts w:hint="eastAsia"/>
                <w:bCs/>
                <w:sz w:val="24"/>
              </w:rPr>
              <w:t>则</w:t>
            </w:r>
            <w:r>
              <w:rPr>
                <w:bCs/>
                <w:sz w:val="24"/>
              </w:rPr>
              <w:t>本项目</w:t>
            </w:r>
            <w:r>
              <w:rPr>
                <w:rFonts w:hint="eastAsia"/>
                <w:bCs/>
                <w:sz w:val="24"/>
              </w:rPr>
              <w:t>柴油</w:t>
            </w:r>
            <w:r>
              <w:rPr>
                <w:bCs/>
                <w:sz w:val="24"/>
              </w:rPr>
              <w:t>发电机组运行时产生的理论烟气量为</w:t>
            </w:r>
            <w:r>
              <w:rPr>
                <w:rFonts w:hint="eastAsia"/>
                <w:bCs/>
                <w:sz w:val="24"/>
              </w:rPr>
              <w:t>10800</w:t>
            </w:r>
            <w:r>
              <w:rPr>
                <w:bCs/>
                <w:sz w:val="24"/>
              </w:rPr>
              <w:t>m</w:t>
            </w:r>
            <w:r>
              <w:rPr>
                <w:bCs/>
                <w:sz w:val="24"/>
                <w:vertAlign w:val="superscript"/>
              </w:rPr>
              <w:t>3</w:t>
            </w:r>
            <w:r>
              <w:rPr>
                <w:bCs/>
                <w:sz w:val="24"/>
              </w:rPr>
              <w:t>/h。机</w:t>
            </w:r>
            <w:r>
              <w:rPr>
                <w:rFonts w:hint="eastAsia"/>
                <w:bCs/>
                <w:sz w:val="24"/>
              </w:rPr>
              <w:t>柴油发电机组</w:t>
            </w:r>
            <w:r>
              <w:rPr>
                <w:bCs/>
                <w:sz w:val="24"/>
              </w:rPr>
              <w:t>大气污染物</w:t>
            </w:r>
            <w:r>
              <w:rPr>
                <w:rFonts w:hint="eastAsia"/>
                <w:bCs/>
                <w:sz w:val="24"/>
              </w:rPr>
              <w:t>具体产生情况</w:t>
            </w:r>
            <w:r>
              <w:rPr>
                <w:bCs/>
                <w:sz w:val="24"/>
              </w:rPr>
              <w:t>（以发电机100％满载运行计）见表1</w:t>
            </w:r>
            <w:r>
              <w:rPr>
                <w:rFonts w:hint="eastAsia"/>
                <w:bCs/>
                <w:sz w:val="24"/>
              </w:rPr>
              <w:t>7</w:t>
            </w:r>
            <w:r>
              <w:rPr>
                <w:bCs/>
                <w:sz w:val="24"/>
              </w:rPr>
              <w:t>。</w:t>
            </w:r>
          </w:p>
          <w:p>
            <w:pPr>
              <w:tabs>
                <w:tab w:val="left" w:pos="425"/>
              </w:tabs>
              <w:adjustRightInd w:val="0"/>
              <w:snapToGrid w:val="0"/>
              <w:spacing w:line="360" w:lineRule="auto"/>
              <w:jc w:val="center"/>
              <w:rPr>
                <w:rFonts w:ascii="宋体" w:hAnsi="宋体" w:cs="宋体" w:hint="eastAsia"/>
                <w:b/>
                <w:sz w:val="24"/>
              </w:rPr>
            </w:pPr>
            <w:r>
              <w:rPr>
                <w:rFonts w:ascii="宋体" w:hAnsi="宋体" w:cs="宋体" w:hint="eastAsia"/>
                <w:b/>
                <w:sz w:val="24"/>
              </w:rPr>
              <w:t>表17  柴油发电机大气污染物产生情况一览表</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625"/>
              <w:gridCol w:w="1230"/>
              <w:gridCol w:w="1275"/>
              <w:gridCol w:w="1133"/>
              <w:gridCol w:w="2607"/>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2625" w:type="dxa"/>
                </w:tcPr>
                <w:p>
                  <w:pPr>
                    <w:tabs>
                      <w:tab w:val="left" w:pos="425"/>
                    </w:tabs>
                    <w:adjustRightInd w:val="0"/>
                    <w:snapToGrid w:val="0"/>
                    <w:jc w:val="center"/>
                    <w:rPr>
                      <w:b/>
                      <w:sz w:val="21"/>
                      <w:szCs w:val="21"/>
                    </w:rPr>
                  </w:pPr>
                  <w:r>
                    <w:rPr>
                      <w:b/>
                      <w:sz w:val="21"/>
                      <w:szCs w:val="21"/>
                    </w:rPr>
                    <w:t>污染物</w:t>
                  </w:r>
                </w:p>
              </w:tc>
              <w:tc>
                <w:tcPr>
                  <w:tcW w:w="1230" w:type="dxa"/>
                </w:tcPr>
                <w:p>
                  <w:pPr>
                    <w:tabs>
                      <w:tab w:val="left" w:pos="425"/>
                    </w:tabs>
                    <w:adjustRightInd w:val="0"/>
                    <w:snapToGrid w:val="0"/>
                    <w:jc w:val="center"/>
                    <w:rPr>
                      <w:b/>
                      <w:sz w:val="21"/>
                      <w:szCs w:val="21"/>
                    </w:rPr>
                  </w:pPr>
                  <w:r>
                    <w:rPr>
                      <w:b/>
                      <w:sz w:val="21"/>
                      <w:szCs w:val="21"/>
                    </w:rPr>
                    <w:t>SO</w:t>
                  </w:r>
                  <w:r>
                    <w:rPr>
                      <w:b/>
                      <w:sz w:val="21"/>
                      <w:szCs w:val="21"/>
                      <w:vertAlign w:val="subscript"/>
                    </w:rPr>
                    <w:t>2</w:t>
                  </w:r>
                </w:p>
              </w:tc>
              <w:tc>
                <w:tcPr>
                  <w:tcW w:w="1275" w:type="dxa"/>
                </w:tcPr>
                <w:p>
                  <w:pPr>
                    <w:tabs>
                      <w:tab w:val="left" w:pos="425"/>
                    </w:tabs>
                    <w:adjustRightInd w:val="0"/>
                    <w:snapToGrid w:val="0"/>
                    <w:jc w:val="center"/>
                    <w:rPr>
                      <w:b/>
                      <w:sz w:val="21"/>
                      <w:szCs w:val="21"/>
                    </w:rPr>
                  </w:pPr>
                  <w:r>
                    <w:rPr>
                      <w:b/>
                      <w:sz w:val="21"/>
                      <w:szCs w:val="21"/>
                    </w:rPr>
                    <w:t>烟尘</w:t>
                  </w:r>
                </w:p>
              </w:tc>
              <w:tc>
                <w:tcPr>
                  <w:tcW w:w="1133" w:type="dxa"/>
                </w:tcPr>
                <w:p>
                  <w:pPr>
                    <w:tabs>
                      <w:tab w:val="left" w:pos="425"/>
                    </w:tabs>
                    <w:adjustRightInd w:val="0"/>
                    <w:snapToGrid w:val="0"/>
                    <w:jc w:val="center"/>
                    <w:rPr>
                      <w:b/>
                      <w:sz w:val="21"/>
                      <w:szCs w:val="21"/>
                    </w:rPr>
                  </w:pPr>
                  <w:r>
                    <w:rPr>
                      <w:b/>
                      <w:sz w:val="21"/>
                      <w:szCs w:val="21"/>
                    </w:rPr>
                    <w:t>NO</w:t>
                  </w:r>
                  <w:r>
                    <w:rPr>
                      <w:b/>
                      <w:sz w:val="21"/>
                      <w:szCs w:val="21"/>
                      <w:vertAlign w:val="subscript"/>
                    </w:rPr>
                    <w:t>X</w:t>
                  </w:r>
                </w:p>
              </w:tc>
              <w:tc>
                <w:tcPr>
                  <w:tcW w:w="2607" w:type="dxa"/>
                </w:tcPr>
                <w:p>
                  <w:pPr>
                    <w:tabs>
                      <w:tab w:val="left" w:pos="425"/>
                    </w:tabs>
                    <w:adjustRightInd w:val="0"/>
                    <w:snapToGrid w:val="0"/>
                    <w:jc w:val="center"/>
                    <w:rPr>
                      <w:b/>
                      <w:sz w:val="21"/>
                      <w:szCs w:val="21"/>
                    </w:rPr>
                  </w:pPr>
                  <w:r>
                    <w:rPr>
                      <w:b/>
                      <w:sz w:val="21"/>
                      <w:szCs w:val="21"/>
                    </w:rPr>
                    <w:t>废气</w:t>
                  </w:r>
                  <w:r>
                    <w:rPr>
                      <w:rFonts w:hint="eastAsia"/>
                      <w:b/>
                      <w:sz w:val="21"/>
                      <w:szCs w:val="21"/>
                    </w:rPr>
                    <w:t>量</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2625" w:type="dxa"/>
                </w:tcPr>
                <w:p>
                  <w:pPr>
                    <w:tabs>
                      <w:tab w:val="left" w:pos="425"/>
                    </w:tabs>
                    <w:adjustRightInd w:val="0"/>
                    <w:snapToGrid w:val="0"/>
                    <w:jc w:val="center"/>
                    <w:rPr>
                      <w:bCs/>
                      <w:sz w:val="21"/>
                      <w:szCs w:val="21"/>
                    </w:rPr>
                  </w:pPr>
                  <w:r>
                    <w:rPr>
                      <w:bCs/>
                      <w:sz w:val="21"/>
                      <w:szCs w:val="21"/>
                    </w:rPr>
                    <w:t>产生系数（kg/m</w:t>
                  </w:r>
                  <w:r>
                    <w:rPr>
                      <w:bCs/>
                      <w:sz w:val="21"/>
                      <w:szCs w:val="21"/>
                      <w:vertAlign w:val="superscript"/>
                    </w:rPr>
                    <w:t>3</w:t>
                  </w:r>
                  <w:r>
                    <w:rPr>
                      <w:bCs/>
                      <w:sz w:val="21"/>
                      <w:szCs w:val="21"/>
                    </w:rPr>
                    <w:t xml:space="preserve"> 柴油）</w:t>
                  </w:r>
                </w:p>
              </w:tc>
              <w:tc>
                <w:tcPr>
                  <w:tcW w:w="1230" w:type="dxa"/>
                </w:tcPr>
                <w:p>
                  <w:pPr>
                    <w:tabs>
                      <w:tab w:val="left" w:pos="425"/>
                    </w:tabs>
                    <w:adjustRightInd w:val="0"/>
                    <w:snapToGrid w:val="0"/>
                    <w:jc w:val="center"/>
                    <w:rPr>
                      <w:bCs/>
                      <w:sz w:val="21"/>
                      <w:szCs w:val="21"/>
                    </w:rPr>
                  </w:pPr>
                  <w:r>
                    <w:rPr>
                      <w:bCs/>
                      <w:sz w:val="21"/>
                      <w:szCs w:val="21"/>
                    </w:rPr>
                    <w:t>4</w:t>
                  </w:r>
                </w:p>
              </w:tc>
              <w:tc>
                <w:tcPr>
                  <w:tcW w:w="1275" w:type="dxa"/>
                </w:tcPr>
                <w:p>
                  <w:pPr>
                    <w:tabs>
                      <w:tab w:val="left" w:pos="425"/>
                    </w:tabs>
                    <w:adjustRightInd w:val="0"/>
                    <w:snapToGrid w:val="0"/>
                    <w:jc w:val="center"/>
                    <w:rPr>
                      <w:bCs/>
                      <w:sz w:val="21"/>
                      <w:szCs w:val="21"/>
                    </w:rPr>
                  </w:pPr>
                  <w:r>
                    <w:rPr>
                      <w:bCs/>
                      <w:sz w:val="21"/>
                      <w:szCs w:val="21"/>
                    </w:rPr>
                    <w:t>0.714</w:t>
                  </w:r>
                </w:p>
              </w:tc>
              <w:tc>
                <w:tcPr>
                  <w:tcW w:w="1133" w:type="dxa"/>
                </w:tcPr>
                <w:p>
                  <w:pPr>
                    <w:tabs>
                      <w:tab w:val="left" w:pos="425"/>
                    </w:tabs>
                    <w:adjustRightInd w:val="0"/>
                    <w:snapToGrid w:val="0"/>
                    <w:jc w:val="center"/>
                    <w:rPr>
                      <w:bCs/>
                      <w:sz w:val="21"/>
                      <w:szCs w:val="21"/>
                    </w:rPr>
                  </w:pPr>
                  <w:r>
                    <w:rPr>
                      <w:bCs/>
                      <w:sz w:val="21"/>
                      <w:szCs w:val="21"/>
                    </w:rPr>
                    <w:t>2.56</w:t>
                  </w:r>
                </w:p>
              </w:tc>
              <w:tc>
                <w:tcPr>
                  <w:tcW w:w="2607" w:type="dxa"/>
                  <w:vMerge w:val="restart"/>
                </w:tcPr>
                <w:p>
                  <w:pPr>
                    <w:tabs>
                      <w:tab w:val="left" w:pos="425"/>
                    </w:tabs>
                    <w:adjustRightInd w:val="0"/>
                    <w:snapToGrid w:val="0"/>
                    <w:rPr>
                      <w:rFonts w:hint="eastAsia"/>
                      <w:bCs/>
                      <w:sz w:val="21"/>
                      <w:szCs w:val="21"/>
                    </w:rPr>
                  </w:pPr>
                </w:p>
                <w:p>
                  <w:pPr>
                    <w:tabs>
                      <w:tab w:val="left" w:pos="425"/>
                    </w:tabs>
                    <w:adjustRightInd w:val="0"/>
                    <w:snapToGrid w:val="0"/>
                    <w:rPr>
                      <w:rFonts w:hint="eastAsia"/>
                      <w:bCs/>
                      <w:sz w:val="21"/>
                      <w:szCs w:val="21"/>
                    </w:rPr>
                  </w:pPr>
                </w:p>
                <w:p>
                  <w:pPr>
                    <w:tabs>
                      <w:tab w:val="left" w:pos="425"/>
                    </w:tabs>
                    <w:adjustRightInd w:val="0"/>
                    <w:snapToGrid w:val="0"/>
                    <w:jc w:val="center"/>
                    <w:rPr>
                      <w:bCs/>
                      <w:sz w:val="21"/>
                      <w:szCs w:val="21"/>
                    </w:rPr>
                  </w:pPr>
                  <w:r>
                    <w:rPr>
                      <w:rFonts w:hint="eastAsia"/>
                      <w:bCs/>
                      <w:sz w:val="21"/>
                      <w:szCs w:val="21"/>
                    </w:rPr>
                    <w:t>10800</w:t>
                  </w:r>
                  <w:r>
                    <w:rPr>
                      <w:bCs/>
                      <w:sz w:val="21"/>
                      <w:szCs w:val="21"/>
                    </w:rPr>
                    <w:t>m</w:t>
                  </w:r>
                  <w:r>
                    <w:rPr>
                      <w:bCs/>
                      <w:sz w:val="21"/>
                      <w:szCs w:val="21"/>
                      <w:vertAlign w:val="superscript"/>
                    </w:rPr>
                    <w:t>3</w:t>
                  </w:r>
                  <w:r>
                    <w:rPr>
                      <w:bCs/>
                      <w:sz w:val="21"/>
                      <w:szCs w:val="21"/>
                    </w:rPr>
                    <w:t>/h</w:t>
                  </w: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2625" w:type="dxa"/>
                </w:tcPr>
                <w:p>
                  <w:pPr>
                    <w:tabs>
                      <w:tab w:val="left" w:pos="425"/>
                    </w:tabs>
                    <w:adjustRightInd w:val="0"/>
                    <w:snapToGrid w:val="0"/>
                    <w:jc w:val="center"/>
                    <w:rPr>
                      <w:bCs/>
                      <w:sz w:val="21"/>
                      <w:szCs w:val="21"/>
                    </w:rPr>
                  </w:pPr>
                  <w:r>
                    <w:rPr>
                      <w:rFonts w:hint="eastAsia"/>
                      <w:bCs/>
                      <w:sz w:val="21"/>
                      <w:szCs w:val="21"/>
                    </w:rPr>
                    <w:t>产生</w:t>
                  </w:r>
                  <w:r>
                    <w:rPr>
                      <w:bCs/>
                      <w:sz w:val="21"/>
                      <w:szCs w:val="21"/>
                    </w:rPr>
                    <w:t>速率（kg/h）</w:t>
                  </w:r>
                </w:p>
              </w:tc>
              <w:tc>
                <w:tcPr>
                  <w:tcW w:w="1230" w:type="dxa"/>
                </w:tcPr>
                <w:p>
                  <w:pPr>
                    <w:tabs>
                      <w:tab w:val="left" w:pos="425"/>
                    </w:tabs>
                    <w:adjustRightInd w:val="0"/>
                    <w:snapToGrid w:val="0"/>
                    <w:jc w:val="center"/>
                    <w:rPr>
                      <w:bCs/>
                      <w:sz w:val="21"/>
                      <w:szCs w:val="21"/>
                    </w:rPr>
                  </w:pPr>
                  <w:r>
                    <w:rPr>
                      <w:rFonts w:hint="eastAsia"/>
                      <w:bCs/>
                      <w:sz w:val="21"/>
                      <w:szCs w:val="21"/>
                    </w:rPr>
                    <w:t>1.02</w:t>
                  </w:r>
                </w:p>
              </w:tc>
              <w:tc>
                <w:tcPr>
                  <w:tcW w:w="1275" w:type="dxa"/>
                </w:tcPr>
                <w:p>
                  <w:pPr>
                    <w:tabs>
                      <w:tab w:val="left" w:pos="425"/>
                    </w:tabs>
                    <w:adjustRightInd w:val="0"/>
                    <w:snapToGrid w:val="0"/>
                    <w:jc w:val="center"/>
                    <w:rPr>
                      <w:bCs/>
                      <w:sz w:val="21"/>
                      <w:szCs w:val="21"/>
                    </w:rPr>
                  </w:pPr>
                  <w:r>
                    <w:rPr>
                      <w:bCs/>
                      <w:sz w:val="21"/>
                      <w:szCs w:val="21"/>
                    </w:rPr>
                    <w:t>0.</w:t>
                  </w:r>
                  <w:r>
                    <w:rPr>
                      <w:rFonts w:hint="eastAsia"/>
                      <w:bCs/>
                      <w:sz w:val="21"/>
                      <w:szCs w:val="21"/>
                    </w:rPr>
                    <w:t>18</w:t>
                  </w:r>
                </w:p>
              </w:tc>
              <w:tc>
                <w:tcPr>
                  <w:tcW w:w="1133" w:type="dxa"/>
                </w:tcPr>
                <w:p>
                  <w:pPr>
                    <w:tabs>
                      <w:tab w:val="left" w:pos="425"/>
                    </w:tabs>
                    <w:adjustRightInd w:val="0"/>
                    <w:snapToGrid w:val="0"/>
                    <w:jc w:val="center"/>
                    <w:rPr>
                      <w:bCs/>
                      <w:sz w:val="21"/>
                      <w:szCs w:val="21"/>
                    </w:rPr>
                  </w:pPr>
                  <w:r>
                    <w:rPr>
                      <w:bCs/>
                      <w:sz w:val="21"/>
                      <w:szCs w:val="21"/>
                    </w:rPr>
                    <w:t>0.</w:t>
                  </w:r>
                  <w:r>
                    <w:rPr>
                      <w:rFonts w:hint="eastAsia"/>
                      <w:bCs/>
                      <w:sz w:val="21"/>
                      <w:szCs w:val="21"/>
                    </w:rPr>
                    <w:t>65</w:t>
                  </w:r>
                </w:p>
              </w:tc>
              <w:tc>
                <w:tcPr>
                  <w:tcW w:w="2607" w:type="dxa"/>
                  <w:vMerge/>
                </w:tcPr>
                <w:p>
                  <w:pPr>
                    <w:tabs>
                      <w:tab w:val="left" w:pos="425"/>
                    </w:tabs>
                    <w:adjustRightInd w:val="0"/>
                    <w:snapToGrid w:val="0"/>
                    <w:jc w:val="center"/>
                    <w:rPr>
                      <w:bCs/>
                      <w:sz w:val="21"/>
                      <w:szCs w:val="21"/>
                    </w:rPr>
                  </w:pP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2625" w:type="dxa"/>
                </w:tcPr>
                <w:p>
                  <w:pPr>
                    <w:tabs>
                      <w:tab w:val="left" w:pos="425"/>
                    </w:tabs>
                    <w:adjustRightInd w:val="0"/>
                    <w:snapToGrid w:val="0"/>
                    <w:jc w:val="center"/>
                    <w:rPr>
                      <w:bCs/>
                      <w:sz w:val="21"/>
                      <w:szCs w:val="21"/>
                    </w:rPr>
                  </w:pPr>
                  <w:r>
                    <w:rPr>
                      <w:rFonts w:hint="eastAsia"/>
                      <w:bCs/>
                      <w:sz w:val="21"/>
                      <w:szCs w:val="21"/>
                    </w:rPr>
                    <w:t>产生</w:t>
                  </w:r>
                  <w:r>
                    <w:rPr>
                      <w:bCs/>
                      <w:sz w:val="21"/>
                      <w:szCs w:val="21"/>
                    </w:rPr>
                    <w:t>浓度（mg/m</w:t>
                  </w:r>
                  <w:r>
                    <w:rPr>
                      <w:bCs/>
                      <w:sz w:val="21"/>
                      <w:szCs w:val="21"/>
                      <w:vertAlign w:val="superscript"/>
                    </w:rPr>
                    <w:t>3</w:t>
                  </w:r>
                  <w:r>
                    <w:rPr>
                      <w:bCs/>
                      <w:sz w:val="21"/>
                      <w:szCs w:val="21"/>
                    </w:rPr>
                    <w:t>）</w:t>
                  </w:r>
                </w:p>
              </w:tc>
              <w:tc>
                <w:tcPr>
                  <w:tcW w:w="1230" w:type="dxa"/>
                </w:tcPr>
                <w:p>
                  <w:pPr>
                    <w:tabs>
                      <w:tab w:val="left" w:pos="425"/>
                    </w:tabs>
                    <w:adjustRightInd w:val="0"/>
                    <w:snapToGrid w:val="0"/>
                    <w:jc w:val="center"/>
                    <w:rPr>
                      <w:bCs/>
                      <w:sz w:val="21"/>
                      <w:szCs w:val="21"/>
                    </w:rPr>
                  </w:pPr>
                  <w:r>
                    <w:rPr>
                      <w:bCs/>
                      <w:sz w:val="21"/>
                      <w:szCs w:val="21"/>
                    </w:rPr>
                    <w:t>94.</w:t>
                  </w:r>
                  <w:r>
                    <w:rPr>
                      <w:rFonts w:hint="eastAsia"/>
                      <w:bCs/>
                      <w:sz w:val="21"/>
                      <w:szCs w:val="21"/>
                    </w:rPr>
                    <w:t>44</w:t>
                  </w:r>
                </w:p>
              </w:tc>
              <w:tc>
                <w:tcPr>
                  <w:tcW w:w="1275" w:type="dxa"/>
                </w:tcPr>
                <w:p>
                  <w:pPr>
                    <w:tabs>
                      <w:tab w:val="left" w:pos="425"/>
                    </w:tabs>
                    <w:adjustRightInd w:val="0"/>
                    <w:snapToGrid w:val="0"/>
                    <w:jc w:val="center"/>
                    <w:rPr>
                      <w:bCs/>
                      <w:sz w:val="21"/>
                      <w:szCs w:val="21"/>
                    </w:rPr>
                  </w:pPr>
                  <w:r>
                    <w:rPr>
                      <w:bCs/>
                      <w:sz w:val="21"/>
                      <w:szCs w:val="21"/>
                    </w:rPr>
                    <w:t>16.</w:t>
                  </w:r>
                  <w:r>
                    <w:rPr>
                      <w:rFonts w:hint="eastAsia"/>
                      <w:bCs/>
                      <w:sz w:val="21"/>
                      <w:szCs w:val="21"/>
                    </w:rPr>
                    <w:t>67</w:t>
                  </w:r>
                </w:p>
              </w:tc>
              <w:tc>
                <w:tcPr>
                  <w:tcW w:w="1133" w:type="dxa"/>
                </w:tcPr>
                <w:p>
                  <w:pPr>
                    <w:tabs>
                      <w:tab w:val="left" w:pos="425"/>
                    </w:tabs>
                    <w:adjustRightInd w:val="0"/>
                    <w:snapToGrid w:val="0"/>
                    <w:jc w:val="center"/>
                    <w:rPr>
                      <w:bCs/>
                      <w:sz w:val="21"/>
                      <w:szCs w:val="21"/>
                    </w:rPr>
                  </w:pPr>
                  <w:r>
                    <w:rPr>
                      <w:rFonts w:hint="eastAsia"/>
                      <w:bCs/>
                      <w:sz w:val="21"/>
                      <w:szCs w:val="21"/>
                    </w:rPr>
                    <w:t>60.19</w:t>
                  </w:r>
                </w:p>
              </w:tc>
              <w:tc>
                <w:tcPr>
                  <w:tcW w:w="2607" w:type="dxa"/>
                  <w:vMerge/>
                </w:tcPr>
                <w:p>
                  <w:pPr>
                    <w:tabs>
                      <w:tab w:val="left" w:pos="425"/>
                    </w:tabs>
                    <w:adjustRightInd w:val="0"/>
                    <w:snapToGrid w:val="0"/>
                    <w:jc w:val="center"/>
                    <w:rPr>
                      <w:bCs/>
                      <w:sz w:val="21"/>
                      <w:szCs w:val="21"/>
                    </w:rPr>
                  </w:pPr>
                </w:p>
              </w:tc>
            </w:tr>
            <w:tr>
              <w:tblPrEx>
                <w:jc w:val="center"/>
                <w:tblInd w:w="123" w:type="dxa"/>
                <w:tblLayout w:type="fixed"/>
                <w:tblCellMar>
                  <w:top w:w="0" w:type="dxa"/>
                  <w:left w:w="108" w:type="dxa"/>
                  <w:bottom w:w="0" w:type="dxa"/>
                  <w:right w:w="108" w:type="dxa"/>
                </w:tblCellMar>
                <w:tblLook w:val="0000"/>
              </w:tblPrEx>
              <w:trPr>
                <w:trHeight w:val="340"/>
                <w:jc w:val="center"/>
              </w:trPr>
              <w:tc>
                <w:tcPr>
                  <w:tcW w:w="2625" w:type="dxa"/>
                </w:tcPr>
                <w:p>
                  <w:pPr>
                    <w:tabs>
                      <w:tab w:val="left" w:pos="425"/>
                    </w:tabs>
                    <w:adjustRightInd w:val="0"/>
                    <w:snapToGrid w:val="0"/>
                    <w:jc w:val="center"/>
                    <w:rPr>
                      <w:bCs/>
                      <w:sz w:val="21"/>
                      <w:szCs w:val="21"/>
                    </w:rPr>
                  </w:pPr>
                  <w:r>
                    <w:rPr>
                      <w:bCs/>
                      <w:sz w:val="21"/>
                      <w:szCs w:val="21"/>
                    </w:rPr>
                    <w:t>年</w:t>
                  </w:r>
                  <w:r>
                    <w:rPr>
                      <w:rFonts w:hint="eastAsia"/>
                      <w:bCs/>
                      <w:sz w:val="21"/>
                      <w:szCs w:val="21"/>
                    </w:rPr>
                    <w:t>产生</w:t>
                  </w:r>
                  <w:r>
                    <w:rPr>
                      <w:bCs/>
                      <w:sz w:val="21"/>
                      <w:szCs w:val="21"/>
                    </w:rPr>
                    <w:t>量（kg/a）</w:t>
                  </w:r>
                </w:p>
              </w:tc>
              <w:tc>
                <w:tcPr>
                  <w:tcW w:w="1230" w:type="dxa"/>
                </w:tcPr>
                <w:p>
                  <w:pPr>
                    <w:tabs>
                      <w:tab w:val="left" w:pos="425"/>
                    </w:tabs>
                    <w:adjustRightInd w:val="0"/>
                    <w:snapToGrid w:val="0"/>
                    <w:jc w:val="center"/>
                    <w:rPr>
                      <w:rFonts w:hint="eastAsia"/>
                      <w:bCs/>
                      <w:sz w:val="21"/>
                      <w:szCs w:val="21"/>
                    </w:rPr>
                  </w:pPr>
                  <w:r>
                    <w:rPr>
                      <w:rFonts w:hint="eastAsia"/>
                      <w:bCs/>
                      <w:sz w:val="21"/>
                      <w:szCs w:val="21"/>
                    </w:rPr>
                    <w:t>91.68</w:t>
                  </w:r>
                </w:p>
              </w:tc>
              <w:tc>
                <w:tcPr>
                  <w:tcW w:w="1275" w:type="dxa"/>
                </w:tcPr>
                <w:p>
                  <w:pPr>
                    <w:tabs>
                      <w:tab w:val="left" w:pos="425"/>
                    </w:tabs>
                    <w:adjustRightInd w:val="0"/>
                    <w:snapToGrid w:val="0"/>
                    <w:jc w:val="center"/>
                    <w:rPr>
                      <w:rFonts w:hint="eastAsia"/>
                      <w:bCs/>
                      <w:sz w:val="21"/>
                      <w:szCs w:val="21"/>
                    </w:rPr>
                  </w:pPr>
                  <w:r>
                    <w:rPr>
                      <w:rFonts w:hint="eastAsia"/>
                      <w:bCs/>
                      <w:sz w:val="21"/>
                      <w:szCs w:val="21"/>
                    </w:rPr>
                    <w:t>16.35</w:t>
                  </w:r>
                </w:p>
              </w:tc>
              <w:tc>
                <w:tcPr>
                  <w:tcW w:w="1133" w:type="dxa"/>
                </w:tcPr>
                <w:p>
                  <w:pPr>
                    <w:tabs>
                      <w:tab w:val="left" w:pos="425"/>
                    </w:tabs>
                    <w:adjustRightInd w:val="0"/>
                    <w:snapToGrid w:val="0"/>
                    <w:jc w:val="center"/>
                    <w:rPr>
                      <w:rFonts w:hint="eastAsia"/>
                      <w:bCs/>
                      <w:sz w:val="21"/>
                      <w:szCs w:val="21"/>
                    </w:rPr>
                  </w:pPr>
                  <w:r>
                    <w:rPr>
                      <w:rFonts w:hint="eastAsia"/>
                      <w:bCs/>
                      <w:sz w:val="21"/>
                      <w:szCs w:val="21"/>
                    </w:rPr>
                    <w:t>58.68</w:t>
                  </w:r>
                </w:p>
              </w:tc>
              <w:tc>
                <w:tcPr>
                  <w:tcW w:w="2607" w:type="dxa"/>
                </w:tcPr>
                <w:p>
                  <w:pPr>
                    <w:tabs>
                      <w:tab w:val="left" w:pos="425"/>
                    </w:tabs>
                    <w:adjustRightInd w:val="0"/>
                    <w:snapToGrid w:val="0"/>
                    <w:jc w:val="center"/>
                    <w:rPr>
                      <w:bCs/>
                      <w:sz w:val="21"/>
                      <w:szCs w:val="21"/>
                    </w:rPr>
                  </w:pPr>
                  <w:r>
                    <w:rPr>
                      <w:rFonts w:hint="eastAsia"/>
                      <w:bCs/>
                      <w:sz w:val="21"/>
                      <w:szCs w:val="21"/>
                    </w:rPr>
                    <w:t>9.72</w:t>
                  </w:r>
                  <w:r>
                    <w:rPr>
                      <w:bCs/>
                      <w:sz w:val="21"/>
                      <w:szCs w:val="21"/>
                    </w:rPr>
                    <w:t>×10</w:t>
                  </w:r>
                  <w:r>
                    <w:rPr>
                      <w:bCs/>
                      <w:sz w:val="21"/>
                      <w:szCs w:val="21"/>
                      <w:vertAlign w:val="superscript"/>
                    </w:rPr>
                    <w:t>5</w:t>
                  </w:r>
                  <w:r>
                    <w:rPr>
                      <w:bCs/>
                      <w:sz w:val="21"/>
                      <w:szCs w:val="21"/>
                    </w:rPr>
                    <w:t>m</w:t>
                  </w:r>
                  <w:r>
                    <w:rPr>
                      <w:bCs/>
                      <w:sz w:val="21"/>
                      <w:szCs w:val="21"/>
                      <w:vertAlign w:val="superscript"/>
                    </w:rPr>
                    <w:t>3</w:t>
                  </w:r>
                  <w:r>
                    <w:rPr>
                      <w:bCs/>
                      <w:sz w:val="21"/>
                      <w:szCs w:val="21"/>
                    </w:rPr>
                    <w:t>/a</w:t>
                  </w:r>
                </w:p>
              </w:tc>
            </w:tr>
          </w:tbl>
          <w:p>
            <w:pPr>
              <w:adjustRightInd w:val="0"/>
              <w:snapToGrid w:val="0"/>
              <w:spacing w:after="0" w:line="360" w:lineRule="auto"/>
              <w:ind w:firstLine="480" w:firstLineChars="200"/>
              <w:rPr>
                <w:rFonts w:hint="eastAsia"/>
                <w:sz w:val="24"/>
                <w:szCs w:val="24"/>
              </w:rPr>
            </w:pPr>
            <w:r>
              <w:rPr>
                <w:rFonts w:hint="eastAsia"/>
                <w:bCs/>
                <w:sz w:val="24"/>
              </w:rPr>
              <w:t>鉴于项目柴油</w:t>
            </w:r>
            <w:r>
              <w:rPr>
                <w:bCs/>
                <w:sz w:val="24"/>
              </w:rPr>
              <w:t>发电机</w:t>
            </w:r>
            <w:r>
              <w:rPr>
                <w:rFonts w:hint="eastAsia"/>
                <w:bCs/>
                <w:sz w:val="24"/>
              </w:rPr>
              <w:t>仅作为应急电源，年使用时间较少，</w:t>
            </w:r>
            <w:r>
              <w:rPr>
                <w:bCs/>
                <w:sz w:val="24"/>
              </w:rPr>
              <w:t>发电机燃油采用含硫量低于0.035％的优质0＃柴油</w:t>
            </w:r>
            <w:r>
              <w:rPr>
                <w:rFonts w:hint="eastAsia"/>
                <w:bCs/>
                <w:sz w:val="24"/>
              </w:rPr>
              <w:t>产生的SO</w:t>
            </w:r>
            <w:r>
              <w:rPr>
                <w:rFonts w:hint="eastAsia"/>
                <w:bCs/>
                <w:sz w:val="24"/>
                <w:vertAlign w:val="subscript"/>
              </w:rPr>
              <w:t>2</w:t>
            </w:r>
            <w:r>
              <w:rPr>
                <w:rFonts w:hint="eastAsia"/>
                <w:bCs/>
                <w:sz w:val="24"/>
              </w:rPr>
              <w:t>、NO</w:t>
            </w:r>
            <w:r>
              <w:rPr>
                <w:rFonts w:hint="eastAsia"/>
                <w:bCs/>
                <w:sz w:val="24"/>
                <w:vertAlign w:val="subscript"/>
              </w:rPr>
              <w:t>X</w:t>
            </w:r>
          </w:p>
        </w:tc>
      </w:tr>
    </w:tbl>
    <w:p>
      <w:pPr>
        <w:sectPr>
          <w:footerReference w:type="even" r:id="rId81"/>
          <w:footerReference w:type="default" r:id="rId82"/>
          <w:footerReference w:type="first" r:id="rId83"/>
          <w:type w:val="nextPage"/>
          <w:pgSz w:w="11906" w:h="16838"/>
          <w:pgMar w:top="1134" w:right="1418" w:bottom="1134" w:left="1418" w:header="851" w:footer="992" w:gutter="0"/>
          <w:pgNumType w:start="24"/>
          <w:cols w:space="708"/>
          <w:titlePg w:val="0"/>
          <w:docGrid w:type="linesAndChars" w:linePitch="381"/>
        </w:sectPr>
      </w:pPr>
    </w:p>
    <w:tbl>
      <w:tblPr>
        <w:tblStyle w:val="TableNormal"/>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CellMar>
          <w:top w:w="0" w:type="dxa"/>
          <w:left w:w="0" w:type="dxa"/>
          <w:bottom w:w="0" w:type="dxa"/>
          <w:right w:w="0" w:type="dxa"/>
        </w:tblCellMar>
        <w:tblLook w:val="0000"/>
      </w:tblPr>
      <w:tblGrid>
        <w:gridCol w:w="9072"/>
      </w:tblGrid>
      <w:tr>
        <w:tblPrEx>
          <w:jc w:val="center"/>
          <w:tblInd w:w="-15"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CellMar>
            <w:top w:w="0" w:type="dxa"/>
            <w:left w:w="0" w:type="dxa"/>
            <w:bottom w:w="0" w:type="dxa"/>
            <w:right w:w="0" w:type="dxa"/>
          </w:tblCellMar>
          <w:tblLook w:val="0000"/>
        </w:tblPrEx>
        <w:trPr>
          <w:trHeight w:val="7108"/>
          <w:jc w:val="center"/>
        </w:trPr>
        <w:tc>
          <w:tcPr>
            <w:tcW w:w="9072" w:type="dxa"/>
          </w:tcPr>
          <w:p>
            <w:pPr>
              <w:adjustRightInd w:val="0"/>
              <w:snapToGrid w:val="0"/>
              <w:spacing w:before="0" w:line="360" w:lineRule="auto"/>
              <w:ind w:firstLine="480" w:firstLineChars="200"/>
              <w:rPr>
                <w:rFonts w:hint="eastAsia"/>
                <w:sz w:val="24"/>
                <w:szCs w:val="24"/>
              </w:rPr>
            </w:pPr>
            <w:r>
              <w:rPr>
                <w:rFonts w:hint="eastAsia"/>
                <w:bCs/>
                <w:sz w:val="24"/>
              </w:rPr>
              <w:t>和烟尘等污染物较少，浓度较低，可直接使</w:t>
            </w:r>
            <w:r>
              <w:rPr>
                <w:bCs/>
                <w:sz w:val="24"/>
              </w:rPr>
              <w:t>烟气经专</w:t>
            </w:r>
            <w:r>
              <w:rPr>
                <w:rFonts w:hint="eastAsia"/>
                <w:bCs/>
                <w:sz w:val="24"/>
              </w:rPr>
              <w:t>用</w:t>
            </w:r>
            <w:r>
              <w:rPr>
                <w:bCs/>
                <w:sz w:val="24"/>
              </w:rPr>
              <w:t>竖井管道至建筑楼顶排放</w:t>
            </w:r>
            <w:r>
              <w:rPr>
                <w:rFonts w:hint="eastAsia"/>
                <w:bCs/>
                <w:sz w:val="24"/>
              </w:rPr>
              <w:t>。</w:t>
            </w:r>
          </w:p>
          <w:p>
            <w:pPr>
              <w:adjustRightInd w:val="0"/>
              <w:snapToGrid w:val="0"/>
              <w:spacing w:line="360" w:lineRule="auto"/>
              <w:ind w:firstLine="480" w:firstLineChars="200"/>
              <w:rPr>
                <w:rFonts w:hint="eastAsia"/>
                <w:sz w:val="24"/>
                <w:szCs w:val="24"/>
              </w:rPr>
            </w:pPr>
            <w:r>
              <w:rPr>
                <w:rFonts w:hint="eastAsia"/>
                <w:sz w:val="24"/>
                <w:szCs w:val="24"/>
              </w:rPr>
              <w:t>（3）天然气燃烧废气</w:t>
            </w:r>
          </w:p>
          <w:p>
            <w:pPr>
              <w:adjustRightInd w:val="0"/>
              <w:snapToGrid w:val="0"/>
              <w:spacing w:line="360" w:lineRule="auto"/>
              <w:ind w:firstLine="480" w:firstLineChars="200"/>
              <w:rPr>
                <w:rFonts w:hint="eastAsia"/>
                <w:sz w:val="24"/>
                <w:szCs w:val="24"/>
              </w:rPr>
            </w:pPr>
            <w:r>
              <w:rPr>
                <w:rFonts w:hint="eastAsia"/>
                <w:sz w:val="24"/>
                <w:szCs w:val="24"/>
              </w:rPr>
              <w:t>本项目餐饮业、员工餐厅所用燃料均为城市管道天然气，天然气是一种清洁能源，主要成分为甲烷，其燃烧过程的产物主要是CO</w:t>
            </w:r>
            <w:r>
              <w:rPr>
                <w:rFonts w:hint="eastAsia"/>
                <w:sz w:val="24"/>
                <w:szCs w:val="24"/>
                <w:vertAlign w:val="subscript"/>
              </w:rPr>
              <w:t>2</w:t>
            </w:r>
            <w:r>
              <w:rPr>
                <w:rFonts w:hint="eastAsia"/>
                <w:sz w:val="24"/>
                <w:szCs w:val="24"/>
              </w:rPr>
              <w:t>和H</w:t>
            </w:r>
            <w:r>
              <w:rPr>
                <w:rFonts w:hint="eastAsia"/>
                <w:sz w:val="24"/>
                <w:szCs w:val="24"/>
                <w:vertAlign w:val="subscript"/>
              </w:rPr>
              <w:t>2</w:t>
            </w:r>
            <w:r>
              <w:rPr>
                <w:rFonts w:hint="eastAsia"/>
                <w:sz w:val="24"/>
                <w:szCs w:val="24"/>
              </w:rPr>
              <w:t>O，也有极少量NO</w:t>
            </w:r>
            <w:r>
              <w:rPr>
                <w:rFonts w:hint="eastAsia"/>
                <w:sz w:val="24"/>
                <w:szCs w:val="24"/>
                <w:vertAlign w:val="subscript"/>
              </w:rPr>
              <w:t>X</w:t>
            </w:r>
            <w:r>
              <w:rPr>
                <w:rFonts w:hint="eastAsia"/>
                <w:sz w:val="24"/>
                <w:szCs w:val="24"/>
              </w:rPr>
              <w:t>、SO</w:t>
            </w:r>
            <w:r>
              <w:rPr>
                <w:rFonts w:hint="eastAsia"/>
                <w:sz w:val="24"/>
                <w:szCs w:val="24"/>
                <w:vertAlign w:val="subscript"/>
              </w:rPr>
              <w:t>2</w:t>
            </w:r>
            <w:r>
              <w:rPr>
                <w:rFonts w:hint="eastAsia"/>
                <w:sz w:val="24"/>
                <w:szCs w:val="24"/>
              </w:rPr>
              <w:t>、烟尘等有害气体，根据《环境统计手册》推荐的参数，燃烧1</w:t>
            </w:r>
            <w:r>
              <w:rPr>
                <w:rFonts w:hint="eastAsia"/>
                <w:sz w:val="24"/>
                <w:szCs w:val="24"/>
              </w:rPr>
              <w:t>×</w:t>
            </w:r>
            <w:r>
              <w:rPr>
                <w:rFonts w:hint="eastAsia"/>
                <w:sz w:val="24"/>
                <w:szCs w:val="24"/>
              </w:rPr>
              <w:t>10</w:t>
            </w:r>
            <w:r>
              <w:rPr>
                <w:rFonts w:hint="eastAsia"/>
                <w:sz w:val="24"/>
                <w:szCs w:val="24"/>
                <w:vertAlign w:val="superscript"/>
              </w:rPr>
              <w:t>6</w:t>
            </w:r>
            <w:r>
              <w:rPr>
                <w:rFonts w:hint="eastAsia"/>
                <w:sz w:val="24"/>
                <w:szCs w:val="24"/>
              </w:rPr>
              <w:t>Nm</w:t>
            </w:r>
            <w:r>
              <w:rPr>
                <w:rFonts w:hint="eastAsia"/>
                <w:sz w:val="24"/>
                <w:szCs w:val="24"/>
                <w:vertAlign w:val="superscript"/>
              </w:rPr>
              <w:t>3</w:t>
            </w:r>
            <w:r>
              <w:rPr>
                <w:rFonts w:hint="eastAsia"/>
                <w:sz w:val="24"/>
                <w:szCs w:val="24"/>
              </w:rPr>
              <w:t>天然气约产生1843.2kgNO</w:t>
            </w:r>
            <w:r>
              <w:rPr>
                <w:rFonts w:hint="eastAsia"/>
                <w:sz w:val="24"/>
                <w:szCs w:val="24"/>
                <w:vertAlign w:val="subscript"/>
              </w:rPr>
              <w:t>X</w:t>
            </w:r>
            <w:r>
              <w:rPr>
                <w:rFonts w:hint="eastAsia"/>
                <w:sz w:val="24"/>
                <w:szCs w:val="24"/>
              </w:rPr>
              <w:t>、630kgSO</w:t>
            </w:r>
            <w:r>
              <w:rPr>
                <w:rFonts w:hint="eastAsia"/>
                <w:sz w:val="24"/>
                <w:szCs w:val="24"/>
                <w:vertAlign w:val="subscript"/>
              </w:rPr>
              <w:t>2</w:t>
            </w:r>
            <w:r>
              <w:rPr>
                <w:rFonts w:hint="eastAsia"/>
                <w:sz w:val="24"/>
                <w:szCs w:val="24"/>
              </w:rPr>
              <w:t>和302.0kg烟尘，以NO</w:t>
            </w:r>
            <w:r>
              <w:rPr>
                <w:rFonts w:hint="eastAsia"/>
                <w:sz w:val="24"/>
                <w:szCs w:val="24"/>
                <w:vertAlign w:val="subscript"/>
              </w:rPr>
              <w:t>X</w:t>
            </w:r>
            <w:r>
              <w:rPr>
                <w:rFonts w:hint="eastAsia"/>
                <w:sz w:val="24"/>
                <w:szCs w:val="24"/>
              </w:rPr>
              <w:t>为主要污染物。根据建设单位提供资料中的餐饮业户数及员工餐厅就餐规模，估算出本项目年用气天然气量为5.4</w:t>
            </w:r>
            <w:r>
              <w:rPr>
                <w:rFonts w:hint="eastAsia"/>
                <w:sz w:val="24"/>
                <w:szCs w:val="24"/>
              </w:rPr>
              <w:t>×</w:t>
            </w:r>
            <w:r>
              <w:rPr>
                <w:rFonts w:hint="eastAsia"/>
                <w:sz w:val="24"/>
                <w:szCs w:val="24"/>
              </w:rPr>
              <w:t>10</w:t>
            </w:r>
            <w:r>
              <w:rPr>
                <w:rFonts w:hint="eastAsia"/>
                <w:sz w:val="24"/>
                <w:szCs w:val="24"/>
                <w:vertAlign w:val="superscript"/>
              </w:rPr>
              <w:t>5</w:t>
            </w:r>
            <w:r>
              <w:rPr>
                <w:rFonts w:hint="eastAsia"/>
                <w:sz w:val="24"/>
                <w:szCs w:val="24"/>
              </w:rPr>
              <w:t>Nm</w:t>
            </w:r>
            <w:r>
              <w:rPr>
                <w:rFonts w:hint="eastAsia"/>
                <w:sz w:val="24"/>
                <w:szCs w:val="24"/>
                <w:vertAlign w:val="superscript"/>
              </w:rPr>
              <w:t>3</w:t>
            </w:r>
            <w:r>
              <w:rPr>
                <w:rFonts w:hint="eastAsia"/>
                <w:sz w:val="24"/>
                <w:szCs w:val="24"/>
              </w:rPr>
              <w:t>，燃气污染物排放量为NO</w:t>
            </w:r>
            <w:r>
              <w:rPr>
                <w:rFonts w:hint="eastAsia"/>
                <w:sz w:val="24"/>
                <w:szCs w:val="24"/>
                <w:vertAlign w:val="subscript"/>
              </w:rPr>
              <w:t>X</w:t>
            </w:r>
            <w:r>
              <w:rPr>
                <w:rFonts w:hint="eastAsia"/>
                <w:sz w:val="24"/>
                <w:szCs w:val="24"/>
              </w:rPr>
              <w:t>995.3kg/a，SO</w:t>
            </w:r>
            <w:r>
              <w:rPr>
                <w:rFonts w:hint="eastAsia"/>
                <w:sz w:val="24"/>
                <w:szCs w:val="24"/>
                <w:vertAlign w:val="subscript"/>
              </w:rPr>
              <w:t>2</w:t>
            </w:r>
            <w:r>
              <w:rPr>
                <w:rFonts w:hint="eastAsia"/>
                <w:sz w:val="24"/>
                <w:szCs w:val="24"/>
              </w:rPr>
              <w:t>340.2kg/a和烟尘163.1kg/a。</w:t>
            </w:r>
            <w:r>
              <w:rPr>
                <w:sz w:val="24"/>
                <w:szCs w:val="24"/>
              </w:rPr>
              <w:t>天然气为清洁能源，燃烧后污染物排放量较少，又属间断性排放，通过专用烟道</w:t>
            </w:r>
            <w:r>
              <w:rPr>
                <w:rFonts w:hint="eastAsia"/>
                <w:sz w:val="24"/>
                <w:szCs w:val="24"/>
              </w:rPr>
              <w:t>引至</w:t>
            </w:r>
            <w:r>
              <w:rPr>
                <w:sz w:val="24"/>
                <w:szCs w:val="24"/>
              </w:rPr>
              <w:t>楼顶高空排放，对环境空气质量影响不大，可实现达标排放。</w:t>
            </w:r>
          </w:p>
          <w:p>
            <w:pPr>
              <w:numPr>
                <w:ilvl w:val="0"/>
                <w:numId w:val="6"/>
              </w:numPr>
              <w:adjustRightInd w:val="0"/>
              <w:snapToGrid w:val="0"/>
              <w:spacing w:line="360" w:lineRule="auto"/>
              <w:ind w:firstLine="480" w:firstLineChars="200"/>
              <w:rPr>
                <w:rFonts w:hint="eastAsia"/>
                <w:sz w:val="24"/>
                <w:szCs w:val="24"/>
              </w:rPr>
            </w:pPr>
            <w:r>
              <w:rPr>
                <w:rFonts w:hint="eastAsia"/>
                <w:sz w:val="24"/>
                <w:szCs w:val="24"/>
              </w:rPr>
              <w:t>油烟废气</w:t>
            </w:r>
          </w:p>
          <w:p>
            <w:pPr>
              <w:adjustRightInd w:val="0"/>
              <w:snapToGrid w:val="0"/>
              <w:spacing w:line="360" w:lineRule="auto"/>
              <w:rPr>
                <w:rFonts w:hAnsi="宋体"/>
                <w:sz w:val="24"/>
              </w:rPr>
            </w:pPr>
            <w:r>
              <w:rPr>
                <w:rFonts w:hint="eastAsia"/>
                <w:sz w:val="24"/>
                <w:szCs w:val="24"/>
              </w:rPr>
              <w:t xml:space="preserve">    根据建设单位提供资料，项目建成运营后员工约300人，餐饮业客流量约3000人次/天，项目设有员工餐厅为提供就餐，每日一餐，员工餐厅及餐饮业基准灶头数合计约45个。</w:t>
            </w:r>
            <w:r>
              <w:rPr>
                <w:sz w:val="24"/>
              </w:rPr>
              <w:t>类比同类型餐饮</w:t>
            </w:r>
            <w:r>
              <w:rPr>
                <w:rFonts w:hint="eastAsia"/>
                <w:sz w:val="24"/>
              </w:rPr>
              <w:t>业运行</w:t>
            </w:r>
            <w:r>
              <w:rPr>
                <w:sz w:val="24"/>
              </w:rPr>
              <w:t>情</w:t>
            </w:r>
            <w:r>
              <w:rPr>
                <w:spacing w:val="5"/>
                <w:sz w:val="24"/>
              </w:rPr>
              <w:t>况</w:t>
            </w:r>
            <w:r>
              <w:rPr>
                <w:sz w:val="24"/>
              </w:rPr>
              <w:t>，食用油消耗量以2kg/100人</w:t>
            </w:r>
            <w:r>
              <w:rPr>
                <w:spacing w:val="-3"/>
                <w:sz w:val="24"/>
              </w:rPr>
              <w:t>•</w:t>
            </w:r>
            <w:r>
              <w:rPr>
                <w:sz w:val="24"/>
              </w:rPr>
              <w:t>餐计，则本项目食用油消耗量为</w:t>
            </w:r>
            <w:r>
              <w:rPr>
                <w:rFonts w:hint="eastAsia"/>
                <w:sz w:val="24"/>
              </w:rPr>
              <w:t>66</w:t>
            </w:r>
            <w:r>
              <w:rPr>
                <w:sz w:val="24"/>
              </w:rPr>
              <w:t>kg/d</w:t>
            </w:r>
            <w:r>
              <w:rPr>
                <w:rFonts w:hAnsi="宋体"/>
                <w:sz w:val="24"/>
                <w:szCs w:val="24"/>
              </w:rPr>
              <w:t>，一般油烟挥发量占总耗油量的</w:t>
            </w:r>
            <w:r>
              <w:rPr>
                <w:sz w:val="24"/>
                <w:szCs w:val="24"/>
              </w:rPr>
              <w:t>2</w:t>
            </w:r>
            <w:r>
              <w:rPr>
                <w:rFonts w:hAnsi="宋体"/>
                <w:sz w:val="24"/>
                <w:szCs w:val="24"/>
              </w:rPr>
              <w:t>～</w:t>
            </w:r>
            <w:r>
              <w:rPr>
                <w:sz w:val="24"/>
                <w:szCs w:val="24"/>
              </w:rPr>
              <w:t>4%</w:t>
            </w:r>
            <w:r>
              <w:rPr>
                <w:rFonts w:hAnsi="宋体"/>
                <w:sz w:val="24"/>
                <w:szCs w:val="24"/>
              </w:rPr>
              <w:t>，平均为</w:t>
            </w:r>
            <w:r>
              <w:rPr>
                <w:sz w:val="24"/>
                <w:szCs w:val="24"/>
              </w:rPr>
              <w:t>2.83%</w:t>
            </w:r>
            <w:r>
              <w:rPr>
                <w:rFonts w:hAnsi="宋体"/>
                <w:sz w:val="24"/>
                <w:szCs w:val="24"/>
              </w:rPr>
              <w:t>，则</w:t>
            </w:r>
            <w:r>
              <w:rPr>
                <w:rFonts w:hAnsi="宋体" w:hint="eastAsia"/>
                <w:sz w:val="24"/>
                <w:szCs w:val="24"/>
              </w:rPr>
              <w:t>项目</w:t>
            </w:r>
            <w:r>
              <w:rPr>
                <w:rFonts w:hAnsi="宋体"/>
                <w:sz w:val="24"/>
                <w:szCs w:val="24"/>
              </w:rPr>
              <w:t>油烟产生量约</w:t>
            </w:r>
            <w:r>
              <w:rPr>
                <w:rFonts w:hAnsi="宋体" w:hint="eastAsia"/>
                <w:sz w:val="24"/>
                <w:szCs w:val="24"/>
              </w:rPr>
              <w:t>1.87</w:t>
            </w:r>
            <w:r>
              <w:rPr>
                <w:rFonts w:hint="eastAsia"/>
                <w:sz w:val="24"/>
                <w:szCs w:val="24"/>
              </w:rPr>
              <w:t>kg</w:t>
            </w:r>
            <w:r>
              <w:rPr>
                <w:sz w:val="24"/>
                <w:szCs w:val="24"/>
              </w:rPr>
              <w:t>/</w:t>
            </w:r>
            <w:r>
              <w:rPr>
                <w:rFonts w:hint="eastAsia"/>
                <w:sz w:val="24"/>
                <w:szCs w:val="24"/>
              </w:rPr>
              <w:t>d</w:t>
            </w:r>
            <w:r>
              <w:rPr>
                <w:rFonts w:hAnsi="宋体" w:hint="eastAsia"/>
                <w:sz w:val="24"/>
                <w:szCs w:val="24"/>
              </w:rPr>
              <w:t>，0.683t</w:t>
            </w:r>
            <w:r>
              <w:rPr>
                <w:rFonts w:hint="eastAsia"/>
                <w:kern w:val="0"/>
                <w:sz w:val="24"/>
                <w:szCs w:val="24"/>
              </w:rPr>
              <w:t>/a，</w:t>
            </w:r>
            <w:r>
              <w:rPr>
                <w:sz w:val="24"/>
              </w:rPr>
              <w:t>油烟总风量约</w:t>
            </w:r>
            <w:r>
              <w:rPr>
                <w:rFonts w:hint="eastAsia"/>
                <w:sz w:val="24"/>
              </w:rPr>
              <w:t>45</w:t>
            </w:r>
            <w:r>
              <w:rPr>
                <w:sz w:val="24"/>
              </w:rPr>
              <w:t>000Nm</w:t>
            </w:r>
            <w:r>
              <w:rPr>
                <w:sz w:val="24"/>
                <w:vertAlign w:val="superscript"/>
              </w:rPr>
              <w:t>3</w:t>
            </w:r>
            <w:r>
              <w:rPr>
                <w:sz w:val="24"/>
              </w:rPr>
              <w:t>/h（平均每个灶头以1000Nm</w:t>
            </w:r>
            <w:r>
              <w:rPr>
                <w:sz w:val="24"/>
                <w:vertAlign w:val="superscript"/>
              </w:rPr>
              <w:t>3</w:t>
            </w:r>
            <w:r>
              <w:rPr>
                <w:sz w:val="24"/>
              </w:rPr>
              <w:t>/h计）</w:t>
            </w:r>
            <w:r>
              <w:rPr>
                <w:rFonts w:hint="eastAsia"/>
                <w:sz w:val="24"/>
              </w:rPr>
              <w:t>。灶头</w:t>
            </w:r>
            <w:r>
              <w:rPr>
                <w:sz w:val="24"/>
              </w:rPr>
              <w:t>每天使用时间</w:t>
            </w:r>
            <w:r>
              <w:rPr>
                <w:rFonts w:hint="eastAsia"/>
                <w:sz w:val="24"/>
              </w:rPr>
              <w:t>平均</w:t>
            </w:r>
            <w:r>
              <w:rPr>
                <w:sz w:val="24"/>
              </w:rPr>
              <w:t>以6小时</w:t>
            </w:r>
            <w:r>
              <w:rPr>
                <w:rFonts w:hint="eastAsia"/>
                <w:sz w:val="24"/>
              </w:rPr>
              <w:t>计，则本项目油烟废气产生量为27万N</w:t>
            </w:r>
            <w:r>
              <w:rPr>
                <w:sz w:val="24"/>
              </w:rPr>
              <w:t>m</w:t>
            </w:r>
            <w:r>
              <w:rPr>
                <w:sz w:val="24"/>
                <w:vertAlign w:val="superscript"/>
              </w:rPr>
              <w:t>3</w:t>
            </w:r>
            <w:r>
              <w:rPr>
                <w:sz w:val="24"/>
              </w:rPr>
              <w:t>/</w:t>
            </w:r>
            <w:r>
              <w:rPr>
                <w:rFonts w:hint="eastAsia"/>
                <w:sz w:val="24"/>
              </w:rPr>
              <w:t>d（9855万N</w:t>
            </w:r>
            <w:r>
              <w:rPr>
                <w:sz w:val="24"/>
              </w:rPr>
              <w:t>m</w:t>
            </w:r>
            <w:r>
              <w:rPr>
                <w:sz w:val="24"/>
                <w:vertAlign w:val="superscript"/>
              </w:rPr>
              <w:t>3</w:t>
            </w:r>
            <w:r>
              <w:rPr>
                <w:sz w:val="24"/>
              </w:rPr>
              <w:t>/</w:t>
            </w:r>
            <w:r>
              <w:rPr>
                <w:rFonts w:hint="eastAsia"/>
                <w:sz w:val="24"/>
              </w:rPr>
              <w:t>a），</w:t>
            </w:r>
            <w:r>
              <w:rPr>
                <w:rFonts w:hint="eastAsia"/>
                <w:kern w:val="0"/>
                <w:sz w:val="24"/>
                <w:szCs w:val="24"/>
              </w:rPr>
              <w:t>油烟产生浓度为6.9</w:t>
            </w:r>
            <w:r>
              <w:rPr>
                <w:rFonts w:hint="eastAsia"/>
                <w:sz w:val="24"/>
              </w:rPr>
              <w:t>mg/m</w:t>
            </w:r>
            <w:r>
              <w:rPr>
                <w:rFonts w:hint="eastAsia"/>
                <w:sz w:val="24"/>
                <w:vertAlign w:val="superscript"/>
              </w:rPr>
              <w:t>3</w:t>
            </w:r>
            <w:r>
              <w:rPr>
                <w:rFonts w:hint="eastAsia"/>
                <w:kern w:val="0"/>
                <w:sz w:val="24"/>
                <w:szCs w:val="24"/>
              </w:rPr>
              <w:t>，</w:t>
            </w:r>
            <w:r>
              <w:rPr>
                <w:rFonts w:hint="eastAsia"/>
                <w:sz w:val="24"/>
              </w:rPr>
              <w:t>本项目油烟废气产生情况一览表见表18所示。</w:t>
            </w:r>
          </w:p>
          <w:p>
            <w:pPr>
              <w:spacing w:line="360" w:lineRule="auto"/>
              <w:ind w:firstLine="480"/>
              <w:jc w:val="center"/>
              <w:rPr>
                <w:b/>
                <w:sz w:val="24"/>
              </w:rPr>
            </w:pPr>
            <w:r>
              <w:rPr>
                <w:b/>
                <w:sz w:val="24"/>
              </w:rPr>
              <w:t>表</w:t>
            </w:r>
            <w:r>
              <w:rPr>
                <w:rFonts w:hint="eastAsia"/>
                <w:b/>
                <w:sz w:val="24"/>
              </w:rPr>
              <w:t>18</w:t>
            </w:r>
            <w:r>
              <w:rPr>
                <w:b/>
                <w:sz w:val="24"/>
              </w:rPr>
              <w:t xml:space="preserve">   本项目油烟废气产生情况</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37"/>
              <w:gridCol w:w="1759"/>
              <w:gridCol w:w="1828"/>
              <w:gridCol w:w="1875"/>
              <w:gridCol w:w="1672"/>
            </w:tblGrid>
            <w:tr>
              <w:tblPrEx>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70"/>
                <w:jc w:val="center"/>
              </w:trPr>
              <w:tc>
                <w:tcPr>
                  <w:tcW w:w="1737" w:type="dxa"/>
                  <w:vAlign w:val="center"/>
                </w:tcPr>
                <w:p>
                  <w:pPr>
                    <w:pStyle w:val="322"/>
                    <w:rPr>
                      <w:rFonts w:cs="Times New Roman"/>
                      <w:b/>
                      <w:bCs/>
                      <w:sz w:val="21"/>
                    </w:rPr>
                  </w:pPr>
                  <w:r>
                    <w:rPr>
                      <w:rFonts w:cs="Times New Roman"/>
                      <w:b/>
                      <w:bCs/>
                      <w:sz w:val="21"/>
                    </w:rPr>
                    <w:t>污染物</w:t>
                  </w:r>
                </w:p>
              </w:tc>
              <w:tc>
                <w:tcPr>
                  <w:tcW w:w="1759" w:type="dxa"/>
                  <w:vAlign w:val="center"/>
                </w:tcPr>
                <w:p>
                  <w:pPr>
                    <w:pStyle w:val="322"/>
                    <w:rPr>
                      <w:rFonts w:cs="Times New Roman"/>
                      <w:b/>
                      <w:bCs/>
                      <w:sz w:val="21"/>
                    </w:rPr>
                  </w:pPr>
                  <w:r>
                    <w:rPr>
                      <w:rFonts w:cs="Times New Roman"/>
                      <w:b/>
                      <w:bCs/>
                      <w:sz w:val="21"/>
                    </w:rPr>
                    <w:t>废气量（万m</w:t>
                  </w:r>
                  <w:r>
                    <w:rPr>
                      <w:rFonts w:cs="Times New Roman"/>
                      <w:b/>
                      <w:bCs/>
                      <w:sz w:val="21"/>
                      <w:vertAlign w:val="superscript"/>
                    </w:rPr>
                    <w:t>3</w:t>
                  </w:r>
                  <w:r>
                    <w:rPr>
                      <w:rFonts w:cs="Times New Roman"/>
                      <w:b/>
                      <w:bCs/>
                      <w:sz w:val="21"/>
                    </w:rPr>
                    <w:t>/a）</w:t>
                  </w:r>
                </w:p>
              </w:tc>
              <w:tc>
                <w:tcPr>
                  <w:tcW w:w="1828" w:type="dxa"/>
                  <w:vAlign w:val="center"/>
                </w:tcPr>
                <w:p>
                  <w:pPr>
                    <w:pStyle w:val="322"/>
                    <w:rPr>
                      <w:rFonts w:cs="Times New Roman"/>
                      <w:b/>
                      <w:bCs/>
                      <w:sz w:val="21"/>
                    </w:rPr>
                  </w:pPr>
                  <w:r>
                    <w:rPr>
                      <w:rFonts w:cs="Times New Roman"/>
                      <w:b/>
                      <w:bCs/>
                      <w:sz w:val="21"/>
                    </w:rPr>
                    <w:t>产生浓度（mg/m</w:t>
                  </w:r>
                  <w:r>
                    <w:rPr>
                      <w:rFonts w:cs="Times New Roman"/>
                      <w:b/>
                      <w:bCs/>
                      <w:sz w:val="21"/>
                      <w:vertAlign w:val="superscript"/>
                    </w:rPr>
                    <w:t>3</w:t>
                  </w:r>
                  <w:r>
                    <w:rPr>
                      <w:rFonts w:cs="Times New Roman"/>
                      <w:b/>
                      <w:bCs/>
                      <w:sz w:val="21"/>
                    </w:rPr>
                    <w:t>）</w:t>
                  </w:r>
                </w:p>
              </w:tc>
              <w:tc>
                <w:tcPr>
                  <w:tcW w:w="1875" w:type="dxa"/>
                  <w:vAlign w:val="center"/>
                </w:tcPr>
                <w:p>
                  <w:pPr>
                    <w:pStyle w:val="322"/>
                    <w:rPr>
                      <w:rFonts w:cs="Times New Roman"/>
                      <w:b/>
                      <w:bCs/>
                      <w:sz w:val="21"/>
                    </w:rPr>
                  </w:pPr>
                  <w:r>
                    <w:rPr>
                      <w:rFonts w:cs="Times New Roman"/>
                      <w:b/>
                      <w:bCs/>
                      <w:sz w:val="21"/>
                    </w:rPr>
                    <w:t>产生速率（kg/h）</w:t>
                  </w:r>
                </w:p>
              </w:tc>
              <w:tc>
                <w:tcPr>
                  <w:tcW w:w="1672" w:type="dxa"/>
                  <w:vAlign w:val="center"/>
                </w:tcPr>
                <w:p>
                  <w:pPr>
                    <w:pStyle w:val="322"/>
                    <w:rPr>
                      <w:rFonts w:cs="Times New Roman"/>
                      <w:b/>
                      <w:bCs/>
                      <w:sz w:val="21"/>
                    </w:rPr>
                  </w:pPr>
                  <w:r>
                    <w:rPr>
                      <w:rFonts w:cs="Times New Roman"/>
                      <w:b/>
                      <w:bCs/>
                      <w:sz w:val="21"/>
                    </w:rPr>
                    <w:t>产生量（t/a）</w:t>
                  </w:r>
                </w:p>
              </w:tc>
            </w:tr>
            <w:tr>
              <w:tblPrEx>
                <w:jc w:val="center"/>
                <w:tblInd w:w="123" w:type="dxa"/>
                <w:tblLayout w:type="fixed"/>
                <w:tblCellMar>
                  <w:top w:w="0" w:type="dxa"/>
                  <w:left w:w="108" w:type="dxa"/>
                  <w:bottom w:w="0" w:type="dxa"/>
                  <w:right w:w="108" w:type="dxa"/>
                </w:tblCellMar>
                <w:tblLook w:val="0000"/>
              </w:tblPrEx>
              <w:trPr>
                <w:trHeight w:val="407"/>
                <w:jc w:val="center"/>
              </w:trPr>
              <w:tc>
                <w:tcPr>
                  <w:tcW w:w="1737" w:type="dxa"/>
                  <w:vAlign w:val="center"/>
                </w:tcPr>
                <w:p>
                  <w:pPr>
                    <w:pStyle w:val="322"/>
                    <w:rPr>
                      <w:rFonts w:cs="Times New Roman"/>
                      <w:sz w:val="21"/>
                    </w:rPr>
                  </w:pPr>
                  <w:r>
                    <w:rPr>
                      <w:rFonts w:cs="Times New Roman"/>
                      <w:sz w:val="21"/>
                    </w:rPr>
                    <w:t>油烟</w:t>
                  </w:r>
                </w:p>
              </w:tc>
              <w:tc>
                <w:tcPr>
                  <w:tcW w:w="1759" w:type="dxa"/>
                  <w:vAlign w:val="center"/>
                </w:tcPr>
                <w:p>
                  <w:pPr>
                    <w:pStyle w:val="322"/>
                    <w:rPr>
                      <w:rFonts w:cs="Times New Roman"/>
                      <w:sz w:val="21"/>
                      <w:lang w:val="en-US" w:eastAsia="zh-CN"/>
                    </w:rPr>
                  </w:pPr>
                  <w:r>
                    <w:rPr>
                      <w:rFonts w:cs="Times New Roman" w:hint="eastAsia"/>
                      <w:sz w:val="21"/>
                      <w:lang w:val="en-US" w:eastAsia="zh-CN"/>
                    </w:rPr>
                    <w:t>9985</w:t>
                  </w:r>
                </w:p>
              </w:tc>
              <w:tc>
                <w:tcPr>
                  <w:tcW w:w="1828" w:type="dxa"/>
                  <w:vAlign w:val="center"/>
                </w:tcPr>
                <w:p>
                  <w:pPr>
                    <w:pStyle w:val="322"/>
                    <w:rPr>
                      <w:rFonts w:cs="Times New Roman" w:hint="eastAsia"/>
                      <w:sz w:val="21"/>
                      <w:lang w:eastAsia="zh-CN"/>
                    </w:rPr>
                  </w:pPr>
                  <w:r>
                    <w:rPr>
                      <w:rFonts w:cs="Times New Roman" w:hint="eastAsia"/>
                      <w:sz w:val="21"/>
                      <w:lang w:val="en-US" w:eastAsia="zh-CN"/>
                    </w:rPr>
                    <w:t>6.9</w:t>
                  </w:r>
                </w:p>
              </w:tc>
              <w:tc>
                <w:tcPr>
                  <w:tcW w:w="1875" w:type="dxa"/>
                  <w:vAlign w:val="center"/>
                </w:tcPr>
                <w:p>
                  <w:pPr>
                    <w:pStyle w:val="322"/>
                    <w:rPr>
                      <w:rFonts w:cs="Times New Roman" w:hint="eastAsia"/>
                      <w:sz w:val="21"/>
                      <w:lang w:val="en-US" w:eastAsia="zh-CN"/>
                    </w:rPr>
                  </w:pPr>
                  <w:r>
                    <w:rPr>
                      <w:rFonts w:cs="Times New Roman" w:hint="eastAsia"/>
                      <w:sz w:val="21"/>
                      <w:lang w:val="en-US" w:eastAsia="zh-CN"/>
                    </w:rPr>
                    <w:t>0.312</w:t>
                  </w:r>
                </w:p>
              </w:tc>
              <w:tc>
                <w:tcPr>
                  <w:tcW w:w="1672" w:type="dxa"/>
                  <w:vAlign w:val="center"/>
                </w:tcPr>
                <w:p>
                  <w:pPr>
                    <w:pStyle w:val="322"/>
                    <w:rPr>
                      <w:rFonts w:cs="Times New Roman" w:hint="eastAsia"/>
                      <w:sz w:val="21"/>
                      <w:lang w:eastAsia="zh-CN"/>
                    </w:rPr>
                  </w:pPr>
                  <w:r>
                    <w:rPr>
                      <w:rFonts w:cs="Times New Roman" w:hint="eastAsia"/>
                      <w:sz w:val="21"/>
                      <w:lang w:val="en-US" w:eastAsia="zh-CN"/>
                    </w:rPr>
                    <w:t>0.683</w:t>
                  </w:r>
                </w:p>
              </w:tc>
            </w:tr>
          </w:tbl>
          <w:p>
            <w:pPr>
              <w:adjustRightInd w:val="0"/>
              <w:snapToGrid w:val="0"/>
              <w:spacing w:line="360" w:lineRule="auto"/>
              <w:ind w:firstLine="480" w:firstLineChars="200"/>
              <w:rPr>
                <w:rFonts w:hint="eastAsia"/>
                <w:sz w:val="24"/>
              </w:rPr>
            </w:pPr>
            <w:r>
              <w:rPr>
                <w:kern w:val="0"/>
                <w:sz w:val="24"/>
                <w:szCs w:val="24"/>
              </w:rPr>
              <w:t>本项目</w:t>
            </w:r>
            <w:r>
              <w:rPr>
                <w:rFonts w:hint="eastAsia"/>
                <w:kern w:val="0"/>
                <w:sz w:val="24"/>
                <w:szCs w:val="24"/>
              </w:rPr>
              <w:t>员工餐厅及餐饮业等安装有灶头的场所均</w:t>
            </w:r>
            <w:r>
              <w:rPr>
                <w:kern w:val="0"/>
                <w:sz w:val="24"/>
                <w:szCs w:val="24"/>
              </w:rPr>
              <w:t>须按照国家关于《饮食业油烟排放标准（试行）》</w:t>
            </w:r>
            <w:r>
              <w:rPr>
                <w:rFonts w:hint="eastAsia"/>
                <w:kern w:val="0"/>
                <w:sz w:val="24"/>
                <w:szCs w:val="24"/>
              </w:rPr>
              <w:t>（</w:t>
            </w:r>
            <w:r>
              <w:rPr>
                <w:kern w:val="0"/>
                <w:sz w:val="24"/>
                <w:szCs w:val="24"/>
              </w:rPr>
              <w:t>GB18483-2001</w:t>
            </w:r>
            <w:r>
              <w:rPr>
                <w:rFonts w:hint="eastAsia"/>
                <w:kern w:val="0"/>
                <w:sz w:val="24"/>
                <w:szCs w:val="24"/>
              </w:rPr>
              <w:t>）</w:t>
            </w:r>
            <w:r>
              <w:rPr>
                <w:kern w:val="0"/>
                <w:sz w:val="24"/>
                <w:szCs w:val="24"/>
              </w:rPr>
              <w:t>要求，</w:t>
            </w:r>
            <w:r>
              <w:rPr>
                <w:rFonts w:hint="eastAsia"/>
                <w:kern w:val="0"/>
                <w:sz w:val="24"/>
                <w:szCs w:val="24"/>
              </w:rPr>
              <w:t>分别根据其餐饮业规模安装高效</w:t>
            </w:r>
            <w:r>
              <w:rPr>
                <w:kern w:val="0"/>
                <w:sz w:val="24"/>
                <w:szCs w:val="24"/>
              </w:rPr>
              <w:t>油烟净化装置（油烟去除效率为</w:t>
            </w:r>
            <w:r>
              <w:rPr>
                <w:rFonts w:hint="eastAsia"/>
                <w:kern w:val="0"/>
                <w:sz w:val="24"/>
                <w:szCs w:val="24"/>
              </w:rPr>
              <w:t>85</w:t>
            </w:r>
            <w:r>
              <w:rPr>
                <w:kern w:val="0"/>
                <w:sz w:val="24"/>
                <w:szCs w:val="24"/>
              </w:rPr>
              <w:t>%</w:t>
            </w:r>
            <w:r>
              <w:rPr>
                <w:rFonts w:hint="eastAsia"/>
                <w:kern w:val="0"/>
                <w:sz w:val="24"/>
                <w:szCs w:val="24"/>
              </w:rPr>
              <w:t>以上</w:t>
            </w:r>
            <w:r>
              <w:rPr>
                <w:kern w:val="0"/>
                <w:sz w:val="24"/>
                <w:szCs w:val="24"/>
              </w:rPr>
              <w:t>）</w:t>
            </w:r>
            <w:r>
              <w:rPr>
                <w:rFonts w:hint="eastAsia"/>
                <w:kern w:val="0"/>
                <w:sz w:val="24"/>
                <w:szCs w:val="24"/>
              </w:rPr>
              <w:t>进行处理，并使</w:t>
            </w:r>
            <w:r>
              <w:rPr>
                <w:kern w:val="0"/>
                <w:sz w:val="24"/>
                <w:szCs w:val="24"/>
              </w:rPr>
              <w:t>净化处理后</w:t>
            </w:r>
            <w:r>
              <w:rPr>
                <w:rFonts w:hint="eastAsia"/>
                <w:kern w:val="0"/>
                <w:sz w:val="24"/>
                <w:szCs w:val="24"/>
              </w:rPr>
              <w:t>的油烟废气引至</w:t>
            </w:r>
            <w:r>
              <w:rPr>
                <w:rFonts w:hint="eastAsia"/>
                <w:sz w:val="24"/>
                <w:szCs w:val="24"/>
              </w:rPr>
              <w:t>屋顶空中排放</w:t>
            </w:r>
            <w:r>
              <w:rPr>
                <w:kern w:val="0"/>
                <w:sz w:val="24"/>
                <w:szCs w:val="24"/>
              </w:rPr>
              <w:t>，</w:t>
            </w:r>
            <w:r>
              <w:rPr>
                <w:rFonts w:hint="eastAsia"/>
                <w:kern w:val="0"/>
                <w:sz w:val="24"/>
                <w:szCs w:val="24"/>
              </w:rPr>
              <w:t>则本项目油烟废气</w:t>
            </w:r>
            <w:r>
              <w:rPr>
                <w:kern w:val="0"/>
                <w:sz w:val="24"/>
                <w:szCs w:val="24"/>
              </w:rPr>
              <w:t>排放浓度为</w:t>
            </w:r>
            <w:r>
              <w:rPr>
                <w:rFonts w:hint="eastAsia"/>
                <w:kern w:val="0"/>
                <w:sz w:val="24"/>
                <w:szCs w:val="24"/>
              </w:rPr>
              <w:t>1.1</w:t>
            </w:r>
            <w:r>
              <w:rPr>
                <w:kern w:val="0"/>
                <w:sz w:val="24"/>
                <w:szCs w:val="24"/>
              </w:rPr>
              <w:t>mg/m</w:t>
            </w:r>
            <w:r>
              <w:rPr>
                <w:kern w:val="0"/>
                <w:sz w:val="24"/>
                <w:szCs w:val="24"/>
                <w:vertAlign w:val="superscript"/>
              </w:rPr>
              <w:t>3</w:t>
            </w:r>
            <w:r>
              <w:rPr>
                <w:kern w:val="0"/>
                <w:sz w:val="24"/>
                <w:szCs w:val="24"/>
              </w:rPr>
              <w:t>，排放量为</w:t>
            </w:r>
            <w:r>
              <w:rPr>
                <w:rFonts w:hint="eastAsia"/>
                <w:kern w:val="0"/>
                <w:sz w:val="24"/>
                <w:szCs w:val="24"/>
              </w:rPr>
              <w:t>0.103t/a</w:t>
            </w:r>
            <w:r>
              <w:rPr>
                <w:kern w:val="0"/>
                <w:sz w:val="24"/>
                <w:szCs w:val="24"/>
              </w:rPr>
              <w:t>。</w:t>
            </w:r>
            <w:r>
              <w:rPr>
                <w:rFonts w:hint="eastAsia"/>
                <w:kern w:val="0"/>
                <w:sz w:val="24"/>
                <w:szCs w:val="24"/>
              </w:rPr>
              <w:t>可</w:t>
            </w:r>
            <w:r>
              <w:rPr>
                <w:kern w:val="0"/>
                <w:sz w:val="24"/>
                <w:szCs w:val="24"/>
              </w:rPr>
              <w:t>满足排放烟气中油烟浓度值达到标准限值（</w:t>
            </w:r>
            <w:r>
              <w:rPr>
                <w:rFonts w:hint="eastAsia"/>
                <w:kern w:val="0"/>
                <w:sz w:val="24"/>
                <w:szCs w:val="24"/>
              </w:rPr>
              <w:t>油烟浓度</w:t>
            </w:r>
            <w:r>
              <w:rPr>
                <w:kern w:val="0"/>
                <w:sz w:val="24"/>
                <w:szCs w:val="24"/>
              </w:rPr>
              <w:t>≤2.0mg/m</w:t>
            </w:r>
            <w:r>
              <w:rPr>
                <w:kern w:val="0"/>
                <w:sz w:val="24"/>
                <w:szCs w:val="24"/>
                <w:vertAlign w:val="superscript"/>
              </w:rPr>
              <w:t>3</w:t>
            </w:r>
            <w:r>
              <w:rPr>
                <w:kern w:val="0"/>
                <w:sz w:val="24"/>
                <w:szCs w:val="24"/>
              </w:rPr>
              <w:t>）的要求。</w:t>
            </w:r>
          </w:p>
          <w:p>
            <w:pPr>
              <w:adjustRightInd w:val="0"/>
              <w:snapToGrid w:val="0"/>
              <w:spacing w:line="360" w:lineRule="auto"/>
              <w:ind w:firstLine="480" w:firstLineChars="200"/>
              <w:rPr>
                <w:b/>
                <w:sz w:val="24"/>
              </w:rPr>
            </w:pPr>
            <w:r>
              <w:rPr>
                <w:b/>
                <w:sz w:val="24"/>
              </w:rPr>
              <w:t>2</w:t>
            </w:r>
            <w:r>
              <w:rPr>
                <w:rFonts w:hint="eastAsia"/>
                <w:b/>
                <w:sz w:val="24"/>
              </w:rPr>
              <w:t>、</w:t>
            </w:r>
            <w:r>
              <w:rPr>
                <w:b/>
                <w:sz w:val="24"/>
              </w:rPr>
              <w:t>废水</w:t>
            </w:r>
          </w:p>
          <w:p>
            <w:pPr>
              <w:spacing w:after="0" w:line="360" w:lineRule="auto"/>
              <w:ind w:firstLine="480" w:firstLineChars="200"/>
              <w:rPr>
                <w:sz w:val="24"/>
                <w:szCs w:val="24"/>
              </w:rPr>
            </w:pPr>
            <w:r>
              <w:rPr>
                <w:sz w:val="24"/>
                <w:szCs w:val="24"/>
              </w:rPr>
              <w:t>本项目用水主要为</w:t>
            </w:r>
            <w:r>
              <w:rPr>
                <w:rFonts w:hint="eastAsia"/>
                <w:sz w:val="24"/>
                <w:szCs w:val="24"/>
              </w:rPr>
              <w:t>餐饮业、电影院及其他商业用水，员工生活用水、空调用水和绿化用水，</w:t>
            </w:r>
            <w:r>
              <w:rPr>
                <w:sz w:val="24"/>
                <w:szCs w:val="24"/>
              </w:rPr>
              <w:t>根据建设单位提供资料及</w:t>
            </w:r>
            <w:r>
              <w:rPr>
                <w:rFonts w:hint="eastAsia"/>
                <w:sz w:val="24"/>
                <w:szCs w:val="24"/>
              </w:rPr>
              <w:t>参考</w:t>
            </w:r>
            <w:r>
              <w:rPr>
                <w:sz w:val="24"/>
                <w:szCs w:val="24"/>
              </w:rPr>
              <w:t>《</w:t>
            </w:r>
            <w:r>
              <w:rPr>
                <w:rFonts w:hint="eastAsia"/>
                <w:sz w:val="24"/>
                <w:szCs w:val="24"/>
              </w:rPr>
              <w:t>江西省城市生活</w:t>
            </w:r>
            <w:r>
              <w:rPr>
                <w:sz w:val="24"/>
                <w:szCs w:val="24"/>
              </w:rPr>
              <w:t>用水定额》</w:t>
            </w:r>
            <w:r>
              <w:rPr>
                <w:rFonts w:hint="eastAsia"/>
                <w:sz w:val="24"/>
                <w:szCs w:val="24"/>
              </w:rPr>
              <w:t>（</w:t>
            </w:r>
            <w:r>
              <w:rPr>
                <w:sz w:val="24"/>
              </w:rPr>
              <w:t>DB36/T419-2011</w:t>
            </w:r>
            <w:r>
              <w:rPr>
                <w:rFonts w:hint="eastAsia"/>
                <w:sz w:val="24"/>
              </w:rPr>
              <w:t>）</w:t>
            </w:r>
            <w:r>
              <w:rPr>
                <w:rFonts w:hint="eastAsia"/>
                <w:sz w:val="24"/>
                <w:szCs w:val="24"/>
              </w:rPr>
              <w:t>，</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4" w:history="1">
        <w:r>
          <w:rPr>
            <w:rFonts w:ascii="SimSun" w:eastAsia="SimSun" w:hAnsi="SimSun" w:cs="SimSun"/>
            <w:b/>
            <w:bCs/>
            <w:color w:val="0000EE"/>
            <w:kern w:val="0"/>
            <w:sz w:val="30"/>
            <w:szCs w:val="30"/>
            <w:u w:val="single" w:color="0000EE"/>
          </w:rPr>
          <w:t>https://d.book118.com/766142003104010052</w:t>
        </w:r>
      </w:hyperlink>
    </w:p>
    <w:p/>
    <w:sectPr>
      <w:footerReference w:type="even" r:id="rId85"/>
      <w:footerReference w:type="default" r:id="rId86"/>
      <w:footerReference w:type="first" r:id="rId87"/>
      <w:type w:val="nextPage"/>
      <w:pgSz w:w="11906" w:h="16838"/>
      <w:pgMar w:top="1134" w:right="1418" w:bottom="1134" w:left="1418" w:header="851" w:footer="992" w:gutter="0"/>
      <w:pgNumType w:start="25"/>
      <w:cols w:space="708"/>
      <w:titlePg w:val="0"/>
      <w:docGrid w:type="linesAndChars"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楷体_GB2312">
    <w:altName w:val="楷体"/>
    <w:panose1 w:val="02010609030101010101"/>
    <w:charset w:val="86"/>
    <w:family w:val="modern"/>
    <w:pitch w:val="default"/>
    <w:sig w:usb0="00000001" w:usb1="080E0000" w:usb2="00000010" w:usb3="00000000" w:csb0="00040000"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1" w:usb1="080E0000" w:usb2="00000010" w:usb3="00000000" w:csb0="00040000" w:csb1="00000000"/>
  </w:font>
  <w:font w:name="Tahoma">
    <w:panose1 w:val="020B0604030504040204"/>
    <w:charset w:val="00"/>
    <w:family w:val="swiss"/>
    <w:pitch w:val="default"/>
    <w:sig w:usb0="E1002EFF" w:usb1="C000605B" w:usb2="00000029" w:usb3="00000000" w:csb0="200101FF" w:csb1="20280000"/>
  </w:font>
  <w:font w:name="仿宋体">
    <w:altName w:val="宋体"/>
    <w:panose1 w:val="00000000000000000000"/>
    <w:charset w:val="86"/>
    <w:family w:val="roman"/>
    <w:pitch w:val="default"/>
    <w:sig w:usb0="00000001" w:usb1="080E0000" w:usb2="00000010" w:usb3="00000000" w:csb0="00040000" w:csb1="00000000"/>
  </w:font>
  <w:font w:name="汉鼎简书宋">
    <w:altName w:val="宋体"/>
    <w:panose1 w:val="00000000000000000000"/>
    <w:charset w:val="86"/>
    <w:family w:val="modern"/>
    <w:pitch w:val="default"/>
    <w:sig w:usb0="00000001" w:usb1="080E0000" w:usb2="00000010" w:usb3="00000000" w:csb0="00040000" w:csb1="00000000"/>
  </w:font>
  <w:font w:name="Impact">
    <w:panose1 w:val="020B0806030902050204"/>
    <w:charset w:val="00"/>
    <w:family w:val="swiss"/>
    <w:pitch w:val="default"/>
    <w:sig w:usb0="00000287" w:usb1="00000000" w:usb2="00000000" w:usb3="00000000" w:csb0="2000009F" w:csb1="DFD70000"/>
  </w:font>
  <w:font w:name="隶书">
    <w:panose1 w:val="0201050906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55</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w:t>
    </w:r>
    <w: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w:t>
    </w:r>
    <w: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6</w:t>
    </w:r>
    <w: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6</w:t>
    </w:r>
    <w: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7</w:t>
    </w:r>
    <w: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8</w:t>
    </w:r>
    <w: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9</w:t>
    </w:r>
    <w: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11</w:t>
    </w:r>
    <w: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11</w:t>
    </w:r>
    <w:r>
      <w:fldChar w:fldCharType="end"/>
    </w:r>
  </w:p>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13</w:t>
    </w:r>
    <w: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13</w:t>
    </w:r>
    <w:r>
      <w:fldChar w:fldCharType="end"/>
    </w:r>
  </w:p>
  <w:p>
    <w:pPr>
      <w:pStyle w:val="Footer"/>
      <w:tabs>
        <w:tab w:val="center" w:pos="4153"/>
        <w:tab w:val="right" w:pos="8306"/>
      </w:tabs>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14</w:t>
    </w:r>
    <w:r>
      <w:fldChar w:fldCharType="end"/>
    </w:r>
  </w:p>
  <w:p>
    <w:pPr>
      <w:pStyle w:val="Footer"/>
      <w:tabs>
        <w:tab w:val="center" w:pos="4153"/>
        <w:tab w:val="right" w:pos="8306"/>
      </w:tabs>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15</w:t>
    </w:r>
    <w:r>
      <w:fldChar w:fldCharType="end"/>
    </w:r>
  </w:p>
  <w:p>
    <w:pPr>
      <w:pStyle w:val="Footer"/>
      <w:tabs>
        <w:tab w:val="center" w:pos="4153"/>
        <w:tab w:val="right" w:pos="8306"/>
      </w:tabs>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16</w:t>
    </w:r>
    <w:r>
      <w:fldChar w:fldCharType="end"/>
    </w:r>
  </w:p>
  <w:p>
    <w:pPr>
      <w:pStyle w:val="Footer"/>
      <w:tabs>
        <w:tab w:val="center" w:pos="4153"/>
        <w:tab w:val="right" w:pos="8306"/>
      </w:tabs>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17</w:t>
    </w:r>
    <w:r>
      <w:fldChar w:fldCharType="end"/>
    </w:r>
  </w:p>
  <w:p>
    <w:pPr>
      <w:pStyle w:val="Footer"/>
      <w:tabs>
        <w:tab w:val="center" w:pos="4153"/>
        <w:tab w:val="right" w:pos="8306"/>
      </w:tabs>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18</w:t>
    </w:r>
    <w:r>
      <w:fldChar w:fldCharType="end"/>
    </w:r>
  </w:p>
  <w:p>
    <w:pPr>
      <w:pStyle w:val="Footer"/>
      <w:tabs>
        <w:tab w:val="center" w:pos="4153"/>
        <w:tab w:val="right" w:pos="8306"/>
      </w:tabs>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19</w:t>
    </w:r>
    <w:r>
      <w:fldChar w:fldCharType="end"/>
    </w:r>
  </w:p>
  <w:p>
    <w:pPr>
      <w:pStyle w:val="Footer"/>
      <w:tabs>
        <w:tab w:val="center" w:pos="4153"/>
        <w:tab w:val="right" w:pos="8306"/>
      </w:tabs>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20</w:t>
    </w:r>
    <w:r>
      <w:fldChar w:fldCharType="end"/>
    </w:r>
  </w:p>
  <w:p>
    <w:pPr>
      <w:pStyle w:val="Footer"/>
      <w:tabs>
        <w:tab w:val="center" w:pos="4153"/>
        <w:tab w:val="right" w:pos="8306"/>
      </w:tabs>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22</w:t>
    </w:r>
    <w:r>
      <w:fldChar w:fldCharType="end"/>
    </w:r>
  </w:p>
  <w:p>
    <w:pPr>
      <w:pStyle w:val="Footer"/>
      <w:tabs>
        <w:tab w:val="center" w:pos="4153"/>
        <w:tab w:val="right" w:pos="8306"/>
      </w:tabs>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22</w:t>
    </w:r>
    <w:r>
      <w:fldChar w:fldCharType="end"/>
    </w:r>
  </w:p>
  <w:p>
    <w:pPr>
      <w:pStyle w:val="Footer"/>
      <w:tabs>
        <w:tab w:val="center" w:pos="4153"/>
        <w:tab w:val="right" w:pos="8306"/>
      </w:tabs>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24</w:t>
    </w:r>
    <w:r>
      <w:fldChar w:fldCharType="end"/>
    </w:r>
  </w:p>
  <w:p>
    <w:pPr>
      <w:pStyle w:val="Footer"/>
      <w:tabs>
        <w:tab w:val="center" w:pos="4153"/>
        <w:tab w:val="right" w:pos="8306"/>
      </w:tabs>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24</w:t>
    </w:r>
    <w:r>
      <w:fldChar w:fldCharType="end"/>
    </w:r>
  </w:p>
  <w:p>
    <w:pPr>
      <w:pStyle w:val="Footer"/>
      <w:tabs>
        <w:tab w:val="center" w:pos="4153"/>
        <w:tab w:val="right" w:pos="8306"/>
      </w:tabs>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26</w:t>
    </w:r>
    <w:r>
      <w:fldChar w:fldCharType="end"/>
    </w:r>
  </w:p>
  <w:p>
    <w:pPr>
      <w:pStyle w:val="Footer"/>
      <w:tabs>
        <w:tab w:val="center" w:pos="4153"/>
        <w:tab w:val="right" w:pos="8306"/>
      </w:tabs>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2C847B"/>
    <w:multiLevelType w:val="singleLevel"/>
    <w:tmpl w:val="552C847B"/>
    <w:lvl w:ilvl="0">
      <w:start w:val="1"/>
      <w:numFmt w:val="chineseCounting"/>
      <w:suff w:val="nothing"/>
      <w:lvlText w:val="%1、"/>
      <w:lvlJc w:val="left"/>
    </w:lvl>
  </w:abstractNum>
  <w:abstractNum w:abstractNumId="1">
    <w:nsid w:val="5534C101"/>
    <w:multiLevelType w:val="singleLevel"/>
    <w:tmpl w:val="5534C101"/>
    <w:lvl w:ilvl="0">
      <w:start w:val="1"/>
      <w:numFmt w:val="chineseCounting"/>
      <w:suff w:val="nothing"/>
      <w:lvlText w:val="%1、"/>
      <w:lvlJc w:val="left"/>
    </w:lvl>
  </w:abstractNum>
  <w:abstractNum w:abstractNumId="2">
    <w:nsid w:val="55521C1C"/>
    <w:multiLevelType w:val="singleLevel"/>
    <w:tmpl w:val="55521C1C"/>
    <w:lvl w:ilvl="0">
      <w:start w:val="3"/>
      <w:numFmt w:val="decimal"/>
      <w:suff w:val="nothing"/>
      <w:lvlText w:val="%1、"/>
      <w:lvlJc w:val="left"/>
    </w:lvl>
  </w:abstractNum>
  <w:abstractNum w:abstractNumId="3">
    <w:nsid w:val="555401DF"/>
    <w:multiLevelType w:val="singleLevel"/>
    <w:tmpl w:val="555401DF"/>
    <w:lvl w:ilvl="0">
      <w:start w:val="4"/>
      <w:numFmt w:val="chineseCounting"/>
      <w:suff w:val="nothing"/>
      <w:lvlText w:val="%1、"/>
      <w:lvlJc w:val="left"/>
    </w:lvl>
  </w:abstractNum>
  <w:abstractNum w:abstractNumId="4">
    <w:nsid w:val="55A066C2"/>
    <w:multiLevelType w:val="singleLevel"/>
    <w:tmpl w:val="55A066C2"/>
    <w:lvl w:ilvl="0">
      <w:start w:val="2"/>
      <w:numFmt w:val="chineseCounting"/>
      <w:suff w:val="nothing"/>
      <w:lvlText w:val="%1、"/>
      <w:lvlJc w:val="left"/>
    </w:lvl>
  </w:abstractNum>
  <w:abstractNum w:abstractNumId="5">
    <w:nsid w:val="55AE7755"/>
    <w:multiLevelType w:val="singleLevel"/>
    <w:tmpl w:val="55AE7755"/>
    <w:lvl w:ilvl="0">
      <w:start w:val="8"/>
      <w:numFmt w:val="decimal"/>
      <w:suff w:val="nothing"/>
      <w:lvlText w:val="%1、"/>
      <w:lvlJc w:val="left"/>
    </w:lvl>
  </w:abstractNum>
  <w:abstractNum w:abstractNumId="6">
    <w:nsid w:val="55CB6569"/>
    <w:multiLevelType w:val="singleLevel"/>
    <w:tmpl w:val="55CB6569"/>
    <w:lvl w:ilvl="0">
      <w:start w:val="4"/>
      <w:numFmt w:val="decimal"/>
      <w:suff w:val="nothing"/>
      <w:lvlText w:val="（%1）"/>
      <w:lvlJc w:val="left"/>
    </w:lvl>
  </w:abstractNum>
  <w:abstractNum w:abstractNumId="7">
    <w:nsid w:val="55CB74F7"/>
    <w:multiLevelType w:val="singleLevel"/>
    <w:tmpl w:val="55CB74F7"/>
    <w:lvl w:ilvl="0">
      <w:start w:val="1"/>
      <w:numFmt w:val="decimal"/>
      <w:suff w:val="nothing"/>
      <w:lvlText w:val="（%1）"/>
      <w:lvlJc w:val="left"/>
    </w:lvl>
  </w:abstractNum>
  <w:num w:numId="1">
    <w:abstractNumId w:val="4"/>
  </w:num>
  <w:num w:numId="2">
    <w:abstractNumId w:val="2"/>
  </w:num>
  <w:num w:numId="3">
    <w:abstractNumId w:val="1"/>
  </w:num>
  <w:num w:numId="4">
    <w:abstractNumId w:val="3"/>
  </w:num>
  <w:num w:numId="5">
    <w:abstractNumId w:val="7"/>
  </w:num>
  <w:num w:numId="6">
    <w:abstractNumId w:val="6"/>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displayBackgroundShape/>
  <w:bordersDoNotSurroundHeader/>
  <w:bordersDoNotSurroundFooter/>
  <w:stylePaneFormatFilter w:val="3F01"/>
  <w:defaultTabStop w:val="420"/>
  <w:drawingGridHorizontalSpacing w:val="140"/>
  <w:drawingGridVerticalSpacing w:val="381"/>
  <w:displayHorizontalDrawingGridEvery w:val="0"/>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17"/>
    <w:rsid w:val="000017D0"/>
    <w:rsid w:val="00042F92"/>
    <w:rsid w:val="000767BA"/>
    <w:rsid w:val="000B1251"/>
    <w:rsid w:val="000D1E43"/>
    <w:rsid w:val="000E23FF"/>
    <w:rsid w:val="000E4A77"/>
    <w:rsid w:val="000F4071"/>
    <w:rsid w:val="000F5822"/>
    <w:rsid w:val="001013A6"/>
    <w:rsid w:val="00171144"/>
    <w:rsid w:val="001A6239"/>
    <w:rsid w:val="001F6513"/>
    <w:rsid w:val="00257B8B"/>
    <w:rsid w:val="0027782A"/>
    <w:rsid w:val="00287201"/>
    <w:rsid w:val="002A60B9"/>
    <w:rsid w:val="002D1D2A"/>
    <w:rsid w:val="002E0204"/>
    <w:rsid w:val="002F2A50"/>
    <w:rsid w:val="00331A4F"/>
    <w:rsid w:val="00351618"/>
    <w:rsid w:val="0036350B"/>
    <w:rsid w:val="00384CE1"/>
    <w:rsid w:val="003E70DB"/>
    <w:rsid w:val="00402D67"/>
    <w:rsid w:val="00436669"/>
    <w:rsid w:val="004B6A79"/>
    <w:rsid w:val="004D080F"/>
    <w:rsid w:val="00556DD0"/>
    <w:rsid w:val="00581721"/>
    <w:rsid w:val="005A1D89"/>
    <w:rsid w:val="005C7791"/>
    <w:rsid w:val="005D148C"/>
    <w:rsid w:val="005E363E"/>
    <w:rsid w:val="006274BC"/>
    <w:rsid w:val="00651211"/>
    <w:rsid w:val="006531C4"/>
    <w:rsid w:val="0066612B"/>
    <w:rsid w:val="00670B35"/>
    <w:rsid w:val="007202A0"/>
    <w:rsid w:val="00754F52"/>
    <w:rsid w:val="0078092F"/>
    <w:rsid w:val="00794B35"/>
    <w:rsid w:val="008009DD"/>
    <w:rsid w:val="00810029"/>
    <w:rsid w:val="00815BB4"/>
    <w:rsid w:val="008336B9"/>
    <w:rsid w:val="008451E6"/>
    <w:rsid w:val="008C1A51"/>
    <w:rsid w:val="008E5B91"/>
    <w:rsid w:val="00932FC1"/>
    <w:rsid w:val="00955132"/>
    <w:rsid w:val="0096782C"/>
    <w:rsid w:val="009A0A70"/>
    <w:rsid w:val="009C0BA7"/>
    <w:rsid w:val="009D6C00"/>
    <w:rsid w:val="009E4D17"/>
    <w:rsid w:val="00A00249"/>
    <w:rsid w:val="00A55DA6"/>
    <w:rsid w:val="00A5791A"/>
    <w:rsid w:val="00A62BFF"/>
    <w:rsid w:val="00A63718"/>
    <w:rsid w:val="00A66CB3"/>
    <w:rsid w:val="00AA739B"/>
    <w:rsid w:val="00AF7B5F"/>
    <w:rsid w:val="00B642FA"/>
    <w:rsid w:val="00B8295A"/>
    <w:rsid w:val="00BB2A9B"/>
    <w:rsid w:val="00BF0CF5"/>
    <w:rsid w:val="00BF5C4C"/>
    <w:rsid w:val="00C1734E"/>
    <w:rsid w:val="00C546FF"/>
    <w:rsid w:val="00C7564B"/>
    <w:rsid w:val="00CA1D8F"/>
    <w:rsid w:val="00CB01F8"/>
    <w:rsid w:val="00CC0E64"/>
    <w:rsid w:val="00CD36CE"/>
    <w:rsid w:val="00CD6430"/>
    <w:rsid w:val="00D36642"/>
    <w:rsid w:val="00D52CC4"/>
    <w:rsid w:val="00D6439C"/>
    <w:rsid w:val="00DA183E"/>
    <w:rsid w:val="00DC1C05"/>
    <w:rsid w:val="00DD2F76"/>
    <w:rsid w:val="00DF6186"/>
    <w:rsid w:val="00E6555A"/>
    <w:rsid w:val="00E8358C"/>
    <w:rsid w:val="00EC731B"/>
    <w:rsid w:val="00EF3F07"/>
    <w:rsid w:val="00F14337"/>
    <w:rsid w:val="00F326F8"/>
    <w:rsid w:val="00F34B72"/>
    <w:rsid w:val="00F56E26"/>
    <w:rsid w:val="00F84DEE"/>
    <w:rsid w:val="00F91BB5"/>
    <w:rsid w:val="00FF1B59"/>
    <w:rsid w:val="03FA37B6"/>
    <w:rsid w:val="0AFD1EA0"/>
    <w:rsid w:val="10863DC5"/>
    <w:rsid w:val="1196761A"/>
    <w:rsid w:val="12A475E8"/>
    <w:rsid w:val="154C538C"/>
    <w:rsid w:val="15E065D4"/>
    <w:rsid w:val="1A3A420C"/>
    <w:rsid w:val="1D940B81"/>
    <w:rsid w:val="20B873D8"/>
    <w:rsid w:val="20B9736F"/>
    <w:rsid w:val="264C1DD5"/>
    <w:rsid w:val="28CD15D1"/>
    <w:rsid w:val="2B372E41"/>
    <w:rsid w:val="2E07537B"/>
    <w:rsid w:val="2E467F71"/>
    <w:rsid w:val="2F062088"/>
    <w:rsid w:val="319A184D"/>
    <w:rsid w:val="32D46E67"/>
    <w:rsid w:val="330703D8"/>
    <w:rsid w:val="34664BFC"/>
    <w:rsid w:val="36D05CCA"/>
    <w:rsid w:val="3723306F"/>
    <w:rsid w:val="38A5612A"/>
    <w:rsid w:val="38DA219C"/>
    <w:rsid w:val="39D01F8B"/>
    <w:rsid w:val="3AA730CD"/>
    <w:rsid w:val="3BEC20CF"/>
    <w:rsid w:val="3EF9251E"/>
    <w:rsid w:val="3EFA527A"/>
    <w:rsid w:val="3F62654C"/>
    <w:rsid w:val="42C207A4"/>
    <w:rsid w:val="44C251D2"/>
    <w:rsid w:val="47E31DF3"/>
    <w:rsid w:val="4A857F2C"/>
    <w:rsid w:val="50A42E31"/>
    <w:rsid w:val="51556F16"/>
    <w:rsid w:val="53311DBA"/>
    <w:rsid w:val="53350B7C"/>
    <w:rsid w:val="5518308D"/>
    <w:rsid w:val="577F2B64"/>
    <w:rsid w:val="5B013741"/>
    <w:rsid w:val="5BFE5EED"/>
    <w:rsid w:val="5C441D01"/>
    <w:rsid w:val="5C5B42F7"/>
    <w:rsid w:val="5CE45033"/>
    <w:rsid w:val="5FA074AB"/>
    <w:rsid w:val="605C1372"/>
    <w:rsid w:val="60DE1CA4"/>
    <w:rsid w:val="62EA5603"/>
    <w:rsid w:val="63B42397"/>
    <w:rsid w:val="63BC042F"/>
    <w:rsid w:val="6866124B"/>
    <w:rsid w:val="68DB6E39"/>
    <w:rsid w:val="6A572DEC"/>
    <w:rsid w:val="6B4E4A09"/>
    <w:rsid w:val="7205202F"/>
    <w:rsid w:val="726D7B33"/>
    <w:rsid w:val="72E45736"/>
    <w:rsid w:val="77E64D70"/>
    <w:rsid w:val="78813A63"/>
    <w:rsid w:val="79B40AC9"/>
    <w:rsid w:val="7D5C54F4"/>
    <w:rsid w:val="7EAC1C47"/>
    <w:rsid w:val="7FC80DD0"/>
  </w:rsids>
  <w:docVars>
    <w:docVar w:name="commondata" w:val="eyJoZGlkIjoiOWI5MmEzNDM0ODI0OGFmMzM3MmU2Y2M5Y2JkMmZkODY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uiPriority="0" w:unhideWhenUsed="0"/>
    <w:lsdException w:name="Balloon Text"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8"/>
      <w:lang w:val="en-US" w:eastAsia="zh-CN" w:bidi="ar-SA"/>
    </w:rPr>
  </w:style>
  <w:style w:type="paragraph" w:styleId="Heading3">
    <w:name w:val="heading 3"/>
    <w:basedOn w:val="Normal"/>
    <w:next w:val="Normal"/>
    <w:qFormat/>
    <w:pPr>
      <w:keepNext/>
      <w:jc w:val="center"/>
      <w:outlineLvl w:val="2"/>
    </w:pPr>
    <w:rPr>
      <w:sz w:val="30"/>
      <w:szCs w:val="24"/>
    </w:rPr>
  </w:style>
  <w:style w:type="paragraph" w:styleId="Heading4">
    <w:name w:val="heading 4"/>
    <w:basedOn w:val="Normal"/>
    <w:next w:val="Normal"/>
    <w:qFormat/>
    <w:pPr>
      <w:keepNext/>
      <w:adjustRightInd w:val="0"/>
      <w:snapToGrid w:val="0"/>
      <w:spacing w:line="560" w:lineRule="atLeast"/>
      <w:outlineLvl w:val="3"/>
    </w:pPr>
    <w:rPr>
      <w:rFonts w:ascii="宋体" w:hAnsi="宋体"/>
      <w:szCs w:val="24"/>
    </w:rPr>
  </w:style>
  <w:style w:type="paragraph" w:styleId="Heading5">
    <w:name w:val="heading 5"/>
    <w:basedOn w:val="Normal"/>
    <w:next w:val="Normal"/>
    <w:qFormat/>
    <w:pPr>
      <w:keepNext/>
      <w:adjustRightInd w:val="0"/>
      <w:snapToGrid w:val="0"/>
      <w:spacing w:line="560" w:lineRule="atLeast"/>
      <w:outlineLvl w:val="4"/>
    </w:pPr>
    <w:rPr>
      <w:rFonts w:ascii="楷体_GB2312" w:eastAsia="楷体_GB2312" w:hAnsi="宋体"/>
      <w:sz w:val="24"/>
      <w:szCs w:val="24"/>
    </w:rPr>
  </w:style>
  <w:style w:type="character" w:default="1" w:styleId="DefaultParagraphFont">
    <w:name w:val="Default Paragraph Font"/>
    <w:link w:val="CharCharCharChar"/>
    <w:semiHidden/>
    <w:rPr>
      <w:sz w:val="21"/>
      <w:szCs w:val="24"/>
    </w:rPr>
  </w:style>
  <w:style w:type="table" w:default="1" w:styleId="TableNormal">
    <w:name w:val="Normal Table"/>
    <w:uiPriority w:val="99"/>
    <w:unhideWhenUsed/>
    <w:tblPr>
      <w:tblCellMar>
        <w:top w:w="0" w:type="dxa"/>
        <w:left w:w="108" w:type="dxa"/>
        <w:bottom w:w="0" w:type="dxa"/>
        <w:right w:w="108" w:type="dxa"/>
      </w:tblCellMar>
    </w:tblPr>
  </w:style>
  <w:style w:type="paragraph" w:styleId="NormalIndent">
    <w:name w:val="Normal Indent"/>
    <w:basedOn w:val="Normal"/>
    <w:link w:val="Char"/>
    <w:pPr>
      <w:widowControl/>
      <w:spacing w:before="100" w:beforeLines="0" w:beforeAutospacing="1" w:after="100" w:afterLines="0" w:afterAutospacing="1"/>
      <w:jc w:val="left"/>
    </w:pPr>
    <w:rPr>
      <w:rFonts w:ascii="宋体" w:hAnsi="宋体" w:hint="eastAsia"/>
      <w:kern w:val="0"/>
      <w:sz w:val="24"/>
      <w:szCs w:val="24"/>
    </w:rPr>
  </w:style>
  <w:style w:type="character" w:customStyle="1" w:styleId="Char">
    <w:name w:val="正文缩进 Char"/>
    <w:link w:val="NormalIndent"/>
    <w:rPr>
      <w:rFonts w:ascii="宋体" w:eastAsia="宋体" w:hAnsi="宋体"/>
      <w:sz w:val="24"/>
      <w:szCs w:val="24"/>
      <w:lang w:val="en-US" w:eastAsia="zh-CN" w:bidi="ar-SA"/>
    </w:rPr>
  </w:style>
  <w:style w:type="paragraph" w:styleId="Caption">
    <w:name w:val="caption"/>
    <w:basedOn w:val="Normal"/>
    <w:next w:val="Normal"/>
    <w:qFormat/>
    <w:rPr>
      <w:rFonts w:ascii="Arial" w:eastAsia="黑体" w:hAnsi="Arial" w:cs="Arial"/>
      <w:sz w:val="20"/>
    </w:rPr>
  </w:style>
  <w:style w:type="paragraph" w:styleId="DocumentMap">
    <w:name w:val="Document Map"/>
    <w:basedOn w:val="Normal"/>
    <w:semiHidden/>
    <w:pPr>
      <w:shd w:val="clear" w:color="auto" w:fill="000080"/>
    </w:pPr>
  </w:style>
  <w:style w:type="paragraph" w:styleId="CommentText">
    <w:name w:val="annotation text"/>
    <w:basedOn w:val="Normal"/>
    <w:semiHidden/>
    <w:pPr>
      <w:jc w:val="left"/>
    </w:pPr>
  </w:style>
  <w:style w:type="paragraph" w:styleId="BodyText3">
    <w:name w:val="Body Text 3"/>
    <w:basedOn w:val="Normal"/>
    <w:pPr>
      <w:spacing w:after="120" w:afterLines="0"/>
    </w:pPr>
    <w:rPr>
      <w:sz w:val="16"/>
      <w:szCs w:val="16"/>
    </w:rPr>
  </w:style>
  <w:style w:type="paragraph" w:styleId="BodyText">
    <w:name w:val="Body Text"/>
    <w:basedOn w:val="Normal"/>
    <w:pPr>
      <w:spacing w:after="120" w:afterLines="0"/>
    </w:pPr>
  </w:style>
  <w:style w:type="paragraph" w:styleId="BodyTextIndent">
    <w:name w:val="Body Text Indent"/>
    <w:basedOn w:val="Normal"/>
    <w:pPr>
      <w:spacing w:before="100" w:beforeLines="0" w:beforeAutospacing="1" w:after="100" w:afterLines="0" w:afterAutospacing="1" w:line="360" w:lineRule="auto"/>
      <w:ind w:firstLine="868" w:firstLineChars="310"/>
    </w:pPr>
  </w:style>
  <w:style w:type="paragraph" w:styleId="PlainText">
    <w:name w:val="Plain Text"/>
    <w:basedOn w:val="Normal"/>
    <w:link w:val="Char0"/>
    <w:pPr>
      <w:widowControl/>
      <w:spacing w:before="100" w:beforeLines="0" w:beforeAutospacing="1" w:after="100" w:afterLines="0" w:afterAutospacing="1"/>
      <w:jc w:val="left"/>
    </w:pPr>
    <w:rPr>
      <w:rFonts w:ascii="宋体" w:hAnsi="宋体"/>
      <w:kern w:val="0"/>
      <w:sz w:val="24"/>
      <w:szCs w:val="24"/>
    </w:rPr>
  </w:style>
  <w:style w:type="character" w:customStyle="1" w:styleId="Char0">
    <w:name w:val="纯文本 Char"/>
    <w:link w:val="PlainText"/>
    <w:rPr>
      <w:rFonts w:ascii="宋体" w:eastAsia="宋体" w:hAnsi="宋体"/>
      <w:sz w:val="24"/>
      <w:szCs w:val="24"/>
      <w:lang w:val="en-US" w:eastAsia="zh-CN" w:bidi="ar-SA"/>
    </w:rPr>
  </w:style>
  <w:style w:type="paragraph" w:styleId="BodyTextIndent2">
    <w:name w:val="Body Text Indent 2"/>
    <w:basedOn w:val="Normal"/>
    <w:link w:val="2Char"/>
    <w:pPr>
      <w:adjustRightInd w:val="0"/>
      <w:snapToGrid w:val="0"/>
      <w:spacing w:before="50" w:beforeLines="0" w:after="50" w:afterLines="0" w:line="312" w:lineRule="auto"/>
      <w:ind w:firstLine="585" w:firstLineChars="209"/>
    </w:pPr>
    <w:rPr>
      <w:rFonts w:ascii="宋体" w:hAnsi="宋体"/>
    </w:rPr>
  </w:style>
  <w:style w:type="character" w:customStyle="1" w:styleId="2Char">
    <w:name w:val="正文文本缩进 2 Char"/>
    <w:link w:val="BodyTextIndent2"/>
    <w:rPr>
      <w:rFonts w:ascii="宋体" w:hAnsi="宋体"/>
      <w:kern w:val="2"/>
      <w:sz w:val="28"/>
      <w:szCs w:val="24"/>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Indent3">
    <w:name w:val="Body Text Indent 3"/>
    <w:basedOn w:val="Normal"/>
    <w:pPr>
      <w:adjustRightInd w:val="0"/>
      <w:snapToGrid w:val="0"/>
      <w:spacing w:before="50" w:beforeLines="0" w:after="50" w:afterLines="0" w:line="500" w:lineRule="exact"/>
      <w:ind w:firstLine="434" w:firstLineChars="155"/>
    </w:pPr>
    <w:rPr>
      <w:rFonts w:ascii="宋体" w:hAnsi="宋体"/>
    </w:rPr>
  </w:style>
  <w:style w:type="paragraph" w:styleId="HTMLPreformatted">
    <w:name w:val="HTML Preformatted"/>
    <w:basedOn w:val="Normal"/>
    <w:link w:val="HTML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customStyle="1" w:styleId="HTMLChar">
    <w:name w:val="HTML 预设格式 Char"/>
    <w:link w:val="HTMLPreformatted"/>
    <w:rPr>
      <w:rFonts w:ascii="宋体" w:eastAsia="宋体" w:hAnsi="宋体" w:cs="宋体"/>
      <w:sz w:val="24"/>
      <w:szCs w:val="24"/>
      <w:lang w:val="en-US" w:eastAsia="zh-CN" w:bidi="ar-SA"/>
    </w:rPr>
  </w:style>
  <w:style w:type="paragraph" w:styleId="NormalWeb">
    <w:name w:val="Normal (Web)"/>
    <w:basedOn w:val="Normal"/>
    <w:pPr>
      <w:widowControl/>
      <w:spacing w:before="100" w:beforeLines="0" w:beforeAutospacing="1" w:after="100" w:afterLines="0" w:afterAutospacing="1"/>
      <w:jc w:val="left"/>
    </w:pPr>
    <w:rPr>
      <w:rFonts w:ascii="宋体" w:hAnsi="宋体" w:hint="eastAsia"/>
      <w:kern w:val="0"/>
      <w:sz w:val="24"/>
      <w:szCs w:val="24"/>
    </w:rPr>
  </w:style>
  <w:style w:type="paragraph" w:styleId="Index1">
    <w:name w:val="index 1"/>
    <w:basedOn w:val="Normal"/>
    <w:next w:val="Normal"/>
    <w:semiHidden/>
    <w:pPr>
      <w:tabs>
        <w:tab w:val="left" w:pos="5580"/>
      </w:tabs>
      <w:spacing w:line="280" w:lineRule="exact"/>
    </w:pPr>
    <w:rPr>
      <w:rFonts w:ascii="宋体" w:hAnsi="宋体"/>
      <w:spacing w:val="10"/>
      <w:sz w:val="21"/>
      <w:szCs w:val="24"/>
    </w:rPr>
  </w:style>
  <w:style w:type="paragraph" w:styleId="CommentSubject">
    <w:name w:val="annotation subject"/>
    <w:basedOn w:val="CommentText"/>
    <w:next w:val="CommentText"/>
    <w:semiHidden/>
    <w:rPr>
      <w:b/>
      <w:bCs/>
    </w:rPr>
  </w:style>
  <w:style w:type="paragraph" w:customStyle="1" w:styleId="CharCharCharChar">
    <w:name w:val=" Char Char Char Char"/>
    <w:basedOn w:val="Normal"/>
    <w:link w:val="DefaultParagraphFont"/>
    <w:rPr>
      <w:sz w:val="21"/>
      <w:szCs w:val="24"/>
    </w:rPr>
  </w:style>
  <w:style w:type="character" w:styleId="Strong">
    <w:name w:val="Strong"/>
    <w:qFormat/>
    <w:rPr>
      <w:b/>
      <w:bCs/>
      <w:sz w:val="21"/>
      <w:szCs w:val="24"/>
    </w:rPr>
  </w:style>
  <w:style w:type="character" w:styleId="PageNumber">
    <w:name w:val="page number"/>
    <w:basedOn w:val="DefaultParagraphFont"/>
  </w:style>
  <w:style w:type="character" w:styleId="FollowedHyperlink">
    <w:name w:val="FollowedHyperlink"/>
    <w:rPr>
      <w:color w:val="800080"/>
      <w:sz w:val="21"/>
      <w:szCs w:val="24"/>
      <w:u w:val="single"/>
    </w:rPr>
  </w:style>
  <w:style w:type="character" w:styleId="Hyperlink">
    <w:name w:val="Hyperlink"/>
    <w:rPr>
      <w:color w:val="0000FF"/>
      <w:sz w:val="21"/>
      <w:szCs w:val="24"/>
      <w:u w:val="single"/>
    </w:rPr>
  </w:style>
  <w:style w:type="character" w:styleId="CommentReference">
    <w:name w:val="annotation reference"/>
    <w:semiHidden/>
    <w:rPr>
      <w:sz w:val="21"/>
      <w:szCs w:val="21"/>
    </w:rPr>
  </w:style>
  <w:style w:type="character" w:customStyle="1" w:styleId="CharChar">
    <w:name w:val="表格正文 Char Char"/>
    <w:link w:val="Char1"/>
    <w:rPr>
      <w:rFonts w:ascii="宋体" w:eastAsia="宋体"/>
      <w:snapToGrid w:val="0"/>
      <w:spacing w:val="4"/>
      <w:sz w:val="21"/>
      <w:szCs w:val="21"/>
      <w:lang w:val="en-US" w:eastAsia="zh-CN" w:bidi="ar-SA"/>
    </w:rPr>
  </w:style>
  <w:style w:type="paragraph" w:customStyle="1" w:styleId="Char1">
    <w:name w:val="表格正文 Char"/>
    <w:basedOn w:val="Normal"/>
    <w:next w:val="Normal"/>
    <w:link w:val="CharChar"/>
    <w:pPr>
      <w:adjustRightInd w:val="0"/>
      <w:snapToGrid w:val="0"/>
      <w:jc w:val="center"/>
      <w:textAlignment w:val="baseline"/>
    </w:pPr>
    <w:rPr>
      <w:rFonts w:ascii="宋体"/>
      <w:snapToGrid w:val="0"/>
      <w:spacing w:val="4"/>
      <w:kern w:val="0"/>
      <w:sz w:val="21"/>
      <w:szCs w:val="21"/>
    </w:rPr>
  </w:style>
  <w:style w:type="character" w:customStyle="1" w:styleId="Char2">
    <w:name w:val="宋体 小四 Char"/>
    <w:link w:val="a"/>
    <w:rPr>
      <w:rFonts w:eastAsia="宋体" w:hAnsi="宋体"/>
      <w:kern w:val="2"/>
      <w:sz w:val="24"/>
      <w:szCs w:val="24"/>
      <w:lang w:val="en-US" w:eastAsia="zh-CN" w:bidi="ar-SA"/>
    </w:rPr>
  </w:style>
  <w:style w:type="paragraph" w:customStyle="1" w:styleId="a">
    <w:name w:val="宋体 小四"/>
    <w:basedOn w:val="Normal"/>
    <w:link w:val="Char2"/>
    <w:pPr>
      <w:spacing w:line="360" w:lineRule="auto"/>
      <w:ind w:firstLine="200" w:firstLineChars="200"/>
    </w:pPr>
    <w:rPr>
      <w:rFonts w:hAnsi="宋体"/>
      <w:sz w:val="24"/>
      <w:szCs w:val="24"/>
    </w:rPr>
  </w:style>
  <w:style w:type="character" w:customStyle="1" w:styleId="Char3">
    <w:name w:val="表格 Char"/>
    <w:link w:val="a0"/>
    <w:rPr>
      <w:sz w:val="24"/>
      <w:szCs w:val="24"/>
      <w:lang w:val="en-US" w:eastAsia="zh-CN" w:bidi="ar-SA"/>
    </w:rPr>
  </w:style>
  <w:style w:type="paragraph" w:customStyle="1" w:styleId="a0">
    <w:name w:val="表格"/>
    <w:basedOn w:val="Normal"/>
    <w:next w:val="Normal"/>
    <w:link w:val="Char3"/>
    <w:qFormat/>
    <w:pPr>
      <w:keepNext/>
      <w:widowControl w:val="0"/>
      <w:autoSpaceDE w:val="0"/>
      <w:autoSpaceDN w:val="0"/>
      <w:adjustRightInd w:val="0"/>
      <w:jc w:val="center"/>
      <w:textAlignment w:val="baseline"/>
    </w:pPr>
    <w:rPr>
      <w:sz w:val="24"/>
      <w:lang w:val="en-US" w:eastAsia="zh-CN" w:bidi="ar-SA"/>
    </w:rPr>
  </w:style>
  <w:style w:type="character" w:customStyle="1" w:styleId="f241">
    <w:name w:val="f241"/>
    <w:rPr>
      <w:sz w:val="36"/>
      <w:szCs w:val="36"/>
    </w:rPr>
  </w:style>
  <w:style w:type="character" w:customStyle="1" w:styleId="Char4">
    <w:name w:val="表头 Char"/>
    <w:link w:val="a1"/>
    <w:rPr>
      <w:rFonts w:ascii="黑体" w:eastAsia="黑体"/>
      <w:spacing w:val="6"/>
      <w:kern w:val="2"/>
      <w:position w:val="10"/>
      <w:sz w:val="21"/>
      <w:szCs w:val="24"/>
      <w:lang w:val="en-US" w:eastAsia="zh-CN" w:bidi="ar-SA"/>
    </w:rPr>
  </w:style>
  <w:style w:type="paragraph" w:customStyle="1" w:styleId="a1">
    <w:name w:val="表头"/>
    <w:basedOn w:val="NormalIndent"/>
    <w:link w:val="Char4"/>
    <w:pPr>
      <w:widowControl w:val="0"/>
      <w:tabs>
        <w:tab w:val="left" w:pos="1485"/>
        <w:tab w:val="center" w:pos="4113"/>
      </w:tabs>
      <w:spacing w:before="0" w:beforeLines="0" w:beforeAutospacing="0" w:after="0" w:afterLines="0" w:afterAutospacing="0" w:line="480" w:lineRule="exact"/>
      <w:jc w:val="center"/>
    </w:pPr>
    <w:rPr>
      <w:rFonts w:ascii="黑体" w:eastAsia="黑体" w:hAnsi="Times New Roman" w:hint="default"/>
      <w:spacing w:val="6"/>
      <w:kern w:val="2"/>
      <w:position w:val="10"/>
      <w:sz w:val="21"/>
      <w:szCs w:val="20"/>
    </w:rPr>
  </w:style>
  <w:style w:type="character" w:customStyle="1" w:styleId="2Char0">
    <w:name w:val="样式 加粗 居中 首行缩进:  2 字符 Char"/>
    <w:link w:val="2"/>
    <w:rPr>
      <w:rFonts w:eastAsia="宋体" w:cs="宋体"/>
      <w:b/>
      <w:bCs/>
      <w:kern w:val="2"/>
      <w:sz w:val="24"/>
      <w:szCs w:val="24"/>
      <w:lang w:val="en-US" w:eastAsia="zh-CN" w:bidi="ar-SA"/>
    </w:rPr>
  </w:style>
  <w:style w:type="paragraph" w:customStyle="1" w:styleId="2">
    <w:name w:val="样式 加粗 居中 首行缩进:  2 字符"/>
    <w:basedOn w:val="Normal"/>
    <w:link w:val="2Char0"/>
    <w:pPr>
      <w:spacing w:line="440" w:lineRule="exact"/>
      <w:jc w:val="center"/>
    </w:pPr>
    <w:rPr>
      <w:rFonts w:cs="宋体"/>
      <w:b/>
      <w:bCs/>
      <w:sz w:val="24"/>
    </w:rPr>
  </w:style>
  <w:style w:type="character" w:customStyle="1" w:styleId="size13">
    <w:name w:val="size13"/>
    <w:basedOn w:val="DefaultParagraphFont"/>
  </w:style>
  <w:style w:type="character" w:customStyle="1" w:styleId="CharChar2">
    <w:name w:val=" Char Char2"/>
    <w:rPr>
      <w:rFonts w:ascii="宋体" w:eastAsia="宋体" w:hAnsi="Courier New" w:cs="Courier New"/>
      <w:kern w:val="2"/>
      <w:sz w:val="21"/>
      <w:szCs w:val="21"/>
      <w:lang w:val="en-US" w:eastAsia="zh-CN" w:bidi="ar-SA"/>
    </w:rPr>
  </w:style>
  <w:style w:type="character" w:customStyle="1" w:styleId="CharChar0">
    <w:name w:val="表格 Char Char"/>
    <w:rPr>
      <w:sz w:val="21"/>
      <w:szCs w:val="24"/>
    </w:rPr>
  </w:style>
  <w:style w:type="character" w:customStyle="1" w:styleId="Char5">
    <w:name w:val="表格文字 Char"/>
    <w:link w:val="a2"/>
    <w:rPr>
      <w:rFonts w:eastAsia="宋体"/>
      <w:kern w:val="2"/>
      <w:position w:val="-10"/>
      <w:sz w:val="21"/>
      <w:szCs w:val="24"/>
      <w:lang w:val="en-US" w:eastAsia="zh-CN" w:bidi="ar-SA"/>
    </w:rPr>
  </w:style>
  <w:style w:type="paragraph" w:customStyle="1" w:styleId="a2">
    <w:name w:val="表格文字"/>
    <w:basedOn w:val="Normal"/>
    <w:link w:val="Char5"/>
    <w:pPr>
      <w:tabs>
        <w:tab w:val="left" w:pos="-2848"/>
      </w:tabs>
      <w:spacing w:before="40" w:beforeLines="0" w:after="40" w:afterLines="0" w:line="240" w:lineRule="atLeast"/>
      <w:jc w:val="center"/>
    </w:pPr>
    <w:rPr>
      <w:position w:val="-10"/>
      <w:sz w:val="21"/>
    </w:rPr>
  </w:style>
  <w:style w:type="character" w:customStyle="1" w:styleId="Char6">
    <w:name w:val="表格名称 Char"/>
    <w:link w:val="a3"/>
    <w:rPr>
      <w:b/>
      <w:bCs/>
      <w:sz w:val="21"/>
      <w:szCs w:val="21"/>
    </w:rPr>
  </w:style>
  <w:style w:type="paragraph" w:customStyle="1" w:styleId="a3">
    <w:name w:val="表格名称"/>
    <w:basedOn w:val="Normal"/>
    <w:link w:val="Char6"/>
    <w:qFormat/>
    <w:pPr>
      <w:spacing w:before="156" w:beforeLines="50"/>
      <w:jc w:val="center"/>
    </w:pPr>
    <w:rPr>
      <w:b/>
      <w:bCs/>
      <w:kern w:val="0"/>
      <w:sz w:val="21"/>
      <w:szCs w:val="21"/>
    </w:rPr>
  </w:style>
  <w:style w:type="paragraph" w:customStyle="1" w:styleId="23">
    <w:name w:val="样式 文本正文 + 首行缩进:  2 字符3"/>
    <w:basedOn w:val="Normal"/>
    <w:pPr>
      <w:autoSpaceDE w:val="0"/>
      <w:autoSpaceDN w:val="0"/>
      <w:adjustRightInd w:val="0"/>
      <w:spacing w:line="360" w:lineRule="auto"/>
      <w:ind w:firstLine="496" w:firstLineChars="200"/>
      <w:textAlignment w:val="baseline"/>
    </w:pPr>
    <w:rPr>
      <w:rFonts w:ascii="宋体" w:hAnsi="宋体" w:cs="宋体"/>
      <w:snapToGrid w:val="0"/>
      <w:color w:val="000000"/>
      <w:kern w:val="21"/>
      <w:sz w:val="24"/>
    </w:rPr>
  </w:style>
  <w:style w:type="paragraph" w:customStyle="1" w:styleId="a4">
    <w:name w:val="表格中文字"/>
    <w:basedOn w:val="Normal"/>
    <w:pPr>
      <w:adjustRightInd w:val="0"/>
      <w:snapToGrid w:val="0"/>
      <w:jc w:val="center"/>
    </w:pPr>
    <w:rPr>
      <w:kern w:val="18"/>
      <w:szCs w:val="21"/>
    </w:rPr>
  </w:style>
  <w:style w:type="paragraph" w:customStyle="1" w:styleId="322">
    <w:name w:val="样式 表格 32 + 首行缩进:  2 字符"/>
    <w:basedOn w:val="Normal"/>
    <w:pPr>
      <w:autoSpaceDE w:val="0"/>
      <w:autoSpaceDN w:val="0"/>
      <w:adjustRightInd w:val="0"/>
      <w:spacing w:line="0" w:lineRule="atLeast"/>
      <w:jc w:val="center"/>
      <w:textAlignment w:val="baseline"/>
    </w:pPr>
    <w:rPr>
      <w:rFonts w:cs="宋体"/>
      <w:kern w:val="0"/>
      <w:szCs w:val="21"/>
    </w:rPr>
  </w:style>
  <w:style w:type="paragraph" w:customStyle="1" w:styleId="01">
    <w:name w:val="报告表文字01"/>
    <w:basedOn w:val="Normal"/>
    <w:pPr>
      <w:tabs>
        <w:tab w:val="left" w:pos="2880"/>
      </w:tabs>
      <w:spacing w:line="300" w:lineRule="atLeast"/>
      <w:ind w:left="113" w:right="113"/>
      <w:jc w:val="center"/>
    </w:pPr>
    <w:rPr>
      <w:rFonts w:ascii="宋体" w:hAnsi="宋体"/>
      <w:sz w:val="24"/>
      <w:szCs w:val="24"/>
    </w:rPr>
  </w:style>
  <w:style w:type="paragraph" w:customStyle="1" w:styleId="a5">
    <w:name w:val="表格正文"/>
    <w:basedOn w:val="Normal"/>
    <w:next w:val="Normal"/>
    <w:pPr>
      <w:adjustRightInd w:val="0"/>
      <w:snapToGrid w:val="0"/>
      <w:jc w:val="center"/>
      <w:textAlignment w:val="baseline"/>
    </w:pPr>
    <w:rPr>
      <w:rFonts w:ascii="宋体"/>
      <w:snapToGrid w:val="0"/>
      <w:spacing w:val="4"/>
      <w:w w:val="90"/>
      <w:kern w:val="0"/>
      <w:sz w:val="24"/>
    </w:rPr>
  </w:style>
  <w:style w:type="paragraph" w:customStyle="1" w:styleId="a6">
    <w:name w:val="正文+小四"/>
    <w:basedOn w:val="Normal"/>
    <w:pPr>
      <w:spacing w:before="156" w:beforeLines="50" w:line="480" w:lineRule="exact"/>
      <w:ind w:firstLine="482" w:firstLineChars="200"/>
    </w:pPr>
    <w:rPr>
      <w:b/>
      <w:sz w:val="24"/>
    </w:rPr>
  </w:style>
  <w:style w:type="paragraph" w:customStyle="1" w:styleId="a7">
    <w:name w:val="表头朱"/>
    <w:basedOn w:val="Normal"/>
    <w:pPr>
      <w:autoSpaceDE w:val="0"/>
      <w:autoSpaceDN w:val="0"/>
      <w:adjustRightInd w:val="0"/>
      <w:spacing w:before="156" w:beforeLines="50" w:line="384" w:lineRule="auto"/>
      <w:jc w:val="center"/>
    </w:pPr>
    <w:rPr>
      <w:rFonts w:hAnsi="宋体"/>
      <w:b/>
      <w:kern w:val="0"/>
      <w:sz w:val="24"/>
      <w:szCs w:val="28"/>
      <w:lang w:val="zh-CN"/>
    </w:rPr>
  </w:style>
  <w:style w:type="paragraph" w:customStyle="1" w:styleId="a8">
    <w:name w:val="报告书正文"/>
    <w:basedOn w:val="Normal"/>
    <w:pPr>
      <w:autoSpaceDE w:val="0"/>
      <w:autoSpaceDN w:val="0"/>
      <w:adjustRightInd w:val="0"/>
      <w:spacing w:line="360" w:lineRule="auto"/>
      <w:ind w:firstLine="480" w:firstLineChars="200"/>
      <w:jc w:val="left"/>
      <w:textAlignment w:val="baseline"/>
    </w:pPr>
    <w:rPr>
      <w:kern w:val="0"/>
      <w:sz w:val="24"/>
      <w:lang w:val="en-GB"/>
    </w:rPr>
  </w:style>
  <w:style w:type="paragraph" w:customStyle="1" w:styleId="33">
    <w:name w:val="标题33"/>
    <w:basedOn w:val="NormalIndent"/>
    <w:pPr>
      <w:spacing w:before="156" w:beforeLines="50" w:after="156" w:afterLines="50" w:line="400" w:lineRule="exact"/>
      <w:ind w:firstLine="0" w:firstLineChars="0"/>
    </w:pPr>
    <w:rPr>
      <w:rFonts w:ascii="仿宋_GB2312" w:eastAsia="仿宋_GB2312" w:hAnsi="宋体"/>
      <w:sz w:val="24"/>
      <w:szCs w:val="20"/>
    </w:rPr>
  </w:style>
  <w:style w:type="paragraph" w:customStyle="1" w:styleId="HJN-ZZ">
    <w:name w:val="HJN-ZZ"/>
    <w:basedOn w:val="Normal"/>
    <w:pPr>
      <w:pBdr>
        <w:top w:val="none" w:sz="0" w:space="1" w:color="auto"/>
        <w:left w:val="none" w:sz="0" w:space="4" w:color="auto"/>
        <w:bottom w:val="none" w:sz="0" w:space="1" w:color="auto"/>
        <w:right w:val="none" w:sz="0" w:space="4" w:color="auto"/>
      </w:pBdr>
      <w:adjustRightInd w:val="0"/>
      <w:spacing w:line="360" w:lineRule="auto"/>
      <w:ind w:firstLine="482"/>
      <w:jc w:val="left"/>
      <w:textAlignment w:val="baseline"/>
    </w:pPr>
    <w:rPr>
      <w:rFonts w:ascii="宋体" w:hAnsi="宋体"/>
      <w:kern w:val="21"/>
      <w:sz w:val="24"/>
      <w:szCs w:val="20"/>
    </w:rPr>
  </w:style>
  <w:style w:type="paragraph" w:customStyle="1" w:styleId="1">
    <w:name w:val="表1"/>
    <w:next w:val="Normal"/>
    <w:pPr>
      <w:adjustRightInd w:val="0"/>
      <w:snapToGrid w:val="0"/>
      <w:spacing w:line="320" w:lineRule="exact"/>
      <w:jc w:val="center"/>
    </w:pPr>
    <w:rPr>
      <w:sz w:val="21"/>
      <w:lang w:val="en-US" w:eastAsia="zh-CN" w:bidi="ar-SA"/>
    </w:rPr>
  </w:style>
  <w:style w:type="paragraph" w:customStyle="1" w:styleId="8Char">
    <w:name w:val="8 Char"/>
    <w:basedOn w:val="Normal"/>
    <w:rPr>
      <w:rFonts w:ascii="Tahoma" w:hAnsi="Tahoma"/>
      <w:sz w:val="24"/>
    </w:rPr>
  </w:style>
  <w:style w:type="paragraph" w:customStyle="1" w:styleId="Char7">
    <w:name w:val=" Char"/>
    <w:basedOn w:val="Normal"/>
    <w:rPr>
      <w:sz w:val="24"/>
      <w:szCs w:val="24"/>
    </w:rPr>
  </w:style>
  <w:style w:type="paragraph" w:customStyle="1" w:styleId="a9">
    <w:name w:val="正文小四"/>
    <w:basedOn w:val="Normal"/>
    <w:pPr>
      <w:spacing w:line="460" w:lineRule="exact"/>
      <w:ind w:firstLine="600" w:firstLineChars="200"/>
    </w:pPr>
    <w:rPr>
      <w:rFonts w:ascii="宋体" w:hAnsi="宋体"/>
      <w:spacing w:val="30"/>
      <w:kern w:val="24"/>
      <w:sz w:val="24"/>
    </w:rPr>
  </w:style>
  <w:style w:type="paragraph" w:customStyle="1" w:styleId="5">
    <w:name w:val="5表头"/>
    <w:basedOn w:val="Normal"/>
    <w:pPr>
      <w:spacing w:before="156" w:beforeLines="50"/>
      <w:jc w:val="center"/>
    </w:pPr>
    <w:rPr>
      <w:rFonts w:eastAsia="黑体" w:cs="宋体"/>
      <w:sz w:val="21"/>
    </w:rPr>
  </w:style>
  <w:style w:type="paragraph" w:customStyle="1" w:styleId="a10">
    <w:name w:val="正本文字"/>
    <w:basedOn w:val="Normal"/>
    <w:pPr>
      <w:adjustRightInd w:val="0"/>
      <w:snapToGrid w:val="0"/>
      <w:spacing w:line="360" w:lineRule="auto"/>
      <w:ind w:firstLine="200" w:firstLineChars="200"/>
      <w:jc w:val="left"/>
    </w:pPr>
    <w:rPr>
      <w:rFonts w:cs="宋体"/>
      <w:kern w:val="18"/>
      <w:sz w:val="24"/>
      <w:szCs w:val="20"/>
    </w:rPr>
  </w:style>
  <w:style w:type="paragraph" w:customStyle="1" w:styleId="a11">
    <w:name w:val="六表内容"/>
    <w:basedOn w:val="Normal"/>
    <w:pPr>
      <w:spacing w:line="340" w:lineRule="exact"/>
      <w:jc w:val="center"/>
    </w:pPr>
    <w:rPr>
      <w:sz w:val="21"/>
      <w:szCs w:val="21"/>
    </w:rPr>
  </w:style>
  <w:style w:type="paragraph" w:customStyle="1" w:styleId="230">
    <w:name w:val="表格 23"/>
    <w:basedOn w:val="Normal"/>
    <w:pPr>
      <w:autoSpaceDE w:val="0"/>
      <w:autoSpaceDN w:val="0"/>
      <w:adjustRightInd w:val="0"/>
      <w:jc w:val="center"/>
    </w:pPr>
    <w:rPr>
      <w:rFonts w:eastAsia="仿宋体"/>
      <w:kern w:val="0"/>
      <w:sz w:val="21"/>
    </w:rPr>
  </w:style>
  <w:style w:type="paragraph" w:customStyle="1" w:styleId="a12">
    <w:name w:val="表后文字"/>
    <w:next w:val="Normal"/>
    <w:pPr>
      <w:ind w:firstLine="493"/>
    </w:pPr>
    <w:rPr>
      <w:rFonts w:ascii="宋体"/>
      <w:spacing w:val="4"/>
      <w:w w:val="80"/>
      <w:kern w:val="18"/>
      <w:sz w:val="24"/>
      <w:szCs w:val="24"/>
      <w:lang w:val="en-US" w:eastAsia="zh-CN" w:bidi="ar-SA"/>
    </w:rPr>
  </w:style>
  <w:style w:type="paragraph" w:customStyle="1" w:styleId="a13">
    <w:name w:val="正文(首行缩进)"/>
    <w:basedOn w:val="Normal"/>
    <w:pPr>
      <w:spacing w:line="360" w:lineRule="auto"/>
      <w:ind w:firstLine="510"/>
    </w:pPr>
    <w:rPr>
      <w:rFonts w:ascii="宋体" w:hAnsi="宋体"/>
      <w:snapToGrid w:val="0"/>
      <w:kern w:val="0"/>
      <w:sz w:val="24"/>
      <w:szCs w:val="20"/>
    </w:rPr>
  </w:style>
  <w:style w:type="paragraph" w:customStyle="1" w:styleId="a14">
    <w:name w:val="单元格"/>
    <w:basedOn w:val="Normal"/>
    <w:pPr>
      <w:jc w:val="center"/>
    </w:pPr>
    <w:rPr>
      <w:rFonts w:ascii="楷体_GB2312" w:eastAsia="楷体_GB2312"/>
      <w:sz w:val="21"/>
    </w:rPr>
  </w:style>
  <w:style w:type="paragraph" w:customStyle="1" w:styleId="11111111111111">
    <w:name w:val="表格内文字11111111111111"/>
    <w:basedOn w:val="Normal"/>
    <w:pPr>
      <w:adjustRightInd w:val="0"/>
      <w:snapToGrid w:val="0"/>
      <w:jc w:val="center"/>
      <w:textAlignment w:val="bottom"/>
    </w:pPr>
    <w:rPr>
      <w:rFonts w:hAnsi="宋体"/>
      <w:snapToGrid w:val="0"/>
      <w:color w:val="000000"/>
      <w:kern w:val="0"/>
    </w:rPr>
  </w:style>
  <w:style w:type="paragraph" w:customStyle="1" w:styleId="20">
    <w:name w:val="正文2"/>
    <w:basedOn w:val="Normal"/>
    <w:uiPriority w:val="99"/>
    <w:pPr>
      <w:adjustRightInd w:val="0"/>
      <w:snapToGrid w:val="0"/>
      <w:spacing w:line="440" w:lineRule="atLeast"/>
      <w:ind w:firstLine="567"/>
    </w:pPr>
    <w:rPr>
      <w:sz w:val="24"/>
      <w:szCs w:val="20"/>
    </w:rPr>
  </w:style>
  <w:style w:type="paragraph" w:customStyle="1" w:styleId="21">
    <w:name w:val="表格2"/>
    <w:basedOn w:val="Normal"/>
    <w:next w:val="Normal"/>
    <w:pPr>
      <w:keepNext/>
      <w:topLinePunct/>
      <w:autoSpaceDE w:val="0"/>
      <w:autoSpaceDN w:val="0"/>
      <w:adjustRightInd w:val="0"/>
      <w:jc w:val="center"/>
      <w:textAlignment w:val="baseline"/>
    </w:pPr>
    <w:rPr>
      <w:rFonts w:ascii="宋体"/>
      <w:kern w:val="0"/>
      <w:position w:val="-28"/>
      <w:sz w:val="21"/>
    </w:rPr>
  </w:style>
  <w:style w:type="paragraph" w:customStyle="1" w:styleId="a15">
    <w:name w:val="表格备注"/>
    <w:basedOn w:val="Normal"/>
    <w:qFormat/>
    <w:pPr>
      <w:tabs>
        <w:tab w:val="left" w:pos="1519"/>
      </w:tabs>
      <w:autoSpaceDE w:val="0"/>
      <w:autoSpaceDN w:val="0"/>
      <w:adjustRightInd w:val="0"/>
      <w:snapToGrid w:val="0"/>
      <w:jc w:val="left"/>
      <w:textAlignment w:val="baseline"/>
    </w:pPr>
    <w:rPr>
      <w:sz w:val="21"/>
      <w:szCs w:val="21"/>
      <w:lang w:val="zh-CN"/>
    </w:rPr>
  </w:style>
  <w:style w:type="paragraph" w:customStyle="1" w:styleId="a16">
    <w:name w:val="正文(邵)"/>
    <w:basedOn w:val="Normal"/>
    <w:pPr>
      <w:widowControl/>
      <w:adjustRightInd w:val="0"/>
      <w:snapToGrid w:val="0"/>
      <w:spacing w:line="360" w:lineRule="auto"/>
      <w:ind w:firstLine="480"/>
      <w:jc w:val="left"/>
    </w:pPr>
    <w:rPr>
      <w:kern w:val="0"/>
      <w:sz w:val="24"/>
      <w:lang w:bidi="en-US"/>
    </w:rPr>
  </w:style>
  <w:style w:type="paragraph" w:customStyle="1" w:styleId="Char4CharCharChar">
    <w:name w:val=" Char4 Char Char Char"/>
    <w:basedOn w:val="Normal"/>
    <w:semiHidden/>
    <w:pPr>
      <w:adjustRightInd w:val="0"/>
      <w:snapToGrid w:val="0"/>
      <w:spacing w:line="360" w:lineRule="auto"/>
      <w:ind w:firstLine="200" w:firstLineChars="200"/>
    </w:pPr>
    <w:rPr>
      <w:rFonts w:ascii="宋体" w:hAnsi="宋体" w:cs="宋体"/>
      <w:sz w:val="24"/>
      <w:szCs w:val="26"/>
    </w:rPr>
  </w:style>
  <w:style w:type="paragraph" w:customStyle="1" w:styleId="a17">
    <w:name w:val="表内容"/>
    <w:next w:val="Normal"/>
    <w:pPr>
      <w:widowControl w:val="0"/>
      <w:snapToGrid w:val="0"/>
      <w:spacing w:line="360" w:lineRule="auto"/>
      <w:ind w:left="120" w:firstLine="29" w:leftChars="57"/>
      <w:jc w:val="center"/>
    </w:pPr>
    <w:rPr>
      <w:rFonts w:ascii="Arial" w:hAnsi="Arial"/>
      <w:kern w:val="2"/>
      <w:sz w:val="21"/>
      <w:szCs w:val="24"/>
      <w:lang w:val="en-US" w:eastAsia="zh-CN" w:bidi="ar-SA"/>
    </w:rPr>
  </w:style>
  <w:style w:type="paragraph" w:customStyle="1" w:styleId="A18">
    <w:name w:val="A标准格式"/>
    <w:basedOn w:val="Normal"/>
    <w:pPr>
      <w:spacing w:line="440" w:lineRule="exact"/>
      <w:ind w:firstLine="480" w:firstLineChars="200"/>
    </w:pPr>
    <w:rPr>
      <w:sz w:val="24"/>
    </w:rPr>
  </w:style>
  <w:style w:type="paragraph" w:customStyle="1" w:styleId="a19">
    <w:name w:val="报告正文"/>
    <w:basedOn w:val="Normal"/>
    <w:pPr>
      <w:adjustRightInd w:val="0"/>
      <w:snapToGrid w:val="0"/>
      <w:spacing w:line="360" w:lineRule="auto"/>
      <w:ind w:firstLine="200" w:firstLineChars="200"/>
    </w:pPr>
    <w:rPr>
      <w:rFonts w:ascii="宋体"/>
      <w:sz w:val="24"/>
    </w:rPr>
  </w:style>
  <w:style w:type="paragraph" w:customStyle="1" w:styleId="ParaCharCharCharChar">
    <w:name w:val="默认段落字体 Para Char Char Char Char"/>
    <w:basedOn w:val="Normal"/>
    <w:rPr>
      <w:sz w:val="24"/>
      <w:szCs w:val="24"/>
    </w:rPr>
  </w:style>
  <w:style w:type="paragraph" w:customStyle="1" w:styleId="p0">
    <w:name w:val="p0"/>
    <w:basedOn w:val="Normal"/>
    <w:pPr>
      <w:widowControl/>
    </w:pPr>
    <w:rPr>
      <w:kern w:val="0"/>
      <w:sz w:val="21"/>
      <w:szCs w:val="21"/>
    </w:rPr>
  </w:style>
  <w:style w:type="paragraph" w:customStyle="1" w:styleId="3Char">
    <w:name w:val="3 Char"/>
    <w:basedOn w:val="Normal"/>
    <w:next w:val="Normal"/>
    <w:pPr>
      <w:spacing w:line="360" w:lineRule="auto"/>
      <w:ind w:firstLine="200" w:firstLineChars="200"/>
    </w:pPr>
    <w:rPr>
      <w:rFonts w:ascii="宋体" w:eastAsia="汉鼎简书宋" w:hAnsi="宋体" w:cs="宋体"/>
      <w:sz w:val="24"/>
      <w:szCs w:val="24"/>
    </w:rPr>
  </w:style>
  <w:style w:type="paragraph" w:customStyle="1" w:styleId="32">
    <w:name w:val="表格 32"/>
    <w:basedOn w:val="Normal"/>
    <w:pPr>
      <w:autoSpaceDE w:val="0"/>
      <w:autoSpaceDN w:val="0"/>
      <w:adjustRightInd w:val="0"/>
      <w:jc w:val="center"/>
      <w:textAlignment w:val="baseline"/>
    </w:pPr>
    <w:rPr>
      <w:rFonts w:ascii="宋体" w:hAnsi="Impact"/>
      <w:kern w:val="24"/>
      <w:sz w:val="24"/>
    </w:rPr>
  </w:style>
  <w:style w:type="paragraph" w:customStyle="1" w:styleId="ParaChar">
    <w:name w:val="默认段落字体 Para Char"/>
    <w:basedOn w:val="Normal"/>
    <w:rPr>
      <w:rFonts w:ascii="Arial" w:hAnsi="Arial" w:cs="Arial"/>
      <w:sz w:val="21"/>
      <w:szCs w:val="24"/>
    </w:rPr>
  </w:style>
  <w:style w:type="paragraph" w:customStyle="1" w:styleId="a20">
    <w:name w:val="简单回函地址"/>
    <w:basedOn w:val="Normal"/>
    <w:rPr>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footer" Target="footer35.xml" /><Relationship Id="rId39" Type="http://schemas.openxmlformats.org/officeDocument/2006/relationships/footer" Target="footer36.xml" /><Relationship Id="rId4" Type="http://schemas.openxmlformats.org/officeDocument/2006/relationships/footer" Target="footer1.xml" /><Relationship Id="rId40" Type="http://schemas.openxmlformats.org/officeDocument/2006/relationships/footer" Target="footer37.xml" /><Relationship Id="rId41" Type="http://schemas.openxmlformats.org/officeDocument/2006/relationships/footer" Target="footer38.xml" /><Relationship Id="rId42" Type="http://schemas.openxmlformats.org/officeDocument/2006/relationships/footer" Target="footer39.xml" /><Relationship Id="rId43" Type="http://schemas.openxmlformats.org/officeDocument/2006/relationships/footer" Target="footer40.xml" /><Relationship Id="rId44" Type="http://schemas.openxmlformats.org/officeDocument/2006/relationships/footer" Target="footer41.xml" /><Relationship Id="rId45" Type="http://schemas.openxmlformats.org/officeDocument/2006/relationships/footer" Target="footer42.xml" /><Relationship Id="rId46" Type="http://schemas.openxmlformats.org/officeDocument/2006/relationships/footer" Target="footer43.xml" /><Relationship Id="rId47" Type="http://schemas.openxmlformats.org/officeDocument/2006/relationships/footer" Target="footer44.xml" /><Relationship Id="rId48" Type="http://schemas.openxmlformats.org/officeDocument/2006/relationships/footer" Target="footer45.xml" /><Relationship Id="rId49" Type="http://schemas.openxmlformats.org/officeDocument/2006/relationships/footer" Target="footer46.xml" /><Relationship Id="rId5" Type="http://schemas.openxmlformats.org/officeDocument/2006/relationships/footer" Target="footer2.xml" /><Relationship Id="rId50" Type="http://schemas.openxmlformats.org/officeDocument/2006/relationships/footer" Target="footer47.xml" /><Relationship Id="rId51" Type="http://schemas.openxmlformats.org/officeDocument/2006/relationships/footer" Target="footer48.xml" /><Relationship Id="rId52" Type="http://schemas.openxmlformats.org/officeDocument/2006/relationships/footer" Target="footer49.xml" /><Relationship Id="rId53" Type="http://schemas.openxmlformats.org/officeDocument/2006/relationships/footer" Target="footer50.xml" /><Relationship Id="rId54" Type="http://schemas.openxmlformats.org/officeDocument/2006/relationships/footer" Target="footer51.xml" /><Relationship Id="rId55" Type="http://schemas.openxmlformats.org/officeDocument/2006/relationships/footer" Target="footer52.xml" /><Relationship Id="rId56" Type="http://schemas.openxmlformats.org/officeDocument/2006/relationships/footer" Target="footer53.xml" /><Relationship Id="rId57" Type="http://schemas.openxmlformats.org/officeDocument/2006/relationships/footer" Target="footer54.xml" /><Relationship Id="rId58" Type="http://schemas.openxmlformats.org/officeDocument/2006/relationships/footer" Target="footer55.xml" /><Relationship Id="rId59" Type="http://schemas.openxmlformats.org/officeDocument/2006/relationships/footer" Target="footer56.xml" /><Relationship Id="rId6" Type="http://schemas.openxmlformats.org/officeDocument/2006/relationships/footer" Target="footer3.xml" /><Relationship Id="rId60" Type="http://schemas.openxmlformats.org/officeDocument/2006/relationships/footer" Target="footer57.xml" /><Relationship Id="rId61" Type="http://schemas.openxmlformats.org/officeDocument/2006/relationships/footer" Target="footer58.xml" /><Relationship Id="rId62" Type="http://schemas.openxmlformats.org/officeDocument/2006/relationships/footer" Target="footer59.xml" /><Relationship Id="rId63" Type="http://schemas.openxmlformats.org/officeDocument/2006/relationships/footer" Target="footer60.xml" /><Relationship Id="rId64" Type="http://schemas.openxmlformats.org/officeDocument/2006/relationships/footer" Target="footer61.xml" /><Relationship Id="rId65" Type="http://schemas.openxmlformats.org/officeDocument/2006/relationships/footer" Target="footer62.xml" /><Relationship Id="rId66" Type="http://schemas.openxmlformats.org/officeDocument/2006/relationships/footer" Target="footer63.xml" /><Relationship Id="rId67" Type="http://schemas.openxmlformats.org/officeDocument/2006/relationships/footer" Target="footer64.xml" /><Relationship Id="rId68" Type="http://schemas.openxmlformats.org/officeDocument/2006/relationships/footer" Target="footer65.xml" /><Relationship Id="rId69" Type="http://schemas.openxmlformats.org/officeDocument/2006/relationships/footer" Target="footer66.xml" /><Relationship Id="rId7" Type="http://schemas.openxmlformats.org/officeDocument/2006/relationships/footer" Target="footer4.xml" /><Relationship Id="rId70" Type="http://schemas.openxmlformats.org/officeDocument/2006/relationships/image" Target="media/image1.wmf" /><Relationship Id="rId71" Type="http://schemas.openxmlformats.org/officeDocument/2006/relationships/oleObject" Target="embeddings/oleObject1.bin" /><Relationship Id="rId72" Type="http://schemas.openxmlformats.org/officeDocument/2006/relationships/image" Target="media/image2.wmf" /><Relationship Id="rId73" Type="http://schemas.openxmlformats.org/officeDocument/2006/relationships/oleObject" Target="embeddings/oleObject2.bin" /><Relationship Id="rId74" Type="http://schemas.openxmlformats.org/officeDocument/2006/relationships/image" Target="media/image3.wmf" /><Relationship Id="rId75" Type="http://schemas.openxmlformats.org/officeDocument/2006/relationships/oleObject" Target="embeddings/oleObject3.bin" /><Relationship Id="rId76" Type="http://schemas.openxmlformats.org/officeDocument/2006/relationships/image" Target="media/image4.wmf" /><Relationship Id="rId77" Type="http://schemas.openxmlformats.org/officeDocument/2006/relationships/oleObject" Target="embeddings/oleObject4.bin" /><Relationship Id="rId78" Type="http://schemas.openxmlformats.org/officeDocument/2006/relationships/footer" Target="footer67.xml" /><Relationship Id="rId79" Type="http://schemas.openxmlformats.org/officeDocument/2006/relationships/footer" Target="footer68.xml" /><Relationship Id="rId8" Type="http://schemas.openxmlformats.org/officeDocument/2006/relationships/footer" Target="footer5.xml" /><Relationship Id="rId80" Type="http://schemas.openxmlformats.org/officeDocument/2006/relationships/footer" Target="footer69.xml" /><Relationship Id="rId81" Type="http://schemas.openxmlformats.org/officeDocument/2006/relationships/footer" Target="footer70.xml" /><Relationship Id="rId82" Type="http://schemas.openxmlformats.org/officeDocument/2006/relationships/footer" Target="footer71.xml" /><Relationship Id="rId83" Type="http://schemas.openxmlformats.org/officeDocument/2006/relationships/footer" Target="footer72.xml" /><Relationship Id="rId84" Type="http://schemas.openxmlformats.org/officeDocument/2006/relationships/hyperlink" Target="https://d.book118.com/766142003104010052" TargetMode="External" /><Relationship Id="rId85" Type="http://schemas.openxmlformats.org/officeDocument/2006/relationships/footer" Target="footer73.xml" /><Relationship Id="rId86" Type="http://schemas.openxmlformats.org/officeDocument/2006/relationships/footer" Target="footer74.xml" /><Relationship Id="rId87" Type="http://schemas.openxmlformats.org/officeDocument/2006/relationships/footer" Target="footer75.xml" /><Relationship Id="rId88" Type="http://schemas.openxmlformats.org/officeDocument/2006/relationships/theme" Target="theme/theme1.xml" /><Relationship Id="rId89" Type="http://schemas.openxmlformats.org/officeDocument/2006/relationships/numbering" Target="numbering.xml" /><Relationship Id="rId9" Type="http://schemas.openxmlformats.org/officeDocument/2006/relationships/footer" Target="footer6.xml" /><Relationship Id="rId90"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5949</Words>
  <Characters>33915</Characters>
  <Application>Microsoft Office Word</Application>
  <DocSecurity>0</DocSecurity>
  <Lines>282</Lines>
  <Paragraphs>79</Paragraphs>
  <ScaleCrop>false</ScaleCrop>
  <Company>小店区环境保护监测站</Company>
  <LinksUpToDate>false</LinksUpToDate>
  <CharactersWithSpaces>39785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建设项目环境影响报告表</dc:title>
  <dc:creator>监测站</dc:creator>
  <cp:lastModifiedBy>委员</cp:lastModifiedBy>
  <cp:revision>5</cp:revision>
  <cp:lastPrinted>2009-12-03T10:29:00Z</cp:lastPrinted>
  <dcterms:created xsi:type="dcterms:W3CDTF">2015-08-11T06:07:00Z</dcterms:created>
  <dcterms:modified xsi:type="dcterms:W3CDTF">2024-02-20T03:55:45Z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24E3EBD462354BFAA1B7EF39FE47F947_12</vt:lpwstr>
  </property>
  <property fmtid="{D5CDD505-2E9C-101B-9397-08002B2CF9AE}" pid="3" name="KSOProductBuildVer">
    <vt:lpwstr>2052-12.1.0.15712</vt:lpwstr>
  </property>
</Properties>
</file>