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694F" w:rsidRPr="00535757" w:rsidP="009C694F">
      <w:pPr>
        <w:widowControl/>
        <w:wordWrap w:val="0"/>
        <w:snapToGrid w:val="0"/>
        <w:spacing w:before="100" w:beforeAutospacing="1" w:after="100" w:afterAutospacing="1" w:line="360" w:lineRule="auto"/>
        <w:jc w:val="center"/>
        <w:rPr>
          <w:rFonts w:ascii="DFKai-SB" w:eastAsia="DFKai-SB" w:hAnsi="DFKai-SB" w:cs="宋体" w:hint="eastAsia"/>
          <w:color w:val="676C94"/>
          <w:kern w:val="0"/>
          <w:sz w:val="24"/>
        </w:rPr>
      </w:pPr>
      <w:r w:rsidRPr="00535757">
        <w:rPr>
          <w:rFonts w:ascii="DFKai-SB" w:eastAsia="DFKai-SB" w:hAnsi="DFKai-SB" w:cs="宋体" w:hint="eastAsia"/>
          <w:color w:val="676C94"/>
          <w:kern w:val="0"/>
          <w:sz w:val="28"/>
          <w:szCs w:val="28"/>
        </w:rPr>
        <w:t>XX工业大学岗位绩效工资实施方案</w:t>
      </w:r>
    </w:p>
    <w:p w:rsidR="009C694F" w:rsidRPr="00535757" w:rsidP="009C694F">
      <w:pPr>
        <w:widowControl/>
        <w:wordWrap w:val="0"/>
        <w:snapToGrid w:val="0"/>
        <w:spacing w:before="100" w:beforeAutospacing="1" w:after="100" w:afterAutospacing="1" w:line="360" w:lineRule="auto"/>
        <w:ind w:firstLine="555"/>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为了进一步深化高校人事分配制度改革，逐步建立起适应高等学校开展需要的薪酬制度，发挥分配的鼓励导向作用，充分调动教职工的创造性和积极性，促进学校教育事业又好又快的开展，根据国家2006年7月1日推行的岗位绩效工资制度和XX省实施绩效工资暂行方案的精神，总结我校实行岗位绩效工资制度以来的经历，特制定本方案。</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一、实施岗位绩效工资的指导思想</w:t>
      </w:r>
    </w:p>
    <w:p w:rsidR="009C694F" w:rsidRPr="00535757" w:rsidP="009C694F">
      <w:pPr>
        <w:widowControl/>
        <w:wordWrap w:val="0"/>
        <w:snapToGrid w:val="0"/>
        <w:spacing w:before="100" w:beforeAutospacing="1" w:after="100" w:afterAutospacing="1" w:line="360" w:lineRule="auto"/>
        <w:ind w:firstLine="416"/>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认真贯彻和落实国家关于高等学校内局部配</w:t>
      </w:r>
      <w:r w:rsidRPr="00535757">
        <w:rPr>
          <w:rFonts w:ascii="DFKai-SB" w:eastAsia="DFKai-SB" w:hAnsi="DFKai-SB" w:cs="宋体" w:hint="eastAsia"/>
          <w:color w:val="676C94"/>
          <w:kern w:val="0"/>
          <w:sz w:val="24"/>
        </w:rPr>
        <w:t>“</w:t>
      </w:r>
      <w:r w:rsidRPr="00535757">
        <w:rPr>
          <w:rFonts w:ascii="DFKai-SB" w:eastAsia="DFKai-SB" w:hAnsi="DFKai-SB" w:cs="宋体" w:hint="eastAsia"/>
          <w:color w:val="676C94"/>
          <w:kern w:val="0"/>
          <w:sz w:val="24"/>
        </w:rPr>
        <w:t>绩效优先，兼顾公平〞的根本原那么，逐步建立宏观上注重公平，微观上表达鼓励，关系合理，秩序标准的收入分配制度，实现由</w:t>
      </w:r>
      <w:r w:rsidRPr="00535757">
        <w:rPr>
          <w:rFonts w:ascii="DFKai-SB" w:eastAsia="DFKai-SB" w:hAnsi="DFKai-SB" w:cs="宋体" w:hint="eastAsia"/>
          <w:color w:val="676C94"/>
          <w:kern w:val="0"/>
          <w:sz w:val="24"/>
        </w:rPr>
        <w:t>“</w:t>
      </w:r>
      <w:r w:rsidRPr="00535757">
        <w:rPr>
          <w:rFonts w:ascii="DFKai-SB" w:eastAsia="DFKai-SB" w:hAnsi="DFKai-SB" w:cs="宋体" w:hint="eastAsia"/>
          <w:color w:val="676C94"/>
          <w:kern w:val="0"/>
          <w:sz w:val="24"/>
        </w:rPr>
        <w:t>身份管理〞向</w:t>
      </w:r>
      <w:r w:rsidRPr="00535757">
        <w:rPr>
          <w:rFonts w:ascii="DFKai-SB" w:eastAsia="DFKai-SB" w:hAnsi="DFKai-SB" w:cs="宋体" w:hint="eastAsia"/>
          <w:color w:val="676C94"/>
          <w:kern w:val="0"/>
          <w:sz w:val="24"/>
        </w:rPr>
        <w:t>“</w:t>
      </w:r>
      <w:r w:rsidRPr="00535757">
        <w:rPr>
          <w:rFonts w:ascii="DFKai-SB" w:eastAsia="DFKai-SB" w:hAnsi="DFKai-SB" w:cs="宋体" w:hint="eastAsia"/>
          <w:color w:val="676C94"/>
          <w:kern w:val="0"/>
          <w:sz w:val="24"/>
        </w:rPr>
        <w:t>岗位管理〞的转变，建立起与岗位职责、工作业绩、实际奉献严密联系和鼓励创新创造的分配鼓励机制，突出岗位责任和工作业绩。</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二、实施岗位绩效工资的根本原那么</w:t>
      </w:r>
    </w:p>
    <w:p w:rsidR="009C694F" w:rsidRPr="00535757" w:rsidP="009C694F">
      <w:pPr>
        <w:widowControl/>
        <w:wordWrap w:val="0"/>
        <w:snapToGrid w:val="0"/>
        <w:spacing w:line="360" w:lineRule="auto"/>
        <w:ind w:firstLine="420"/>
        <w:jc w:val="left"/>
        <w:rPr>
          <w:rFonts w:ascii="DFKai-SB" w:eastAsia="DFKai-SB" w:hAnsi="DFKai-SB" w:cs="宋体"/>
          <w:color w:val="676C94"/>
          <w:kern w:val="0"/>
          <w:sz w:val="18"/>
          <w:szCs w:val="18"/>
        </w:rPr>
      </w:pPr>
      <w:r w:rsidRPr="00535757">
        <w:rPr>
          <w:rFonts w:ascii="DFKai-SB" w:eastAsia="DFKai-SB" w:hAnsi="DFKai-SB" w:cs="宋体" w:hint="eastAsia"/>
          <w:color w:val="676C94"/>
          <w:kern w:val="0"/>
          <w:sz w:val="18"/>
          <w:szCs w:val="18"/>
        </w:rPr>
        <w:t>1．贯彻</w:t>
      </w:r>
      <w:r w:rsidRPr="00535757">
        <w:rPr>
          <w:rFonts w:ascii="DFKai-SB" w:eastAsia="DFKai-SB" w:hAnsi="DFKai-SB" w:cs="宋体" w:hint="eastAsia"/>
          <w:color w:val="676C94"/>
          <w:kern w:val="0"/>
          <w:sz w:val="18"/>
          <w:szCs w:val="18"/>
        </w:rPr>
        <w:t>“</w:t>
      </w:r>
      <w:r w:rsidRPr="00535757">
        <w:rPr>
          <w:rFonts w:ascii="DFKai-SB" w:eastAsia="DFKai-SB" w:hAnsi="DFKai-SB" w:cs="宋体" w:hint="eastAsia"/>
          <w:color w:val="676C94"/>
          <w:kern w:val="0"/>
          <w:sz w:val="18"/>
          <w:szCs w:val="18"/>
        </w:rPr>
        <w:t>绩效优先，兼顾公平〞和责、权、利相统一的原那么，逐步建立与落实校、院〔系〕两级管理体制，落实院〔系〕分配自主权，实行学校宏观科学管理，院〔系〕自主分配，建立以绩效评价为主要依据的动态分配新机制。</w:t>
      </w:r>
    </w:p>
    <w:p w:rsidR="009C694F" w:rsidRPr="00535757" w:rsidP="009C694F">
      <w:pPr>
        <w:widowControl/>
        <w:wordWrap w:val="0"/>
        <w:snapToGrid w:val="0"/>
        <w:spacing w:line="360" w:lineRule="auto"/>
        <w:ind w:firstLine="420"/>
        <w:jc w:val="left"/>
        <w:rPr>
          <w:rFonts w:ascii="DFKai-SB" w:eastAsia="DFKai-SB" w:hAnsi="DFKai-SB" w:cs="宋体" w:hint="eastAsia"/>
          <w:color w:val="676C94"/>
          <w:kern w:val="0"/>
          <w:sz w:val="18"/>
          <w:szCs w:val="18"/>
        </w:rPr>
      </w:pPr>
      <w:r w:rsidRPr="00535757">
        <w:rPr>
          <w:rFonts w:ascii="DFKai-SB" w:eastAsia="DFKai-SB" w:hAnsi="DFKai-SB" w:cs="宋体" w:hint="eastAsia"/>
          <w:color w:val="676C94"/>
          <w:kern w:val="0"/>
          <w:sz w:val="18"/>
          <w:szCs w:val="18"/>
        </w:rPr>
        <w:t>2．岗位绩效工资要坚持导向有利于提高教学、科研管理和效劳的水平；有利于提高工作效率和强化职工的责任心与事业心；有利于优秀人才的脱颖而出；有利于稳定骨干队伍；有利于学校教育事业又好又快的开展。</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hint="eastAsia"/>
          <w:color w:val="676C94"/>
          <w:kern w:val="0"/>
          <w:sz w:val="24"/>
        </w:rPr>
      </w:pPr>
      <w:r w:rsidRPr="00535757">
        <w:rPr>
          <w:rFonts w:ascii="DFKai-SB" w:eastAsia="DFKai-SB" w:hAnsi="DFKai-SB" w:cs="宋体" w:hint="eastAsia"/>
          <w:color w:val="676C94"/>
          <w:kern w:val="0"/>
          <w:sz w:val="24"/>
        </w:rPr>
        <w:t>3．岗位绩效工资主要贯彻</w:t>
      </w:r>
      <w:r w:rsidRPr="00535757">
        <w:rPr>
          <w:rFonts w:ascii="DFKai-SB" w:eastAsia="DFKai-SB" w:hAnsi="DFKai-SB" w:cs="宋体" w:hint="eastAsia"/>
          <w:color w:val="676C94"/>
          <w:kern w:val="0"/>
          <w:sz w:val="24"/>
        </w:rPr>
        <w:t>“</w:t>
      </w:r>
      <w:r w:rsidRPr="00535757">
        <w:rPr>
          <w:rFonts w:ascii="DFKai-SB" w:eastAsia="DFKai-SB" w:hAnsi="DFKai-SB" w:cs="宋体" w:hint="eastAsia"/>
          <w:color w:val="676C94"/>
          <w:kern w:val="0"/>
          <w:sz w:val="24"/>
        </w:rPr>
        <w:t>优化构造，按需设岗；淡化身份，强化岗位；以岗定酬，严格考核；优劳优酬，责酬相符〞的原那么。</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4．本着实事求是、科学、客观、合理的要求，逐步加大绩效奖励力度，有利于稳定专业技术、管理、工勤技能骨干和引进高层次人才。</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sectPr>
          <w:headerReference w:type="default" r:id="rId4"/>
          <w:footerReference w:type="even" r:id="rId5"/>
          <w:footerReference w:type="default" r:id="rId6"/>
          <w:footerReference w:type="first" r:id="rId7"/>
          <w:pgSz w:w="11906" w:h="16838"/>
          <w:pgMar w:top="1440" w:right="1800" w:bottom="1440" w:left="1800" w:header="851" w:footer="992" w:gutter="0"/>
          <w:cols w:space="425"/>
          <w:titlePg/>
          <w:docGrid w:type="lines" w:linePitch="312"/>
        </w:sectPr>
      </w:pPr>
      <w:r w:rsidRPr="00535757">
        <w:rPr>
          <w:rFonts w:ascii="DFKai-SB" w:eastAsia="DFKai-SB" w:hAnsi="DFKai-SB" w:cs="宋体" w:hint="eastAsia"/>
          <w:color w:val="676C94"/>
          <w:kern w:val="0"/>
          <w:sz w:val="24"/>
        </w:rPr>
        <w:t>5．岗位绩效工资发放范围主要是在职在岗的正式职工，同时对劳保人员、校内离岗休养人员发放局部补助。</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 xml:space="preserve">6．统筹考虑教学科研人员和管理及教学辅助人员的利益分配，坚持向工作奉献在教学科研第一线的教师和在教学科研工作方面做出突出成绩的教师倾斜。 </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7．岗位绩效工资实行校、院〔系〕两级管理。学校对各院〔系〕实行工作任务与院〔系〕基金总额包干制度，以利于院〔系〕积极性、创造性和自主权的发挥。各教学院〔系〕应按照学校的实施方案和有关规定，根据本单位的实际情况和实际担负的工作任务，自主制定本院〔系〕的实施细那么，并在广泛征求本单位职工意见根底上，经同级教代会讨论通过后执行。</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三、岗位绩效工资的构成</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岗位绩效工资分为根本岗位工资、绩效工资两局部。</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绩效工资由根底绩效和奖励绩效构成。</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根本岗位工资指根据受聘人岗位及工作年限所发放的工资。</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根底绩效是指根据受聘人履行根本岗位职责及其任务所发放的绩效工资。</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奖励绩效是指根据受聘人超额完成岗位职责和突出奉献所发放的绩效工资。</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四、本方案包括?XX工业大学教师岗位绩效工资实施方法?、?XX工业大学管理及教学辅助人员岗位绩效工资实施方法?、?XX工业大学奖励绩效管理方法?三个文件。</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五、本方案自</w:t>
      </w:r>
      <w:r w:rsidRPr="00535757">
        <w:rPr>
          <w:rFonts w:ascii="DFKai-SB" w:eastAsia="DFKai-SB" w:hAnsi="DFKai-SB" w:cs="宋体" w:hint="eastAsia"/>
          <w:color w:val="676C94"/>
          <w:kern w:val="0"/>
          <w:sz w:val="24"/>
        </w:rPr>
        <w:t>    </w:t>
      </w:r>
      <w:r w:rsidRPr="00535757">
        <w:rPr>
          <w:rFonts w:ascii="DFKai-SB" w:eastAsia="DFKai-SB" w:hAnsi="DFKai-SB" w:cs="宋体" w:hint="eastAsia"/>
          <w:color w:val="676C94"/>
          <w:kern w:val="0"/>
          <w:sz w:val="24"/>
        </w:rPr>
        <w:t xml:space="preserve"> 年</w:t>
      </w:r>
      <w:r w:rsidRPr="00535757">
        <w:rPr>
          <w:rFonts w:ascii="DFKai-SB" w:eastAsia="DFKai-SB" w:hAnsi="DFKai-SB" w:cs="宋体" w:hint="eastAsia"/>
          <w:color w:val="676C94"/>
          <w:kern w:val="0"/>
          <w:sz w:val="24"/>
        </w:rPr>
        <w:t>   </w:t>
      </w:r>
      <w:r w:rsidRPr="00535757">
        <w:rPr>
          <w:rFonts w:ascii="DFKai-SB" w:eastAsia="DFKai-SB" w:hAnsi="DFKai-SB" w:cs="宋体" w:hint="eastAsia"/>
          <w:color w:val="676C94"/>
          <w:kern w:val="0"/>
          <w:sz w:val="24"/>
        </w:rPr>
        <w:t xml:space="preserve"> 月</w:t>
      </w:r>
      <w:r w:rsidRPr="00535757">
        <w:rPr>
          <w:rFonts w:ascii="DFKai-SB" w:eastAsia="DFKai-SB" w:hAnsi="DFKai-SB" w:cs="宋体" w:hint="eastAsia"/>
          <w:color w:val="676C94"/>
          <w:kern w:val="0"/>
          <w:sz w:val="24"/>
        </w:rPr>
        <w:t>   </w:t>
      </w:r>
      <w:r w:rsidRPr="00535757">
        <w:rPr>
          <w:rFonts w:ascii="DFKai-SB" w:eastAsia="DFKai-SB" w:hAnsi="DFKai-SB" w:cs="宋体" w:hint="eastAsia"/>
          <w:color w:val="676C94"/>
          <w:kern w:val="0"/>
          <w:sz w:val="24"/>
        </w:rPr>
        <w:t xml:space="preserve"> 日起执行。学校原绩效工资实施方案和其它与本方案相抵触的相关规定即行废止。</w:t>
      </w:r>
    </w:p>
    <w:p w:rsidR="009C694F" w:rsidRPr="00535757" w:rsidP="009C694F">
      <w:pPr>
        <w:widowControl/>
        <w:wordWrap w:val="0"/>
        <w:snapToGrid w:val="0"/>
        <w:spacing w:before="100" w:beforeAutospacing="1" w:after="100" w:afterAutospacing="1" w:line="360" w:lineRule="auto"/>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 </w:t>
      </w:r>
    </w:p>
    <w:p w:rsidR="009C694F" w:rsidRPr="00535757" w:rsidP="009C694F">
      <w:pPr>
        <w:widowControl/>
        <w:wordWrap w:val="0"/>
        <w:snapToGrid w:val="0"/>
        <w:spacing w:before="100" w:beforeAutospacing="1" w:after="100" w:afterAutospacing="1" w:line="360" w:lineRule="auto"/>
        <w:jc w:val="left"/>
        <w:rPr>
          <w:rFonts w:ascii="DFKai-SB" w:eastAsia="DFKai-SB" w:hAnsi="DFKai-SB" w:cs="宋体"/>
          <w:color w:val="676C94"/>
          <w:kern w:val="0"/>
          <w:sz w:val="24"/>
        </w:rPr>
      </w:pPr>
      <w:r w:rsidRPr="00535757">
        <w:rPr>
          <w:rFonts w:ascii="DFKai-SB" w:eastAsia="DFKai-SB" w:hAnsi="DFKai-SB" w:cs="宋体"/>
          <w:color w:val="676C94"/>
          <w:kern w:val="0"/>
          <w:sz w:val="24"/>
        </w:rPr>
        <w:t> </w:t>
      </w:r>
    </w:p>
    <w:p w:rsidR="009C694F" w:rsidRPr="00535757" w:rsidP="009C694F">
      <w:pPr>
        <w:widowControl/>
        <w:wordWrap w:val="0"/>
        <w:snapToGrid w:val="0"/>
        <w:spacing w:before="100" w:beforeAutospacing="1" w:after="100" w:afterAutospacing="1" w:line="360" w:lineRule="auto"/>
        <w:jc w:val="left"/>
        <w:rPr>
          <w:rFonts w:ascii="DFKai-SB" w:eastAsia="DFKai-SB" w:hAnsi="DFKai-SB" w:cs="宋体"/>
          <w:color w:val="676C94"/>
          <w:kern w:val="0"/>
          <w:sz w:val="24"/>
        </w:rPr>
      </w:pPr>
      <w:r w:rsidRPr="00535757">
        <w:rPr>
          <w:rFonts w:ascii="DFKai-SB" w:eastAsia="DFKai-SB" w:hAnsi="DFKai-SB" w:cs="宋体"/>
          <w:color w:val="676C94"/>
          <w:kern w:val="0"/>
          <w:sz w:val="24"/>
        </w:rPr>
        <w:t> </w:t>
      </w:r>
    </w:p>
    <w:p w:rsidR="009C694F" w:rsidRPr="00535757" w:rsidP="009C694F">
      <w:pPr>
        <w:widowControl/>
        <w:wordWrap w:val="0"/>
        <w:snapToGrid w:val="0"/>
        <w:spacing w:before="100" w:beforeAutospacing="1" w:after="100" w:afterAutospacing="1" w:line="360" w:lineRule="auto"/>
        <w:jc w:val="left"/>
        <w:rPr>
          <w:rFonts w:ascii="DFKai-SB" w:eastAsia="DFKai-SB" w:hAnsi="DFKai-SB" w:cs="宋体"/>
          <w:color w:val="676C94"/>
          <w:kern w:val="0"/>
          <w:sz w:val="24"/>
        </w:rPr>
        <w:sectPr>
          <w:headerReference w:type="default" r:id="rId8"/>
          <w:footerReference w:type="even" r:id="rId9"/>
          <w:footerReference w:type="default" r:id="rId10"/>
          <w:footerReference w:type="first" r:id="rId11"/>
          <w:type w:val="nextPage"/>
          <w:pgSz w:w="11906" w:h="16838"/>
          <w:pgMar w:top="1440" w:right="1800" w:bottom="1440" w:left="1800" w:header="851" w:footer="992" w:gutter="0"/>
          <w:pgNumType w:start="2"/>
          <w:cols w:space="425"/>
          <w:titlePg w:val="0"/>
          <w:docGrid w:type="lines" w:linePitch="312"/>
        </w:sectPr>
      </w:pPr>
      <w:r w:rsidRPr="00535757">
        <w:rPr>
          <w:rFonts w:ascii="DFKai-SB" w:eastAsia="DFKai-SB" w:hAnsi="DFKai-SB" w:cs="宋体" w:hint="eastAsia"/>
          <w:color w:val="676C94"/>
          <w:kern w:val="0"/>
          <w:sz w:val="24"/>
        </w:rPr>
        <w:t>附件一：</w:t>
      </w:r>
    </w:p>
    <w:p w:rsidR="009C694F" w:rsidRPr="00535757" w:rsidP="009C694F">
      <w:pPr>
        <w:widowControl/>
        <w:wordWrap w:val="0"/>
        <w:snapToGrid w:val="0"/>
        <w:spacing w:before="100" w:beforeAutospacing="1" w:after="100" w:afterAutospacing="1" w:line="360" w:lineRule="auto"/>
        <w:jc w:val="center"/>
        <w:rPr>
          <w:rFonts w:ascii="DFKai-SB" w:eastAsia="DFKai-SB" w:hAnsi="DFKai-SB" w:cs="宋体"/>
          <w:color w:val="676C94"/>
          <w:kern w:val="0"/>
          <w:sz w:val="24"/>
        </w:rPr>
      </w:pPr>
      <w:r w:rsidRPr="00535757">
        <w:rPr>
          <w:rFonts w:ascii="DFKai-SB" w:eastAsia="DFKai-SB" w:hAnsi="DFKai-SB" w:cs="宋体" w:hint="eastAsia"/>
          <w:color w:val="676C94"/>
          <w:kern w:val="0"/>
          <w:sz w:val="28"/>
          <w:szCs w:val="28"/>
        </w:rPr>
        <w:t>XX工业大学教师岗位绩效工资实施方法</w:t>
      </w:r>
    </w:p>
    <w:p w:rsidR="009C694F" w:rsidRPr="00535757" w:rsidP="009C694F">
      <w:pPr>
        <w:widowControl/>
        <w:wordWrap w:val="0"/>
        <w:snapToGrid w:val="0"/>
        <w:spacing w:before="100" w:beforeAutospacing="1" w:after="100" w:afterAutospacing="1" w:line="360" w:lineRule="auto"/>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  </w:t>
      </w:r>
      <w:r w:rsidRPr="00535757">
        <w:rPr>
          <w:rFonts w:ascii="DFKai-SB" w:eastAsia="DFKai-SB" w:hAnsi="DFKai-SB" w:cs="宋体" w:hint="eastAsia"/>
          <w:color w:val="676C94"/>
          <w:kern w:val="0"/>
          <w:sz w:val="24"/>
        </w:rPr>
        <w:t xml:space="preserve"> 为了进一步深化收入分配制度改革，坚持</w:t>
      </w:r>
      <w:r w:rsidRPr="00535757">
        <w:rPr>
          <w:rFonts w:ascii="DFKai-SB" w:eastAsia="DFKai-SB" w:hAnsi="DFKai-SB" w:cs="宋体" w:hint="eastAsia"/>
          <w:color w:val="676C94"/>
          <w:kern w:val="0"/>
          <w:sz w:val="24"/>
        </w:rPr>
        <w:t>“</w:t>
      </w:r>
      <w:r w:rsidRPr="00535757">
        <w:rPr>
          <w:rFonts w:ascii="DFKai-SB" w:eastAsia="DFKai-SB" w:hAnsi="DFKai-SB" w:cs="宋体" w:hint="eastAsia"/>
          <w:color w:val="676C94"/>
          <w:kern w:val="0"/>
          <w:sz w:val="24"/>
        </w:rPr>
        <w:t>绩效优先、兼顾公平〞为原那么的动态分配机制，充分发挥分配的鼓励导向作用，调动教师工作的创造性和积极性，提高教学质量和科学研究水平，促进学校教育事业又好又快开展，特制订本方法。</w:t>
      </w:r>
    </w:p>
    <w:p w:rsidR="009C694F" w:rsidRPr="00535757" w:rsidP="009C694F">
      <w:pPr>
        <w:widowControl/>
        <w:wordWrap w:val="0"/>
        <w:snapToGrid w:val="0"/>
        <w:spacing w:before="100" w:beforeAutospacing="1" w:after="100" w:afterAutospacing="1" w:line="360" w:lineRule="auto"/>
        <w:ind w:left="554"/>
        <w:jc w:val="center"/>
        <w:rPr>
          <w:rFonts w:ascii="DFKai-SB" w:eastAsia="DFKai-SB" w:hAnsi="DFKai-SB" w:cs="宋体"/>
          <w:color w:val="676C94"/>
          <w:kern w:val="0"/>
          <w:sz w:val="24"/>
        </w:rPr>
      </w:pPr>
      <w:r w:rsidRPr="00535757">
        <w:rPr>
          <w:rFonts w:ascii="DFKai-SB" w:eastAsia="DFKai-SB" w:hAnsi="DFKai-SB" w:cs="宋体" w:hint="eastAsia"/>
          <w:b/>
          <w:bCs/>
          <w:color w:val="676C94"/>
          <w:kern w:val="0"/>
          <w:sz w:val="24"/>
        </w:rPr>
        <w:t>教师岗位绩效工资实施的根本原那么</w:t>
      </w:r>
    </w:p>
    <w:p w:rsidR="009C694F" w:rsidRPr="00535757" w:rsidP="009C694F">
      <w:pPr>
        <w:widowControl/>
        <w:wordWrap w:val="0"/>
        <w:snapToGrid w:val="0"/>
        <w:spacing w:before="100" w:beforeAutospacing="1" w:after="100" w:afterAutospacing="1" w:line="360" w:lineRule="auto"/>
        <w:ind w:firstLine="414"/>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岗位绩效工资是学校在定编、定岗、定责和聘任的根底上，根据受聘人岗位职责及其目标、任务实际履行的数量和质量以及作出的奉献所发放的劳动报酬。教师岗位绩效工资贯彻以下指导思想和根本原那么：</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1．贯彻国家关于事业单位分配</w:t>
      </w:r>
      <w:r w:rsidRPr="00535757">
        <w:rPr>
          <w:rFonts w:ascii="DFKai-SB" w:eastAsia="DFKai-SB" w:hAnsi="DFKai-SB" w:cs="宋体" w:hint="eastAsia"/>
          <w:color w:val="676C94"/>
          <w:kern w:val="0"/>
          <w:sz w:val="24"/>
        </w:rPr>
        <w:t>“</w:t>
      </w:r>
      <w:r w:rsidRPr="00535757">
        <w:rPr>
          <w:rFonts w:ascii="DFKai-SB" w:eastAsia="DFKai-SB" w:hAnsi="DFKai-SB" w:cs="宋体" w:hint="eastAsia"/>
          <w:color w:val="676C94"/>
          <w:kern w:val="0"/>
          <w:sz w:val="24"/>
        </w:rPr>
        <w:t>绩效优先、兼顾公平〞的原那么，遵循</w:t>
      </w:r>
      <w:r w:rsidRPr="00535757">
        <w:rPr>
          <w:rFonts w:ascii="DFKai-SB" w:eastAsia="DFKai-SB" w:hAnsi="DFKai-SB" w:cs="宋体" w:hint="eastAsia"/>
          <w:color w:val="676C94"/>
          <w:kern w:val="0"/>
          <w:sz w:val="24"/>
        </w:rPr>
        <w:t>“</w:t>
      </w:r>
      <w:r w:rsidRPr="00535757">
        <w:rPr>
          <w:rFonts w:ascii="DFKai-SB" w:eastAsia="DFKai-SB" w:hAnsi="DFKai-SB" w:cs="宋体" w:hint="eastAsia"/>
          <w:color w:val="676C94"/>
          <w:kern w:val="0"/>
          <w:sz w:val="24"/>
        </w:rPr>
        <w:t>优化构造，按需设岗；淡化身份，强化岗位；以岗定酬，严格考核；优劳优酬，责酬相符〞的根本原那么，根据个人业绩和奉献，建立能上能下的动态分配鼓励机制。</w:t>
      </w:r>
    </w:p>
    <w:p w:rsidR="009C694F" w:rsidRPr="00535757" w:rsidP="009C694F">
      <w:pPr>
        <w:widowControl/>
        <w:wordWrap w:val="0"/>
        <w:snapToGrid w:val="0"/>
        <w:spacing w:before="100" w:beforeAutospacing="1" w:after="100" w:afterAutospacing="1" w:line="360" w:lineRule="auto"/>
        <w:ind w:left="48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2．向工作在教学科研第一线的教师倾斜。</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3．绩效工资分配实行校、院〔系〕两级管理，以院〔系〕自主分配为主导。</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4．实施绩效工资的前提和根底是对根本工资〔岗位工资和薪级工资〕局部工作任务及相应责任的具体落实，在此根底上再明确绩效工资相对应的根本任务与责任。</w:t>
      </w:r>
    </w:p>
    <w:p w:rsidR="009C694F" w:rsidRPr="00535757" w:rsidP="009C694F">
      <w:pPr>
        <w:widowControl/>
        <w:wordWrap w:val="0"/>
        <w:snapToGrid w:val="0"/>
        <w:spacing w:before="100" w:beforeAutospacing="1" w:after="100" w:afterAutospacing="1" w:line="360" w:lineRule="auto"/>
        <w:jc w:val="center"/>
        <w:rPr>
          <w:rFonts w:ascii="DFKai-SB" w:eastAsia="DFKai-SB" w:hAnsi="DFKai-SB" w:cs="宋体"/>
          <w:color w:val="676C94"/>
          <w:kern w:val="0"/>
          <w:sz w:val="24"/>
        </w:rPr>
      </w:pPr>
      <w:r w:rsidRPr="00535757">
        <w:rPr>
          <w:rFonts w:ascii="DFKai-SB" w:eastAsia="DFKai-SB" w:hAnsi="DFKai-SB" w:cs="宋体" w:hint="eastAsia"/>
          <w:b/>
          <w:bCs/>
          <w:color w:val="676C94"/>
          <w:kern w:val="0"/>
          <w:sz w:val="24"/>
        </w:rPr>
        <w:t>教师岗位根本工资局部的考核及发放</w:t>
      </w:r>
    </w:p>
    <w:p w:rsidR="009C694F" w:rsidRPr="00535757" w:rsidP="009C694F">
      <w:pPr>
        <w:widowControl/>
        <w:wordWrap w:val="0"/>
        <w:snapToGrid w:val="0"/>
        <w:spacing w:before="100" w:beforeAutospacing="1" w:after="100" w:afterAutospacing="1" w:line="360" w:lineRule="auto"/>
        <w:ind w:firstLine="495"/>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一、根本任务及责任</w:t>
      </w:r>
    </w:p>
    <w:p w:rsidR="009C694F" w:rsidRPr="00535757" w:rsidP="009C694F">
      <w:pPr>
        <w:widowControl/>
        <w:wordWrap w:val="0"/>
        <w:snapToGrid w:val="0"/>
        <w:spacing w:before="100" w:beforeAutospacing="1" w:after="100" w:afterAutospacing="1" w:line="360" w:lineRule="auto"/>
        <w:ind w:firstLine="495"/>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全额领取根本工资的教师应完成和履行相应的根本任务与岗位职责。</w:t>
      </w:r>
    </w:p>
    <w:tbl>
      <w:tblPr>
        <w:tblStyle w:val="TableNormal"/>
        <w:tblW w:w="8860" w:type="dxa"/>
        <w:tblCellMar>
          <w:left w:w="0" w:type="dxa"/>
          <w:right w:w="0" w:type="dxa"/>
        </w:tblCellMar>
        <w:tblLook w:val="0000"/>
      </w:tblPr>
      <w:tblGrid>
        <w:gridCol w:w="2088"/>
        <w:gridCol w:w="4612"/>
        <w:gridCol w:w="2160"/>
      </w:tblGrid>
      <w:tr w:rsidTr="009C694F">
        <w:tblPrEx>
          <w:tblW w:w="8860" w:type="dxa"/>
          <w:tblCellMar>
            <w:left w:w="0" w:type="dxa"/>
            <w:right w:w="0" w:type="dxa"/>
          </w:tblCellMar>
          <w:tblLook w:val="0000"/>
        </w:tblPrEx>
        <w:tc>
          <w:tcPr>
            <w:tcW w:w="208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9C694F" w:rsidRPr="00535757" w:rsidP="009C694F">
            <w:pPr>
              <w:widowControl/>
              <w:spacing w:before="100" w:beforeAutospacing="1" w:after="100" w:afterAutospacing="1" w:line="270" w:lineRule="atLeast"/>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专业技术职称</w:t>
            </w:r>
          </w:p>
        </w:tc>
        <w:tc>
          <w:tcPr>
            <w:tcW w:w="461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676C94"/>
                <w:kern w:val="0"/>
                <w:sz w:val="24"/>
              </w:rPr>
              <w:t> </w:t>
            </w:r>
            <w:r w:rsidRPr="00535757">
              <w:rPr>
                <w:rFonts w:ascii="DFKai-SB" w:eastAsia="DFKai-SB" w:hAnsi="DFKai-SB" w:cs="宋体" w:hint="eastAsia"/>
                <w:color w:val="676C94"/>
                <w:kern w:val="0"/>
                <w:sz w:val="24"/>
              </w:rPr>
              <w:t>教师年均教学工作量〔课时〕</w:t>
            </w:r>
          </w:p>
        </w:tc>
        <w:tc>
          <w:tcPr>
            <w:tcW w:w="216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676C94"/>
                <w:kern w:val="0"/>
                <w:sz w:val="24"/>
              </w:rPr>
              <w:t>其他工作量</w:t>
            </w:r>
          </w:p>
        </w:tc>
      </w:tr>
      <w:tr w:rsidTr="009C694F">
        <w:tblPrEx>
          <w:tblW w:w="8860" w:type="dxa"/>
          <w:tblCellMar>
            <w:left w:w="0" w:type="dxa"/>
            <w:right w:w="0" w:type="dxa"/>
          </w:tblCellMar>
          <w:tblLook w:val="0000"/>
        </w:tblPrEx>
        <w:tc>
          <w:tcPr>
            <w:tcW w:w="208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676C94"/>
                <w:kern w:val="0"/>
                <w:sz w:val="24"/>
              </w:rPr>
              <w:t>正高级</w:t>
            </w:r>
          </w:p>
        </w:tc>
        <w:tc>
          <w:tcPr>
            <w:tcW w:w="4612" w:type="dxa"/>
            <w:tcBorders>
              <w:top w:val="nil"/>
              <w:left w:val="nil"/>
              <w:bottom w:val="single" w:sz="8" w:space="0" w:color="auto"/>
              <w:right w:val="single" w:sz="8" w:space="0" w:color="auto"/>
            </w:tcBorders>
            <w:tcMar>
              <w:top w:w="0" w:type="dxa"/>
              <w:left w:w="108" w:type="dxa"/>
              <w:bottom w:w="0" w:type="dxa"/>
              <w:right w:w="108" w:type="dxa"/>
            </w:tcMar>
          </w:tcPr>
          <w:p w:rsidR="009C694F" w:rsidRPr="00535757" w:rsidP="009C694F">
            <w:pPr>
              <w:widowControl/>
              <w:spacing w:before="100" w:beforeAutospacing="1" w:after="0" w:afterAutospacing="1" w:line="270" w:lineRule="atLeast"/>
              <w:jc w:val="center"/>
              <w:rPr>
                <w:rFonts w:ascii="DFKai-SB" w:eastAsia="DFKai-SB" w:hAnsi="DFKai-SB" w:cs="宋体"/>
                <w:color w:val="676C94"/>
                <w:kern w:val="0"/>
                <w:sz w:val="24"/>
              </w:rPr>
            </w:pPr>
          </w:p>
        </w:tc>
        <w:tc>
          <w:tcPr>
            <w:tcW w:w="2160" w:type="dxa"/>
            <w:tcBorders>
              <w:top w:val="nil"/>
              <w:left w:val="nil"/>
              <w:bottom w:val="single" w:sz="8" w:space="0" w:color="auto"/>
              <w:right w:val="single" w:sz="8" w:space="0" w:color="auto"/>
            </w:tcBorders>
            <w:tcMar>
              <w:top w:w="0" w:type="dxa"/>
              <w:left w:w="108" w:type="dxa"/>
              <w:bottom w:w="0" w:type="dxa"/>
              <w:right w:w="108" w:type="dxa"/>
            </w:tcMa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676C94"/>
                <w:kern w:val="0"/>
                <w:sz w:val="24"/>
              </w:rPr>
              <w:t>学科建立任务</w:t>
            </w:r>
          </w:p>
        </w:tc>
      </w:tr>
    </w:tbl>
    <w:p>
      <w:pPr>
        <w:sectPr>
          <w:headerReference w:type="default" r:id="rId12"/>
          <w:footerReference w:type="even" r:id="rId13"/>
          <w:footerReference w:type="default" r:id="rId14"/>
          <w:footerReference w:type="first" r:id="rId15"/>
          <w:type w:val="nextPage"/>
          <w:pgSz w:w="11906" w:h="16838"/>
          <w:pgMar w:top="1440" w:right="1800" w:bottom="1440" w:left="1800" w:header="851" w:footer="992" w:gutter="0"/>
          <w:pgNumType w:start="3"/>
          <w:cols w:space="425"/>
          <w:titlePg w:val="0"/>
          <w:docGrid w:type="lines" w:linePitch="312"/>
        </w:sectPr>
      </w:pPr>
    </w:p>
    <w:tbl>
      <w:tblPr>
        <w:tblStyle w:val="TableNormal"/>
        <w:tblW w:w="8860" w:type="dxa"/>
        <w:tblCellMar>
          <w:left w:w="0" w:type="dxa"/>
          <w:right w:w="0" w:type="dxa"/>
        </w:tblCellMar>
        <w:tblLook w:val="0000"/>
      </w:tblPr>
      <w:tblGrid>
        <w:gridCol w:w="2088"/>
        <w:gridCol w:w="4612"/>
        <w:gridCol w:w="2160"/>
      </w:tblGrid>
      <w:tr w:rsidTr="009C694F">
        <w:tblPrEx>
          <w:tblW w:w="8860" w:type="dxa"/>
          <w:tblCellMar>
            <w:left w:w="0" w:type="dxa"/>
            <w:right w:w="0" w:type="dxa"/>
          </w:tblCellMar>
          <w:tblLook w:val="0000"/>
        </w:tblPrEx>
        <w:tc>
          <w:tcPr>
            <w:tcW w:w="2088" w:type="dxa"/>
            <w:tcBorders>
              <w:top w:val="nil"/>
              <w:left w:val="single" w:sz="8" w:space="0" w:color="auto"/>
              <w:bottom w:val="single" w:sz="8" w:space="0" w:color="auto"/>
              <w:right w:val="single" w:sz="8" w:space="0" w:color="auto"/>
            </w:tcBorders>
            <w:tcMar>
              <w:top w:w="0" w:type="dxa"/>
              <w:left w:w="108" w:type="dxa"/>
              <w:bottom w:w="0" w:type="dxa"/>
              <w:right w:w="108" w:type="dxa"/>
            </w:tcMar>
          </w:tcPr>
          <w:p/>
        </w:tc>
        <w:tc>
          <w:tcPr>
            <w:tcW w:w="4612" w:type="dxa"/>
            <w:tcBorders>
              <w:top w:val="nil"/>
              <w:left w:val="nil"/>
              <w:bottom w:val="single" w:sz="8" w:space="0" w:color="auto"/>
              <w:right w:val="single" w:sz="8" w:space="0" w:color="auto"/>
            </w:tcBorders>
            <w:tcMar>
              <w:top w:w="0" w:type="dxa"/>
              <w:left w:w="108" w:type="dxa"/>
              <w:bottom w:w="0" w:type="dxa"/>
              <w:right w:w="108" w:type="dxa"/>
            </w:tcMar>
          </w:tcPr>
          <w:p w:rsidR="009C694F" w:rsidRPr="00535757" w:rsidP="009C694F">
            <w:pPr>
              <w:widowControl/>
              <w:spacing w:before="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FF0000"/>
                <w:kern w:val="0"/>
                <w:sz w:val="24"/>
              </w:rPr>
              <w:t>80〔其中至少含一门不低于32课时的本科课程〕</w:t>
            </w:r>
          </w:p>
        </w:tc>
        <w:tc>
          <w:tcPr>
            <w:tcW w:w="2160" w:type="dxa"/>
            <w:tcBorders>
              <w:top w:val="nil"/>
              <w:left w:val="nil"/>
              <w:bottom w:val="single" w:sz="8" w:space="0" w:color="auto"/>
              <w:right w:val="single" w:sz="8" w:space="0" w:color="auto"/>
            </w:tcBorders>
            <w:tcMar>
              <w:top w:w="0" w:type="dxa"/>
              <w:left w:w="108" w:type="dxa"/>
              <w:bottom w:w="0" w:type="dxa"/>
              <w:right w:w="108" w:type="dxa"/>
            </w:tcMar>
          </w:tcPr>
          <w:p/>
        </w:tc>
      </w:tr>
      <w:tr w:rsidTr="009C694F">
        <w:tblPrEx>
          <w:tblW w:w="8860" w:type="dxa"/>
          <w:tblCellMar>
            <w:left w:w="0" w:type="dxa"/>
            <w:right w:w="0" w:type="dxa"/>
          </w:tblCellMar>
          <w:tblLook w:val="0000"/>
        </w:tblPrEx>
        <w:tc>
          <w:tcPr>
            <w:tcW w:w="208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676C94"/>
                <w:kern w:val="0"/>
                <w:sz w:val="24"/>
              </w:rPr>
              <w:t>副高级</w:t>
            </w:r>
          </w:p>
        </w:tc>
        <w:tc>
          <w:tcPr>
            <w:tcW w:w="4612" w:type="dxa"/>
            <w:tcBorders>
              <w:top w:val="nil"/>
              <w:left w:val="nil"/>
              <w:bottom w:val="single" w:sz="8" w:space="0" w:color="auto"/>
              <w:right w:val="single" w:sz="8" w:space="0" w:color="auto"/>
            </w:tcBorders>
            <w:tcMar>
              <w:top w:w="0" w:type="dxa"/>
              <w:left w:w="108" w:type="dxa"/>
              <w:bottom w:w="0" w:type="dxa"/>
              <w:right w:w="108" w:type="dxa"/>
            </w:tcMa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FF0000"/>
                <w:kern w:val="0"/>
                <w:sz w:val="24"/>
              </w:rPr>
              <w:t>80〔其中至少含一门不低于32课时的本科课程〕</w:t>
            </w:r>
          </w:p>
        </w:tc>
        <w:tc>
          <w:tcPr>
            <w:tcW w:w="2160" w:type="dxa"/>
            <w:tcBorders>
              <w:top w:val="nil"/>
              <w:left w:val="nil"/>
              <w:bottom w:val="single" w:sz="8" w:space="0" w:color="auto"/>
              <w:right w:val="single" w:sz="8" w:space="0" w:color="auto"/>
            </w:tcBorders>
            <w:tcMar>
              <w:top w:w="0" w:type="dxa"/>
              <w:left w:w="108" w:type="dxa"/>
              <w:bottom w:w="0" w:type="dxa"/>
              <w:right w:w="108" w:type="dxa"/>
            </w:tcMa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676C94"/>
                <w:kern w:val="0"/>
                <w:sz w:val="24"/>
              </w:rPr>
              <w:t>学科建立任务</w:t>
            </w:r>
          </w:p>
        </w:tc>
      </w:tr>
      <w:tr w:rsidTr="009C694F">
        <w:tblPrEx>
          <w:tblW w:w="8860" w:type="dxa"/>
          <w:tblCellMar>
            <w:left w:w="0" w:type="dxa"/>
            <w:right w:w="0" w:type="dxa"/>
          </w:tblCellMar>
          <w:tblLook w:val="0000"/>
        </w:tblPrEx>
        <w:tc>
          <w:tcPr>
            <w:tcW w:w="208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676C94"/>
                <w:kern w:val="0"/>
                <w:sz w:val="24"/>
              </w:rPr>
              <w:t>中</w:t>
            </w:r>
            <w:r w:rsidRPr="00535757">
              <w:rPr>
                <w:rFonts w:ascii="DFKai-SB" w:eastAsia="DFKai-SB" w:hAnsi="DFKai-SB" w:cs="宋体" w:hint="eastAsia"/>
                <w:color w:val="676C94"/>
                <w:kern w:val="0"/>
                <w:sz w:val="24"/>
              </w:rPr>
              <w:t> </w:t>
            </w:r>
            <w:r w:rsidRPr="00535757">
              <w:rPr>
                <w:rFonts w:ascii="DFKai-SB" w:eastAsia="DFKai-SB" w:hAnsi="DFKai-SB" w:cs="宋体" w:hint="eastAsia"/>
                <w:color w:val="676C94"/>
                <w:kern w:val="0"/>
                <w:sz w:val="24"/>
              </w:rPr>
              <w:t xml:space="preserve"> 级</w:t>
            </w:r>
          </w:p>
        </w:tc>
        <w:tc>
          <w:tcPr>
            <w:tcW w:w="4612" w:type="dxa"/>
            <w:tcBorders>
              <w:top w:val="nil"/>
              <w:left w:val="nil"/>
              <w:bottom w:val="single" w:sz="8" w:space="0" w:color="auto"/>
              <w:right w:val="single" w:sz="8" w:space="0" w:color="auto"/>
            </w:tcBorders>
            <w:tcMar>
              <w:top w:w="0" w:type="dxa"/>
              <w:left w:w="108" w:type="dxa"/>
              <w:bottom w:w="0" w:type="dxa"/>
              <w:right w:w="108" w:type="dxa"/>
            </w:tcMa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FF0000"/>
                <w:kern w:val="0"/>
                <w:sz w:val="24"/>
              </w:rPr>
              <w:t>80</w:t>
            </w:r>
          </w:p>
        </w:tc>
        <w:tc>
          <w:tcPr>
            <w:tcW w:w="2160" w:type="dxa"/>
            <w:tcBorders>
              <w:top w:val="nil"/>
              <w:left w:val="nil"/>
              <w:bottom w:val="single" w:sz="8" w:space="0" w:color="auto"/>
              <w:right w:val="single" w:sz="8" w:space="0" w:color="auto"/>
            </w:tcBorders>
            <w:tcMar>
              <w:top w:w="0" w:type="dxa"/>
              <w:left w:w="108" w:type="dxa"/>
              <w:bottom w:w="0" w:type="dxa"/>
              <w:right w:w="108" w:type="dxa"/>
            </w:tcMa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676C94"/>
                <w:kern w:val="0"/>
                <w:sz w:val="24"/>
              </w:rPr>
              <w:t> </w:t>
            </w:r>
          </w:p>
        </w:tc>
      </w:tr>
      <w:tr w:rsidTr="009C694F">
        <w:tblPrEx>
          <w:tblW w:w="8860" w:type="dxa"/>
          <w:tblCellMar>
            <w:left w:w="0" w:type="dxa"/>
            <w:right w:w="0" w:type="dxa"/>
          </w:tblCellMar>
          <w:tblLook w:val="0000"/>
        </w:tblPrEx>
        <w:tc>
          <w:tcPr>
            <w:tcW w:w="208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676C94"/>
                <w:kern w:val="0"/>
                <w:sz w:val="24"/>
              </w:rPr>
              <w:t>初</w:t>
            </w:r>
            <w:r w:rsidRPr="00535757">
              <w:rPr>
                <w:rFonts w:ascii="DFKai-SB" w:eastAsia="DFKai-SB" w:hAnsi="DFKai-SB" w:cs="宋体" w:hint="eastAsia"/>
                <w:color w:val="676C94"/>
                <w:kern w:val="0"/>
                <w:sz w:val="24"/>
              </w:rPr>
              <w:t> </w:t>
            </w:r>
            <w:r w:rsidRPr="00535757">
              <w:rPr>
                <w:rFonts w:ascii="DFKai-SB" w:eastAsia="DFKai-SB" w:hAnsi="DFKai-SB" w:cs="宋体" w:hint="eastAsia"/>
                <w:color w:val="676C94"/>
                <w:kern w:val="0"/>
                <w:sz w:val="24"/>
              </w:rPr>
              <w:t xml:space="preserve"> 级</w:t>
            </w:r>
          </w:p>
        </w:tc>
        <w:tc>
          <w:tcPr>
            <w:tcW w:w="4612" w:type="dxa"/>
            <w:tcBorders>
              <w:top w:val="nil"/>
              <w:left w:val="nil"/>
              <w:bottom w:val="single" w:sz="8" w:space="0" w:color="auto"/>
              <w:right w:val="single" w:sz="8" w:space="0" w:color="auto"/>
            </w:tcBorders>
            <w:tcMar>
              <w:top w:w="0" w:type="dxa"/>
              <w:left w:w="108" w:type="dxa"/>
              <w:bottom w:w="0" w:type="dxa"/>
              <w:right w:w="108" w:type="dxa"/>
            </w:tcMa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FF0000"/>
                <w:kern w:val="0"/>
                <w:sz w:val="24"/>
              </w:rPr>
              <w:t>80</w:t>
            </w:r>
          </w:p>
        </w:tc>
        <w:tc>
          <w:tcPr>
            <w:tcW w:w="2160" w:type="dxa"/>
            <w:tcBorders>
              <w:top w:val="nil"/>
              <w:left w:val="nil"/>
              <w:bottom w:val="single" w:sz="8" w:space="0" w:color="auto"/>
              <w:right w:val="single" w:sz="8" w:space="0" w:color="auto"/>
            </w:tcBorders>
            <w:tcMar>
              <w:top w:w="0" w:type="dxa"/>
              <w:left w:w="108" w:type="dxa"/>
              <w:bottom w:w="0" w:type="dxa"/>
              <w:right w:w="108" w:type="dxa"/>
            </w:tcMa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676C94"/>
                <w:kern w:val="0"/>
                <w:sz w:val="24"/>
              </w:rPr>
              <w:t> </w:t>
            </w:r>
          </w:p>
        </w:tc>
      </w:tr>
    </w:tbl>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学科建立任务由各院〔系、部、室、中心，下同〕自行制订。</w:t>
      </w:r>
    </w:p>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注：本方案中的教学工作量的计算方法以校教务处和研究生部制定的教学工作量计算方法为准，课时总量中不包括北信学院、继续教育学院课时〔上述课时酬金另行发放〕。</w:t>
      </w:r>
    </w:p>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二、考核发放方法</w:t>
      </w:r>
    </w:p>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1．根本工资按照国家及学校的相关规定考核发放，发放标准以上级主管部门的审批结果为准。</w:t>
      </w:r>
    </w:p>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2．教师完成的工作量首先用于完成根本工资局部对应的任务，根本工资局部对应的工作量不再参与绩效工资的分配。</w:t>
      </w:r>
    </w:p>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3．经学校人事处批准的校内外借调、脱产学习或承当其他重要任务的教师，每年在教学岗位不满六个月的可免去承当的根本工资局部对应的教学工作量任务。</w:t>
      </w:r>
    </w:p>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4．教师的病假、事假、哺乳假、旷工等情形，按照学校的考勤制度到达扣减根本工资标准的，按照学校考勤制度执行扣减。</w:t>
      </w:r>
    </w:p>
    <w:p w:rsidR="009C694F" w:rsidRPr="00535757" w:rsidP="009C694F">
      <w:pPr>
        <w:widowControl/>
        <w:wordWrap w:val="0"/>
        <w:snapToGrid w:val="0"/>
        <w:spacing w:before="100" w:beforeAutospacing="1" w:after="100" w:afterAutospacing="1" w:line="360" w:lineRule="auto"/>
        <w:jc w:val="center"/>
        <w:rPr>
          <w:rFonts w:ascii="DFKai-SB" w:eastAsia="DFKai-SB" w:hAnsi="DFKai-SB" w:cs="宋体"/>
          <w:color w:val="676C94"/>
          <w:kern w:val="0"/>
          <w:sz w:val="24"/>
        </w:rPr>
      </w:pPr>
      <w:r w:rsidRPr="00535757">
        <w:rPr>
          <w:rFonts w:ascii="DFKai-SB" w:eastAsia="DFKai-SB" w:hAnsi="DFKai-SB" w:cs="宋体" w:hint="eastAsia"/>
          <w:b/>
          <w:bCs/>
          <w:color w:val="676C94"/>
          <w:kern w:val="0"/>
          <w:sz w:val="24"/>
        </w:rPr>
        <w:t> </w:t>
      </w:r>
    </w:p>
    <w:p w:rsidR="009C694F" w:rsidRPr="00535757" w:rsidP="009C694F">
      <w:pPr>
        <w:widowControl/>
        <w:wordWrap w:val="0"/>
        <w:snapToGrid w:val="0"/>
        <w:spacing w:before="100" w:beforeAutospacing="1" w:after="100" w:afterAutospacing="1" w:line="360" w:lineRule="auto"/>
        <w:jc w:val="center"/>
        <w:rPr>
          <w:rFonts w:ascii="DFKai-SB" w:eastAsia="DFKai-SB" w:hAnsi="DFKai-SB" w:cs="宋体"/>
          <w:color w:val="676C94"/>
          <w:kern w:val="0"/>
          <w:sz w:val="24"/>
        </w:rPr>
      </w:pPr>
      <w:r w:rsidRPr="00535757">
        <w:rPr>
          <w:rFonts w:ascii="DFKai-SB" w:eastAsia="DFKai-SB" w:hAnsi="DFKai-SB" w:cs="宋体" w:hint="eastAsia"/>
          <w:b/>
          <w:bCs/>
          <w:color w:val="676C94"/>
          <w:kern w:val="0"/>
          <w:sz w:val="24"/>
        </w:rPr>
        <w:t>教师岗位绩效工资根底绩效局部的聘任和考核</w:t>
      </w:r>
    </w:p>
    <w:p w:rsidR="009C694F" w:rsidRPr="00535757" w:rsidP="009C694F">
      <w:pPr>
        <w:widowControl/>
        <w:wordWrap w:val="0"/>
        <w:snapToGrid w:val="0"/>
        <w:spacing w:before="100" w:beforeAutospacing="1" w:after="100" w:afterAutospacing="1" w:line="360" w:lineRule="auto"/>
        <w:ind w:firstLine="555"/>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一、教师岗位分为十三级，各级的根底绩效局部权重系数如下</w:t>
      </w:r>
    </w:p>
    <w:tbl>
      <w:tblPr>
        <w:tblStyle w:val="TableNormal"/>
        <w:tblpPr w:leftFromText="180" w:rightFromText="180" w:vertAnchor="text"/>
        <w:tblW w:w="10065" w:type="dxa"/>
        <w:tblCellMar>
          <w:left w:w="0" w:type="dxa"/>
          <w:right w:w="0" w:type="dxa"/>
        </w:tblCellMar>
        <w:tblLook w:val="0000"/>
      </w:tblPr>
      <w:tblGrid>
        <w:gridCol w:w="1045"/>
        <w:gridCol w:w="684"/>
        <w:gridCol w:w="632"/>
        <w:gridCol w:w="628"/>
        <w:gridCol w:w="688"/>
        <w:gridCol w:w="756"/>
        <w:gridCol w:w="756"/>
        <w:gridCol w:w="680"/>
        <w:gridCol w:w="636"/>
        <w:gridCol w:w="624"/>
        <w:gridCol w:w="756"/>
        <w:gridCol w:w="728"/>
        <w:gridCol w:w="756"/>
        <w:gridCol w:w="696"/>
      </w:tblGrid>
      <w:tr w:rsidTr="009C694F">
        <w:tblPrEx>
          <w:tblW w:w="10065" w:type="dxa"/>
          <w:tblCellMar>
            <w:left w:w="0" w:type="dxa"/>
            <w:right w:w="0" w:type="dxa"/>
          </w:tblCellMar>
          <w:tblLook w:val="0000"/>
        </w:tblPrEx>
        <w:trPr>
          <w:cantSplit/>
          <w:trHeight w:val="490"/>
        </w:trPr>
        <w:tc>
          <w:tcPr>
            <w:tcW w:w="104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676C94"/>
                <w:kern w:val="0"/>
                <w:sz w:val="18"/>
                <w:szCs w:val="18"/>
              </w:rPr>
              <w:t>岗位等级</w:t>
            </w:r>
          </w:p>
        </w:tc>
        <w:tc>
          <w:tcPr>
            <w:tcW w:w="68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676C94"/>
                <w:kern w:val="0"/>
                <w:sz w:val="18"/>
                <w:szCs w:val="18"/>
              </w:rPr>
              <w:t>一级</w:t>
            </w:r>
          </w:p>
        </w:tc>
        <w:tc>
          <w:tcPr>
            <w:tcW w:w="63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676C94"/>
                <w:kern w:val="0"/>
                <w:sz w:val="18"/>
                <w:szCs w:val="18"/>
              </w:rPr>
              <w:t>二级</w:t>
            </w:r>
          </w:p>
        </w:tc>
        <w:tc>
          <w:tcPr>
            <w:tcW w:w="6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676C94"/>
                <w:kern w:val="0"/>
                <w:sz w:val="18"/>
                <w:szCs w:val="18"/>
              </w:rPr>
              <w:t>三级</w:t>
            </w:r>
          </w:p>
        </w:tc>
        <w:tc>
          <w:tcPr>
            <w:tcW w:w="68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676C94"/>
                <w:kern w:val="0"/>
                <w:sz w:val="18"/>
                <w:szCs w:val="18"/>
              </w:rPr>
              <w:t>四级</w:t>
            </w:r>
          </w:p>
        </w:tc>
        <w:tc>
          <w:tcPr>
            <w:tcW w:w="75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676C94"/>
                <w:kern w:val="0"/>
                <w:sz w:val="18"/>
                <w:szCs w:val="18"/>
              </w:rPr>
              <w:t>五级</w:t>
            </w:r>
          </w:p>
        </w:tc>
        <w:tc>
          <w:tcPr>
            <w:tcW w:w="75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676C94"/>
                <w:kern w:val="0"/>
                <w:sz w:val="18"/>
                <w:szCs w:val="18"/>
              </w:rPr>
              <w:t>六级</w:t>
            </w:r>
          </w:p>
        </w:tc>
        <w:tc>
          <w:tcPr>
            <w:tcW w:w="6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676C94"/>
                <w:kern w:val="0"/>
                <w:sz w:val="18"/>
                <w:szCs w:val="18"/>
              </w:rPr>
              <w:t>七级</w:t>
            </w:r>
          </w:p>
        </w:tc>
        <w:tc>
          <w:tcPr>
            <w:tcW w:w="63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676C94"/>
                <w:kern w:val="0"/>
                <w:sz w:val="18"/>
                <w:szCs w:val="18"/>
              </w:rPr>
              <w:t>八级</w:t>
            </w:r>
          </w:p>
        </w:tc>
        <w:tc>
          <w:tcPr>
            <w:tcW w:w="62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676C94"/>
                <w:kern w:val="0"/>
                <w:sz w:val="18"/>
                <w:szCs w:val="18"/>
              </w:rPr>
              <w:t>九级</w:t>
            </w:r>
          </w:p>
        </w:tc>
        <w:tc>
          <w:tcPr>
            <w:tcW w:w="75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676C94"/>
                <w:kern w:val="0"/>
                <w:sz w:val="18"/>
                <w:szCs w:val="18"/>
              </w:rPr>
              <w:t>十级</w:t>
            </w:r>
          </w:p>
        </w:tc>
        <w:tc>
          <w:tcPr>
            <w:tcW w:w="7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676C94"/>
                <w:kern w:val="0"/>
                <w:sz w:val="15"/>
                <w:szCs w:val="15"/>
              </w:rPr>
              <w:t>十一级</w:t>
            </w:r>
          </w:p>
        </w:tc>
        <w:tc>
          <w:tcPr>
            <w:tcW w:w="75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676C94"/>
                <w:kern w:val="0"/>
                <w:sz w:val="15"/>
                <w:szCs w:val="15"/>
              </w:rPr>
              <w:t>十二级</w:t>
            </w:r>
          </w:p>
        </w:tc>
        <w:tc>
          <w:tcPr>
            <w:tcW w:w="69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676C94"/>
                <w:kern w:val="0"/>
                <w:sz w:val="15"/>
                <w:szCs w:val="15"/>
              </w:rPr>
              <w:t>十三级</w:t>
            </w:r>
          </w:p>
        </w:tc>
      </w:tr>
      <w:tr w:rsidTr="009C694F">
        <w:tblPrEx>
          <w:tblW w:w="10065" w:type="dxa"/>
          <w:tblCellMar>
            <w:left w:w="0" w:type="dxa"/>
            <w:right w:w="0" w:type="dxa"/>
          </w:tblCellMar>
          <w:tblLook w:val="0000"/>
        </w:tblPrEx>
        <w:trPr>
          <w:trHeight w:val="490"/>
        </w:trPr>
        <w:tc>
          <w:tcPr>
            <w:tcW w:w="10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676C94"/>
                <w:kern w:val="0"/>
                <w:sz w:val="18"/>
                <w:szCs w:val="18"/>
              </w:rPr>
              <w:t>根底绩效</w:t>
            </w:r>
          </w:p>
        </w:tc>
        <w:tc>
          <w:tcPr>
            <w:tcW w:w="684" w:type="dxa"/>
            <w:tcBorders>
              <w:top w:val="nil"/>
              <w:left w:val="nil"/>
              <w:bottom w:val="single" w:sz="8" w:space="0" w:color="auto"/>
              <w:right w:val="single" w:sz="8" w:space="0" w:color="auto"/>
            </w:tcBorders>
            <w:tcMar>
              <w:top w:w="0" w:type="dxa"/>
              <w:left w:w="108" w:type="dxa"/>
              <w:bottom w:w="0" w:type="dxa"/>
              <w:right w:w="108" w:type="dxa"/>
            </w:tcMar>
            <w:vAlign w:val="cente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FF0000"/>
                <w:kern w:val="0"/>
                <w:sz w:val="18"/>
                <w:szCs w:val="18"/>
              </w:rPr>
              <w:t>4.6</w:t>
            </w:r>
          </w:p>
        </w:tc>
        <w:tc>
          <w:tcPr>
            <w:tcW w:w="632" w:type="dxa"/>
            <w:tcBorders>
              <w:top w:val="nil"/>
              <w:left w:val="nil"/>
              <w:bottom w:val="single" w:sz="8" w:space="0" w:color="auto"/>
              <w:right w:val="single" w:sz="8" w:space="0" w:color="auto"/>
            </w:tcBorders>
            <w:tcMar>
              <w:top w:w="0" w:type="dxa"/>
              <w:left w:w="108" w:type="dxa"/>
              <w:bottom w:w="0" w:type="dxa"/>
              <w:right w:w="108" w:type="dxa"/>
            </w:tcMar>
            <w:vAlign w:val="cente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FF0000"/>
                <w:kern w:val="0"/>
                <w:sz w:val="18"/>
                <w:szCs w:val="18"/>
              </w:rPr>
              <w:t>4.0</w:t>
            </w:r>
          </w:p>
        </w:tc>
        <w:tc>
          <w:tcPr>
            <w:tcW w:w="628" w:type="dxa"/>
            <w:tcBorders>
              <w:top w:val="nil"/>
              <w:left w:val="nil"/>
              <w:bottom w:val="single" w:sz="8" w:space="0" w:color="auto"/>
              <w:right w:val="single" w:sz="8" w:space="0" w:color="auto"/>
            </w:tcBorders>
            <w:tcMar>
              <w:top w:w="0" w:type="dxa"/>
              <w:left w:w="108" w:type="dxa"/>
              <w:bottom w:w="0" w:type="dxa"/>
              <w:right w:w="108" w:type="dxa"/>
            </w:tcMar>
            <w:vAlign w:val="cente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FF0000"/>
                <w:kern w:val="0"/>
                <w:sz w:val="18"/>
                <w:szCs w:val="18"/>
              </w:rPr>
              <w:t>3.5</w:t>
            </w:r>
          </w:p>
        </w:tc>
        <w:tc>
          <w:tcPr>
            <w:tcW w:w="688" w:type="dxa"/>
            <w:tcBorders>
              <w:top w:val="nil"/>
              <w:left w:val="nil"/>
              <w:bottom w:val="single" w:sz="8" w:space="0" w:color="auto"/>
              <w:right w:val="single" w:sz="8" w:space="0" w:color="auto"/>
            </w:tcBorders>
            <w:tcMar>
              <w:top w:w="0" w:type="dxa"/>
              <w:left w:w="108" w:type="dxa"/>
              <w:bottom w:w="0" w:type="dxa"/>
              <w:right w:w="108" w:type="dxa"/>
            </w:tcMar>
            <w:vAlign w:val="cente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FF0000"/>
                <w:kern w:val="0"/>
                <w:sz w:val="18"/>
                <w:szCs w:val="18"/>
              </w:rPr>
              <w:t>3.0</w:t>
            </w:r>
          </w:p>
        </w:tc>
        <w:tc>
          <w:tcPr>
            <w:tcW w:w="756" w:type="dxa"/>
            <w:tcBorders>
              <w:top w:val="nil"/>
              <w:left w:val="nil"/>
              <w:bottom w:val="single" w:sz="8" w:space="0" w:color="auto"/>
              <w:right w:val="single" w:sz="8" w:space="0" w:color="auto"/>
            </w:tcBorders>
            <w:tcMar>
              <w:top w:w="0" w:type="dxa"/>
              <w:left w:w="108" w:type="dxa"/>
              <w:bottom w:w="0" w:type="dxa"/>
              <w:right w:w="108" w:type="dxa"/>
            </w:tcMar>
            <w:vAlign w:val="cente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676C94"/>
                <w:kern w:val="0"/>
                <w:sz w:val="18"/>
                <w:szCs w:val="18"/>
              </w:rPr>
              <w:t>2.6</w:t>
            </w:r>
          </w:p>
        </w:tc>
        <w:tc>
          <w:tcPr>
            <w:tcW w:w="756" w:type="dxa"/>
            <w:tcBorders>
              <w:top w:val="nil"/>
              <w:left w:val="nil"/>
              <w:bottom w:val="single" w:sz="8" w:space="0" w:color="auto"/>
              <w:right w:val="single" w:sz="8" w:space="0" w:color="auto"/>
            </w:tcBorders>
            <w:tcMar>
              <w:top w:w="0" w:type="dxa"/>
              <w:left w:w="108" w:type="dxa"/>
              <w:bottom w:w="0" w:type="dxa"/>
              <w:right w:w="108" w:type="dxa"/>
            </w:tcMar>
            <w:vAlign w:val="cente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676C94"/>
                <w:kern w:val="0"/>
                <w:sz w:val="18"/>
                <w:szCs w:val="18"/>
              </w:rPr>
              <w:t>2.4</w:t>
            </w:r>
          </w:p>
        </w:tc>
        <w:tc>
          <w:tcPr>
            <w:tcW w:w="680" w:type="dxa"/>
            <w:tcBorders>
              <w:top w:val="nil"/>
              <w:left w:val="nil"/>
              <w:bottom w:val="single" w:sz="8" w:space="0" w:color="auto"/>
              <w:right w:val="single" w:sz="8" w:space="0" w:color="auto"/>
            </w:tcBorders>
            <w:tcMar>
              <w:top w:w="0" w:type="dxa"/>
              <w:left w:w="108" w:type="dxa"/>
              <w:bottom w:w="0" w:type="dxa"/>
              <w:right w:w="108" w:type="dxa"/>
            </w:tcMar>
            <w:vAlign w:val="cente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FF0000"/>
                <w:kern w:val="0"/>
                <w:sz w:val="18"/>
                <w:szCs w:val="18"/>
              </w:rPr>
              <w:t>2.2</w:t>
            </w:r>
          </w:p>
        </w:tc>
        <w:tc>
          <w:tcPr>
            <w:tcW w:w="636" w:type="dxa"/>
            <w:tcBorders>
              <w:top w:val="nil"/>
              <w:left w:val="nil"/>
              <w:bottom w:val="single" w:sz="8" w:space="0" w:color="auto"/>
              <w:right w:val="single" w:sz="8" w:space="0" w:color="auto"/>
            </w:tcBorders>
            <w:tcMar>
              <w:top w:w="0" w:type="dxa"/>
              <w:left w:w="108" w:type="dxa"/>
              <w:bottom w:w="0" w:type="dxa"/>
              <w:right w:w="108" w:type="dxa"/>
            </w:tcMar>
            <w:vAlign w:val="cente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FF0000"/>
                <w:kern w:val="0"/>
                <w:sz w:val="18"/>
                <w:szCs w:val="18"/>
              </w:rPr>
              <w:t>2.1</w:t>
            </w:r>
          </w:p>
        </w:tc>
        <w:tc>
          <w:tcPr>
            <w:tcW w:w="624" w:type="dxa"/>
            <w:tcBorders>
              <w:top w:val="nil"/>
              <w:left w:val="nil"/>
              <w:bottom w:val="single" w:sz="8" w:space="0" w:color="auto"/>
              <w:right w:val="single" w:sz="8" w:space="0" w:color="auto"/>
            </w:tcBorders>
            <w:tcMar>
              <w:top w:w="0" w:type="dxa"/>
              <w:left w:w="108" w:type="dxa"/>
              <w:bottom w:w="0" w:type="dxa"/>
              <w:right w:w="108" w:type="dxa"/>
            </w:tcMar>
            <w:vAlign w:val="cente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FF0000"/>
                <w:kern w:val="0"/>
                <w:sz w:val="18"/>
                <w:szCs w:val="18"/>
              </w:rPr>
              <w:t>2.0</w:t>
            </w:r>
          </w:p>
        </w:tc>
        <w:tc>
          <w:tcPr>
            <w:tcW w:w="756" w:type="dxa"/>
            <w:tcBorders>
              <w:top w:val="nil"/>
              <w:left w:val="nil"/>
              <w:bottom w:val="single" w:sz="8" w:space="0" w:color="auto"/>
              <w:right w:val="single" w:sz="8" w:space="0" w:color="auto"/>
            </w:tcBorders>
            <w:tcMar>
              <w:top w:w="0" w:type="dxa"/>
              <w:left w:w="108" w:type="dxa"/>
              <w:bottom w:w="0" w:type="dxa"/>
              <w:right w:w="108" w:type="dxa"/>
            </w:tcMar>
            <w:vAlign w:val="cente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FF0000"/>
                <w:kern w:val="0"/>
                <w:sz w:val="18"/>
                <w:szCs w:val="18"/>
              </w:rPr>
              <w:t>1.9</w:t>
            </w:r>
          </w:p>
        </w:tc>
        <w:tc>
          <w:tcPr>
            <w:tcW w:w="728" w:type="dxa"/>
            <w:tcBorders>
              <w:top w:val="nil"/>
              <w:left w:val="nil"/>
              <w:bottom w:val="single" w:sz="8" w:space="0" w:color="auto"/>
              <w:right w:val="single" w:sz="8" w:space="0" w:color="auto"/>
            </w:tcBorders>
            <w:tcMar>
              <w:top w:w="0" w:type="dxa"/>
              <w:left w:w="108" w:type="dxa"/>
              <w:bottom w:w="0" w:type="dxa"/>
              <w:right w:w="108" w:type="dxa"/>
            </w:tcMar>
            <w:vAlign w:val="cente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FF0000"/>
                <w:kern w:val="0"/>
                <w:sz w:val="18"/>
                <w:szCs w:val="18"/>
              </w:rPr>
              <w:t>1.7</w:t>
            </w:r>
          </w:p>
        </w:tc>
        <w:tc>
          <w:tcPr>
            <w:tcW w:w="756" w:type="dxa"/>
            <w:tcBorders>
              <w:top w:val="nil"/>
              <w:left w:val="nil"/>
              <w:bottom w:val="single" w:sz="8" w:space="0" w:color="auto"/>
              <w:right w:val="single" w:sz="8" w:space="0" w:color="auto"/>
            </w:tcBorders>
            <w:tcMar>
              <w:top w:w="0" w:type="dxa"/>
              <w:left w:w="108" w:type="dxa"/>
              <w:bottom w:w="0" w:type="dxa"/>
              <w:right w:w="108" w:type="dxa"/>
            </w:tcMar>
            <w:vAlign w:val="cente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FF0000"/>
                <w:kern w:val="0"/>
                <w:sz w:val="18"/>
                <w:szCs w:val="18"/>
              </w:rPr>
              <w:t>1.6</w:t>
            </w:r>
          </w:p>
        </w:tc>
        <w:tc>
          <w:tcPr>
            <w:tcW w:w="696" w:type="dxa"/>
            <w:tcBorders>
              <w:top w:val="nil"/>
              <w:left w:val="nil"/>
              <w:bottom w:val="single" w:sz="8" w:space="0" w:color="auto"/>
              <w:right w:val="single" w:sz="8" w:space="0" w:color="auto"/>
            </w:tcBorders>
            <w:tcMar>
              <w:top w:w="0" w:type="dxa"/>
              <w:left w:w="108" w:type="dxa"/>
              <w:bottom w:w="0" w:type="dxa"/>
              <w:right w:w="108" w:type="dxa"/>
            </w:tcMar>
            <w:vAlign w:val="cente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676C94"/>
                <w:kern w:val="0"/>
                <w:sz w:val="18"/>
                <w:szCs w:val="18"/>
              </w:rPr>
              <w:t>1.5</w:t>
            </w:r>
          </w:p>
        </w:tc>
      </w:tr>
    </w:tbl>
    <w:p>
      <w:pPr>
        <w:sectPr>
          <w:headerReference w:type="default" r:id="rId16"/>
          <w:footerReference w:type="even" r:id="rId17"/>
          <w:footerReference w:type="default" r:id="rId18"/>
          <w:footerReference w:type="first" r:id="rId19"/>
          <w:type w:val="nextPage"/>
          <w:pgSz w:w="11906" w:h="16838"/>
          <w:pgMar w:top="1440" w:right="1800" w:bottom="1440" w:left="1800" w:header="851" w:footer="992" w:gutter="0"/>
          <w:pgNumType w:start="4"/>
          <w:cols w:space="425"/>
          <w:titlePg w:val="0"/>
          <w:docGrid w:type="lines" w:linePitch="312"/>
        </w:sectPr>
      </w:pP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 xml:space="preserve">二、岗位聘任根本条件 </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1．教师岗位的根底绩效局部的聘任与岗位设置工作完成后教师所聘任的岗位原那么上一一对应。对于具有博士学位的教师，可以高聘，但最高为教师五级岗位。</w:t>
      </w:r>
    </w:p>
    <w:p w:rsidR="009C694F" w:rsidRPr="00535757" w:rsidP="009C694F">
      <w:pPr>
        <w:widowControl/>
        <w:wordWrap w:val="0"/>
        <w:snapToGrid w:val="0"/>
        <w:spacing w:before="100" w:beforeAutospacing="1" w:after="100" w:afterAutospacing="1" w:line="360" w:lineRule="auto"/>
        <w:ind w:firstLine="420"/>
        <w:jc w:val="left"/>
        <w:textAlignment w:val="baseline"/>
        <w:rPr>
          <w:rFonts w:ascii="DFKai-SB" w:eastAsia="DFKai-SB" w:hAnsi="DFKai-SB" w:cs="宋体"/>
          <w:color w:val="676C94"/>
          <w:kern w:val="0"/>
          <w:sz w:val="24"/>
        </w:rPr>
      </w:pPr>
      <w:r w:rsidRPr="00535757">
        <w:rPr>
          <w:rFonts w:ascii="DFKai-SB" w:eastAsia="DFKai-SB" w:hAnsi="DFKai-SB" w:cs="宋体" w:hint="eastAsia"/>
          <w:color w:val="FF0000"/>
          <w:kern w:val="0"/>
          <w:sz w:val="24"/>
        </w:rPr>
        <w:t>2．各教学院〔系〕的正处级、副处级行政负责人均按教师岗位进展聘任，按照教师岗位核算根底绩效及奖励绩效。考虑到行政负责人有管理职责，在教师岗位的根底上，可享受管理岗位的根底绩效。年底考核时管理岗位与教师岗位同时考核。</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三、1、各级岗位根底绩效局部所对应的工作任务见附表，此局部任务为根本工作任务，各院〔系〕可在此根底上自行制定要求。</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FF0000"/>
          <w:kern w:val="0"/>
          <w:sz w:val="24"/>
        </w:rPr>
        <w:t>2、正高级职称教师承当的年均教学工作量不得高于450课时，副高级职称教师承当的年均教学工作量不得高于500课时。 超出局部只计工作量，不发放奖励绩效。</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四、考核发放方法</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 xml:space="preserve">1．教师岗位聘期一般为三年，年度考核由院系根据实际情况自行安排。 </w:t>
      </w:r>
    </w:p>
    <w:p w:rsidR="009C694F" w:rsidRPr="00535757" w:rsidP="009C694F">
      <w:pPr>
        <w:widowControl/>
        <w:wordWrap w:val="0"/>
        <w:snapToGrid w:val="0"/>
        <w:spacing w:before="100" w:beforeAutospacing="1" w:after="100" w:afterAutospacing="1" w:line="360" w:lineRule="auto"/>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   </w:t>
      </w:r>
      <w:r w:rsidRPr="00535757">
        <w:rPr>
          <w:rFonts w:ascii="DFKai-SB" w:eastAsia="DFKai-SB" w:hAnsi="DFKai-SB" w:cs="宋体" w:hint="eastAsia"/>
          <w:color w:val="676C94"/>
          <w:kern w:val="0"/>
          <w:sz w:val="24"/>
        </w:rPr>
        <w:t xml:space="preserve"> 2．教师完成的教学和科技工作量除首先用于完成根本工资局部对应的任务后，其次用于根底绩效局部对应的教学和科技工作量任务；前两项对应后仍有超额局部方可兑现奖励绩效。 </w:t>
      </w:r>
    </w:p>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3．经学校人事处批准的校内外借调或承当其他重要任务的教师，按照在岗月份承当根底绩效工资局部对应的教学和科研经费工作量任务，其它任务需按正常标准完成。</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sectPr>
          <w:headerReference w:type="default" r:id="rId20"/>
          <w:footerReference w:type="even" r:id="rId21"/>
          <w:footerReference w:type="default" r:id="rId22"/>
          <w:footerReference w:type="first" r:id="rId23"/>
          <w:type w:val="nextPage"/>
          <w:pgSz w:w="11906" w:h="16838"/>
          <w:pgMar w:top="1440" w:right="1800" w:bottom="1440" w:left="1800" w:header="851" w:footer="992" w:gutter="0"/>
          <w:pgNumType w:start="5"/>
          <w:cols w:space="425"/>
          <w:titlePg w:val="0"/>
          <w:docGrid w:type="lines" w:linePitch="312"/>
        </w:sectPr>
      </w:pPr>
      <w:r w:rsidRPr="00535757">
        <w:rPr>
          <w:rFonts w:ascii="DFKai-SB" w:eastAsia="DFKai-SB" w:hAnsi="DFKai-SB" w:cs="宋体" w:hint="eastAsia"/>
          <w:color w:val="676C94"/>
          <w:kern w:val="0"/>
          <w:sz w:val="24"/>
        </w:rPr>
        <w:t>4．教师在三年聘期完毕未完成工作任务的，在新的一轮聘任时低聘一级；连续两个聘期未完成根底绩效局部任务的，在新的一轮聘任时聘任到低一级职务的最低档，根本工资相应降低。</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教学工作量和科技工作量的计算按照学校的相关规定执行，并承受相关职能部门的指导和监视。</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5．</w:t>
      </w:r>
      <w:r w:rsidRPr="00535757">
        <w:rPr>
          <w:rFonts w:ascii="DFKai-SB" w:eastAsia="DFKai-SB" w:hAnsi="DFKai-SB" w:cs="宋体" w:hint="eastAsia"/>
          <w:color w:val="FF0000"/>
          <w:kern w:val="0"/>
          <w:sz w:val="24"/>
        </w:rPr>
        <w:t>绩效工资根底绩效局部每年按12个月发放，每个月按照院〔系〕教师聘任岗位对应的根底绩效数额发放。</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 </w:t>
      </w:r>
    </w:p>
    <w:p w:rsidR="009C694F" w:rsidRPr="00535757" w:rsidP="009C694F">
      <w:pPr>
        <w:widowControl/>
        <w:wordWrap w:val="0"/>
        <w:snapToGrid w:val="0"/>
        <w:spacing w:before="100" w:beforeAutospacing="1" w:after="100" w:afterAutospacing="1" w:line="360" w:lineRule="auto"/>
        <w:jc w:val="center"/>
        <w:rPr>
          <w:rFonts w:ascii="DFKai-SB" w:eastAsia="DFKai-SB" w:hAnsi="DFKai-SB" w:cs="宋体"/>
          <w:color w:val="676C94"/>
          <w:kern w:val="0"/>
          <w:sz w:val="24"/>
        </w:rPr>
      </w:pPr>
      <w:r w:rsidRPr="00535757">
        <w:rPr>
          <w:rFonts w:ascii="DFKai-SB" w:eastAsia="DFKai-SB" w:hAnsi="DFKai-SB" w:cs="宋体" w:hint="eastAsia"/>
          <w:b/>
          <w:bCs/>
          <w:color w:val="676C94"/>
          <w:kern w:val="0"/>
          <w:sz w:val="24"/>
        </w:rPr>
        <w:t>教师岗位绩效工资奖励绩效局部的考核和发放</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一、绩效工资奖励绩效局部的范围。</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绩效工资奖励绩效局部是指教师完成的工作量减去根本工资局部和根底绩效局部所对应的工作量后结余的局部。教师可以根据奖励绩效目录中每项工作量所对应的标准兑现奖励绩效。</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二、教师奖励绩效局部考核在各院〔系〕严格审查的根底上由教务处、科技处、研究生部、开展规划处、人事处等职能部门分别牵头负责，对院〔系〕总体工作状况和各项奖励进展审核确认，由人事处核拨进入院〔系〕基金。</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三、每年二月份发放上一年度奖励绩效。</w:t>
      </w:r>
    </w:p>
    <w:p w:rsidR="009C694F" w:rsidRPr="00535757" w:rsidP="009C694F">
      <w:pPr>
        <w:widowControl/>
        <w:wordWrap w:val="0"/>
        <w:snapToGrid w:val="0"/>
        <w:spacing w:before="100" w:beforeAutospacing="1" w:after="100" w:afterAutospacing="1" w:line="360" w:lineRule="auto"/>
        <w:jc w:val="center"/>
        <w:rPr>
          <w:rFonts w:ascii="DFKai-SB" w:eastAsia="DFKai-SB" w:hAnsi="DFKai-SB" w:cs="宋体"/>
          <w:color w:val="676C94"/>
          <w:kern w:val="0"/>
          <w:sz w:val="24"/>
        </w:rPr>
      </w:pPr>
      <w:r w:rsidRPr="00535757">
        <w:rPr>
          <w:rFonts w:ascii="DFKai-SB" w:eastAsia="DFKai-SB" w:hAnsi="DFKai-SB" w:cs="宋体" w:hint="eastAsia"/>
          <w:b/>
          <w:bCs/>
          <w:color w:val="676C94"/>
          <w:kern w:val="0"/>
          <w:sz w:val="24"/>
        </w:rPr>
        <w:t>院〔系〕基金核算及管理方法</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学校对各院〔系〕实行工作任务与院〔系〕基金动态包干。</w:t>
      </w:r>
    </w:p>
    <w:p w:rsidR="009C694F" w:rsidRPr="00535757" w:rsidP="009C694F">
      <w:pPr>
        <w:widowControl/>
        <w:wordWrap w:val="0"/>
        <w:snapToGrid w:val="0"/>
        <w:spacing w:before="100" w:beforeAutospacing="1" w:after="100" w:afterAutospacing="1" w:line="360" w:lineRule="auto"/>
        <w:ind w:left="1040" w:hanging="48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一、院〔系〕基金核算方法</w:t>
      </w:r>
    </w:p>
    <w:p w:rsidR="009C694F" w:rsidRPr="00535757" w:rsidP="009C694F">
      <w:pPr>
        <w:widowControl/>
        <w:wordWrap w:val="0"/>
        <w:snapToGrid w:val="0"/>
        <w:spacing w:before="100" w:beforeAutospacing="1" w:after="100" w:afterAutospacing="1" w:line="360" w:lineRule="auto"/>
        <w:ind w:left="56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院〔系〕基金来源主要包括：</w:t>
      </w:r>
    </w:p>
    <w:p w:rsidR="009C694F" w:rsidRPr="00535757" w:rsidP="009C694F">
      <w:pPr>
        <w:widowControl/>
        <w:wordWrap w:val="0"/>
        <w:snapToGrid w:val="0"/>
        <w:spacing w:before="100" w:beforeAutospacing="1" w:after="100" w:afterAutospacing="1" w:line="360" w:lineRule="auto"/>
        <w:ind w:firstLine="519"/>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1．岗位工资和薪级工资按照实际在编人员统一核拨。</w:t>
      </w:r>
    </w:p>
    <w:p w:rsidR="009C694F" w:rsidRPr="00535757" w:rsidP="009C694F">
      <w:pPr>
        <w:widowControl/>
        <w:wordWrap w:val="0"/>
        <w:snapToGrid w:val="0"/>
        <w:spacing w:before="100" w:beforeAutospacing="1" w:after="100" w:afterAutospacing="1" w:line="360" w:lineRule="auto"/>
        <w:ind w:firstLine="414"/>
        <w:jc w:val="left"/>
        <w:rPr>
          <w:rFonts w:ascii="DFKai-SB" w:eastAsia="DFKai-SB" w:hAnsi="DFKai-SB" w:cs="宋体"/>
          <w:color w:val="676C94"/>
          <w:kern w:val="0"/>
          <w:sz w:val="24"/>
        </w:rPr>
        <w:sectPr>
          <w:headerReference w:type="default" r:id="rId24"/>
          <w:footerReference w:type="even" r:id="rId25"/>
          <w:footerReference w:type="default" r:id="rId26"/>
          <w:footerReference w:type="first" r:id="rId27"/>
          <w:type w:val="nextPage"/>
          <w:pgSz w:w="11906" w:h="16838"/>
          <w:pgMar w:top="1440" w:right="1800" w:bottom="1440" w:left="1800" w:header="851" w:footer="992" w:gutter="0"/>
          <w:pgNumType w:start="6"/>
          <w:cols w:space="425"/>
          <w:titlePg w:val="0"/>
          <w:docGrid w:type="lines" w:linePitch="312"/>
        </w:sectPr>
      </w:pPr>
      <w:r w:rsidRPr="00535757">
        <w:rPr>
          <w:rFonts w:ascii="DFKai-SB" w:eastAsia="DFKai-SB" w:hAnsi="DFKai-SB" w:cs="宋体" w:hint="eastAsia"/>
          <w:color w:val="676C94"/>
          <w:kern w:val="0"/>
          <w:sz w:val="24"/>
        </w:rPr>
        <w:t> </w:t>
      </w:r>
      <w:r w:rsidRPr="00535757">
        <w:rPr>
          <w:rFonts w:ascii="DFKai-SB" w:eastAsia="DFKai-SB" w:hAnsi="DFKai-SB" w:cs="宋体" w:hint="eastAsia"/>
          <w:color w:val="676C94"/>
          <w:kern w:val="0"/>
          <w:sz w:val="24"/>
        </w:rPr>
        <w:t>2．依据岗位设置后的聘任结果，学校拨付在职在岗教师的根底绩效总量。管理人员按照实际情况核拨，缺编核拨缺编费，缺编费标准由学校每年年初核定。</w:t>
      </w:r>
    </w:p>
    <w:p w:rsidR="009C694F" w:rsidRPr="00535757" w:rsidP="009C694F">
      <w:pPr>
        <w:widowControl/>
        <w:wordWrap w:val="0"/>
        <w:snapToGrid w:val="0"/>
        <w:spacing w:before="100" w:beforeAutospacing="1" w:after="100" w:afterAutospacing="1" w:line="360" w:lineRule="auto"/>
        <w:ind w:firstLine="414"/>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3．相关职能部门依据各院〔系〕整体工作状况和奖励绩效目录，进展考核和审核后，确定各院〔系〕的奖励绩效总量。</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4．</w:t>
      </w:r>
      <w:r w:rsidRPr="00535757">
        <w:rPr>
          <w:rFonts w:ascii="DFKai-SB" w:eastAsia="DFKai-SB" w:hAnsi="DFKai-SB" w:cs="宋体" w:hint="eastAsia"/>
          <w:color w:val="FF0000"/>
          <w:kern w:val="0"/>
          <w:sz w:val="24"/>
        </w:rPr>
        <w:t>按照聘任在岗的教师每人每年1000元的标准设立综合基金，进入包干基金，由各院〔系〕领导班子支配使用。</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5．学校对院〔系〕的各类奖金。</w:t>
      </w:r>
    </w:p>
    <w:p w:rsidR="009C694F" w:rsidRPr="00535757" w:rsidP="009C694F">
      <w:pPr>
        <w:widowControl/>
        <w:wordWrap w:val="0"/>
        <w:snapToGrid w:val="0"/>
        <w:spacing w:before="100" w:beforeAutospacing="1" w:after="100" w:afterAutospacing="1" w:line="360" w:lineRule="auto"/>
        <w:ind w:left="56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二、院〔系〕根本任务及基金使用责任</w:t>
      </w:r>
    </w:p>
    <w:p w:rsidR="009C694F" w:rsidRPr="00535757" w:rsidP="009C694F">
      <w:pPr>
        <w:widowControl/>
        <w:wordWrap w:val="0"/>
        <w:snapToGrid w:val="0"/>
        <w:ind w:firstLine="420"/>
        <w:jc w:val="left"/>
        <w:rPr>
          <w:rFonts w:ascii="DFKai-SB" w:eastAsia="DFKai-SB" w:hAnsi="DFKai-SB" w:cs="宋体"/>
          <w:color w:val="676C94"/>
          <w:kern w:val="0"/>
          <w:sz w:val="18"/>
          <w:szCs w:val="18"/>
        </w:rPr>
      </w:pPr>
      <w:r w:rsidRPr="00535757">
        <w:rPr>
          <w:rFonts w:ascii="DFKai-SB" w:eastAsia="DFKai-SB" w:hAnsi="DFKai-SB" w:cs="宋体" w:hint="eastAsia"/>
          <w:color w:val="676C94"/>
          <w:kern w:val="0"/>
          <w:sz w:val="18"/>
          <w:szCs w:val="18"/>
        </w:rPr>
        <w:t>〔一〕各院〔系〕要履行工作任务与院〔系〕基金包干合同，必须完成学校下达的各类教学任务〔含研究生、本科生、高职和继续教育学院等教学任务〕、学科建立、课程建立、专业建立、教学改革、科学研究、职工管理、党团工会组织建立与师资队伍建立、学生思想教育及管理等任务，加强对职工的思想政治教育和职业道德教育，组织所属职工参加学校开展的各种活动和各项工作，采取有效措施，确保教学质量和科研水平稳步提升。在不违反国家法规和学校规章制度的前提下，拥有内部人事调配权〔工勤技能岗位和工种变更须报人事处审批〕和分配权。不得拒绝接收符合条件的师资。不得拒绝承受学校下达的工作任务。</w:t>
      </w:r>
    </w:p>
    <w:p w:rsidR="009C694F" w:rsidRPr="00535757" w:rsidP="009C694F">
      <w:pPr>
        <w:widowControl/>
        <w:wordWrap w:val="0"/>
        <w:snapToGrid w:val="0"/>
        <w:spacing w:before="100" w:beforeAutospacing="1" w:after="100" w:afterAutospacing="1" w:line="360" w:lineRule="auto"/>
        <w:ind w:left="560"/>
        <w:jc w:val="left"/>
        <w:rPr>
          <w:rFonts w:ascii="DFKai-SB" w:eastAsia="DFKai-SB" w:hAnsi="DFKai-SB" w:cs="宋体" w:hint="eastAsia"/>
          <w:color w:val="676C94"/>
          <w:kern w:val="0"/>
          <w:sz w:val="24"/>
        </w:rPr>
      </w:pPr>
      <w:r w:rsidRPr="00535757">
        <w:rPr>
          <w:rFonts w:ascii="DFKai-SB" w:eastAsia="DFKai-SB" w:hAnsi="DFKai-SB" w:cs="宋体" w:hint="eastAsia"/>
          <w:color w:val="676C94"/>
          <w:kern w:val="0"/>
          <w:sz w:val="24"/>
        </w:rPr>
        <w:t>〔二〕院〔系〕基金主要负担以下费用：</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1．负担本院〔系〕工作人员绩效工资的发放。</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2．</w:t>
      </w:r>
      <w:r w:rsidRPr="00535757">
        <w:rPr>
          <w:rFonts w:ascii="DFKai-SB" w:eastAsia="DFKai-SB" w:hAnsi="DFKai-SB" w:cs="宋体" w:hint="eastAsia"/>
          <w:color w:val="FF0000"/>
          <w:kern w:val="0"/>
          <w:sz w:val="24"/>
        </w:rPr>
        <w:t>负担外聘教师酬金、系〔室〕主任津贴、系〔教研室〕党支部书记津贴、学生党支部书记津贴、团总支书记津贴、超额班主任任务津贴、学科建立〔专业建立、课程建立〕和系聘教学督导组专家等方面的劳务费及其他方面必要的活动经费。其中系〔教研室〕党支部书记津贴不低于每月50元。学生党支部书记、团总支书记、超额班主任任务津贴不低于每月100元〔享受科级待遇者除外〕。学生政治辅导员兼任学生党支部书记、团总支书记、班主任者，可折半发放。</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3．单位考核以及院〔系〕内局部配方案中规定的其他支出。</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 xml:space="preserve">4．聘请退休专家费用由各院〔系〕负担，凡主持国家级工程并完成所聘岗位任务的专家的根底津贴由学校负担。 </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5．支付本单位劳保人员、离岗休养人员每人每月</w:t>
      </w:r>
      <w:r w:rsidRPr="00535757">
        <w:rPr>
          <w:rFonts w:ascii="DFKai-SB" w:eastAsia="DFKai-SB" w:hAnsi="DFKai-SB" w:cs="宋体" w:hint="eastAsia"/>
          <w:color w:val="FF0000"/>
          <w:kern w:val="0"/>
          <w:sz w:val="24"/>
        </w:rPr>
        <w:t>240</w:t>
      </w:r>
      <w:r w:rsidRPr="00535757">
        <w:rPr>
          <w:rFonts w:ascii="DFKai-SB" w:eastAsia="DFKai-SB" w:hAnsi="DFKai-SB" w:cs="宋体" w:hint="eastAsia"/>
          <w:color w:val="676C94"/>
          <w:kern w:val="0"/>
          <w:sz w:val="24"/>
        </w:rPr>
        <w:t>元的生活补助。</w:t>
      </w:r>
    </w:p>
    <w:p w:rsidR="009C694F" w:rsidRPr="00535757" w:rsidP="009C694F">
      <w:pPr>
        <w:widowControl/>
        <w:wordWrap w:val="0"/>
        <w:snapToGrid w:val="0"/>
        <w:spacing w:before="100" w:beforeAutospacing="1" w:after="100" w:afterAutospacing="1" w:line="360" w:lineRule="auto"/>
        <w:ind w:left="560"/>
        <w:jc w:val="left"/>
        <w:rPr>
          <w:rFonts w:ascii="DFKai-SB" w:eastAsia="DFKai-SB" w:hAnsi="DFKai-SB" w:cs="宋体"/>
          <w:color w:val="676C94"/>
          <w:kern w:val="0"/>
          <w:sz w:val="24"/>
        </w:rPr>
        <w:sectPr>
          <w:headerReference w:type="default" r:id="rId28"/>
          <w:footerReference w:type="even" r:id="rId29"/>
          <w:footerReference w:type="default" r:id="rId30"/>
          <w:footerReference w:type="first" r:id="rId31"/>
          <w:type w:val="nextPage"/>
          <w:pgSz w:w="11906" w:h="16838"/>
          <w:pgMar w:top="1440" w:right="1800" w:bottom="1440" w:left="1800" w:header="851" w:footer="992" w:gutter="0"/>
          <w:pgNumType w:start="7"/>
          <w:cols w:space="425"/>
          <w:titlePg w:val="0"/>
          <w:docGrid w:type="lines" w:linePitch="312"/>
        </w:sectPr>
      </w:pPr>
      <w:r w:rsidRPr="00535757">
        <w:rPr>
          <w:rFonts w:ascii="DFKai-SB" w:eastAsia="DFKai-SB" w:hAnsi="DFKai-SB" w:cs="宋体" w:hint="eastAsia"/>
          <w:color w:val="676C94"/>
          <w:kern w:val="0"/>
          <w:sz w:val="24"/>
        </w:rPr>
        <w:t>三、院〔系〕基金核算使用的其它规定</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1．学校对院〔系〕基金实行动态核算管理，全年总量控制，按月审批使用，基金总额可以累积，但不得超额或跨年度提前使用。</w:t>
      </w:r>
    </w:p>
    <w:p w:rsidR="009C694F" w:rsidRPr="00535757" w:rsidP="009C694F">
      <w:pPr>
        <w:widowControl/>
        <w:wordWrap w:val="0"/>
        <w:snapToGrid w:val="0"/>
        <w:spacing w:before="100" w:beforeAutospacing="1" w:after="100" w:afterAutospacing="1" w:line="360" w:lineRule="auto"/>
        <w:ind w:firstLine="403"/>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2．福利性补贴和一次性奖金由学校统一发放，不计入院〔系〕基金。超编人员的工资由各院〔系〕自负。</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3．因编制、人员变动或职务变化等原因需要调整院〔系〕基金时，在期末或每年年终予以调整。</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4．各院〔系〕内局部配方案应当广泛征求意见，按照规定程序，经同级教代会讨论通过前方可实施，同时将方案报人事处和校工会备案。</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5．各院〔系〕应按照校务公开的要求，对基金使用要公开透明，并主动承受有关部门和职工的监视。各院〔系〕应成立由教代会推选的3-5人组成的审计监视小组，每年对院〔系〕基金的执行情况进展审计监视，并将结果在教代会上公布，提出缺乏和改良的建议。同时将审计结果报人事处和校工会备案。</w:t>
      </w:r>
    </w:p>
    <w:p w:rsidR="009C694F" w:rsidRPr="00535757" w:rsidP="009C694F">
      <w:pPr>
        <w:widowControl/>
        <w:wordWrap w:val="0"/>
        <w:snapToGrid w:val="0"/>
        <w:spacing w:before="100" w:beforeAutospacing="1" w:after="100" w:afterAutospacing="1" w:line="360" w:lineRule="auto"/>
        <w:ind w:firstLine="2610"/>
        <w:jc w:val="left"/>
        <w:rPr>
          <w:rFonts w:ascii="DFKai-SB" w:eastAsia="DFKai-SB" w:hAnsi="DFKai-SB" w:cs="宋体"/>
          <w:color w:val="676C94"/>
          <w:kern w:val="0"/>
          <w:sz w:val="24"/>
        </w:rPr>
      </w:pPr>
      <w:r w:rsidRPr="00535757">
        <w:rPr>
          <w:rFonts w:ascii="DFKai-SB" w:eastAsia="DFKai-SB" w:hAnsi="DFKai-SB" w:cs="宋体" w:hint="eastAsia"/>
          <w:b/>
          <w:bCs/>
          <w:color w:val="676C94"/>
          <w:kern w:val="0"/>
          <w:sz w:val="24"/>
        </w:rPr>
        <w:t>教师绩效工资发放的其它规定</w:t>
      </w:r>
    </w:p>
    <w:p w:rsidR="009C694F" w:rsidRPr="00535757" w:rsidP="009C694F">
      <w:pPr>
        <w:widowControl/>
        <w:wordWrap w:val="0"/>
        <w:snapToGrid w:val="0"/>
        <w:spacing w:before="100" w:beforeAutospacing="1" w:after="100" w:afterAutospacing="1" w:line="360" w:lineRule="auto"/>
        <w:ind w:firstLine="418"/>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 xml:space="preserve">一、教师不得拒绝单位分配的教学任务，否那么院〔系〕有权根据拒绝承当工作任务的情节扣减根底绩效。 </w:t>
      </w:r>
    </w:p>
    <w:p w:rsidR="009C694F" w:rsidRPr="00535757" w:rsidP="009C694F">
      <w:pPr>
        <w:widowControl/>
        <w:wordWrap w:val="0"/>
        <w:snapToGrid w:val="0"/>
        <w:spacing w:before="100" w:beforeAutospacing="1" w:after="100" w:afterAutospacing="1" w:line="360" w:lineRule="auto"/>
        <w:ind w:firstLine="418"/>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二、每年12月初，聘任教师岗位的人员应如实填报?绩效工资申报表?，全面记录全年的教学工作量、科技工作量和其他完成的任务，由院〔系〕审查后，分别由教务处、科技处、研究生部等职能部门审核。</w:t>
      </w:r>
    </w:p>
    <w:p w:rsidR="009C694F" w:rsidRPr="00535757" w:rsidP="009C694F">
      <w:pPr>
        <w:widowControl/>
        <w:wordWrap w:val="0"/>
        <w:snapToGrid w:val="0"/>
        <w:spacing w:before="100" w:beforeAutospacing="1" w:after="100" w:afterAutospacing="1" w:line="360" w:lineRule="auto"/>
        <w:ind w:firstLine="418"/>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三、经有评审权单位聘请，在招生简章上有XX并实际指导学生的博士生导师，每月按</w:t>
      </w:r>
      <w:r w:rsidRPr="00535757">
        <w:rPr>
          <w:rFonts w:ascii="DFKai-SB" w:eastAsia="DFKai-SB" w:hAnsi="DFKai-SB" w:cs="宋体" w:hint="eastAsia"/>
          <w:color w:val="FF0000"/>
          <w:kern w:val="0"/>
          <w:sz w:val="24"/>
        </w:rPr>
        <w:t>400</w:t>
      </w:r>
      <w:r w:rsidRPr="00535757">
        <w:rPr>
          <w:rFonts w:ascii="DFKai-SB" w:eastAsia="DFKai-SB" w:hAnsi="DFKai-SB" w:cs="宋体" w:hint="eastAsia"/>
          <w:color w:val="676C94"/>
          <w:kern w:val="0"/>
          <w:sz w:val="24"/>
        </w:rPr>
        <w:t>元的标准发放指导博士研究生津贴。</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四、其它有关规定</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sectPr>
          <w:headerReference w:type="default" r:id="rId32"/>
          <w:footerReference w:type="even" r:id="rId33"/>
          <w:footerReference w:type="default" r:id="rId34"/>
          <w:footerReference w:type="first" r:id="rId35"/>
          <w:type w:val="nextPage"/>
          <w:pgSz w:w="11906" w:h="16838"/>
          <w:pgMar w:top="1440" w:right="1800" w:bottom="1440" w:left="1800" w:header="851" w:footer="992" w:gutter="0"/>
          <w:pgNumType w:start="8"/>
          <w:cols w:space="425"/>
          <w:titlePg w:val="0"/>
          <w:docGrid w:type="lines" w:linePitch="312"/>
        </w:sectPr>
      </w:pPr>
      <w:r w:rsidRPr="00535757">
        <w:rPr>
          <w:rFonts w:ascii="DFKai-SB" w:eastAsia="DFKai-SB" w:hAnsi="DFKai-SB" w:cs="宋体" w:hint="eastAsia"/>
          <w:color w:val="676C94"/>
          <w:kern w:val="0"/>
          <w:sz w:val="24"/>
        </w:rPr>
        <w:t>(一)职务变动人员，原那么上在聘期内岗位不变。</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(二)新入校人员〔或出国或脱产返回学校人员〕，从聘任或回校的下月起按聘任岗位发放绩效工资，考核时按照实际工作时间应完成的相应任务核算。</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(三) 法定假期中婚假〔三天〕、丧假〔三天〕、产假期间根底绩效局部绩效正常发放，产假期间的教学工作量给予减免。</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(四)有以下情形之一者，基层单位可酌情停发或扣发绩效工资，所扣绩效工资纳入院〔系〕基金：</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1．缓聘、拒聘、待聘人员。</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2．发生一般教学事故、严重教学事故或重大教学事故者。</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3．不实行坐班制的专业技术人员不按时参加集体活动者。</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4．工作出现过错、过失或因工作失误造成严重后果者。</w:t>
      </w:r>
    </w:p>
    <w:p w:rsidR="009C694F" w:rsidRPr="00535757" w:rsidP="009C694F">
      <w:pPr>
        <w:widowControl/>
        <w:wordWrap w:val="0"/>
        <w:snapToGrid w:val="0"/>
        <w:spacing w:before="100" w:beforeAutospacing="1" w:after="100" w:afterAutospacing="1" w:line="360" w:lineRule="auto"/>
        <w:ind w:firstLine="403"/>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5．教职工因病事假等原因未出勤或有旷工行为者。</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6．不服从组织安排或不承当实际工作的人员。</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7. 没有完成根底绩效对应的工作任务者。</w:t>
      </w:r>
    </w:p>
    <w:p w:rsidR="009C694F" w:rsidRPr="00535757" w:rsidP="009C694F">
      <w:pPr>
        <w:widowControl/>
        <w:wordWrap w:val="0"/>
        <w:snapToGrid w:val="0"/>
        <w:spacing w:before="100" w:beforeAutospacing="1" w:after="100" w:afterAutospacing="1" w:line="360" w:lineRule="auto"/>
        <w:jc w:val="left"/>
        <w:rPr>
          <w:rFonts w:ascii="DFKai-SB" w:eastAsia="DFKai-SB" w:hAnsi="DFKai-SB" w:cs="宋体"/>
          <w:color w:val="676C94"/>
          <w:kern w:val="0"/>
          <w:sz w:val="24"/>
        </w:rPr>
      </w:pPr>
      <w:r w:rsidRPr="00535757">
        <w:rPr>
          <w:rFonts w:ascii="DFKai-SB" w:eastAsia="DFKai-SB" w:hAnsi="DFKai-SB" w:cs="宋体"/>
          <w:color w:val="676C94"/>
          <w:kern w:val="0"/>
          <w:sz w:val="24"/>
        </w:rPr>
        <w:t> </w:t>
      </w:r>
    </w:p>
    <w:p w:rsidR="009C694F" w:rsidRPr="00535757" w:rsidP="009C694F">
      <w:pPr>
        <w:widowControl/>
        <w:wordWrap w:val="0"/>
        <w:snapToGrid w:val="0"/>
        <w:spacing w:before="100" w:beforeAutospacing="1" w:after="100" w:afterAutospacing="1" w:line="360" w:lineRule="auto"/>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附件二：</w:t>
      </w:r>
    </w:p>
    <w:p w:rsidR="009C694F" w:rsidRPr="00535757" w:rsidP="009C694F">
      <w:pPr>
        <w:widowControl/>
        <w:wordWrap w:val="0"/>
        <w:snapToGrid w:val="0"/>
        <w:spacing w:before="100" w:beforeAutospacing="1" w:after="100" w:afterAutospacing="1" w:line="360" w:lineRule="auto"/>
        <w:jc w:val="center"/>
        <w:rPr>
          <w:rFonts w:ascii="DFKai-SB" w:eastAsia="DFKai-SB" w:hAnsi="DFKai-SB" w:cs="宋体"/>
          <w:color w:val="676C94"/>
          <w:kern w:val="0"/>
          <w:sz w:val="24"/>
        </w:rPr>
      </w:pPr>
      <w:r w:rsidRPr="00535757">
        <w:rPr>
          <w:rFonts w:ascii="DFKai-SB" w:eastAsia="DFKai-SB" w:hAnsi="DFKai-SB" w:cs="宋体" w:hint="eastAsia"/>
          <w:color w:val="676C94"/>
          <w:kern w:val="0"/>
          <w:sz w:val="28"/>
          <w:szCs w:val="28"/>
        </w:rPr>
        <w:t>XX工业大学管理及教学辅助岗位绩效工资实施方法</w:t>
      </w:r>
    </w:p>
    <w:p w:rsidR="009C694F" w:rsidRPr="00535757" w:rsidP="009C694F">
      <w:pPr>
        <w:widowControl/>
        <w:wordWrap w:val="0"/>
        <w:snapToGrid w:val="0"/>
        <w:spacing w:before="100" w:beforeAutospacing="1" w:after="100" w:afterAutospacing="1" w:line="360" w:lineRule="auto"/>
        <w:ind w:firstLine="556"/>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为了进一步深化人事分配制度改革，坚持</w:t>
      </w:r>
      <w:r w:rsidRPr="00535757">
        <w:rPr>
          <w:rFonts w:ascii="DFKai-SB" w:eastAsia="DFKai-SB" w:hAnsi="DFKai-SB" w:cs="宋体" w:hint="eastAsia"/>
          <w:color w:val="676C94"/>
          <w:kern w:val="0"/>
          <w:sz w:val="24"/>
        </w:rPr>
        <w:t>“</w:t>
      </w:r>
      <w:r w:rsidRPr="00535757">
        <w:rPr>
          <w:rFonts w:ascii="DFKai-SB" w:eastAsia="DFKai-SB" w:hAnsi="DFKai-SB" w:cs="宋体" w:hint="eastAsia"/>
          <w:color w:val="676C94"/>
          <w:kern w:val="0"/>
          <w:sz w:val="24"/>
        </w:rPr>
        <w:t>绩效优先、兼顾公平〞的原那么，充分发挥分配的鼓励导向作用，调动管理人员和教学辅助人员的创造性和积极性，提高管理效劳水平，促进学校教育事业又好又快开展，特制订本方法。</w:t>
      </w:r>
    </w:p>
    <w:p w:rsidR="009C694F" w:rsidRPr="00535757" w:rsidP="009C694F">
      <w:pPr>
        <w:widowControl/>
        <w:wordWrap w:val="0"/>
        <w:snapToGrid w:val="0"/>
        <w:spacing w:before="100" w:beforeAutospacing="1" w:after="100" w:afterAutospacing="1" w:line="360" w:lineRule="auto"/>
        <w:ind w:left="554"/>
        <w:jc w:val="center"/>
        <w:rPr>
          <w:rFonts w:ascii="DFKai-SB" w:eastAsia="DFKai-SB" w:hAnsi="DFKai-SB" w:cs="宋体"/>
          <w:color w:val="676C94"/>
          <w:kern w:val="0"/>
          <w:sz w:val="24"/>
        </w:rPr>
        <w:sectPr>
          <w:headerReference w:type="default" r:id="rId36"/>
          <w:footerReference w:type="even" r:id="rId37"/>
          <w:footerReference w:type="default" r:id="rId38"/>
          <w:footerReference w:type="first" r:id="rId39"/>
          <w:type w:val="nextPage"/>
          <w:pgSz w:w="11906" w:h="16838"/>
          <w:pgMar w:top="1440" w:right="1800" w:bottom="1440" w:left="1800" w:header="851" w:footer="992" w:gutter="0"/>
          <w:pgNumType w:start="9"/>
          <w:cols w:space="425"/>
          <w:titlePg w:val="0"/>
          <w:docGrid w:type="lines" w:linePitch="312"/>
        </w:sectPr>
      </w:pPr>
      <w:r w:rsidRPr="00535757">
        <w:rPr>
          <w:rFonts w:ascii="DFKai-SB" w:eastAsia="DFKai-SB" w:hAnsi="DFKai-SB" w:cs="宋体" w:hint="eastAsia"/>
          <w:b/>
          <w:bCs/>
          <w:color w:val="676C94"/>
          <w:kern w:val="0"/>
          <w:sz w:val="24"/>
        </w:rPr>
        <w:t>管理及教辅岗位绩效工资实施的根本原那么</w:t>
      </w:r>
    </w:p>
    <w:p w:rsidR="009C694F" w:rsidRPr="00535757" w:rsidP="009C694F">
      <w:pPr>
        <w:widowControl/>
        <w:wordWrap w:val="0"/>
        <w:snapToGrid w:val="0"/>
        <w:spacing w:before="100" w:beforeAutospacing="1" w:after="100" w:afterAutospacing="1" w:line="360" w:lineRule="auto"/>
        <w:ind w:firstLine="414"/>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绩效工资是学校在定编、定岗、定责和聘任的根底上，根据受聘人岗位职责及其目标、任务实际履行的数量和质量以及作出的奉献所发放的劳动报酬。原那么上和岗位设置时所聘任岗位一一对应。管理及教辅岗位绩效工资贯彻以下指导思想和根本原那么：</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1．贯彻国家关于事业单位分配</w:t>
      </w:r>
      <w:r w:rsidRPr="00535757">
        <w:rPr>
          <w:rFonts w:ascii="DFKai-SB" w:eastAsia="DFKai-SB" w:hAnsi="DFKai-SB" w:cs="宋体" w:hint="eastAsia"/>
          <w:color w:val="676C94"/>
          <w:kern w:val="0"/>
          <w:sz w:val="24"/>
        </w:rPr>
        <w:t>“</w:t>
      </w:r>
      <w:r w:rsidRPr="00535757">
        <w:rPr>
          <w:rFonts w:ascii="DFKai-SB" w:eastAsia="DFKai-SB" w:hAnsi="DFKai-SB" w:cs="宋体" w:hint="eastAsia"/>
          <w:color w:val="676C94"/>
          <w:kern w:val="0"/>
          <w:sz w:val="24"/>
        </w:rPr>
        <w:t>绩效优先、兼顾公平〞的原那么，遵循</w:t>
      </w:r>
      <w:r w:rsidRPr="00535757">
        <w:rPr>
          <w:rFonts w:ascii="DFKai-SB" w:eastAsia="DFKai-SB" w:hAnsi="DFKai-SB" w:cs="宋体" w:hint="eastAsia"/>
          <w:color w:val="676C94"/>
          <w:kern w:val="0"/>
          <w:sz w:val="24"/>
        </w:rPr>
        <w:t>“</w:t>
      </w:r>
      <w:r w:rsidRPr="00535757">
        <w:rPr>
          <w:rFonts w:ascii="DFKai-SB" w:eastAsia="DFKai-SB" w:hAnsi="DFKai-SB" w:cs="宋体" w:hint="eastAsia"/>
          <w:color w:val="676C94"/>
          <w:kern w:val="0"/>
          <w:sz w:val="24"/>
        </w:rPr>
        <w:t>优化构造，按需设岗；淡化身份，强化岗位；以岗定酬，严格考核；优劳优酬，责酬相符〞的根本原那么，根据管理岗位的任职年限和奉献，建立能上能下的动态分配鼓励机制。</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2．实施绩效工资的前提和根底是对根本工资〔岗位工资和薪级工资〕局部工作任务及相应责任的具体落实，在此根底上再明确绩效工资相对应的任务与责任。</w:t>
      </w:r>
    </w:p>
    <w:p w:rsidR="009C694F" w:rsidRPr="00535757" w:rsidP="009C694F">
      <w:pPr>
        <w:widowControl/>
        <w:wordWrap w:val="0"/>
        <w:snapToGrid w:val="0"/>
        <w:spacing w:before="100" w:beforeAutospacing="1" w:after="100" w:afterAutospacing="1" w:line="360" w:lineRule="auto"/>
        <w:jc w:val="center"/>
        <w:rPr>
          <w:rFonts w:ascii="DFKai-SB" w:eastAsia="DFKai-SB" w:hAnsi="DFKai-SB" w:cs="宋体"/>
          <w:color w:val="676C94"/>
          <w:kern w:val="0"/>
          <w:sz w:val="24"/>
        </w:rPr>
      </w:pPr>
      <w:r w:rsidRPr="00535757">
        <w:rPr>
          <w:rFonts w:ascii="DFKai-SB" w:eastAsia="DFKai-SB" w:hAnsi="DFKai-SB" w:cs="宋体" w:hint="eastAsia"/>
          <w:b/>
          <w:bCs/>
          <w:color w:val="676C94"/>
          <w:kern w:val="0"/>
          <w:sz w:val="24"/>
        </w:rPr>
        <w:t>管理及教辅岗位根本工资局部的考核及发放</w:t>
      </w:r>
    </w:p>
    <w:p w:rsidR="009C694F" w:rsidRPr="00535757" w:rsidP="009C694F">
      <w:pPr>
        <w:widowControl/>
        <w:wordWrap w:val="0"/>
        <w:snapToGrid w:val="0"/>
        <w:spacing w:before="100" w:beforeAutospacing="1" w:after="100" w:afterAutospacing="1" w:line="360" w:lineRule="auto"/>
        <w:ind w:firstLine="495"/>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一、根本任务及责任</w:t>
      </w:r>
    </w:p>
    <w:p w:rsidR="009C694F" w:rsidRPr="00535757" w:rsidP="009C694F">
      <w:pPr>
        <w:widowControl/>
        <w:wordWrap w:val="0"/>
        <w:snapToGrid w:val="0"/>
        <w:spacing w:before="100" w:beforeAutospacing="1" w:after="100" w:afterAutospacing="1" w:line="360" w:lineRule="auto"/>
        <w:ind w:firstLine="495"/>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全额领取根本工资的管理及教辅岗位人员应完成和履行本岗位的根本任务与岗位职责，并且工作量饱满。</w:t>
      </w:r>
    </w:p>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二、考核发放方法</w:t>
      </w:r>
    </w:p>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1．根本工资按照国家及学校的相关规定考核发放，全年按照12个月计发，发放标准以上级主管部门的审批结果为准。</w:t>
      </w:r>
    </w:p>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2．管理及教辅岗位人员发生的病假、事假、哺乳假、旷工等情形，按照学校的考勤制度到达扣减根本工资标准的，按照学校考勤制度执行扣减。</w:t>
      </w:r>
    </w:p>
    <w:p w:rsidR="009C694F" w:rsidRPr="00535757" w:rsidP="009C694F">
      <w:pPr>
        <w:widowControl/>
        <w:wordWrap w:val="0"/>
        <w:snapToGrid w:val="0"/>
        <w:spacing w:before="100" w:beforeAutospacing="1" w:after="100" w:afterAutospacing="1" w:line="360" w:lineRule="auto"/>
        <w:jc w:val="center"/>
        <w:rPr>
          <w:rFonts w:ascii="DFKai-SB" w:eastAsia="DFKai-SB" w:hAnsi="DFKai-SB" w:cs="宋体"/>
          <w:color w:val="676C94"/>
          <w:kern w:val="0"/>
          <w:sz w:val="24"/>
        </w:rPr>
      </w:pPr>
      <w:r w:rsidRPr="00535757">
        <w:rPr>
          <w:rFonts w:ascii="DFKai-SB" w:eastAsia="DFKai-SB" w:hAnsi="DFKai-SB" w:cs="宋体" w:hint="eastAsia"/>
          <w:b/>
          <w:bCs/>
          <w:color w:val="676C94"/>
          <w:kern w:val="0"/>
          <w:sz w:val="24"/>
        </w:rPr>
        <w:t>管理及教辅岗位绩效工资的岗位设置及权重系数</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sectPr>
          <w:headerReference w:type="default" r:id="rId40"/>
          <w:footerReference w:type="even" r:id="rId41"/>
          <w:footerReference w:type="default" r:id="rId42"/>
          <w:footerReference w:type="first" r:id="rId43"/>
          <w:type w:val="nextPage"/>
          <w:pgSz w:w="11906" w:h="16838"/>
          <w:pgMar w:top="1440" w:right="1800" w:bottom="1440" w:left="1800" w:header="851" w:footer="992" w:gutter="0"/>
          <w:pgNumType w:start="10"/>
          <w:cols w:space="425"/>
          <w:titlePg w:val="0"/>
          <w:docGrid w:type="lines" w:linePitch="312"/>
        </w:sectPr>
      </w:pPr>
      <w:r w:rsidRPr="00535757">
        <w:rPr>
          <w:rFonts w:ascii="DFKai-SB" w:eastAsia="DFKai-SB" w:hAnsi="DFKai-SB" w:cs="宋体" w:hint="eastAsia"/>
          <w:color w:val="676C94"/>
          <w:kern w:val="0"/>
          <w:sz w:val="24"/>
        </w:rPr>
        <w:t>一、管理及教辅岗位绩效工资分为根底绩效和奖励绩效。必须在完成相应的岗位职责和到达规定的标准后才可领取根底绩效和奖励绩效。</w:t>
      </w:r>
    </w:p>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二、管理教辅岗位包括由学校事业费负担的校、院〔系〕机关管理人员、图书资料人员、工勤人员和附属单位人员。根据岗位工作性质、职责和任务的不同，分为管理职员岗位、专业技术岗位、工勤岗位，共设档次</w:t>
      </w:r>
      <w:r w:rsidRPr="00535757">
        <w:rPr>
          <w:rFonts w:ascii="DFKai-SB" w:eastAsia="DFKai-SB" w:hAnsi="DFKai-SB" w:cs="宋体" w:hint="eastAsia"/>
          <w:color w:val="676C94"/>
          <w:kern w:val="0"/>
          <w:sz w:val="24"/>
          <w:lang w:val="en-GB"/>
        </w:rPr>
        <w:t>25</w:t>
      </w:r>
      <w:r w:rsidRPr="00535757">
        <w:rPr>
          <w:rFonts w:ascii="DFKai-SB" w:eastAsia="DFKai-SB" w:hAnsi="DFKai-SB" w:cs="宋体" w:hint="eastAsia"/>
          <w:color w:val="676C94"/>
          <w:kern w:val="0"/>
          <w:sz w:val="24"/>
        </w:rPr>
        <w:t>档，主要以年度考核结果和任职年限确定，表达各类岗位的工作实绩和资历。岗位级别与档次的关系及各档次的根底绩效权重系数见附表。奖励绩效采取和教师岗位超额奖励绩效挂钩浮动的方式，对于四级及以上管理职员和根底绩效为</w:t>
      </w:r>
      <w:r w:rsidRPr="00535757">
        <w:rPr>
          <w:rFonts w:ascii="DFKai-SB" w:eastAsia="DFKai-SB" w:hAnsi="DFKai-SB" w:cs="宋体" w:hint="eastAsia"/>
          <w:color w:val="676C94"/>
          <w:kern w:val="0"/>
          <w:sz w:val="24"/>
          <w:lang w:val="en-GB"/>
        </w:rPr>
        <w:t>1</w:t>
      </w:r>
      <w:r w:rsidRPr="00535757">
        <w:rPr>
          <w:rFonts w:ascii="DFKai-SB" w:eastAsia="DFKai-SB" w:hAnsi="DFKai-SB" w:cs="宋体" w:hint="eastAsia"/>
          <w:color w:val="676C94"/>
          <w:kern w:val="0"/>
          <w:sz w:val="24"/>
        </w:rPr>
        <w:t>、</w:t>
      </w:r>
      <w:r w:rsidRPr="00535757">
        <w:rPr>
          <w:rFonts w:ascii="DFKai-SB" w:eastAsia="DFKai-SB" w:hAnsi="DFKai-SB" w:cs="宋体" w:hint="eastAsia"/>
          <w:color w:val="676C94"/>
          <w:kern w:val="0"/>
          <w:sz w:val="24"/>
          <w:lang w:val="en-GB"/>
        </w:rPr>
        <w:t>2</w:t>
      </w:r>
      <w:r w:rsidRPr="00535757">
        <w:rPr>
          <w:rFonts w:ascii="DFKai-SB" w:eastAsia="DFKai-SB" w:hAnsi="DFKai-SB" w:cs="宋体" w:hint="eastAsia"/>
          <w:color w:val="676C94"/>
          <w:kern w:val="0"/>
          <w:sz w:val="24"/>
        </w:rPr>
        <w:t>档的人员实行固定奖励绩效，绩效系数如下：</w:t>
      </w:r>
    </w:p>
    <w:tbl>
      <w:tblPr>
        <w:tblStyle w:val="TableNormal"/>
        <w:tblW w:w="8265" w:type="dxa"/>
        <w:tblInd w:w="468" w:type="dxa"/>
        <w:tblCellMar>
          <w:left w:w="0" w:type="dxa"/>
          <w:right w:w="0" w:type="dxa"/>
        </w:tblCellMar>
        <w:tblLook w:val="0000"/>
      </w:tblPr>
      <w:tblGrid>
        <w:gridCol w:w="1555"/>
        <w:gridCol w:w="812"/>
        <w:gridCol w:w="846"/>
        <w:gridCol w:w="1247"/>
        <w:gridCol w:w="991"/>
        <w:gridCol w:w="720"/>
        <w:gridCol w:w="798"/>
        <w:gridCol w:w="576"/>
        <w:gridCol w:w="720"/>
      </w:tblGrid>
      <w:tr w:rsidTr="009C694F">
        <w:tblPrEx>
          <w:tblW w:w="8265" w:type="dxa"/>
          <w:tblInd w:w="468" w:type="dxa"/>
          <w:tblCellMar>
            <w:left w:w="0" w:type="dxa"/>
            <w:right w:w="0" w:type="dxa"/>
          </w:tblCellMar>
          <w:tblLook w:val="0000"/>
        </w:tblPrEx>
        <w:trPr>
          <w:trHeight w:val="318"/>
        </w:trPr>
        <w:tc>
          <w:tcPr>
            <w:tcW w:w="155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FF0000"/>
                <w:kern w:val="0"/>
                <w:sz w:val="20"/>
                <w:szCs w:val="20"/>
              </w:rPr>
              <w:t>对应档级</w:t>
            </w:r>
          </w:p>
        </w:tc>
        <w:tc>
          <w:tcPr>
            <w:tcW w:w="81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FF0000"/>
                <w:kern w:val="0"/>
                <w:sz w:val="20"/>
                <w:szCs w:val="20"/>
              </w:rPr>
              <w:t>25档</w:t>
            </w:r>
          </w:p>
        </w:tc>
        <w:tc>
          <w:tcPr>
            <w:tcW w:w="84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FF0000"/>
                <w:kern w:val="0"/>
                <w:sz w:val="20"/>
                <w:szCs w:val="20"/>
              </w:rPr>
              <w:t>24档</w:t>
            </w:r>
          </w:p>
        </w:tc>
        <w:tc>
          <w:tcPr>
            <w:tcW w:w="124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FF0000"/>
                <w:kern w:val="0"/>
                <w:sz w:val="20"/>
                <w:szCs w:val="20"/>
              </w:rPr>
              <w:t>23档</w:t>
            </w:r>
          </w:p>
        </w:tc>
        <w:tc>
          <w:tcPr>
            <w:tcW w:w="99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FF0000"/>
                <w:kern w:val="0"/>
                <w:sz w:val="20"/>
                <w:szCs w:val="20"/>
              </w:rPr>
              <w:t>22档</w:t>
            </w:r>
          </w:p>
        </w:tc>
        <w:tc>
          <w:tcPr>
            <w:tcW w:w="72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FF0000"/>
                <w:kern w:val="0"/>
                <w:sz w:val="20"/>
                <w:szCs w:val="20"/>
              </w:rPr>
              <w:t>21档</w:t>
            </w:r>
          </w:p>
        </w:tc>
        <w:tc>
          <w:tcPr>
            <w:tcW w:w="79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FF0000"/>
                <w:kern w:val="0"/>
                <w:sz w:val="20"/>
                <w:szCs w:val="20"/>
              </w:rPr>
              <w:t>20档</w:t>
            </w:r>
          </w:p>
        </w:tc>
        <w:tc>
          <w:tcPr>
            <w:tcW w:w="57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FF0000"/>
                <w:kern w:val="0"/>
                <w:sz w:val="20"/>
                <w:szCs w:val="20"/>
              </w:rPr>
              <w:t>2档</w:t>
            </w:r>
          </w:p>
        </w:tc>
        <w:tc>
          <w:tcPr>
            <w:tcW w:w="72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FF0000"/>
                <w:kern w:val="0"/>
                <w:sz w:val="20"/>
                <w:szCs w:val="20"/>
              </w:rPr>
              <w:t>1档</w:t>
            </w:r>
          </w:p>
        </w:tc>
      </w:tr>
      <w:tr w:rsidTr="009C694F">
        <w:tblPrEx>
          <w:tblW w:w="8265" w:type="dxa"/>
          <w:tblInd w:w="468" w:type="dxa"/>
          <w:tblCellMar>
            <w:left w:w="0" w:type="dxa"/>
            <w:right w:w="0" w:type="dxa"/>
          </w:tblCellMar>
          <w:tblLook w:val="0000"/>
        </w:tblPrEx>
        <w:trPr>
          <w:trHeight w:val="318"/>
        </w:trPr>
        <w:tc>
          <w:tcPr>
            <w:tcW w:w="1555"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FF0000"/>
                <w:kern w:val="0"/>
                <w:sz w:val="20"/>
                <w:szCs w:val="20"/>
              </w:rPr>
              <w:t>奖励绩效系数</w:t>
            </w:r>
          </w:p>
        </w:tc>
        <w:tc>
          <w:tcPr>
            <w:tcW w:w="812" w:type="dxa"/>
            <w:tcBorders>
              <w:top w:val="nil"/>
              <w:left w:val="nil"/>
              <w:bottom w:val="single" w:sz="8" w:space="0" w:color="auto"/>
              <w:right w:val="single" w:sz="8" w:space="0" w:color="auto"/>
            </w:tcBorders>
            <w:noWrap/>
            <w:tcMar>
              <w:top w:w="0" w:type="dxa"/>
              <w:left w:w="108" w:type="dxa"/>
              <w:bottom w:w="0" w:type="dxa"/>
              <w:right w:w="108" w:type="dxa"/>
            </w:tcMar>
            <w:vAlign w:val="bottom"/>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FF0000"/>
                <w:kern w:val="0"/>
                <w:sz w:val="20"/>
                <w:szCs w:val="20"/>
              </w:rPr>
              <w:t>4.8</w:t>
            </w:r>
          </w:p>
        </w:tc>
        <w:tc>
          <w:tcPr>
            <w:tcW w:w="846" w:type="dxa"/>
            <w:tcBorders>
              <w:top w:val="nil"/>
              <w:left w:val="nil"/>
              <w:bottom w:val="single" w:sz="8" w:space="0" w:color="auto"/>
              <w:right w:val="single" w:sz="8" w:space="0" w:color="auto"/>
            </w:tcBorders>
            <w:noWrap/>
            <w:tcMar>
              <w:top w:w="0" w:type="dxa"/>
              <w:left w:w="108" w:type="dxa"/>
              <w:bottom w:w="0" w:type="dxa"/>
              <w:right w:w="108" w:type="dxa"/>
            </w:tcMar>
            <w:vAlign w:val="bottom"/>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FF0000"/>
                <w:kern w:val="0"/>
                <w:sz w:val="20"/>
                <w:szCs w:val="20"/>
              </w:rPr>
              <w:t>4.4</w:t>
            </w:r>
          </w:p>
        </w:tc>
        <w:tc>
          <w:tcPr>
            <w:tcW w:w="1247" w:type="dxa"/>
            <w:tcBorders>
              <w:top w:val="nil"/>
              <w:left w:val="nil"/>
              <w:bottom w:val="single" w:sz="8" w:space="0" w:color="auto"/>
              <w:right w:val="single" w:sz="8" w:space="0" w:color="auto"/>
            </w:tcBorders>
            <w:noWrap/>
            <w:tcMar>
              <w:top w:w="0" w:type="dxa"/>
              <w:left w:w="108" w:type="dxa"/>
              <w:bottom w:w="0" w:type="dxa"/>
              <w:right w:w="108" w:type="dxa"/>
            </w:tcMar>
            <w:vAlign w:val="bottom"/>
          </w:tcPr>
          <w:p w:rsidR="009C694F" w:rsidRPr="00535757" w:rsidP="009C694F">
            <w:pPr>
              <w:widowControl/>
              <w:spacing w:before="100" w:beforeAutospacing="1" w:after="100" w:afterAutospacing="1" w:line="270" w:lineRule="atLeast"/>
              <w:ind w:right="480" w:firstLine="100"/>
              <w:jc w:val="left"/>
              <w:rPr>
                <w:rFonts w:ascii="DFKai-SB" w:eastAsia="DFKai-SB" w:hAnsi="DFKai-SB" w:cs="宋体"/>
                <w:color w:val="676C94"/>
                <w:kern w:val="0"/>
                <w:sz w:val="24"/>
              </w:rPr>
            </w:pPr>
            <w:r w:rsidRPr="00535757">
              <w:rPr>
                <w:rFonts w:ascii="DFKai-SB" w:eastAsia="DFKai-SB" w:hAnsi="DFKai-SB" w:cs="宋体" w:hint="eastAsia"/>
                <w:color w:val="FF0000"/>
                <w:kern w:val="0"/>
                <w:sz w:val="20"/>
                <w:szCs w:val="20"/>
              </w:rPr>
              <w:t>4.1</w:t>
            </w:r>
          </w:p>
        </w:tc>
        <w:tc>
          <w:tcPr>
            <w:tcW w:w="991" w:type="dxa"/>
            <w:tcBorders>
              <w:top w:val="nil"/>
              <w:left w:val="nil"/>
              <w:bottom w:val="single" w:sz="8" w:space="0" w:color="auto"/>
              <w:right w:val="single" w:sz="8" w:space="0" w:color="auto"/>
            </w:tcBorders>
            <w:noWrap/>
            <w:tcMar>
              <w:top w:w="0" w:type="dxa"/>
              <w:left w:w="108" w:type="dxa"/>
              <w:bottom w:w="0" w:type="dxa"/>
              <w:right w:w="108" w:type="dxa"/>
            </w:tcMar>
            <w:vAlign w:val="bottom"/>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FF0000"/>
                <w:kern w:val="0"/>
                <w:sz w:val="20"/>
                <w:szCs w:val="20"/>
              </w:rPr>
              <w:t>3.9</w:t>
            </w:r>
          </w:p>
        </w:tc>
        <w:tc>
          <w:tcPr>
            <w:tcW w:w="720" w:type="dxa"/>
            <w:tcBorders>
              <w:top w:val="nil"/>
              <w:left w:val="nil"/>
              <w:bottom w:val="single" w:sz="8" w:space="0" w:color="auto"/>
              <w:right w:val="single" w:sz="8" w:space="0" w:color="auto"/>
            </w:tcBorders>
            <w:noWrap/>
            <w:tcMar>
              <w:top w:w="0" w:type="dxa"/>
              <w:left w:w="108" w:type="dxa"/>
              <w:bottom w:w="0" w:type="dxa"/>
              <w:right w:w="108" w:type="dxa"/>
            </w:tcMar>
            <w:vAlign w:val="bottom"/>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FF0000"/>
                <w:kern w:val="0"/>
                <w:sz w:val="20"/>
                <w:szCs w:val="20"/>
              </w:rPr>
              <w:t>3.7</w:t>
            </w:r>
          </w:p>
        </w:tc>
        <w:tc>
          <w:tcPr>
            <w:tcW w:w="798" w:type="dxa"/>
            <w:tcBorders>
              <w:top w:val="nil"/>
              <w:left w:val="nil"/>
              <w:bottom w:val="single" w:sz="8" w:space="0" w:color="auto"/>
              <w:right w:val="single" w:sz="8" w:space="0" w:color="auto"/>
            </w:tcBorders>
            <w:noWrap/>
            <w:tcMar>
              <w:top w:w="0" w:type="dxa"/>
              <w:left w:w="108" w:type="dxa"/>
              <w:bottom w:w="0" w:type="dxa"/>
              <w:right w:w="108" w:type="dxa"/>
            </w:tcMar>
            <w:vAlign w:val="bottom"/>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FF0000"/>
                <w:kern w:val="0"/>
                <w:sz w:val="20"/>
                <w:szCs w:val="20"/>
              </w:rPr>
              <w:t>3.5</w:t>
            </w:r>
          </w:p>
        </w:tc>
        <w:tc>
          <w:tcPr>
            <w:tcW w:w="576" w:type="dxa"/>
            <w:tcBorders>
              <w:top w:val="nil"/>
              <w:left w:val="nil"/>
              <w:bottom w:val="single" w:sz="8" w:space="0" w:color="auto"/>
              <w:right w:val="single" w:sz="8" w:space="0" w:color="auto"/>
            </w:tcBorders>
            <w:noWrap/>
            <w:tcMar>
              <w:top w:w="0" w:type="dxa"/>
              <w:left w:w="108" w:type="dxa"/>
              <w:bottom w:w="0" w:type="dxa"/>
              <w:right w:w="108" w:type="dxa"/>
            </w:tcMar>
            <w:vAlign w:val="bottom"/>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FF0000"/>
                <w:kern w:val="0"/>
                <w:sz w:val="20"/>
                <w:szCs w:val="20"/>
              </w:rPr>
              <w:t>0.6</w:t>
            </w:r>
          </w:p>
        </w:tc>
        <w:tc>
          <w:tcPr>
            <w:tcW w:w="720" w:type="dxa"/>
            <w:tcBorders>
              <w:top w:val="nil"/>
              <w:left w:val="nil"/>
              <w:bottom w:val="single" w:sz="8" w:space="0" w:color="auto"/>
              <w:right w:val="single" w:sz="8" w:space="0" w:color="auto"/>
            </w:tcBorders>
            <w:noWrap/>
            <w:tcMar>
              <w:top w:w="0" w:type="dxa"/>
              <w:left w:w="108" w:type="dxa"/>
              <w:bottom w:w="0" w:type="dxa"/>
              <w:right w:w="108" w:type="dxa"/>
            </w:tcMar>
            <w:vAlign w:val="bottom"/>
          </w:tcPr>
          <w:p w:rsidR="009C694F" w:rsidRPr="00535757" w:rsidP="009C694F">
            <w:pPr>
              <w:widowControl/>
              <w:spacing w:before="100" w:beforeAutospacing="1" w:after="100" w:afterAutospacing="1" w:line="270" w:lineRule="atLeast"/>
              <w:jc w:val="center"/>
              <w:rPr>
                <w:rFonts w:ascii="DFKai-SB" w:eastAsia="DFKai-SB" w:hAnsi="DFKai-SB" w:cs="宋体"/>
                <w:color w:val="676C94"/>
                <w:kern w:val="0"/>
                <w:sz w:val="24"/>
              </w:rPr>
            </w:pPr>
            <w:r w:rsidRPr="00535757">
              <w:rPr>
                <w:rFonts w:ascii="DFKai-SB" w:eastAsia="DFKai-SB" w:hAnsi="DFKai-SB" w:cs="宋体" w:hint="eastAsia"/>
                <w:color w:val="FF0000"/>
                <w:kern w:val="0"/>
                <w:sz w:val="20"/>
                <w:szCs w:val="20"/>
              </w:rPr>
              <w:t>0.4</w:t>
            </w:r>
          </w:p>
        </w:tc>
      </w:tr>
    </w:tbl>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w:t>
      </w:r>
      <w:r w:rsidRPr="00535757">
        <w:rPr>
          <w:rFonts w:ascii="DFKai-SB" w:eastAsia="DFKai-SB" w:hAnsi="DFKai-SB" w:cs="宋体" w:hint="eastAsia"/>
          <w:color w:val="676C94"/>
          <w:kern w:val="0"/>
          <w:sz w:val="24"/>
          <w:lang w:val="en-GB"/>
        </w:rPr>
        <w:t>21</w:t>
      </w:r>
      <w:r w:rsidRPr="00535757">
        <w:rPr>
          <w:rFonts w:ascii="DFKai-SB" w:eastAsia="DFKai-SB" w:hAnsi="DFKai-SB" w:cs="宋体" w:hint="eastAsia"/>
          <w:color w:val="676C94"/>
          <w:kern w:val="0"/>
          <w:sz w:val="24"/>
        </w:rPr>
        <w:t>、</w:t>
      </w:r>
      <w:r w:rsidRPr="00535757">
        <w:rPr>
          <w:rFonts w:ascii="DFKai-SB" w:eastAsia="DFKai-SB" w:hAnsi="DFKai-SB" w:cs="宋体" w:hint="eastAsia"/>
          <w:color w:val="676C94"/>
          <w:kern w:val="0"/>
          <w:sz w:val="24"/>
          <w:lang w:val="en-GB"/>
        </w:rPr>
        <w:t>20</w:t>
      </w:r>
      <w:r w:rsidRPr="00535757">
        <w:rPr>
          <w:rFonts w:ascii="DFKai-SB" w:eastAsia="DFKai-SB" w:hAnsi="DFKai-SB" w:cs="宋体" w:hint="eastAsia"/>
          <w:color w:val="676C94"/>
          <w:kern w:val="0"/>
          <w:sz w:val="24"/>
        </w:rPr>
        <w:t>档固定奖励系数只对应四级管理职员，不对应五级管理职员〕</w:t>
      </w:r>
    </w:p>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pPr>
      <w:r w:rsidRPr="00535757">
        <w:rPr>
          <w:rFonts w:ascii="DFKai-SB" w:eastAsia="DFKai-SB" w:hAnsi="DFKai-SB" w:cs="宋体" w:hint="eastAsia"/>
          <w:color w:val="FF0000"/>
          <w:kern w:val="0"/>
          <w:sz w:val="24"/>
        </w:rPr>
        <w:t>对于其他人员，挂钩浮动方法如下：</w:t>
      </w:r>
    </w:p>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pPr>
      <w:r w:rsidRPr="00535757">
        <w:rPr>
          <w:rFonts w:ascii="DFKai-SB" w:eastAsia="DFKai-SB" w:hAnsi="DFKai-SB" w:cs="宋体" w:hint="eastAsia"/>
          <w:color w:val="FF0000"/>
          <w:kern w:val="0"/>
          <w:sz w:val="24"/>
          <w:lang w:val="en-GB"/>
        </w:rPr>
        <w:t>3</w:t>
      </w:r>
      <w:r w:rsidRPr="00535757">
        <w:rPr>
          <w:rFonts w:ascii="DFKai-SB" w:eastAsia="DFKai-SB" w:hAnsi="DFKai-SB" w:cs="宋体" w:hint="eastAsia"/>
          <w:color w:val="FF0000"/>
          <w:kern w:val="0"/>
          <w:sz w:val="24"/>
        </w:rPr>
        <w:t>档</w:t>
      </w:r>
      <w:r w:rsidRPr="00535757">
        <w:rPr>
          <w:rFonts w:ascii="DFKai-SB" w:eastAsia="DFKai-SB" w:hAnsi="DFKai-SB" w:cs="宋体" w:hint="eastAsia"/>
          <w:color w:val="FF0000"/>
          <w:kern w:val="0"/>
          <w:sz w:val="24"/>
          <w:lang w:val="en-GB"/>
        </w:rPr>
        <w:t>=E*0.8</w:t>
      </w:r>
      <w:r w:rsidRPr="00535757">
        <w:rPr>
          <w:rFonts w:ascii="DFKai-SB" w:eastAsia="DFKai-SB" w:hAnsi="DFKai-SB" w:cs="宋体" w:hint="eastAsia"/>
          <w:color w:val="FF0000"/>
          <w:kern w:val="0"/>
          <w:sz w:val="24"/>
        </w:rPr>
        <w:t>，</w:t>
      </w:r>
      <w:r w:rsidRPr="00535757">
        <w:rPr>
          <w:rFonts w:ascii="DFKai-SB" w:eastAsia="DFKai-SB" w:hAnsi="DFKai-SB" w:cs="宋体" w:hint="eastAsia"/>
          <w:color w:val="FF0000"/>
          <w:kern w:val="0"/>
          <w:sz w:val="24"/>
          <w:lang w:val="en-GB"/>
        </w:rPr>
        <w:t>4</w:t>
      </w:r>
      <w:r w:rsidRPr="00535757">
        <w:rPr>
          <w:rFonts w:ascii="DFKai-SB" w:eastAsia="DFKai-SB" w:hAnsi="DFKai-SB" w:cs="宋体" w:hint="eastAsia"/>
          <w:color w:val="FF0000"/>
          <w:kern w:val="0"/>
          <w:sz w:val="24"/>
        </w:rPr>
        <w:t>档</w:t>
      </w:r>
      <w:r w:rsidRPr="00535757">
        <w:rPr>
          <w:rFonts w:ascii="DFKai-SB" w:eastAsia="DFKai-SB" w:hAnsi="DFKai-SB" w:cs="宋体" w:hint="eastAsia"/>
          <w:color w:val="FF0000"/>
          <w:kern w:val="0"/>
          <w:sz w:val="24"/>
          <w:lang w:val="en-GB"/>
        </w:rPr>
        <w:t>=E*0.83</w:t>
      </w:r>
      <w:r w:rsidRPr="00535757">
        <w:rPr>
          <w:rFonts w:ascii="DFKai-SB" w:eastAsia="DFKai-SB" w:hAnsi="DFKai-SB" w:cs="宋体" w:hint="eastAsia"/>
          <w:color w:val="FF0000"/>
          <w:kern w:val="0"/>
          <w:sz w:val="24"/>
        </w:rPr>
        <w:t>，</w:t>
      </w:r>
      <w:r w:rsidRPr="00535757">
        <w:rPr>
          <w:rFonts w:ascii="DFKai-SB" w:eastAsia="DFKai-SB" w:hAnsi="DFKai-SB" w:cs="宋体" w:hint="eastAsia"/>
          <w:color w:val="FF0000"/>
          <w:kern w:val="0"/>
          <w:sz w:val="24"/>
          <w:lang w:val="en-GB"/>
        </w:rPr>
        <w:t>5</w:t>
      </w:r>
      <w:r w:rsidRPr="00535757">
        <w:rPr>
          <w:rFonts w:ascii="DFKai-SB" w:eastAsia="DFKai-SB" w:hAnsi="DFKai-SB" w:cs="宋体" w:hint="eastAsia"/>
          <w:color w:val="FF0000"/>
          <w:kern w:val="0"/>
          <w:sz w:val="24"/>
        </w:rPr>
        <w:t>档</w:t>
      </w:r>
      <w:r w:rsidRPr="00535757">
        <w:rPr>
          <w:rFonts w:ascii="DFKai-SB" w:eastAsia="DFKai-SB" w:hAnsi="DFKai-SB" w:cs="宋体" w:hint="eastAsia"/>
          <w:color w:val="FF0000"/>
          <w:kern w:val="0"/>
          <w:sz w:val="24"/>
          <w:lang w:val="en-GB"/>
        </w:rPr>
        <w:t>=E*0.85</w:t>
      </w:r>
      <w:r w:rsidRPr="00535757">
        <w:rPr>
          <w:rFonts w:ascii="DFKai-SB" w:eastAsia="DFKai-SB" w:hAnsi="DFKai-SB" w:cs="宋体" w:hint="eastAsia"/>
          <w:color w:val="FF0000"/>
          <w:kern w:val="0"/>
          <w:sz w:val="24"/>
        </w:rPr>
        <w:t>，</w:t>
      </w:r>
    </w:p>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pPr>
      <w:r w:rsidRPr="00535757">
        <w:rPr>
          <w:rFonts w:ascii="DFKai-SB" w:eastAsia="DFKai-SB" w:hAnsi="DFKai-SB" w:cs="宋体" w:hint="eastAsia"/>
          <w:color w:val="FF0000"/>
          <w:kern w:val="0"/>
          <w:sz w:val="24"/>
          <w:lang w:val="en-GB"/>
        </w:rPr>
        <w:t>6</w:t>
      </w:r>
      <w:r w:rsidRPr="00535757">
        <w:rPr>
          <w:rFonts w:ascii="DFKai-SB" w:eastAsia="DFKai-SB" w:hAnsi="DFKai-SB" w:cs="宋体" w:hint="eastAsia"/>
          <w:color w:val="FF0000"/>
          <w:kern w:val="0"/>
          <w:sz w:val="24"/>
        </w:rPr>
        <w:t>档</w:t>
      </w:r>
      <w:r w:rsidRPr="00535757">
        <w:rPr>
          <w:rFonts w:ascii="DFKai-SB" w:eastAsia="DFKai-SB" w:hAnsi="DFKai-SB" w:cs="宋体" w:hint="eastAsia"/>
          <w:color w:val="FF0000"/>
          <w:kern w:val="0"/>
          <w:sz w:val="24"/>
          <w:lang w:val="en-GB"/>
        </w:rPr>
        <w:t>=D*0.8</w:t>
      </w:r>
      <w:r w:rsidRPr="00535757">
        <w:rPr>
          <w:rFonts w:ascii="DFKai-SB" w:eastAsia="DFKai-SB" w:hAnsi="DFKai-SB" w:cs="宋体" w:hint="eastAsia"/>
          <w:color w:val="FF0000"/>
          <w:kern w:val="0"/>
          <w:sz w:val="24"/>
        </w:rPr>
        <w:t>，</w:t>
      </w:r>
      <w:r w:rsidRPr="00535757">
        <w:rPr>
          <w:rFonts w:ascii="DFKai-SB" w:eastAsia="DFKai-SB" w:hAnsi="DFKai-SB" w:cs="宋体" w:hint="eastAsia"/>
          <w:color w:val="FF0000"/>
          <w:kern w:val="0"/>
          <w:sz w:val="24"/>
          <w:lang w:val="en-GB"/>
        </w:rPr>
        <w:t>7</w:t>
      </w:r>
      <w:r w:rsidRPr="00535757">
        <w:rPr>
          <w:rFonts w:ascii="DFKai-SB" w:eastAsia="DFKai-SB" w:hAnsi="DFKai-SB" w:cs="宋体" w:hint="eastAsia"/>
          <w:color w:val="FF0000"/>
          <w:kern w:val="0"/>
          <w:sz w:val="24"/>
        </w:rPr>
        <w:t>档</w:t>
      </w:r>
      <w:r w:rsidRPr="00535757">
        <w:rPr>
          <w:rFonts w:ascii="DFKai-SB" w:eastAsia="DFKai-SB" w:hAnsi="DFKai-SB" w:cs="宋体" w:hint="eastAsia"/>
          <w:color w:val="FF0000"/>
          <w:kern w:val="0"/>
          <w:sz w:val="24"/>
          <w:lang w:val="en-GB"/>
        </w:rPr>
        <w:t>=D*0.83</w:t>
      </w:r>
      <w:r w:rsidRPr="00535757">
        <w:rPr>
          <w:rFonts w:ascii="DFKai-SB" w:eastAsia="DFKai-SB" w:hAnsi="DFKai-SB" w:cs="宋体" w:hint="eastAsia"/>
          <w:color w:val="FF0000"/>
          <w:kern w:val="0"/>
          <w:sz w:val="24"/>
        </w:rPr>
        <w:t>，</w:t>
      </w:r>
      <w:r w:rsidRPr="00535757">
        <w:rPr>
          <w:rFonts w:ascii="DFKai-SB" w:eastAsia="DFKai-SB" w:hAnsi="DFKai-SB" w:cs="宋体" w:hint="eastAsia"/>
          <w:color w:val="FF0000"/>
          <w:kern w:val="0"/>
          <w:sz w:val="24"/>
          <w:lang w:val="en-GB"/>
        </w:rPr>
        <w:t>8</w:t>
      </w:r>
      <w:r w:rsidRPr="00535757">
        <w:rPr>
          <w:rFonts w:ascii="DFKai-SB" w:eastAsia="DFKai-SB" w:hAnsi="DFKai-SB" w:cs="宋体" w:hint="eastAsia"/>
          <w:color w:val="FF0000"/>
          <w:kern w:val="0"/>
          <w:sz w:val="24"/>
        </w:rPr>
        <w:t>档</w:t>
      </w:r>
      <w:r w:rsidRPr="00535757">
        <w:rPr>
          <w:rFonts w:ascii="DFKai-SB" w:eastAsia="DFKai-SB" w:hAnsi="DFKai-SB" w:cs="宋体" w:hint="eastAsia"/>
          <w:color w:val="FF0000"/>
          <w:kern w:val="0"/>
          <w:sz w:val="24"/>
          <w:lang w:val="en-GB"/>
        </w:rPr>
        <w:t>=D*0.85</w:t>
      </w:r>
      <w:r w:rsidRPr="00535757">
        <w:rPr>
          <w:rFonts w:ascii="DFKai-SB" w:eastAsia="DFKai-SB" w:hAnsi="DFKai-SB" w:cs="宋体" w:hint="eastAsia"/>
          <w:color w:val="FF0000"/>
          <w:kern w:val="0"/>
          <w:sz w:val="24"/>
        </w:rPr>
        <w:t>，</w:t>
      </w:r>
    </w:p>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pPr>
      <w:r w:rsidRPr="00535757">
        <w:rPr>
          <w:rFonts w:ascii="DFKai-SB" w:eastAsia="DFKai-SB" w:hAnsi="DFKai-SB" w:cs="宋体" w:hint="eastAsia"/>
          <w:color w:val="FF0000"/>
          <w:kern w:val="0"/>
          <w:sz w:val="24"/>
          <w:lang w:val="en-GB"/>
        </w:rPr>
        <w:t>9</w:t>
      </w:r>
      <w:r w:rsidRPr="00535757">
        <w:rPr>
          <w:rFonts w:ascii="DFKai-SB" w:eastAsia="DFKai-SB" w:hAnsi="DFKai-SB" w:cs="宋体" w:hint="eastAsia"/>
          <w:color w:val="FF0000"/>
          <w:kern w:val="0"/>
          <w:sz w:val="24"/>
        </w:rPr>
        <w:t>档</w:t>
      </w:r>
      <w:r w:rsidRPr="00535757">
        <w:rPr>
          <w:rFonts w:ascii="DFKai-SB" w:eastAsia="DFKai-SB" w:hAnsi="DFKai-SB" w:cs="宋体" w:hint="eastAsia"/>
          <w:color w:val="FF0000"/>
          <w:kern w:val="0"/>
          <w:sz w:val="24"/>
          <w:lang w:val="en-GB"/>
        </w:rPr>
        <w:t>=C*0.8</w:t>
      </w:r>
      <w:r w:rsidRPr="00535757">
        <w:rPr>
          <w:rFonts w:ascii="DFKai-SB" w:eastAsia="DFKai-SB" w:hAnsi="DFKai-SB" w:cs="宋体" w:hint="eastAsia"/>
          <w:color w:val="FF0000"/>
          <w:kern w:val="0"/>
          <w:sz w:val="24"/>
        </w:rPr>
        <w:t>，</w:t>
      </w:r>
      <w:r w:rsidRPr="00535757">
        <w:rPr>
          <w:rFonts w:ascii="DFKai-SB" w:eastAsia="DFKai-SB" w:hAnsi="DFKai-SB" w:cs="宋体" w:hint="eastAsia"/>
          <w:color w:val="FF0000"/>
          <w:kern w:val="0"/>
          <w:sz w:val="24"/>
          <w:lang w:val="en-GB"/>
        </w:rPr>
        <w:t>10</w:t>
      </w:r>
      <w:r w:rsidRPr="00535757">
        <w:rPr>
          <w:rFonts w:ascii="DFKai-SB" w:eastAsia="DFKai-SB" w:hAnsi="DFKai-SB" w:cs="宋体" w:hint="eastAsia"/>
          <w:color w:val="FF0000"/>
          <w:kern w:val="0"/>
          <w:sz w:val="24"/>
        </w:rPr>
        <w:t>档</w:t>
      </w:r>
      <w:r w:rsidRPr="00535757">
        <w:rPr>
          <w:rFonts w:ascii="DFKai-SB" w:eastAsia="DFKai-SB" w:hAnsi="DFKai-SB" w:cs="宋体" w:hint="eastAsia"/>
          <w:color w:val="FF0000"/>
          <w:kern w:val="0"/>
          <w:sz w:val="24"/>
          <w:lang w:val="en-GB"/>
        </w:rPr>
        <w:t>=C*0.83</w:t>
      </w:r>
      <w:r w:rsidRPr="00535757">
        <w:rPr>
          <w:rFonts w:ascii="DFKai-SB" w:eastAsia="DFKai-SB" w:hAnsi="DFKai-SB" w:cs="宋体" w:hint="eastAsia"/>
          <w:color w:val="FF0000"/>
          <w:kern w:val="0"/>
          <w:sz w:val="24"/>
        </w:rPr>
        <w:t>，</w:t>
      </w:r>
      <w:r w:rsidRPr="00535757">
        <w:rPr>
          <w:rFonts w:ascii="DFKai-SB" w:eastAsia="DFKai-SB" w:hAnsi="DFKai-SB" w:cs="宋体" w:hint="eastAsia"/>
          <w:color w:val="FF0000"/>
          <w:kern w:val="0"/>
          <w:sz w:val="24"/>
          <w:lang w:val="en-GB"/>
        </w:rPr>
        <w:t>11</w:t>
      </w:r>
      <w:r w:rsidRPr="00535757">
        <w:rPr>
          <w:rFonts w:ascii="DFKai-SB" w:eastAsia="DFKai-SB" w:hAnsi="DFKai-SB" w:cs="宋体" w:hint="eastAsia"/>
          <w:color w:val="FF0000"/>
          <w:kern w:val="0"/>
          <w:sz w:val="24"/>
        </w:rPr>
        <w:t>档</w:t>
      </w:r>
      <w:r w:rsidRPr="00535757">
        <w:rPr>
          <w:rFonts w:ascii="DFKai-SB" w:eastAsia="DFKai-SB" w:hAnsi="DFKai-SB" w:cs="宋体" w:hint="eastAsia"/>
          <w:color w:val="FF0000"/>
          <w:kern w:val="0"/>
          <w:sz w:val="24"/>
          <w:lang w:val="en-GB"/>
        </w:rPr>
        <w:t>=C*0.86</w:t>
      </w:r>
      <w:r w:rsidRPr="00535757">
        <w:rPr>
          <w:rFonts w:ascii="DFKai-SB" w:eastAsia="DFKai-SB" w:hAnsi="DFKai-SB" w:cs="宋体" w:hint="eastAsia"/>
          <w:color w:val="FF0000"/>
          <w:kern w:val="0"/>
          <w:sz w:val="24"/>
        </w:rPr>
        <w:t>，</w:t>
      </w:r>
    </w:p>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pPr>
      <w:r w:rsidRPr="00535757">
        <w:rPr>
          <w:rFonts w:ascii="DFKai-SB" w:eastAsia="DFKai-SB" w:hAnsi="DFKai-SB" w:cs="宋体" w:hint="eastAsia"/>
          <w:color w:val="FF0000"/>
          <w:kern w:val="0"/>
          <w:sz w:val="24"/>
          <w:lang w:val="en-GB"/>
        </w:rPr>
        <w:t>12</w:t>
      </w:r>
      <w:r w:rsidRPr="00535757">
        <w:rPr>
          <w:rFonts w:ascii="DFKai-SB" w:eastAsia="DFKai-SB" w:hAnsi="DFKai-SB" w:cs="宋体" w:hint="eastAsia"/>
          <w:color w:val="FF0000"/>
          <w:kern w:val="0"/>
          <w:sz w:val="24"/>
        </w:rPr>
        <w:t>档</w:t>
      </w:r>
      <w:r w:rsidRPr="00535757">
        <w:rPr>
          <w:rFonts w:ascii="DFKai-SB" w:eastAsia="DFKai-SB" w:hAnsi="DFKai-SB" w:cs="宋体" w:hint="eastAsia"/>
          <w:color w:val="FF0000"/>
          <w:kern w:val="0"/>
          <w:sz w:val="24"/>
          <w:lang w:val="en-GB"/>
        </w:rPr>
        <w:t>=B*0.8</w:t>
      </w:r>
      <w:r w:rsidRPr="00535757">
        <w:rPr>
          <w:rFonts w:ascii="DFKai-SB" w:eastAsia="DFKai-SB" w:hAnsi="DFKai-SB" w:cs="宋体" w:hint="eastAsia"/>
          <w:color w:val="FF0000"/>
          <w:kern w:val="0"/>
          <w:sz w:val="24"/>
        </w:rPr>
        <w:t>，</w:t>
      </w:r>
      <w:r w:rsidRPr="00535757">
        <w:rPr>
          <w:rFonts w:ascii="DFKai-SB" w:eastAsia="DFKai-SB" w:hAnsi="DFKai-SB" w:cs="宋体" w:hint="eastAsia"/>
          <w:color w:val="FF0000"/>
          <w:kern w:val="0"/>
          <w:sz w:val="24"/>
          <w:lang w:val="en-GB"/>
        </w:rPr>
        <w:t>13</w:t>
      </w:r>
      <w:r w:rsidRPr="00535757">
        <w:rPr>
          <w:rFonts w:ascii="DFKai-SB" w:eastAsia="DFKai-SB" w:hAnsi="DFKai-SB" w:cs="宋体" w:hint="eastAsia"/>
          <w:color w:val="FF0000"/>
          <w:kern w:val="0"/>
          <w:sz w:val="24"/>
        </w:rPr>
        <w:t>档</w:t>
      </w:r>
      <w:r w:rsidRPr="00535757">
        <w:rPr>
          <w:rFonts w:ascii="DFKai-SB" w:eastAsia="DFKai-SB" w:hAnsi="DFKai-SB" w:cs="宋体" w:hint="eastAsia"/>
          <w:color w:val="FF0000"/>
          <w:kern w:val="0"/>
          <w:sz w:val="24"/>
          <w:lang w:val="en-GB"/>
        </w:rPr>
        <w:t>=B*0.83</w:t>
      </w:r>
      <w:r w:rsidRPr="00535757">
        <w:rPr>
          <w:rFonts w:ascii="DFKai-SB" w:eastAsia="DFKai-SB" w:hAnsi="DFKai-SB" w:cs="宋体" w:hint="eastAsia"/>
          <w:color w:val="FF0000"/>
          <w:kern w:val="0"/>
          <w:sz w:val="24"/>
        </w:rPr>
        <w:t>，</w:t>
      </w:r>
      <w:r w:rsidRPr="00535757">
        <w:rPr>
          <w:rFonts w:ascii="DFKai-SB" w:eastAsia="DFKai-SB" w:hAnsi="DFKai-SB" w:cs="宋体" w:hint="eastAsia"/>
          <w:color w:val="FF0000"/>
          <w:kern w:val="0"/>
          <w:sz w:val="24"/>
          <w:lang w:val="en-GB"/>
        </w:rPr>
        <w:t>14</w:t>
      </w:r>
      <w:r w:rsidRPr="00535757">
        <w:rPr>
          <w:rFonts w:ascii="DFKai-SB" w:eastAsia="DFKai-SB" w:hAnsi="DFKai-SB" w:cs="宋体" w:hint="eastAsia"/>
          <w:color w:val="FF0000"/>
          <w:kern w:val="0"/>
          <w:sz w:val="24"/>
        </w:rPr>
        <w:t>档</w:t>
      </w:r>
      <w:r w:rsidRPr="00535757">
        <w:rPr>
          <w:rFonts w:ascii="DFKai-SB" w:eastAsia="DFKai-SB" w:hAnsi="DFKai-SB" w:cs="宋体" w:hint="eastAsia"/>
          <w:color w:val="FF0000"/>
          <w:kern w:val="0"/>
          <w:sz w:val="24"/>
          <w:lang w:val="en-GB"/>
        </w:rPr>
        <w:t>=B*0.86</w:t>
      </w:r>
      <w:r w:rsidRPr="00535757">
        <w:rPr>
          <w:rFonts w:ascii="DFKai-SB" w:eastAsia="DFKai-SB" w:hAnsi="DFKai-SB" w:cs="宋体" w:hint="eastAsia"/>
          <w:color w:val="FF0000"/>
          <w:kern w:val="0"/>
          <w:sz w:val="24"/>
        </w:rPr>
        <w:t>，</w:t>
      </w:r>
      <w:r w:rsidRPr="00535757">
        <w:rPr>
          <w:rFonts w:ascii="DFKai-SB" w:eastAsia="DFKai-SB" w:hAnsi="DFKai-SB" w:cs="宋体" w:hint="eastAsia"/>
          <w:color w:val="FF0000"/>
          <w:kern w:val="0"/>
          <w:sz w:val="24"/>
          <w:lang w:val="en-GB"/>
        </w:rPr>
        <w:t>15</w:t>
      </w:r>
      <w:r w:rsidRPr="00535757">
        <w:rPr>
          <w:rFonts w:ascii="DFKai-SB" w:eastAsia="DFKai-SB" w:hAnsi="DFKai-SB" w:cs="宋体" w:hint="eastAsia"/>
          <w:color w:val="FF0000"/>
          <w:kern w:val="0"/>
          <w:sz w:val="24"/>
        </w:rPr>
        <w:t>档</w:t>
      </w:r>
      <w:r w:rsidRPr="00535757">
        <w:rPr>
          <w:rFonts w:ascii="DFKai-SB" w:eastAsia="DFKai-SB" w:hAnsi="DFKai-SB" w:cs="宋体" w:hint="eastAsia"/>
          <w:color w:val="FF0000"/>
          <w:kern w:val="0"/>
          <w:sz w:val="24"/>
          <w:lang w:val="en-GB"/>
        </w:rPr>
        <w:t>=B*0.9</w:t>
      </w:r>
      <w:r w:rsidRPr="00535757">
        <w:rPr>
          <w:rFonts w:ascii="DFKai-SB" w:eastAsia="DFKai-SB" w:hAnsi="DFKai-SB" w:cs="宋体" w:hint="eastAsia"/>
          <w:color w:val="FF0000"/>
          <w:kern w:val="0"/>
          <w:sz w:val="24"/>
        </w:rPr>
        <w:t>，</w:t>
      </w:r>
    </w:p>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pPr>
      <w:r w:rsidRPr="00535757">
        <w:rPr>
          <w:rFonts w:ascii="DFKai-SB" w:eastAsia="DFKai-SB" w:hAnsi="DFKai-SB" w:cs="宋体" w:hint="eastAsia"/>
          <w:color w:val="FF0000"/>
          <w:kern w:val="0"/>
          <w:sz w:val="24"/>
          <w:lang w:val="en-GB"/>
        </w:rPr>
        <w:t>16</w:t>
      </w:r>
      <w:r w:rsidRPr="00535757">
        <w:rPr>
          <w:rFonts w:ascii="DFKai-SB" w:eastAsia="DFKai-SB" w:hAnsi="DFKai-SB" w:cs="宋体" w:hint="eastAsia"/>
          <w:color w:val="FF0000"/>
          <w:kern w:val="0"/>
          <w:sz w:val="24"/>
        </w:rPr>
        <w:t>档</w:t>
      </w:r>
      <w:r w:rsidRPr="00535757">
        <w:rPr>
          <w:rFonts w:ascii="DFKai-SB" w:eastAsia="DFKai-SB" w:hAnsi="DFKai-SB" w:cs="宋体" w:hint="eastAsia"/>
          <w:color w:val="FF0000"/>
          <w:kern w:val="0"/>
          <w:sz w:val="24"/>
          <w:lang w:val="en-GB"/>
        </w:rPr>
        <w:t>=A*0.8</w:t>
      </w:r>
      <w:r w:rsidRPr="00535757">
        <w:rPr>
          <w:rFonts w:ascii="DFKai-SB" w:eastAsia="DFKai-SB" w:hAnsi="DFKai-SB" w:cs="宋体" w:hint="eastAsia"/>
          <w:color w:val="FF0000"/>
          <w:kern w:val="0"/>
          <w:sz w:val="24"/>
        </w:rPr>
        <w:t>，</w:t>
      </w:r>
      <w:r w:rsidRPr="00535757">
        <w:rPr>
          <w:rFonts w:ascii="DFKai-SB" w:eastAsia="DFKai-SB" w:hAnsi="DFKai-SB" w:cs="宋体" w:hint="eastAsia"/>
          <w:color w:val="FF0000"/>
          <w:kern w:val="0"/>
          <w:sz w:val="24"/>
          <w:lang w:val="en-GB"/>
        </w:rPr>
        <w:t>17</w:t>
      </w:r>
      <w:r w:rsidRPr="00535757">
        <w:rPr>
          <w:rFonts w:ascii="DFKai-SB" w:eastAsia="DFKai-SB" w:hAnsi="DFKai-SB" w:cs="宋体" w:hint="eastAsia"/>
          <w:color w:val="FF0000"/>
          <w:kern w:val="0"/>
          <w:sz w:val="24"/>
        </w:rPr>
        <w:t>档</w:t>
      </w:r>
      <w:r w:rsidRPr="00535757">
        <w:rPr>
          <w:rFonts w:ascii="DFKai-SB" w:eastAsia="DFKai-SB" w:hAnsi="DFKai-SB" w:cs="宋体" w:hint="eastAsia"/>
          <w:color w:val="FF0000"/>
          <w:kern w:val="0"/>
          <w:sz w:val="24"/>
          <w:lang w:val="en-GB"/>
        </w:rPr>
        <w:t xml:space="preserve">=A*0.83 </w:t>
      </w:r>
      <w:r w:rsidRPr="00535757">
        <w:rPr>
          <w:rFonts w:ascii="DFKai-SB" w:eastAsia="DFKai-SB" w:hAnsi="DFKai-SB" w:cs="宋体" w:hint="eastAsia"/>
          <w:color w:val="FF0000"/>
          <w:kern w:val="0"/>
          <w:sz w:val="24"/>
        </w:rPr>
        <w:t>，</w:t>
      </w:r>
      <w:r w:rsidRPr="00535757">
        <w:rPr>
          <w:rFonts w:ascii="DFKai-SB" w:eastAsia="DFKai-SB" w:hAnsi="DFKai-SB" w:cs="宋体" w:hint="eastAsia"/>
          <w:color w:val="FF0000"/>
          <w:kern w:val="0"/>
          <w:sz w:val="24"/>
          <w:lang w:val="en-GB"/>
        </w:rPr>
        <w:t>18</w:t>
      </w:r>
      <w:r w:rsidRPr="00535757">
        <w:rPr>
          <w:rFonts w:ascii="DFKai-SB" w:eastAsia="DFKai-SB" w:hAnsi="DFKai-SB" w:cs="宋体" w:hint="eastAsia"/>
          <w:color w:val="FF0000"/>
          <w:kern w:val="0"/>
          <w:sz w:val="24"/>
        </w:rPr>
        <w:t>档</w:t>
      </w:r>
      <w:r w:rsidRPr="00535757">
        <w:rPr>
          <w:rFonts w:ascii="DFKai-SB" w:eastAsia="DFKai-SB" w:hAnsi="DFKai-SB" w:cs="宋体" w:hint="eastAsia"/>
          <w:color w:val="FF0000"/>
          <w:kern w:val="0"/>
          <w:sz w:val="24"/>
          <w:lang w:val="en-GB"/>
        </w:rPr>
        <w:t>=A*0.86</w:t>
      </w:r>
      <w:r w:rsidRPr="00535757">
        <w:rPr>
          <w:rFonts w:ascii="DFKai-SB" w:eastAsia="DFKai-SB" w:hAnsi="DFKai-SB" w:cs="宋体" w:hint="eastAsia"/>
          <w:color w:val="FF0000"/>
          <w:kern w:val="0"/>
          <w:sz w:val="24"/>
        </w:rPr>
        <w:t>，</w:t>
      </w:r>
      <w:r w:rsidRPr="00535757">
        <w:rPr>
          <w:rFonts w:ascii="DFKai-SB" w:eastAsia="DFKai-SB" w:hAnsi="DFKai-SB" w:cs="宋体" w:hint="eastAsia"/>
          <w:color w:val="FF0000"/>
          <w:kern w:val="0"/>
          <w:sz w:val="24"/>
          <w:lang w:val="en-GB"/>
        </w:rPr>
        <w:t xml:space="preserve"> 19</w:t>
      </w:r>
      <w:r w:rsidRPr="00535757">
        <w:rPr>
          <w:rFonts w:ascii="DFKai-SB" w:eastAsia="DFKai-SB" w:hAnsi="DFKai-SB" w:cs="宋体" w:hint="eastAsia"/>
          <w:color w:val="FF0000"/>
          <w:kern w:val="0"/>
          <w:sz w:val="24"/>
        </w:rPr>
        <w:t>档</w:t>
      </w:r>
      <w:r w:rsidRPr="00535757">
        <w:rPr>
          <w:rFonts w:ascii="DFKai-SB" w:eastAsia="DFKai-SB" w:hAnsi="DFKai-SB" w:cs="宋体" w:hint="eastAsia"/>
          <w:color w:val="FF0000"/>
          <w:kern w:val="0"/>
          <w:sz w:val="24"/>
          <w:lang w:val="en-GB"/>
        </w:rPr>
        <w:t>=A*0.9</w:t>
      </w:r>
      <w:r w:rsidRPr="00535757">
        <w:rPr>
          <w:rFonts w:ascii="DFKai-SB" w:eastAsia="DFKai-SB" w:hAnsi="DFKai-SB" w:cs="宋体" w:hint="eastAsia"/>
          <w:color w:val="FF0000"/>
          <w:kern w:val="0"/>
          <w:sz w:val="24"/>
        </w:rPr>
        <w:t>，</w:t>
      </w:r>
      <w:r w:rsidRPr="00535757">
        <w:rPr>
          <w:rFonts w:ascii="DFKai-SB" w:eastAsia="DFKai-SB" w:hAnsi="DFKai-SB" w:cs="宋体" w:hint="eastAsia"/>
          <w:color w:val="FF0000"/>
          <w:kern w:val="0"/>
          <w:sz w:val="24"/>
          <w:lang w:val="en-GB"/>
        </w:rPr>
        <w:t>20</w:t>
      </w:r>
      <w:r w:rsidRPr="00535757">
        <w:rPr>
          <w:rFonts w:ascii="DFKai-SB" w:eastAsia="DFKai-SB" w:hAnsi="DFKai-SB" w:cs="宋体" w:hint="eastAsia"/>
          <w:color w:val="FF0000"/>
          <w:kern w:val="0"/>
          <w:sz w:val="24"/>
        </w:rPr>
        <w:t>档</w:t>
      </w:r>
      <w:r w:rsidRPr="00535757">
        <w:rPr>
          <w:rFonts w:ascii="DFKai-SB" w:eastAsia="DFKai-SB" w:hAnsi="DFKai-SB" w:cs="宋体" w:hint="eastAsia"/>
          <w:color w:val="FF0000"/>
          <w:kern w:val="0"/>
          <w:sz w:val="24"/>
          <w:lang w:val="en-GB"/>
        </w:rPr>
        <w:t>=A*0.94</w:t>
      </w:r>
      <w:r w:rsidRPr="00535757">
        <w:rPr>
          <w:rFonts w:ascii="DFKai-SB" w:eastAsia="DFKai-SB" w:hAnsi="DFKai-SB" w:cs="宋体" w:hint="eastAsia"/>
          <w:color w:val="FF0000"/>
          <w:kern w:val="0"/>
          <w:sz w:val="24"/>
        </w:rPr>
        <w:t>，</w:t>
      </w:r>
      <w:r w:rsidRPr="00535757">
        <w:rPr>
          <w:rFonts w:ascii="DFKai-SB" w:eastAsia="DFKai-SB" w:hAnsi="DFKai-SB" w:cs="宋体" w:hint="eastAsia"/>
          <w:color w:val="FF0000"/>
          <w:kern w:val="0"/>
          <w:sz w:val="24"/>
          <w:lang w:val="en-GB"/>
        </w:rPr>
        <w:t>21</w:t>
      </w:r>
      <w:r w:rsidRPr="00535757">
        <w:rPr>
          <w:rFonts w:ascii="DFKai-SB" w:eastAsia="DFKai-SB" w:hAnsi="DFKai-SB" w:cs="宋体" w:hint="eastAsia"/>
          <w:color w:val="FF0000"/>
          <w:kern w:val="0"/>
          <w:sz w:val="24"/>
        </w:rPr>
        <w:t>档</w:t>
      </w:r>
      <w:r w:rsidRPr="00535757">
        <w:rPr>
          <w:rFonts w:ascii="DFKai-SB" w:eastAsia="DFKai-SB" w:hAnsi="DFKai-SB" w:cs="宋体" w:hint="eastAsia"/>
          <w:color w:val="FF0000"/>
          <w:kern w:val="0"/>
          <w:sz w:val="24"/>
          <w:lang w:val="en-GB"/>
        </w:rPr>
        <w:t>=A*0.98</w:t>
      </w:r>
    </w:p>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pPr>
      <w:r w:rsidRPr="00535757">
        <w:rPr>
          <w:rFonts w:ascii="DFKai-SB" w:eastAsia="DFKai-SB" w:hAnsi="DFKai-SB" w:cs="宋体" w:hint="eastAsia"/>
          <w:color w:val="FF0000"/>
          <w:kern w:val="0"/>
          <w:sz w:val="24"/>
          <w:lang w:val="en-GB"/>
        </w:rPr>
        <w:t>A:</w:t>
      </w:r>
      <w:r w:rsidRPr="00535757">
        <w:rPr>
          <w:rFonts w:ascii="DFKai-SB" w:eastAsia="DFKai-SB" w:hAnsi="DFKai-SB" w:cs="宋体" w:hint="eastAsia"/>
          <w:color w:val="FF0000"/>
          <w:kern w:val="0"/>
          <w:sz w:val="24"/>
        </w:rPr>
        <w:t>教师四级岗位人均超额奖励绩效</w:t>
      </w:r>
    </w:p>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pPr>
      <w:r w:rsidRPr="00535757">
        <w:rPr>
          <w:rFonts w:ascii="DFKai-SB" w:eastAsia="DFKai-SB" w:hAnsi="DFKai-SB" w:cs="宋体" w:hint="eastAsia"/>
          <w:color w:val="FF0000"/>
          <w:kern w:val="0"/>
          <w:sz w:val="24"/>
          <w:lang w:val="en-GB"/>
        </w:rPr>
        <w:t>B:</w:t>
      </w:r>
      <w:r w:rsidRPr="00535757">
        <w:rPr>
          <w:rFonts w:ascii="DFKai-SB" w:eastAsia="DFKai-SB" w:hAnsi="DFKai-SB" w:cs="宋体" w:hint="eastAsia"/>
          <w:color w:val="FF0000"/>
          <w:kern w:val="0"/>
          <w:sz w:val="24"/>
        </w:rPr>
        <w:t>教师五</w:t>
      </w:r>
      <w:r w:rsidRPr="00535757">
        <w:rPr>
          <w:rFonts w:ascii="DFKai-SB" w:eastAsia="DFKai-SB" w:hAnsi="DFKai-SB" w:cs="宋体" w:hint="eastAsia"/>
          <w:color w:val="FF0000"/>
          <w:kern w:val="0"/>
          <w:sz w:val="24"/>
          <w:lang w:val="en-GB"/>
        </w:rPr>
        <w:t>-</w:t>
      </w:r>
      <w:r w:rsidRPr="00535757">
        <w:rPr>
          <w:rFonts w:ascii="DFKai-SB" w:eastAsia="DFKai-SB" w:hAnsi="DFKai-SB" w:cs="宋体" w:hint="eastAsia"/>
          <w:color w:val="FF0000"/>
          <w:kern w:val="0"/>
          <w:sz w:val="24"/>
        </w:rPr>
        <w:t>七级岗位人均超额奖励绩效</w:t>
      </w:r>
    </w:p>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pPr>
      <w:r w:rsidRPr="00535757">
        <w:rPr>
          <w:rFonts w:ascii="DFKai-SB" w:eastAsia="DFKai-SB" w:hAnsi="DFKai-SB" w:cs="宋体" w:hint="eastAsia"/>
          <w:color w:val="FF0000"/>
          <w:kern w:val="0"/>
          <w:sz w:val="24"/>
          <w:lang w:val="en-GB"/>
        </w:rPr>
        <w:t>C:</w:t>
      </w:r>
      <w:r w:rsidRPr="00535757">
        <w:rPr>
          <w:rFonts w:ascii="DFKai-SB" w:eastAsia="DFKai-SB" w:hAnsi="DFKai-SB" w:cs="宋体" w:hint="eastAsia"/>
          <w:color w:val="FF0000"/>
          <w:kern w:val="0"/>
          <w:sz w:val="24"/>
        </w:rPr>
        <w:t>教师八级岗位人均超额奖励绩效</w:t>
      </w:r>
    </w:p>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pPr>
      <w:r w:rsidRPr="00535757">
        <w:rPr>
          <w:rFonts w:ascii="DFKai-SB" w:eastAsia="DFKai-SB" w:hAnsi="DFKai-SB" w:cs="宋体" w:hint="eastAsia"/>
          <w:color w:val="FF0000"/>
          <w:kern w:val="0"/>
          <w:sz w:val="24"/>
          <w:lang w:val="en-GB"/>
        </w:rPr>
        <w:t>D:</w:t>
      </w:r>
      <w:r w:rsidRPr="00535757">
        <w:rPr>
          <w:rFonts w:ascii="DFKai-SB" w:eastAsia="DFKai-SB" w:hAnsi="DFKai-SB" w:cs="宋体" w:hint="eastAsia"/>
          <w:color w:val="FF0000"/>
          <w:kern w:val="0"/>
          <w:sz w:val="24"/>
        </w:rPr>
        <w:t>教师十级岗位人均超额奖励绩效</w:t>
      </w:r>
    </w:p>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sectPr>
          <w:headerReference w:type="default" r:id="rId44"/>
          <w:footerReference w:type="even" r:id="rId45"/>
          <w:footerReference w:type="default" r:id="rId46"/>
          <w:footerReference w:type="first" r:id="rId47"/>
          <w:type w:val="nextPage"/>
          <w:pgSz w:w="11906" w:h="16838"/>
          <w:pgMar w:top="1440" w:right="1800" w:bottom="1440" w:left="1800" w:header="851" w:footer="992" w:gutter="0"/>
          <w:pgNumType w:start="11"/>
          <w:cols w:space="425"/>
          <w:titlePg w:val="0"/>
          <w:docGrid w:type="lines" w:linePitch="312"/>
        </w:sectPr>
      </w:pPr>
      <w:r w:rsidRPr="00535757">
        <w:rPr>
          <w:rFonts w:ascii="DFKai-SB" w:eastAsia="DFKai-SB" w:hAnsi="DFKai-SB" w:cs="宋体" w:hint="eastAsia"/>
          <w:color w:val="FF0000"/>
          <w:kern w:val="0"/>
          <w:sz w:val="24"/>
          <w:lang w:val="en-GB"/>
        </w:rPr>
        <w:t>E:</w:t>
      </w:r>
      <w:r w:rsidRPr="00535757">
        <w:rPr>
          <w:rFonts w:ascii="DFKai-SB" w:eastAsia="DFKai-SB" w:hAnsi="DFKai-SB" w:cs="宋体" w:hint="eastAsia"/>
          <w:color w:val="FF0000"/>
          <w:kern w:val="0"/>
          <w:sz w:val="24"/>
        </w:rPr>
        <w:t>教师十二级岗位人均超额奖励绩效</w:t>
      </w:r>
    </w:p>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三、各类岗位档次确实定及晋升。</w:t>
      </w:r>
    </w:p>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〔一〕绩效工资档次确实定。</w:t>
      </w:r>
    </w:p>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pPr>
      <w:r w:rsidRPr="00535757">
        <w:rPr>
          <w:rFonts w:ascii="DFKai-SB" w:eastAsia="DFKai-SB" w:hAnsi="DFKai-SB" w:cs="宋体" w:hint="eastAsia"/>
          <w:color w:val="676C94"/>
          <w:kern w:val="0"/>
          <w:sz w:val="24"/>
          <w:lang w:val="en-GB"/>
        </w:rPr>
        <w:t>1</w:t>
      </w:r>
      <w:r w:rsidRPr="00535757">
        <w:rPr>
          <w:rFonts w:ascii="DFKai-SB" w:eastAsia="DFKai-SB" w:hAnsi="DFKai-SB" w:cs="宋体" w:hint="eastAsia"/>
          <w:color w:val="676C94"/>
          <w:kern w:val="0"/>
          <w:sz w:val="24"/>
        </w:rPr>
        <w:t>．初次确认档次按以下程序操作：首先确认本人所在的岗位类别，然后确定所在岗位档次的最低档，最后按照本人任本岗位以来的考核结果为合格及以上的年限，以每三年上浮一档，确定自己现在的档次。假设已到达本人所在岗位的最高档次，那么不再上浮。</w:t>
      </w:r>
    </w:p>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pPr>
      <w:r w:rsidRPr="00535757">
        <w:rPr>
          <w:rFonts w:ascii="DFKai-SB" w:eastAsia="DFKai-SB" w:hAnsi="DFKai-SB" w:cs="宋体" w:hint="eastAsia"/>
          <w:color w:val="676C94"/>
          <w:kern w:val="0"/>
          <w:sz w:val="24"/>
          <w:lang w:val="en-GB"/>
        </w:rPr>
        <w:t>2</w:t>
      </w:r>
      <w:r w:rsidRPr="00535757">
        <w:rPr>
          <w:rFonts w:ascii="DFKai-SB" w:eastAsia="DFKai-SB" w:hAnsi="DFKai-SB" w:cs="宋体" w:hint="eastAsia"/>
          <w:color w:val="676C94"/>
          <w:kern w:val="0"/>
          <w:sz w:val="24"/>
        </w:rPr>
        <w:t>．由较高级别聘任到较低级别的岗位，可将原较高级别的任职年限与现聘岗位的任职年限合并计算。</w:t>
      </w:r>
    </w:p>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pPr>
      <w:r w:rsidRPr="00535757">
        <w:rPr>
          <w:rFonts w:ascii="DFKai-SB" w:eastAsia="DFKai-SB" w:hAnsi="DFKai-SB" w:cs="宋体" w:hint="eastAsia"/>
          <w:color w:val="676C94"/>
          <w:kern w:val="0"/>
          <w:sz w:val="24"/>
          <w:lang w:val="en-GB"/>
        </w:rPr>
        <w:t xml:space="preserve">3. </w:t>
      </w:r>
      <w:r w:rsidRPr="00535757">
        <w:rPr>
          <w:rFonts w:ascii="DFKai-SB" w:eastAsia="DFKai-SB" w:hAnsi="DFKai-SB" w:cs="宋体" w:hint="eastAsia"/>
          <w:color w:val="676C94"/>
          <w:kern w:val="0"/>
          <w:sz w:val="24"/>
        </w:rPr>
        <w:t>按照低一级职务任职年限计算的档次高于现任职务计算的档次的，按照低一级职务任职年限计算的档次执行。</w:t>
      </w:r>
    </w:p>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pPr>
      <w:r w:rsidRPr="00535757">
        <w:rPr>
          <w:rFonts w:ascii="DFKai-SB" w:eastAsia="DFKai-SB" w:hAnsi="DFKai-SB" w:cs="宋体" w:hint="eastAsia"/>
          <w:color w:val="676C94"/>
          <w:kern w:val="0"/>
          <w:sz w:val="24"/>
          <w:lang w:val="en-GB"/>
        </w:rPr>
        <w:t>4</w:t>
      </w:r>
      <w:r w:rsidRPr="00535757">
        <w:rPr>
          <w:rFonts w:ascii="DFKai-SB" w:eastAsia="DFKai-SB" w:hAnsi="DFKai-SB" w:cs="宋体" w:hint="eastAsia"/>
          <w:color w:val="676C94"/>
          <w:kern w:val="0"/>
          <w:sz w:val="24"/>
        </w:rPr>
        <w:t>．学校校长办公会议确定的重点部门的工作人员均在确认后的档次根底上上浮一档。</w:t>
      </w:r>
    </w:p>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pPr>
      <w:r w:rsidRPr="00535757">
        <w:rPr>
          <w:rFonts w:ascii="DFKai-SB" w:eastAsia="DFKai-SB" w:hAnsi="DFKai-SB" w:cs="宋体"/>
          <w:color w:val="FF0000"/>
          <w:kern w:val="0"/>
          <w:sz w:val="24"/>
        </w:rPr>
        <w:t>5</w:t>
      </w:r>
      <w:r w:rsidRPr="00535757">
        <w:rPr>
          <w:rFonts w:ascii="DFKai-SB" w:eastAsia="DFKai-SB" w:hAnsi="DFKai-SB" w:cs="宋体" w:hint="eastAsia"/>
          <w:color w:val="FF0000"/>
          <w:kern w:val="0"/>
          <w:sz w:val="24"/>
        </w:rPr>
        <w:t>．专职学生政治辅导员在聘任岗位级别对应的档次上浮两档。担任辅导员岗位满三年后在下一个聘期聘任时直接上浮到八级职员最低档，满六年后在下一个聘期聘任时直接上浮到七级职员最低档。如果上浮后相比同类九级职员收入差距低于</w:t>
      </w:r>
      <w:r w:rsidRPr="00535757">
        <w:rPr>
          <w:rFonts w:ascii="DFKai-SB" w:eastAsia="DFKai-SB" w:hAnsi="DFKai-SB" w:cs="宋体"/>
          <w:color w:val="FF0000"/>
          <w:kern w:val="0"/>
          <w:sz w:val="24"/>
        </w:rPr>
        <w:t>400</w:t>
      </w:r>
      <w:r w:rsidRPr="00535757">
        <w:rPr>
          <w:rFonts w:ascii="DFKai-SB" w:eastAsia="DFKai-SB" w:hAnsi="DFKai-SB" w:cs="宋体" w:hint="eastAsia"/>
          <w:color w:val="FF0000"/>
          <w:kern w:val="0"/>
          <w:sz w:val="24"/>
        </w:rPr>
        <w:t>元</w:t>
      </w:r>
      <w:r w:rsidRPr="00535757">
        <w:rPr>
          <w:rFonts w:ascii="DFKai-SB" w:eastAsia="DFKai-SB" w:hAnsi="DFKai-SB" w:cs="宋体"/>
          <w:color w:val="FF0000"/>
          <w:kern w:val="0"/>
          <w:sz w:val="24"/>
        </w:rPr>
        <w:t>/</w:t>
      </w:r>
      <w:r w:rsidRPr="00535757">
        <w:rPr>
          <w:rFonts w:ascii="DFKai-SB" w:eastAsia="DFKai-SB" w:hAnsi="DFKai-SB" w:cs="宋体" w:hint="eastAsia"/>
          <w:color w:val="FF0000"/>
          <w:kern w:val="0"/>
          <w:sz w:val="24"/>
        </w:rPr>
        <w:t>月，那么享受</w:t>
      </w:r>
      <w:r w:rsidRPr="00535757">
        <w:rPr>
          <w:rFonts w:ascii="DFKai-SB" w:eastAsia="DFKai-SB" w:hAnsi="DFKai-SB" w:cs="宋体"/>
          <w:color w:val="FF0000"/>
          <w:kern w:val="0"/>
          <w:sz w:val="24"/>
        </w:rPr>
        <w:t>400</w:t>
      </w:r>
      <w:r w:rsidRPr="00535757">
        <w:rPr>
          <w:rFonts w:ascii="DFKai-SB" w:eastAsia="DFKai-SB" w:hAnsi="DFKai-SB" w:cs="宋体" w:hint="eastAsia"/>
          <w:color w:val="FF0000"/>
          <w:kern w:val="0"/>
          <w:sz w:val="24"/>
        </w:rPr>
        <w:t>元</w:t>
      </w:r>
      <w:r w:rsidRPr="00535757">
        <w:rPr>
          <w:rFonts w:ascii="DFKai-SB" w:eastAsia="DFKai-SB" w:hAnsi="DFKai-SB" w:cs="宋体"/>
          <w:color w:val="FF0000"/>
          <w:kern w:val="0"/>
          <w:sz w:val="24"/>
        </w:rPr>
        <w:t>/</w:t>
      </w:r>
      <w:r w:rsidRPr="00535757">
        <w:rPr>
          <w:rFonts w:ascii="DFKai-SB" w:eastAsia="DFKai-SB" w:hAnsi="DFKai-SB" w:cs="宋体" w:hint="eastAsia"/>
          <w:color w:val="FF0000"/>
          <w:kern w:val="0"/>
          <w:sz w:val="24"/>
        </w:rPr>
        <w:t>月的专项津贴。但以上待遇不得重复计算。</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〔二〕绩效工资档次的正常晋升。</w:t>
      </w:r>
    </w:p>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pPr>
      <w:r w:rsidRPr="00535757">
        <w:rPr>
          <w:rFonts w:ascii="DFKai-SB" w:eastAsia="DFKai-SB" w:hAnsi="DFKai-SB" w:cs="宋体" w:hint="eastAsia"/>
          <w:color w:val="676C94"/>
          <w:kern w:val="0"/>
          <w:sz w:val="24"/>
          <w:lang w:val="en-GB"/>
        </w:rPr>
        <w:t>1</w:t>
      </w:r>
      <w:r w:rsidRPr="00535757">
        <w:rPr>
          <w:rFonts w:ascii="DFKai-SB" w:eastAsia="DFKai-SB" w:hAnsi="DFKai-SB" w:cs="宋体" w:hint="eastAsia"/>
          <w:color w:val="676C94"/>
          <w:kern w:val="0"/>
          <w:sz w:val="24"/>
        </w:rPr>
        <w:t>．各级各岗位职员在本岗位任职年限满年满月到达三年并且年度考核均合格时可上浮一档，已经到达本岗位最高档次的不再上浮。</w:t>
      </w:r>
    </w:p>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pPr>
      <w:r w:rsidRPr="00535757">
        <w:rPr>
          <w:rFonts w:ascii="DFKai-SB" w:eastAsia="DFKai-SB" w:hAnsi="DFKai-SB" w:cs="宋体" w:hint="eastAsia"/>
          <w:color w:val="676C94"/>
          <w:kern w:val="0"/>
          <w:sz w:val="24"/>
          <w:lang w:val="en-GB"/>
        </w:rPr>
        <w:t>2</w:t>
      </w:r>
      <w:r w:rsidRPr="00535757">
        <w:rPr>
          <w:rFonts w:ascii="DFKai-SB" w:eastAsia="DFKai-SB" w:hAnsi="DFKai-SB" w:cs="宋体" w:hint="eastAsia"/>
          <w:color w:val="676C94"/>
          <w:kern w:val="0"/>
          <w:sz w:val="24"/>
        </w:rPr>
        <w:t>．在发生职称和职务变化时如果已经到达或超过新任职称职务的最低档次，那么绩效工资档次不发生变化，待从上次晋升档次后满三年后再正常晋升。</w:t>
      </w:r>
    </w:p>
    <w:p w:rsidR="009C694F" w:rsidRPr="00535757" w:rsidP="009C694F">
      <w:pPr>
        <w:widowControl/>
        <w:wordWrap w:val="0"/>
        <w:snapToGrid w:val="0"/>
        <w:spacing w:before="100" w:beforeAutospacing="1" w:after="100" w:afterAutospacing="1" w:line="360" w:lineRule="auto"/>
        <w:ind w:firstLine="480"/>
        <w:jc w:val="left"/>
        <w:rPr>
          <w:rFonts w:ascii="DFKai-SB" w:eastAsia="DFKai-SB" w:hAnsi="DFKai-SB" w:cs="宋体"/>
          <w:color w:val="676C94"/>
          <w:kern w:val="0"/>
          <w:sz w:val="24"/>
        </w:rPr>
        <w:sectPr>
          <w:headerReference w:type="default" r:id="rId48"/>
          <w:footerReference w:type="even" r:id="rId49"/>
          <w:footerReference w:type="default" r:id="rId50"/>
          <w:footerReference w:type="first" r:id="rId51"/>
          <w:type w:val="nextPage"/>
          <w:pgSz w:w="11906" w:h="16838"/>
          <w:pgMar w:top="1440" w:right="1800" w:bottom="1440" w:left="1800" w:header="851" w:footer="992" w:gutter="0"/>
          <w:pgNumType w:start="12"/>
          <w:cols w:space="425"/>
          <w:titlePg w:val="0"/>
          <w:docGrid w:type="lines" w:linePitch="312"/>
        </w:sectPr>
      </w:pPr>
      <w:r w:rsidRPr="00535757">
        <w:rPr>
          <w:rFonts w:ascii="DFKai-SB" w:eastAsia="DFKai-SB" w:hAnsi="DFKai-SB" w:cs="宋体" w:hint="eastAsia"/>
          <w:color w:val="676C94"/>
          <w:kern w:val="0"/>
          <w:sz w:val="24"/>
          <w:lang w:val="en-GB"/>
        </w:rPr>
        <w:t>3</w:t>
      </w:r>
      <w:r w:rsidRPr="00535757">
        <w:rPr>
          <w:rFonts w:ascii="DFKai-SB" w:eastAsia="DFKai-SB" w:hAnsi="DFKai-SB" w:cs="宋体" w:hint="eastAsia"/>
          <w:color w:val="676C94"/>
          <w:kern w:val="0"/>
          <w:sz w:val="24"/>
        </w:rPr>
        <w:t>．在发生职称和职务变化时如果没有到达新任职称职务的最低档次，那么绩效工资档次按照新任职称职务的最低档次执行，任职年限重新开场计算，满三年后正常晋升。</w:t>
      </w:r>
    </w:p>
    <w:p w:rsidR="009C694F" w:rsidRPr="00535757" w:rsidP="009C694F">
      <w:pPr>
        <w:widowControl/>
        <w:wordWrap w:val="0"/>
        <w:snapToGrid w:val="0"/>
        <w:spacing w:before="100" w:beforeAutospacing="1" w:after="100" w:afterAutospacing="1" w:line="360" w:lineRule="auto"/>
        <w:jc w:val="center"/>
        <w:rPr>
          <w:rFonts w:ascii="DFKai-SB" w:eastAsia="DFKai-SB" w:hAnsi="DFKai-SB" w:cs="宋体"/>
          <w:color w:val="676C94"/>
          <w:kern w:val="0"/>
          <w:sz w:val="24"/>
        </w:rPr>
      </w:pPr>
      <w:r w:rsidRPr="00535757">
        <w:rPr>
          <w:rFonts w:ascii="DFKai-SB" w:eastAsia="DFKai-SB" w:hAnsi="DFKai-SB" w:cs="宋体" w:hint="eastAsia"/>
          <w:b/>
          <w:bCs/>
          <w:color w:val="676C94"/>
          <w:kern w:val="0"/>
          <w:sz w:val="24"/>
        </w:rPr>
        <w:t>管理及教辅岗位的聘任及考核</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一、管理及教辅岗位的聘任</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1．受聘人应具有良好的思想政治素质、职业道德、敬业精神和效劳意识，遵纪守法，乐于为学校教育事业的开展而奉献，作风严谨扎实，工作效率高，工作成效明显，能全面履行和完成岗位职责及其相应工作任务，并积极承受和完成组织分配的其它工作任务。</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2．三级职员、四级职员由上级主管部门任命并确定岗位职责，其他岗位由学校聘任并确定岗位职责。原那么上每三年一个聘期。</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3.管理及教辅岗位人员同时聘任教师岗位较高层级者，须同时完成相应教师岗位根本工资对应的根本任务。超额局部享受超额奖励绩效，但考核时也要同时考核其根底绩效对应的工作任务。</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4.管理及教辅岗位人员的行政职务、专业技术职务或工人技术等级与聘任的岗位不一致时，绩效工资按照管理及教辅岗位人员实际具有的行政职务、专业技术职务或工人技术等级执行就高原那么。待条件成熟时，过渡到按照所聘任的岗位兑现绩效工资。</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二、管理及教辅岗位绩效工资根底绩效的考核</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〔一〕管理及教辅岗位职员领取全额根底绩效须同时到达以下要求：</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1．个人年度考核为合格及以上。</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2．工作有方案，思路有创新，严密围绕本单位的中心任务开展工作，成效明显。</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3. 效劳意识强，效劳态度好，主动协同其他岗位做好衔接和边缘性工作。</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sectPr>
          <w:headerReference w:type="default" r:id="rId52"/>
          <w:footerReference w:type="even" r:id="rId53"/>
          <w:footerReference w:type="default" r:id="rId54"/>
          <w:footerReference w:type="first" r:id="rId55"/>
          <w:type w:val="nextPage"/>
          <w:pgSz w:w="11906" w:h="16838"/>
          <w:pgMar w:top="1440" w:right="1800" w:bottom="1440" w:left="1800" w:header="851" w:footer="992" w:gutter="0"/>
          <w:pgNumType w:start="13"/>
          <w:cols w:space="425"/>
          <w:titlePg w:val="0"/>
          <w:docGrid w:type="lines" w:linePitch="312"/>
        </w:sectPr>
      </w:pPr>
      <w:r w:rsidRPr="00535757">
        <w:rPr>
          <w:rFonts w:ascii="DFKai-SB" w:eastAsia="DFKai-SB" w:hAnsi="DFKai-SB" w:cs="宋体" w:hint="eastAsia"/>
          <w:color w:val="676C94"/>
          <w:kern w:val="0"/>
          <w:sz w:val="24"/>
        </w:rPr>
        <w:t>4．责任心和事业心强，无平安和业务等责任事故。</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〔二〕有以下情形之一者，停发或扣发绩效工资根底绩效局部，停发或扣发的金额纳入部门缺编费：</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1．缓聘、拒聘、待聘人员停发根底绩效。</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2．迟到、早退、在上班时间未佩戴工作牌者每次扣减根底绩效10元。</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3．教职工因病事假未出勤扣减根底绩效按每日50元扣减，婚假〔三天〕、丧假〔三天〕、产假期间根底绩效正常发放。</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4．有旷工行为者扣减次月根底绩效50%；旷工两天及以上者停发次月根底绩效。</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5．在履行岗位职责时出现工作过错或工作过失，所在单位可视造成的后果扣减当月10%--30%的根底绩效。</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6．因私出国人员，出国期间根底绩效停发，从回校上班的下月起恢复。</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7．不服从组织安排、不承当实际工作或工作消极懈怠的职员停发根底绩效。</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〔三〕、年度考核为根本合格的职员停发次年3个月的根底绩效；年度考核为不合格的停发6个月根底绩效，根底绩效工资从下年起下调一档。停发的根底绩效收回学校。</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三、管理及教辅岗位职员奖励绩效考核</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1．管理及教辅岗位职员奖励绩效考核以党政工作方案、工作任务完成情况，本部门履行部门职责情况以及临时性、突击性、上级布置的工作任务的完成情况为根底。</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sectPr>
          <w:headerReference w:type="default" r:id="rId56"/>
          <w:footerReference w:type="even" r:id="rId57"/>
          <w:footerReference w:type="default" r:id="rId58"/>
          <w:footerReference w:type="first" r:id="rId59"/>
          <w:type w:val="nextPage"/>
          <w:pgSz w:w="11906" w:h="16838"/>
          <w:pgMar w:top="1440" w:right="1800" w:bottom="1440" w:left="1800" w:header="851" w:footer="992" w:gutter="0"/>
          <w:pgNumType w:start="14"/>
          <w:cols w:space="425"/>
          <w:titlePg w:val="0"/>
          <w:docGrid w:type="lines" w:linePitch="312"/>
        </w:sectPr>
      </w:pPr>
      <w:r w:rsidRPr="00535757">
        <w:rPr>
          <w:rFonts w:ascii="DFKai-SB" w:eastAsia="DFKai-SB" w:hAnsi="DFKai-SB" w:cs="宋体" w:hint="eastAsia"/>
          <w:color w:val="676C94"/>
          <w:kern w:val="0"/>
          <w:sz w:val="24"/>
        </w:rPr>
        <w:t>2．管理及教辅岗位职员领取全额奖励绩效，除完成上述任务外，奖励绩效还与本单位在管理及教辅单位综合考核中的结果挂钩。</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3．有以下情形之一者，可停发或扣发奖励绩效，停发或扣发的金额收回学校：</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〔1〕缓聘、拒聘、待聘人员停发奖励绩效。</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〔2〕有旷工行为者停发次月的奖励绩效。</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〔3〕因私出国人员，出国期间奖励绩效停发。公派出国三个月以上人员奖励绩效从出境下月起停发。从回校上班的下月起恢复。</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〔4〕年度考核为根本合格及以下的人员不发放奖励绩效。</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〔5〕不服从组织安排或不承当实际工作的人员停发当月奖励绩效。</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〔6〕职工产假期间停发奖励绩效。</w:t>
      </w:r>
    </w:p>
    <w:p w:rsidR="009C694F" w:rsidRPr="00535757" w:rsidP="009C694F">
      <w:pPr>
        <w:widowControl/>
        <w:wordWrap w:val="0"/>
        <w:snapToGrid w:val="0"/>
        <w:spacing w:before="100" w:beforeAutospacing="1" w:after="100" w:afterAutospacing="1" w:line="360" w:lineRule="auto"/>
        <w:jc w:val="center"/>
        <w:rPr>
          <w:rFonts w:ascii="DFKai-SB" w:eastAsia="DFKai-SB" w:hAnsi="DFKai-SB" w:cs="宋体"/>
          <w:color w:val="676C94"/>
          <w:kern w:val="0"/>
          <w:sz w:val="24"/>
        </w:rPr>
      </w:pPr>
      <w:r w:rsidRPr="00535757">
        <w:rPr>
          <w:rFonts w:ascii="DFKai-SB" w:eastAsia="DFKai-SB" w:hAnsi="DFKai-SB" w:cs="宋体" w:hint="eastAsia"/>
          <w:b/>
          <w:bCs/>
          <w:color w:val="676C94"/>
          <w:kern w:val="0"/>
          <w:sz w:val="24"/>
        </w:rPr>
        <w:t>管理及教辅岗位绩效工资发放管理的其他规定</w:t>
      </w:r>
    </w:p>
    <w:p w:rsidR="009C694F" w:rsidRPr="00535757" w:rsidP="009C694F">
      <w:pPr>
        <w:widowControl/>
        <w:wordWrap w:val="0"/>
        <w:snapToGrid w:val="0"/>
        <w:spacing w:before="100" w:beforeAutospacing="1" w:after="100" w:afterAutospacing="1" w:line="360" w:lineRule="auto"/>
        <w:ind w:firstLine="412"/>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一、绩效工资必须在严格考核的根底上发放。</w:t>
      </w:r>
    </w:p>
    <w:p w:rsidR="009C694F" w:rsidRPr="00535757" w:rsidP="009C694F">
      <w:pPr>
        <w:widowControl/>
        <w:wordWrap w:val="0"/>
        <w:snapToGrid w:val="0"/>
        <w:spacing w:before="100" w:beforeAutospacing="1" w:after="100" w:afterAutospacing="1" w:line="360" w:lineRule="auto"/>
        <w:ind w:firstLine="412"/>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二、绩效工资每年按12个月核算，根底绩效局部每月按全额发放，奖励绩效在年末根据考核结果和教师超额绩效核算结果在2月份发放。</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三、绩效工资根底绩效局部基数由学校根据学校的实际财力确定。</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四、管理及教辅岗位完成的教学和科技工作量按以下程序考核发放：</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lang w:val="en-GB"/>
        </w:rPr>
        <w:t>1</w:t>
      </w:r>
      <w:r w:rsidRPr="00535757">
        <w:rPr>
          <w:rFonts w:ascii="DFKai-SB" w:eastAsia="DFKai-SB" w:hAnsi="DFKai-SB" w:cs="宋体" w:hint="eastAsia"/>
          <w:color w:val="676C94"/>
          <w:kern w:val="0"/>
          <w:sz w:val="24"/>
        </w:rPr>
        <w:t>．管理及教辅岗位职员在不影响本职工作的情况下可以承当局部教学和科技工作量。</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sectPr>
          <w:headerReference w:type="default" r:id="rId60"/>
          <w:footerReference w:type="even" r:id="rId61"/>
          <w:footerReference w:type="default" r:id="rId62"/>
          <w:footerReference w:type="first" r:id="rId63"/>
          <w:type w:val="nextPage"/>
          <w:pgSz w:w="11906" w:h="16838"/>
          <w:pgMar w:top="1440" w:right="1800" w:bottom="1440" w:left="1800" w:header="851" w:footer="992" w:gutter="0"/>
          <w:pgNumType w:start="15"/>
          <w:cols w:space="425"/>
          <w:titlePg w:val="0"/>
          <w:docGrid w:type="lines" w:linePitch="312"/>
        </w:sectPr>
      </w:pPr>
      <w:r w:rsidRPr="00535757">
        <w:rPr>
          <w:rFonts w:ascii="DFKai-SB" w:eastAsia="DFKai-SB" w:hAnsi="DFKai-SB" w:cs="宋体" w:hint="eastAsia"/>
          <w:color w:val="676C94"/>
          <w:kern w:val="0"/>
          <w:sz w:val="24"/>
          <w:lang w:val="en-GB"/>
        </w:rPr>
        <w:t>2</w:t>
      </w:r>
      <w:r w:rsidRPr="00535757">
        <w:rPr>
          <w:rFonts w:ascii="DFKai-SB" w:eastAsia="DFKai-SB" w:hAnsi="DFKai-SB" w:cs="宋体" w:hint="eastAsia"/>
          <w:color w:val="676C94"/>
          <w:kern w:val="0"/>
          <w:sz w:val="24"/>
        </w:rPr>
        <w:t>．完成的教学工作量由教学院〔系〕从院〔系〕基金中按照奖励绩效目录中每课时的酬金标准发放，但其年教学工作量</w:t>
      </w:r>
      <w:r w:rsidRPr="00535757">
        <w:rPr>
          <w:rFonts w:ascii="DFKai-SB" w:eastAsia="DFKai-SB" w:hAnsi="DFKai-SB" w:cs="宋体" w:hint="eastAsia"/>
          <w:color w:val="FF0000"/>
          <w:kern w:val="0"/>
          <w:sz w:val="24"/>
        </w:rPr>
        <w:t>不得超过</w:t>
      </w:r>
      <w:r w:rsidRPr="00535757">
        <w:rPr>
          <w:rFonts w:ascii="DFKai-SB" w:eastAsia="DFKai-SB" w:hAnsi="DFKai-SB" w:cs="宋体" w:hint="eastAsia"/>
          <w:color w:val="FF0000"/>
          <w:kern w:val="0"/>
          <w:sz w:val="24"/>
          <w:lang w:val="en-GB"/>
        </w:rPr>
        <w:t>300</w:t>
      </w:r>
      <w:r w:rsidRPr="00535757">
        <w:rPr>
          <w:rFonts w:ascii="DFKai-SB" w:eastAsia="DFKai-SB" w:hAnsi="DFKai-SB" w:cs="宋体" w:hint="eastAsia"/>
          <w:color w:val="FF0000"/>
          <w:kern w:val="0"/>
          <w:sz w:val="24"/>
        </w:rPr>
        <w:t>课时〔</w:t>
      </w:r>
      <w:r w:rsidRPr="00535757">
        <w:rPr>
          <w:rFonts w:ascii="DFKai-SB" w:eastAsia="DFKai-SB" w:hAnsi="DFKai-SB" w:cs="宋体" w:hint="eastAsia"/>
          <w:color w:val="676C94"/>
          <w:kern w:val="0"/>
          <w:sz w:val="24"/>
        </w:rPr>
        <w:t>正常工作日，含讲课、本科毕业设计、研究生指导等计算教学工作量的工程〕，超出局部只计工作量，不发放奖励绩效。</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3．完成的科技工作量可以纳入院〔系〕的科技工作任务，通过院〔系〕申报奖励绩效，也可以在本人管理岗位的?绩效工资申报表?中规定的栏目申报。</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五、纪委、监察、审计岗位的工作人员，每月享受50元专项补贴；离退休办公室工作人员每月享受40元专项补贴。专项补贴和专项津贴每年按10个月发放。</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六、经学校批准在职攻读高一级学位或进修学习占用上班时间的管理教辅人员，基层单位可酌情减发</w:t>
      </w:r>
      <w:r w:rsidRPr="00535757">
        <w:rPr>
          <w:rFonts w:ascii="DFKai-SB" w:eastAsia="DFKai-SB" w:hAnsi="DFKai-SB" w:cs="宋体" w:hint="eastAsia"/>
          <w:color w:val="676C94"/>
          <w:kern w:val="0"/>
          <w:sz w:val="24"/>
          <w:lang w:val="en-GB"/>
        </w:rPr>
        <w:t>10%-30%</w:t>
      </w:r>
      <w:r w:rsidRPr="00535757">
        <w:rPr>
          <w:rFonts w:ascii="DFKai-SB" w:eastAsia="DFKai-SB" w:hAnsi="DFKai-SB" w:cs="宋体" w:hint="eastAsia"/>
          <w:color w:val="676C94"/>
          <w:kern w:val="0"/>
          <w:sz w:val="24"/>
        </w:rPr>
        <w:t>的绩效工资，减发的绩效工资由基层单位自主支配。全脱产学习或未承当工作任务者，绩效工资停发。</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七、按照领导干部管理规定，因新老交替和年龄原因退出领导岗位的党政领导干部，在职在岗期间绩效工资按照低一级职务的同类别档次发放。</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八、劳保人员、离岗休养、劳务输出人员每人每月发放</w:t>
      </w:r>
      <w:r w:rsidRPr="00535757">
        <w:rPr>
          <w:rFonts w:ascii="DFKai-SB" w:eastAsia="DFKai-SB" w:hAnsi="DFKai-SB" w:cs="宋体" w:hint="eastAsia"/>
          <w:color w:val="FF0000"/>
          <w:kern w:val="0"/>
          <w:sz w:val="24"/>
        </w:rPr>
        <w:t>240</w:t>
      </w:r>
      <w:r w:rsidRPr="00535757">
        <w:rPr>
          <w:rFonts w:ascii="DFKai-SB" w:eastAsia="DFKai-SB" w:hAnsi="DFKai-SB" w:cs="宋体" w:hint="eastAsia"/>
          <w:color w:val="676C94"/>
          <w:kern w:val="0"/>
          <w:sz w:val="24"/>
        </w:rPr>
        <w:t>元的生活补助。</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九、其它有关规定</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1．职务变动人员，从聘任上岗的下月起执行相应的绩效工资。</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2．新入校人员，从聘任上岗的下月起按岗位确定绩效工资。</w:t>
      </w:r>
    </w:p>
    <w:p w:rsidR="009C694F" w:rsidRPr="00535757" w:rsidP="009C694F">
      <w:pPr>
        <w:widowControl/>
        <w:wordWrap w:val="0"/>
        <w:snapToGrid w:val="0"/>
        <w:spacing w:before="100" w:beforeAutospacing="1" w:after="100" w:afterAutospacing="1" w:line="360" w:lineRule="auto"/>
        <w:jc w:val="left"/>
        <w:rPr>
          <w:rFonts w:ascii="DFKai-SB" w:eastAsia="DFKai-SB" w:hAnsi="DFKai-SB" w:cs="宋体"/>
          <w:color w:val="676C94"/>
          <w:kern w:val="0"/>
          <w:sz w:val="24"/>
        </w:rPr>
      </w:pPr>
      <w:r w:rsidRPr="00535757">
        <w:rPr>
          <w:rFonts w:ascii="DFKai-SB" w:eastAsia="DFKai-SB" w:hAnsi="DFKai-SB" w:cs="宋体"/>
          <w:color w:val="676C94"/>
          <w:kern w:val="0"/>
          <w:sz w:val="24"/>
        </w:rPr>
        <w:t> </w:t>
      </w:r>
    </w:p>
    <w:p w:rsidR="009C694F" w:rsidRPr="00535757" w:rsidP="009C694F">
      <w:pPr>
        <w:widowControl/>
        <w:wordWrap w:val="0"/>
        <w:snapToGrid w:val="0"/>
        <w:spacing w:before="100" w:beforeAutospacing="1" w:after="100" w:afterAutospacing="1" w:line="360" w:lineRule="auto"/>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附件三：</w:t>
      </w:r>
    </w:p>
    <w:p w:rsidR="009C694F" w:rsidRPr="00535757" w:rsidP="009C694F">
      <w:pPr>
        <w:widowControl/>
        <w:wordWrap w:val="0"/>
        <w:snapToGrid w:val="0"/>
        <w:spacing w:before="100" w:beforeAutospacing="1" w:after="100" w:afterAutospacing="1" w:line="360" w:lineRule="auto"/>
        <w:jc w:val="center"/>
        <w:rPr>
          <w:rFonts w:ascii="DFKai-SB" w:eastAsia="DFKai-SB" w:hAnsi="DFKai-SB" w:cs="宋体"/>
          <w:color w:val="676C94"/>
          <w:kern w:val="0"/>
          <w:sz w:val="24"/>
        </w:rPr>
      </w:pPr>
      <w:r w:rsidRPr="00535757">
        <w:rPr>
          <w:rFonts w:ascii="DFKai-SB" w:eastAsia="DFKai-SB" w:hAnsi="DFKai-SB" w:cs="宋体" w:hint="eastAsia"/>
          <w:color w:val="676C94"/>
          <w:kern w:val="0"/>
          <w:sz w:val="28"/>
          <w:szCs w:val="28"/>
        </w:rPr>
        <w:t xml:space="preserve">XX工业大学绩效工资奖励绩效局部管理方法 </w:t>
      </w:r>
    </w:p>
    <w:p w:rsidR="009C694F" w:rsidRPr="00535757" w:rsidP="009C694F">
      <w:pPr>
        <w:widowControl/>
        <w:wordWrap w:val="0"/>
        <w:snapToGrid w:val="0"/>
        <w:spacing w:before="100" w:beforeAutospacing="1" w:after="100" w:afterAutospacing="1" w:line="360" w:lineRule="auto"/>
        <w:ind w:firstLine="555"/>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 xml:space="preserve">为了鼓励广阔教职工为学校教学科研和管理水平的提升努力工作，促进我校教育事业又好又快开展，学校特在绩效工资分配中设立奖励绩效，具体管理方法如下： </w:t>
      </w:r>
    </w:p>
    <w:p w:rsidR="009C694F" w:rsidRPr="00535757" w:rsidP="009C694F">
      <w:pPr>
        <w:widowControl/>
        <w:wordWrap w:val="0"/>
        <w:snapToGrid w:val="0"/>
        <w:spacing w:before="100" w:beforeAutospacing="1" w:after="100" w:afterAutospacing="1" w:line="360" w:lineRule="auto"/>
        <w:ind w:firstLine="555"/>
        <w:jc w:val="center"/>
        <w:rPr>
          <w:rFonts w:ascii="DFKai-SB" w:eastAsia="DFKai-SB" w:hAnsi="DFKai-SB" w:cs="宋体"/>
          <w:color w:val="676C94"/>
          <w:kern w:val="0"/>
          <w:sz w:val="24"/>
        </w:rPr>
      </w:pPr>
      <w:r w:rsidRPr="00535757">
        <w:rPr>
          <w:rFonts w:ascii="DFKai-SB" w:eastAsia="DFKai-SB" w:hAnsi="DFKai-SB" w:cs="宋体" w:hint="eastAsia"/>
          <w:color w:val="676C94"/>
          <w:kern w:val="0"/>
          <w:sz w:val="24"/>
        </w:rPr>
        <w:t>奖励绩效的发放原那么及相关规定</w:t>
      </w:r>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r w:rsidRPr="00535757">
        <w:rPr>
          <w:rFonts w:ascii="DFKai-SB" w:eastAsia="DFKai-SB" w:hAnsi="DFKai-SB" w:cs="宋体" w:hint="eastAsia"/>
          <w:color w:val="676C94"/>
          <w:kern w:val="0"/>
          <w:sz w:val="24"/>
        </w:rPr>
        <w:t>一、绩效工资奖励绩效局部分为显著业绩奖励和工作任务超额奖励。</w:t>
      </w:r>
      <w:r w:rsidRPr="00535757">
        <w:rPr>
          <w:rFonts w:ascii="DFKai-SB" w:eastAsia="DFKai-SB" w:hAnsi="DFKai-SB" w:cs="宋体"/>
          <w:color w:val="676C94"/>
          <w:kern w:val="0"/>
          <w:sz w:val="24"/>
        </w:rPr>
        <w:br/>
      </w:r>
      <w:r w:rsidRPr="00535757">
        <w:rPr>
          <w:rFonts w:ascii="DFKai-SB" w:eastAsia="DFKai-SB" w:hAnsi="DFKai-SB" w:cs="宋体"/>
          <w:color w:val="676C94"/>
          <w:kern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4" w:history="1">
        <w:r>
          <w:rPr>
            <w:rFonts w:ascii="SimSun" w:eastAsia="SimSun" w:hAnsi="SimSun" w:cs="SimSun"/>
            <w:b/>
            <w:bCs/>
            <w:color w:val="0000EE"/>
            <w:kern w:val="0"/>
            <w:sz w:val="30"/>
            <w:szCs w:val="30"/>
            <w:u w:val="single" w:color="0000EE"/>
          </w:rPr>
          <w:t>https://d.book118.com/766204134231010102</w:t>
        </w:r>
      </w:hyperlink>
    </w:p>
    <w:p w:rsidR="009C694F" w:rsidRPr="00535757" w:rsidP="009C694F">
      <w:pPr>
        <w:widowControl/>
        <w:wordWrap w:val="0"/>
        <w:snapToGrid w:val="0"/>
        <w:spacing w:before="100" w:beforeAutospacing="1" w:after="100" w:afterAutospacing="1" w:line="360" w:lineRule="auto"/>
        <w:ind w:firstLine="420"/>
        <w:jc w:val="left"/>
        <w:rPr>
          <w:rFonts w:ascii="DFKai-SB" w:eastAsia="DFKai-SB" w:hAnsi="DFKai-SB" w:cs="宋体"/>
          <w:color w:val="676C94"/>
          <w:kern w:val="0"/>
          <w:sz w:val="24"/>
        </w:rPr>
      </w:pPr>
    </w:p>
    <w:sectPr>
      <w:headerReference w:type="default" r:id="rId65"/>
      <w:footerReference w:type="even" r:id="rId66"/>
      <w:footerReference w:type="default" r:id="rId67"/>
      <w:footerReference w:type="first" r:id="rId68"/>
      <w:type w:val="nextPage"/>
      <w:pgSz w:w="11906" w:h="16838"/>
      <w:pgMar w:top="1440" w:right="1800" w:bottom="1440" w:left="1800" w:header="851" w:footer="992" w:gutter="0"/>
      <w:pgNumType w:start="16"/>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FKai-SB">
    <w:panose1 w:val="03000509000000000000"/>
    <w:charset w:val="88"/>
    <w:family w:val="script"/>
    <w:pitch w:val="fixed"/>
    <w:sig w:usb0="00000003" w:usb1="080E0000"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4F">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4F">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4F">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4F">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4F">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4F">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4F">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4F">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4F">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4F">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4F">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4F">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4F">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4F">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4F">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4F">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4F">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4F">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4F">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4F">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4F">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4F">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4F">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4F">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4F">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4F">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4F">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4F">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4F">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4F">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4F">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4F">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evenAndOddHeaders/>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960CD"/>
    <w:rsid w:val="00535757"/>
    <w:rsid w:val="00865ABA"/>
    <w:rsid w:val="009124CC"/>
    <w:rsid w:val="009C694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footer" Target="footer6.xml" /><Relationship Id="rId12" Type="http://schemas.openxmlformats.org/officeDocument/2006/relationships/header" Target="header3.xml" /><Relationship Id="rId13" Type="http://schemas.openxmlformats.org/officeDocument/2006/relationships/footer" Target="footer7.xml" /><Relationship Id="rId14" Type="http://schemas.openxmlformats.org/officeDocument/2006/relationships/footer" Target="footer8.xml" /><Relationship Id="rId15" Type="http://schemas.openxmlformats.org/officeDocument/2006/relationships/footer" Target="footer9.xml" /><Relationship Id="rId16" Type="http://schemas.openxmlformats.org/officeDocument/2006/relationships/header" Target="header4.xml" /><Relationship Id="rId17" Type="http://schemas.openxmlformats.org/officeDocument/2006/relationships/footer" Target="footer10.xml" /><Relationship Id="rId18" Type="http://schemas.openxmlformats.org/officeDocument/2006/relationships/footer" Target="footer11.xml" /><Relationship Id="rId19" Type="http://schemas.openxmlformats.org/officeDocument/2006/relationships/footer" Target="footer12.xml" /><Relationship Id="rId2" Type="http://schemas.openxmlformats.org/officeDocument/2006/relationships/webSettings" Target="webSettings.xml" /><Relationship Id="rId20" Type="http://schemas.openxmlformats.org/officeDocument/2006/relationships/header" Target="header5.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header" Target="header6.xml" /><Relationship Id="rId25" Type="http://schemas.openxmlformats.org/officeDocument/2006/relationships/footer" Target="footer16.xml" /><Relationship Id="rId26" Type="http://schemas.openxmlformats.org/officeDocument/2006/relationships/footer" Target="footer17.xml" /><Relationship Id="rId27" Type="http://schemas.openxmlformats.org/officeDocument/2006/relationships/footer" Target="footer18.xml" /><Relationship Id="rId28" Type="http://schemas.openxmlformats.org/officeDocument/2006/relationships/header" Target="header7.xml" /><Relationship Id="rId29" Type="http://schemas.openxmlformats.org/officeDocument/2006/relationships/footer" Target="footer19.xml" /><Relationship Id="rId3" Type="http://schemas.openxmlformats.org/officeDocument/2006/relationships/fontTable" Target="fontTable.xml" /><Relationship Id="rId30" Type="http://schemas.openxmlformats.org/officeDocument/2006/relationships/footer" Target="footer20.xml" /><Relationship Id="rId31" Type="http://schemas.openxmlformats.org/officeDocument/2006/relationships/footer" Target="footer21.xml" /><Relationship Id="rId32" Type="http://schemas.openxmlformats.org/officeDocument/2006/relationships/header" Target="header8.xml" /><Relationship Id="rId33" Type="http://schemas.openxmlformats.org/officeDocument/2006/relationships/footer" Target="footer22.xml" /><Relationship Id="rId34" Type="http://schemas.openxmlformats.org/officeDocument/2006/relationships/footer" Target="footer23.xml" /><Relationship Id="rId35" Type="http://schemas.openxmlformats.org/officeDocument/2006/relationships/footer" Target="footer24.xml" /><Relationship Id="rId36" Type="http://schemas.openxmlformats.org/officeDocument/2006/relationships/header" Target="header9.xml" /><Relationship Id="rId37" Type="http://schemas.openxmlformats.org/officeDocument/2006/relationships/footer" Target="footer25.xml" /><Relationship Id="rId38" Type="http://schemas.openxmlformats.org/officeDocument/2006/relationships/footer" Target="footer26.xml" /><Relationship Id="rId39" Type="http://schemas.openxmlformats.org/officeDocument/2006/relationships/footer" Target="footer27.xml" /><Relationship Id="rId4" Type="http://schemas.openxmlformats.org/officeDocument/2006/relationships/header" Target="header1.xml" /><Relationship Id="rId40" Type="http://schemas.openxmlformats.org/officeDocument/2006/relationships/header" Target="header10.xml" /><Relationship Id="rId41" Type="http://schemas.openxmlformats.org/officeDocument/2006/relationships/footer" Target="footer28.xml" /><Relationship Id="rId42" Type="http://schemas.openxmlformats.org/officeDocument/2006/relationships/footer" Target="footer29.xml" /><Relationship Id="rId43" Type="http://schemas.openxmlformats.org/officeDocument/2006/relationships/footer" Target="footer30.xml" /><Relationship Id="rId44" Type="http://schemas.openxmlformats.org/officeDocument/2006/relationships/header" Target="header11.xml" /><Relationship Id="rId45" Type="http://schemas.openxmlformats.org/officeDocument/2006/relationships/footer" Target="footer31.xml" /><Relationship Id="rId46" Type="http://schemas.openxmlformats.org/officeDocument/2006/relationships/footer" Target="footer32.xml" /><Relationship Id="rId47" Type="http://schemas.openxmlformats.org/officeDocument/2006/relationships/footer" Target="footer33.xml" /><Relationship Id="rId48" Type="http://schemas.openxmlformats.org/officeDocument/2006/relationships/header" Target="header12.xml" /><Relationship Id="rId49" Type="http://schemas.openxmlformats.org/officeDocument/2006/relationships/footer" Target="footer34.xml" /><Relationship Id="rId5" Type="http://schemas.openxmlformats.org/officeDocument/2006/relationships/footer" Target="footer1.xml" /><Relationship Id="rId50" Type="http://schemas.openxmlformats.org/officeDocument/2006/relationships/footer" Target="footer35.xml" /><Relationship Id="rId51" Type="http://schemas.openxmlformats.org/officeDocument/2006/relationships/footer" Target="footer36.xml" /><Relationship Id="rId52" Type="http://schemas.openxmlformats.org/officeDocument/2006/relationships/header" Target="header13.xml" /><Relationship Id="rId53" Type="http://schemas.openxmlformats.org/officeDocument/2006/relationships/footer" Target="footer37.xml" /><Relationship Id="rId54" Type="http://schemas.openxmlformats.org/officeDocument/2006/relationships/footer" Target="footer38.xml" /><Relationship Id="rId55" Type="http://schemas.openxmlformats.org/officeDocument/2006/relationships/footer" Target="footer39.xml" /><Relationship Id="rId56" Type="http://schemas.openxmlformats.org/officeDocument/2006/relationships/header" Target="header14.xml" /><Relationship Id="rId57" Type="http://schemas.openxmlformats.org/officeDocument/2006/relationships/footer" Target="footer40.xml" /><Relationship Id="rId58" Type="http://schemas.openxmlformats.org/officeDocument/2006/relationships/footer" Target="footer41.xml" /><Relationship Id="rId59" Type="http://schemas.openxmlformats.org/officeDocument/2006/relationships/footer" Target="footer42.xml" /><Relationship Id="rId6" Type="http://schemas.openxmlformats.org/officeDocument/2006/relationships/footer" Target="footer2.xml" /><Relationship Id="rId60" Type="http://schemas.openxmlformats.org/officeDocument/2006/relationships/header" Target="header15.xml" /><Relationship Id="rId61" Type="http://schemas.openxmlformats.org/officeDocument/2006/relationships/footer" Target="footer43.xml" /><Relationship Id="rId62" Type="http://schemas.openxmlformats.org/officeDocument/2006/relationships/footer" Target="footer44.xml" /><Relationship Id="rId63" Type="http://schemas.openxmlformats.org/officeDocument/2006/relationships/footer" Target="footer45.xml" /><Relationship Id="rId64" Type="http://schemas.openxmlformats.org/officeDocument/2006/relationships/hyperlink" Target="https://d.book118.com/766204134231010102" TargetMode="External" /><Relationship Id="rId65" Type="http://schemas.openxmlformats.org/officeDocument/2006/relationships/header" Target="header16.xml" /><Relationship Id="rId66" Type="http://schemas.openxmlformats.org/officeDocument/2006/relationships/footer" Target="footer46.xml" /><Relationship Id="rId67" Type="http://schemas.openxmlformats.org/officeDocument/2006/relationships/footer" Target="footer47.xml" /><Relationship Id="rId68" Type="http://schemas.openxmlformats.org/officeDocument/2006/relationships/footer" Target="footer48.xml" /><Relationship Id="rId69" Type="http://schemas.openxmlformats.org/officeDocument/2006/relationships/theme" Target="theme/theme1.xml" /><Relationship Id="rId7" Type="http://schemas.openxmlformats.org/officeDocument/2006/relationships/footer" Target="footer3.xml" /><Relationship Id="rId70" Type="http://schemas.openxmlformats.org/officeDocument/2006/relationships/styles" Target="styles.xml" /><Relationship Id="rId8" Type="http://schemas.openxmlformats.org/officeDocument/2006/relationships/header" Target="header2.xml" /><Relationship Id="rId9" Type="http://schemas.openxmlformats.org/officeDocument/2006/relationships/footer" Target="foot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3194</Words>
  <Characters>18207</Characters>
  <Application>Microsoft Office Word</Application>
  <DocSecurity>0</DocSecurity>
  <Lines>151</Lines>
  <Paragraphs>42</Paragraphs>
  <ScaleCrop>false</ScaleCrop>
  <Company>微软中国</Company>
  <LinksUpToDate>false</LinksUpToDate>
  <CharactersWithSpaces>21359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西安工业大学岗位绩效工资实施方案</dc:title>
  <dc:creator>微软用户</dc:creator>
  <cp:lastModifiedBy>JonMMx 2000</cp:lastModifiedBy>
  <cp:revision>3</cp:revision>
  <dcterms:created xsi:type="dcterms:W3CDTF">2021-11-07T21:13:00Z</dcterms:created>
  <dcterms:modified xsi:type="dcterms:W3CDTF">2021-11-30T01:32:00Z</dcterms:modified>
</cp:coreProperties>
</file>