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tabs>
          <w:tab w:val="left" w:pos="2551"/>
          <w:tab w:val="left" w:pos="4677"/>
          <w:tab w:val="left" w:pos="6803"/>
        </w:tabs>
        <w:spacing w:line="360" w:lineRule="auto"/>
        <w:textAlignment w:val="center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12687300</wp:posOffset>
            </wp:positionH>
            <wp:positionV relativeFrom="topMargin">
              <wp:posOffset>11176000</wp:posOffset>
            </wp:positionV>
            <wp:extent cx="457200" cy="317500"/>
            <wp:effectExtent l="0" t="0" r="0" b="6350"/>
            <wp:wrapNone/>
            <wp:docPr id="100051" name="图片 1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11455400</wp:posOffset>
            </wp:positionH>
            <wp:positionV relativeFrom="topMargin">
              <wp:posOffset>11798300</wp:posOffset>
            </wp:positionV>
            <wp:extent cx="457200" cy="393700"/>
            <wp:effectExtent l="0" t="0" r="0" b="635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9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绝密</w:t>
      </w:r>
      <w:r>
        <w:rPr>
          <w:rFonts w:cs="宋体" w:hint="eastAsia"/>
          <w:b/>
          <w:sz w:val="24"/>
        </w:rPr>
        <w:t>★</w:t>
      </w:r>
      <w:r>
        <w:rPr>
          <w:rFonts w:hint="eastAsia"/>
          <w:b/>
          <w:sz w:val="24"/>
        </w:rPr>
        <w:t>启用前</w:t>
      </w:r>
    </w:p>
    <w:p>
      <w:pPr>
        <w:spacing w:line="360" w:lineRule="auto"/>
        <w:jc w:val="center"/>
        <w:rPr>
          <w:rFonts w:eastAsia="黑体"/>
          <w:b/>
          <w:bCs/>
          <w:sz w:val="3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10680700</wp:posOffset>
            </wp:positionV>
            <wp:extent cx="292100" cy="3683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11671300</wp:posOffset>
            </wp:positionH>
            <wp:positionV relativeFrom="topMargin">
              <wp:posOffset>11010900</wp:posOffset>
            </wp:positionV>
            <wp:extent cx="330200" cy="41910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黑体"/>
          <w:b/>
          <w:bCs/>
          <w:sz w:val="30"/>
        </w:rPr>
        <w:t>2024</w:t>
      </w:r>
      <w:r>
        <w:rPr>
          <w:rFonts w:eastAsia="黑体" w:hint="eastAsia"/>
          <w:b/>
          <w:bCs/>
          <w:sz w:val="30"/>
        </w:rPr>
        <w:t>年高考考前信息必刷卷（浙江专用）</w:t>
      </w:r>
      <w:r>
        <w:rPr>
          <w:rFonts w:eastAsia="黑体"/>
          <w:b/>
          <w:bCs/>
          <w:sz w:val="30"/>
        </w:rPr>
        <w:t>0</w:t>
      </w:r>
      <w:r>
        <w:rPr>
          <w:rFonts w:eastAsia="黑体" w:hint="eastAsia"/>
          <w:b/>
          <w:bCs/>
          <w:sz w:val="30"/>
        </w:rPr>
        <w:t>2</w:t>
      </w:r>
      <w:r>
        <w:rPr>
          <w:rFonts w:eastAsia="黑体"/>
          <w:b/>
          <w:bCs/>
          <w:sz w:val="30"/>
        </w:rPr>
        <w:t xml:space="preserve"> </w:t>
      </w:r>
    </w:p>
    <w:p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0"/>
        </w:rPr>
        <w:t>物</w:t>
      </w:r>
      <w:r>
        <w:rPr>
          <w:rFonts w:eastAsia="黑体"/>
          <w:sz w:val="30"/>
        </w:rPr>
        <w:t xml:space="preserve"> </w:t>
      </w:r>
      <w:r>
        <w:rPr>
          <w:rFonts w:eastAsia="黑体" w:hint="eastAsia"/>
          <w:sz w:val="30"/>
        </w:rPr>
        <w:t>理</w:t>
      </w:r>
      <w:r>
        <w:rPr>
          <w:rFonts w:asci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center"/>
      </w:pPr>
      <w:r>
        <w:rPr>
          <w:rFonts w:eastAsia="楷体" w:hint="eastAsia"/>
          <w:kern w:val="0"/>
        </w:rPr>
        <w:t>（考试时间：90分钟</w:t>
      </w:r>
      <w:r>
        <w:rPr>
          <w:rFonts w:eastAsia="楷体"/>
          <w:kern w:val="0"/>
        </w:rPr>
        <w:t xml:space="preserve">  </w:t>
      </w:r>
      <w:r>
        <w:rPr>
          <w:rFonts w:eastAsia="楷体" w:hint="eastAsia"/>
          <w:kern w:val="0"/>
        </w:rPr>
        <w:t>试卷满分：100分）</w:t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ind w:left="1365" w:hanging="1365" w:hangingChars="650"/>
        <w:textAlignment w:val="center"/>
        <w:rPr>
          <w:b/>
          <w:bCs/>
          <w:snapToGrid w:val="0"/>
          <w:kern w:val="0"/>
          <w:szCs w:val="21"/>
        </w:rPr>
      </w:pPr>
      <w:r>
        <w:rPr>
          <w:szCs w:val="21"/>
        </w:rPr>
        <w:drawing>
          <wp:inline distT="0" distB="0" distL="0" distR="0">
            <wp:extent cx="5681980" cy="173990"/>
            <wp:effectExtent l="0" t="0" r="0" b="0"/>
            <wp:docPr id="18" name="图片 18" descr="说明: 必刷卷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说明: 必刷卷-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732964" cy="17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textAlignment w:val="center"/>
        <w:rPr>
          <w:b/>
          <w:bCs/>
          <w:snapToGrid w:val="0"/>
          <w:kern w:val="0"/>
          <w:szCs w:val="21"/>
        </w:rPr>
      </w:pPr>
      <w:r>
        <w:rPr>
          <w:b/>
          <w:kern w:val="0"/>
          <w:szCs w:val="21"/>
        </w:rPr>
        <w:drawing>
          <wp:inline distT="0" distB="0" distL="0" distR="0">
            <wp:extent cx="1033145" cy="285115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3" t="37396" r="24130" b="36842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spacing w:before="0" w:beforeAutospacing="0" w:after="0" w:afterAutospacing="0" w:line="360" w:lineRule="auto"/>
        <w:ind w:firstLine="510"/>
      </w:pPr>
      <w:r>
        <w:rPr>
          <w:rFonts w:hint="eastAsia"/>
        </w:rPr>
        <w:t>2024年1月浙江</w:t>
      </w:r>
      <w:r>
        <w:t>物理选考试卷依据《普通高中物理课程标准（2017年版2020年修订）》的内容要求和学业质量水平等级要求，立足必备知识，评价关键能力，试卷的结构、难度、区分度、信度和效度保持相对稳定。</w:t>
      </w:r>
    </w:p>
    <w:p>
      <w:pPr>
        <w:pStyle w:val="NormalWeb"/>
        <w:spacing w:before="0" w:beforeAutospacing="0" w:after="0" w:afterAutospacing="0" w:line="360" w:lineRule="auto"/>
      </w:pPr>
      <w:r>
        <w:rPr>
          <w:rStyle w:val="Strong"/>
        </w:rPr>
        <w:t>落实依标命题，考查必备知识</w:t>
      </w:r>
    </w:p>
    <w:p>
      <w:pPr>
        <w:pStyle w:val="NormalWeb"/>
        <w:spacing w:before="0" w:beforeAutospacing="0" w:after="0" w:afterAutospacing="0" w:line="360" w:lineRule="auto"/>
        <w:ind w:firstLine="510"/>
        <w:rPr>
          <w:color w:val="FF0000"/>
        </w:rPr>
      </w:pPr>
      <w:r>
        <w:t>依据《课程标准》要求，选取物理核心概念、规律、思想和方法等内容设计试题，全卷考点涵盖物理各模块的所有主题，具有较高的覆盖面，比例合理。</w:t>
      </w:r>
      <w:r>
        <w:rPr>
          <w:rFonts w:hint="eastAsia"/>
          <w:color w:val="FF0000"/>
        </w:rPr>
        <w:t>试卷在实验题上相对以为略有不同，增加一个实验小题，想必2024年6月选考也会保持相同题量。</w:t>
      </w:r>
    </w:p>
    <w:p>
      <w:pPr>
        <w:pStyle w:val="NormalWeb"/>
        <w:spacing w:before="0" w:beforeAutospacing="0" w:after="0" w:afterAutospacing="0" w:line="360" w:lineRule="auto"/>
      </w:pPr>
      <w:r>
        <w:rPr>
          <w:rStyle w:val="Strong"/>
        </w:rPr>
        <w:t>设置合理梯度，评价关键能力</w:t>
      </w:r>
    </w:p>
    <w:p>
      <w:pPr>
        <w:pStyle w:val="NormalWeb"/>
        <w:spacing w:before="0" w:beforeAutospacing="0" w:after="0" w:afterAutospacing="0" w:line="360" w:lineRule="auto"/>
        <w:ind w:firstLine="510"/>
      </w:pPr>
      <w:r>
        <w:t>根据学科核心素养的水平层次、试题情境的复杂性和新颖性、知识要求的深度和广度等多方面设计试卷的难度。整卷设置了多层难度阶梯，有效区分不同学业水平的学生，使每个学生都能解决与自身能力吻合的问题。计算题情景设计既熟悉又新颖，问题设计由易到难，要求知识综合，多维的多层次的能力要求，利于大多数学生学有所得，利于多层次学生的区分选拔，利于高水平学生的脱颖而出。</w:t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textAlignment w:val="center"/>
      </w:pPr>
      <w:r>
        <w:drawing>
          <wp:inline distT="0" distB="0" distL="0" distR="0">
            <wp:extent cx="1033145" cy="285115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3" t="37396" r="24284" b="37119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spacing w:before="0" w:beforeAutospacing="0" w:after="0" w:afterAutospacing="0" w:line="360" w:lineRule="auto"/>
      </w:pPr>
      <w:r>
        <w:rPr>
          <w:rStyle w:val="Strong"/>
        </w:rPr>
        <w:t>立足真实情境，聚焦核心素养</w:t>
      </w:r>
    </w:p>
    <w:p>
      <w:pPr>
        <w:pStyle w:val="NormalWeb"/>
        <w:spacing w:before="0" w:beforeAutospacing="0" w:after="0" w:afterAutospacing="0" w:line="360" w:lineRule="auto"/>
        <w:ind w:firstLine="510"/>
      </w:pPr>
      <w:r>
        <w:t>试卷涵盖学科核心素养各维度，充分展现了素养考查内容的全面性和丰富性，体现了稳中求新的风格。如第9题的一箭三星、第13题的超导、第19题的扫描隧道显微镜等都立足真实情景、关注科技前沿和国家重大工程，加强对科学态度与责任素养的考查与渗透</w:t>
      </w:r>
      <w:r>
        <w:rPr>
          <w:rFonts w:hint="eastAsia"/>
        </w:rPr>
        <w:t>。</w:t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ind w:left="1365" w:hanging="1365" w:hangingChars="650"/>
        <w:textAlignment w:val="center"/>
        <w:rPr>
          <w:b/>
          <w:bCs/>
          <w:snapToGrid w:val="0"/>
          <w:kern w:val="0"/>
          <w:szCs w:val="21"/>
        </w:rPr>
      </w:pPr>
      <w:r>
        <w:rPr>
          <w:szCs w:val="21"/>
        </w:rPr>
        <w:drawing>
          <wp:inline distT="0" distB="0" distL="0" distR="0">
            <wp:extent cx="5831840" cy="178435"/>
            <wp:effectExtent l="0" t="0" r="0" b="0"/>
            <wp:docPr id="9" name="图片 9" descr="说明: 必刷卷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必刷卷-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9833" cy="18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left="420" w:hanging="420" w:hangingChars="200"/>
        <w:contextualSpacing/>
        <w:rPr>
          <w:b/>
          <w:szCs w:val="21"/>
        </w:rPr>
        <w:sectPr>
          <w:footerReference w:type="even" r:id="rId12"/>
          <w:pgSz w:w="11907" w:h="16839"/>
          <w:pgMar w:top="1417" w:right="1417" w:bottom="1417" w:left="1417" w:header="850" w:footer="992" w:gutter="0"/>
          <w:cols w:num="1" w:sep="1" w:space="425"/>
          <w:docGrid w:type="lines" w:linePitch="312" w:charSpace="0"/>
        </w:sectPr>
      </w:pPr>
      <w:r>
        <w:rPr>
          <w:rFonts w:hint="eastAsia"/>
          <w:b/>
          <w:szCs w:val="21"/>
        </w:rPr>
        <w:t>一、选择题Ⅰ（本题共13小题，每小题3分，共39分。每小题列出的四个备选项中只有一个是符合题目要求的，不选、多选、错选均不得分）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1．用国际单位制的基本单位表示功率的单位，下列正确的是（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A．N•m/s</w:t>
      </w:r>
      <w:r>
        <w:tab/>
      </w:r>
      <w:r>
        <w:rPr>
          <w:rFonts w:eastAsia="新宋体" w:hint="eastAsia"/>
          <w:szCs w:val="21"/>
        </w:rPr>
        <w:t>B．V•A</w:t>
      </w:r>
      <w:r>
        <w:tab/>
      </w:r>
      <w:r>
        <w:rPr>
          <w:rFonts w:eastAsia="新宋体" w:hint="eastAsia"/>
          <w:szCs w:val="21"/>
        </w:rPr>
        <w:t>C．kg•m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/s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tab/>
      </w:r>
      <w:r>
        <w:rPr>
          <w:rFonts w:eastAsia="新宋体" w:hint="eastAsia"/>
          <w:szCs w:val="21"/>
        </w:rPr>
        <w:t>D．kg•m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/s</w:t>
      </w:r>
      <w:r>
        <w:rPr>
          <w:rFonts w:eastAsia="新宋体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【解答】解：根据功率的定义式P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W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t</m:t>
            </m:r>
          </m:den>
        </m:f>
      </m:oMath>
      <w:r>
        <w:rPr>
          <w:rFonts w:eastAsia="新宋体" w:hint="eastAsia"/>
          <w:color w:val="FF0000"/>
          <w:szCs w:val="21"/>
        </w:rPr>
        <w:t>知，1瓦＝1焦/秒。由功的公式W＝Fl知，1焦＝1牛•米，根据牛顿第二定律F＝ma知，1牛＝1千克•米/秒</w:t>
      </w:r>
      <w:r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>
        <w:rPr>
          <w:rFonts w:eastAsia="新宋体" w:hint="eastAsia"/>
          <w:color w:val="FF0000"/>
          <w:szCs w:val="21"/>
        </w:rPr>
        <w:t>，联立解得：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1瓦＝千克•米</w:t>
      </w:r>
      <w:r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>
        <w:rPr>
          <w:rFonts w:eastAsia="新宋体" w:hint="eastAsia"/>
          <w:color w:val="FF0000"/>
          <w:szCs w:val="21"/>
        </w:rPr>
        <w:t>/秒</w:t>
      </w:r>
      <w:r>
        <w:rPr>
          <w:rFonts w:eastAsia="新宋体" w:hint="eastAsia"/>
          <w:color w:val="FF0000"/>
          <w:sz w:val="24"/>
          <w:szCs w:val="24"/>
          <w:vertAlign w:val="superscript"/>
        </w:rPr>
        <w:t>3</w:t>
      </w:r>
      <w:r>
        <w:rPr>
          <w:rFonts w:eastAsia="新宋体" w:hint="eastAsia"/>
          <w:color w:val="FF0000"/>
          <w:szCs w:val="21"/>
        </w:rPr>
        <w:t>，故D正确。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2．浸润现象和不浸润现象在日常生活中是常见的。下列几种现象的说法，正确的是（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A．水银不能浸润玻璃，说明水银是不浸润液体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B．水可以浸润玻璃，说明附着层内分子间的作用表现为引力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C．脱脂棉球脱脂的目的，是使它从不能被水浸润变为可以被水浸润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D．建筑房屋时在地基上铺一层涂着沥青的纸，是利用了毛细现象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【解答】解：A、同一种液体是浸润液体还是不浸润液体是相对的，水银对玻璃来说是不浸润液体，对铅来说是浸润液体，故A错误；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B、水可以浸润玻璃，附着层内分子之间的作用力表现为斥力，附着层出现扩展的趋势，故B错误；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C、脱脂棉能够吸取药液，棉被脱脂后把它从不能被水浸润变成了可以被水浸润，故C正确；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D、砖的内部也有许多细小的孔道，会起到毛细管的作用，在砌砖的地基上铺一层油毡或涂过沥青的纸，可以防止地下水分沿着夯实的地基以及砖墙的毛细管上升，以保持房屋干燥，故D错误。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在2022年卡塔尔世界杯期间，“电梯球”（好像电梯一样急上急下）成为球迷们讨论的热门话题。某次训练中，一运动员在发“电梯球”时，踢在足球上较硬的部位，足球立即获得30m/s的速度飞出，由于气流的影响，足球在飞行过程中会颤动，最后以更大的陡度（斜坡的倾斜程度）急坠，飞进球门，测得“电梯球”在此过程中的阻力系数C</w:t>
      </w:r>
      <w:r>
        <w:rPr>
          <w:rFonts w:eastAsia="新宋体" w:hint="eastAsia"/>
          <w:sz w:val="24"/>
          <w:szCs w:val="24"/>
          <w:vertAlign w:val="subscript"/>
        </w:rPr>
        <w:t>D</w:t>
      </w:r>
      <w:r>
        <w:rPr>
          <w:rFonts w:eastAsia="新宋体" w:hint="eastAsia"/>
          <w:szCs w:val="21"/>
        </w:rPr>
        <w:t>随速度v的变化关系如图所示。下列说法正确的是（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3730625" cy="1252220"/>
            <wp:effectExtent l="0" t="0" r="0" b="0"/>
            <wp:docPr id="909411289" name="图片24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411289" name="图片24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760" cy="125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sectPr>
          <w:footerReference w:type="even" r:id="rId14"/>
          <w:type w:val="nextPage"/>
          <w:pgSz w:w="11907" w:h="16839"/>
          <w:pgMar w:top="1417" w:right="1417" w:bottom="1417" w:left="1417" w:header="850" w:footer="992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eastAsia="新宋体" w:hint="eastAsia"/>
          <w:szCs w:val="21"/>
        </w:rPr>
        <w:t>A．研究如何踢出足球时可将其看作质点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B．足球在上升过程中总是处于超重状态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C．足球在飞行过程中阻力系数逐渐减小，机械能减少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D．足球急坠，是因为速度减小到某一数值后阻力系数随速度减小而增大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【解答】解：A．研究如何踢出足球时，足球的形状大小不能忽略不计，不可将其看作质点，故A错误；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B．球在上升过程中，最后做减速上升，加速度方向向下，处于失重状态，不是整个过程都是超重，故B错误；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C．足球在飞行过程中阻力系数随速度减小而增大，不是飞行过程中阻力系数逐渐减小，阻力做负功，机械能减少，故C错误；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D．足球急坠，是因为速度减小到某一数值后阻力系数随速度减小而增大，故D正确。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4．如图所示，把一个小球用细线悬挂起来，将小球拉离竖直位置某一角度由静止释放，就成为一个摆。若摆长为l，小球质量为m，小球在摆动过程中最大偏角为</w:t>
      </w:r>
      <w:r>
        <w:rPr>
          <w:rFonts w:ascii="Cambria Math" w:eastAsia="Cambria Math" w:hAnsi="Cambria Math"/>
          <w:szCs w:val="21"/>
        </w:rPr>
        <w:t>θ</w:t>
      </w:r>
      <w:r>
        <w:rPr>
          <w:rFonts w:eastAsia="新宋体" w:hint="eastAsia"/>
          <w:szCs w:val="21"/>
        </w:rPr>
        <w:t>，重力加速度为g。设阻力可以忽略。小球在摆动的过程中，以下说法正确的是（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289050" cy="1167130"/>
            <wp:effectExtent l="0" t="0" r="0" b="0"/>
            <wp:docPr id="981406232" name="图片24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406232" name="图片24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9307" cy="116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A．小球运动到最高点时加速度为零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B．小球受到重力和拉力的作用，机械能不守恒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C．小球运动到最低点时所受重力与拉力大小相等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D．以最低点为重力势能零点，则小球具有的机械能为mgl（1﹣cos</w:t>
      </w:r>
      <w:r>
        <w:rPr>
          <w:rFonts w:ascii="Cambria Math" w:eastAsia="Cambria Math" w:hAnsi="Cambria Math"/>
          <w:szCs w:val="21"/>
        </w:rPr>
        <w:t>θ</w:t>
      </w:r>
      <w:r>
        <w:rPr>
          <w:rFonts w:eastAsia="新宋体" w:hint="eastAsia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【解答】解：A、小球在最高点时加速度为a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mgsinθ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>
        <w:rPr>
          <w:rFonts w:eastAsia="新宋体" w:hint="eastAsia"/>
          <w:color w:val="FF0000"/>
          <w:szCs w:val="21"/>
        </w:rPr>
        <w:t>gsin</w:t>
      </w:r>
      <w:r>
        <w:rPr>
          <w:rFonts w:ascii="Cambria Math" w:eastAsia="Cambria Math" w:hAnsi="Cambria Math"/>
          <w:color w:val="FF0000"/>
          <w:szCs w:val="21"/>
        </w:rPr>
        <w:t>θ</w:t>
      </w:r>
      <w:r>
        <w:rPr>
          <w:rFonts w:eastAsia="新宋体" w:hint="eastAsia"/>
          <w:color w:val="FF0000"/>
          <w:szCs w:val="21"/>
        </w:rPr>
        <w:t>，故A错误；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B、小球受到重力和拉力的作用，但拉力不做功，只有重力做功，小球的机械能守恒，故B错误；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C、小球运到最低点有F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T</w:t>
      </w:r>
      <w:r>
        <w:rPr>
          <w:rFonts w:eastAsia="新宋体" w:hint="eastAsia"/>
          <w:color w:val="FF0000"/>
          <w:szCs w:val="21"/>
        </w:rPr>
        <w:t>﹣mg＝F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n</w:t>
      </w:r>
      <w:r>
        <w:rPr>
          <w:rFonts w:eastAsia="新宋体" w:hint="eastAsia"/>
          <w:color w:val="FF0000"/>
          <w:szCs w:val="21"/>
        </w:rPr>
        <w:t>，则小球运动到最低点时所受重力的大小小于拉力的大小，故C错误；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D、以最低点为重力势能零点，而小球在最高点的机械能只有重力势能，则小球具有的机械能为E＝mgl（1﹣cos</w:t>
      </w:r>
      <w:r>
        <w:rPr>
          <w:rFonts w:ascii="Cambria Math" w:eastAsia="Cambria Math" w:hAnsi="Cambria Math"/>
          <w:color w:val="FF0000"/>
          <w:szCs w:val="21"/>
        </w:rPr>
        <w:t>θ</w:t>
      </w:r>
      <w:r>
        <w:rPr>
          <w:rFonts w:eastAsia="新宋体" w:hint="eastAsia"/>
          <w:color w:val="FF0000"/>
          <w:szCs w:val="21"/>
        </w:rPr>
        <w:t>），故D正确。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故选：D。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https://d.book118.com/766210123215010055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footerReference w:type="even" r:id="rId17"/>
      <w:type w:val="nextPage"/>
      <w:pgSz w:w="11907" w:h="16839"/>
      <w:pgMar w:top="1417" w:right="1417" w:bottom="1417" w:left="1417" w:header="850" w:footer="992" w:gutter="0"/>
      <w:pgNumType w:start="3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41B8"/>
    <w:rsid w:val="00043B54"/>
    <w:rsid w:val="00052438"/>
    <w:rsid w:val="00052FA4"/>
    <w:rsid w:val="00056353"/>
    <w:rsid w:val="0007235F"/>
    <w:rsid w:val="001235E0"/>
    <w:rsid w:val="0014283F"/>
    <w:rsid w:val="00183CB9"/>
    <w:rsid w:val="001D7A06"/>
    <w:rsid w:val="001F414E"/>
    <w:rsid w:val="00211C58"/>
    <w:rsid w:val="0024000F"/>
    <w:rsid w:val="00241E54"/>
    <w:rsid w:val="00264507"/>
    <w:rsid w:val="002767BF"/>
    <w:rsid w:val="002841A7"/>
    <w:rsid w:val="00284433"/>
    <w:rsid w:val="002927B0"/>
    <w:rsid w:val="002A1EC6"/>
    <w:rsid w:val="002C4223"/>
    <w:rsid w:val="002E035E"/>
    <w:rsid w:val="002F4042"/>
    <w:rsid w:val="00333998"/>
    <w:rsid w:val="00370231"/>
    <w:rsid w:val="003A2D7A"/>
    <w:rsid w:val="003E64E6"/>
    <w:rsid w:val="003F1980"/>
    <w:rsid w:val="003F6F24"/>
    <w:rsid w:val="0041230C"/>
    <w:rsid w:val="004151FC"/>
    <w:rsid w:val="00436AA5"/>
    <w:rsid w:val="004745B9"/>
    <w:rsid w:val="004938BA"/>
    <w:rsid w:val="00495078"/>
    <w:rsid w:val="004C0567"/>
    <w:rsid w:val="004D5AFC"/>
    <w:rsid w:val="005121BE"/>
    <w:rsid w:val="005302DD"/>
    <w:rsid w:val="00545D58"/>
    <w:rsid w:val="005E457A"/>
    <w:rsid w:val="005F6056"/>
    <w:rsid w:val="006115F8"/>
    <w:rsid w:val="0062334B"/>
    <w:rsid w:val="0064056B"/>
    <w:rsid w:val="006628D8"/>
    <w:rsid w:val="006777C7"/>
    <w:rsid w:val="00695C8D"/>
    <w:rsid w:val="006A10E4"/>
    <w:rsid w:val="006B16C5"/>
    <w:rsid w:val="006C48D1"/>
    <w:rsid w:val="006E6CB8"/>
    <w:rsid w:val="007417E6"/>
    <w:rsid w:val="0076463B"/>
    <w:rsid w:val="00776133"/>
    <w:rsid w:val="0079209D"/>
    <w:rsid w:val="0079629A"/>
    <w:rsid w:val="007A5E25"/>
    <w:rsid w:val="00865A38"/>
    <w:rsid w:val="00880048"/>
    <w:rsid w:val="00882679"/>
    <w:rsid w:val="008A6491"/>
    <w:rsid w:val="008B2586"/>
    <w:rsid w:val="008C07DE"/>
    <w:rsid w:val="008E3F20"/>
    <w:rsid w:val="008F5155"/>
    <w:rsid w:val="009029DB"/>
    <w:rsid w:val="0098035E"/>
    <w:rsid w:val="009D0B5B"/>
    <w:rsid w:val="00A0031A"/>
    <w:rsid w:val="00A2245C"/>
    <w:rsid w:val="00A30CCE"/>
    <w:rsid w:val="00A36708"/>
    <w:rsid w:val="00A839B9"/>
    <w:rsid w:val="00AB2888"/>
    <w:rsid w:val="00AC3E9C"/>
    <w:rsid w:val="00AE0F3A"/>
    <w:rsid w:val="00AE4D0D"/>
    <w:rsid w:val="00AF685A"/>
    <w:rsid w:val="00B2092B"/>
    <w:rsid w:val="00B21CB6"/>
    <w:rsid w:val="00B77A72"/>
    <w:rsid w:val="00B87230"/>
    <w:rsid w:val="00BA55BD"/>
    <w:rsid w:val="00BC4F14"/>
    <w:rsid w:val="00BF535F"/>
    <w:rsid w:val="00BF76B8"/>
    <w:rsid w:val="00C02FC6"/>
    <w:rsid w:val="00C1271D"/>
    <w:rsid w:val="00C76DDF"/>
    <w:rsid w:val="00C806B0"/>
    <w:rsid w:val="00CB23E3"/>
    <w:rsid w:val="00CE3533"/>
    <w:rsid w:val="00D02F67"/>
    <w:rsid w:val="00D26AF8"/>
    <w:rsid w:val="00D318CD"/>
    <w:rsid w:val="00D84DB3"/>
    <w:rsid w:val="00D85CC9"/>
    <w:rsid w:val="00DB1DA6"/>
    <w:rsid w:val="00DD0AE4"/>
    <w:rsid w:val="00DE4F64"/>
    <w:rsid w:val="00E14372"/>
    <w:rsid w:val="00E40056"/>
    <w:rsid w:val="00E476EE"/>
    <w:rsid w:val="00E47BAA"/>
    <w:rsid w:val="00E56312"/>
    <w:rsid w:val="00E87431"/>
    <w:rsid w:val="00EB31C1"/>
    <w:rsid w:val="00EC536B"/>
    <w:rsid w:val="00EE010F"/>
    <w:rsid w:val="00EF035E"/>
    <w:rsid w:val="00EF3342"/>
    <w:rsid w:val="00F31CEE"/>
    <w:rsid w:val="00F861E3"/>
    <w:rsid w:val="00FA68DF"/>
    <w:rsid w:val="00FA7C0F"/>
    <w:rsid w:val="00FB5B06"/>
    <w:rsid w:val="00FD7060"/>
    <w:rsid w:val="0F942B2F"/>
    <w:rsid w:val="1FEE60DF"/>
    <w:rsid w:val="347E4A63"/>
    <w:rsid w:val="348576A9"/>
    <w:rsid w:val="69423B38"/>
    <w:rsid w:val="75B42466"/>
    <w:rsid w:val="764E348F"/>
    <w:rsid w:val="79D7762B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1"/>
    <w:qFormat/>
    <w:rPr>
      <w:szCs w:val="21"/>
    </w:rPr>
  </w:style>
  <w:style w:type="paragraph" w:styleId="TOC5">
    <w:name w:val="toc 5"/>
    <w:basedOn w:val="Normal"/>
    <w:next w:val="Normal"/>
    <w:qFormat/>
    <w:pPr>
      <w:wordWrap w:val="0"/>
      <w:ind w:left="1275"/>
    </w:pPr>
    <w:rPr>
      <w:rFonts w:ascii="宋体" w:eastAsia="Times New Roman" w:hAnsi="宋体"/>
      <w:kern w:val="0"/>
      <w:sz w:val="20"/>
      <w:szCs w:val="20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">
    <w:name w:val="正文文本1"/>
    <w:basedOn w:val="Normal"/>
    <w:qFormat/>
    <w:pPr>
      <w:spacing w:after="60"/>
      <w:ind w:firstLine="180"/>
      <w:jc w:val="left"/>
    </w:pPr>
    <w:rPr>
      <w:rFonts w:eastAsia="Times New Roman"/>
      <w:sz w:val="17"/>
      <w:szCs w:val="1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footer" Target="footer2.xml" /><Relationship Id="rId15" Type="http://schemas.openxmlformats.org/officeDocument/2006/relationships/image" Target="media/image9.png" /><Relationship Id="rId16" Type="http://schemas.openxmlformats.org/officeDocument/2006/relationships/hyperlink" Target="https://d.book118.com/766210123215010055" TargetMode="External" /><Relationship Id="rId17" Type="http://schemas.openxmlformats.org/officeDocument/2006/relationships/footer" Target="footer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29B2C-443A-434C-B744-D6D4039BD3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2024-03-07T16:23:01Z</dcterms:created>
  <dcterms:modified xsi:type="dcterms:W3CDTF">2024-03-07T16:23:04Z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8A50EBCB95A448A2AB06E9E641F3CF6B_12</vt:lpwstr>
  </property>
  <property fmtid="{D5CDD505-2E9C-101B-9397-08002B2CF9AE}" pid="3" name="KSOProductBuildVer">
    <vt:lpwstr>2052-12.1.0.16120</vt:lpwstr>
  </property>
</Properties>
</file>