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减毒活疫苗：卡介苗项目构思建设方案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_Toc28167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_Toc19145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二、减毒活疫苗：卡介苗项目概论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_Toc15169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_Toc18223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_Toc15170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_Toc19175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_Toc22699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7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_Toc13367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_Toc8504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_Toc25706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_Toc21283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2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_Toc12672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_Toc24849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_Toc17573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_Toc29883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7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_Toc21417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_Toc8161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_Toc10954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_Toc31136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_Toc27546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85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_Toc25385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_Toc21714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_Toc13970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_Toc28671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3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_Toc23513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_Toc23130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_Toc14679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_Toc4399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_Toc22178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2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_Toc18115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1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_Toc21291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_Toc10267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_Toc7344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_Toc9143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_Toc25470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_Toc20431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5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_Toc8633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32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5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减毒活疫苗：卡介苗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1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减毒活疫苗：卡介苗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减毒活疫苗：卡介苗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减毒活疫苗：卡介苗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50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14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在减毒活疫苗：卡介苗项目启动前，将进行一系列深入的地质调查，包括钻探和土壤取样，以深入了解项目区域的地层结构和土壤组成。特别是对于土壤的承载能力和地下水位的深度进行详细评估。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完成初始的地质风险评估后，减毒活疫苗：卡介苗项目将安装长期地质监测设备，如倾斜仪、裂缝计和地下水位计，以持续监测地质条件的变化。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528"/>
      <w:r>
        <w:rPr>
          <w:rFonts w:ascii="仿宋" w:eastAsia="仿宋" w:hAnsi="仿宋" w:cs="仿宋" w:hint="eastAsia"/>
          <w:sz w:val="28"/>
          <w:lang w:eastAsia="zh-CN"/>
        </w:rPr>
        <w:t>二、减毒活疫苗：卡介苗项目概论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16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毒活疫苗：卡介苗项目的申报单位是“XXX实业发展公司”，这是一家在其所处行业内备受尊敬的企业。公司自成立以来，通过其在减毒活疫苗：卡介苗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减毒活疫苗：卡介苗项目及其他多个行业领域中都有着显著的贡献。秦XX以其出色的领导才能和敏锐的商业洞察力，带领公司在减毒活疫苗：卡介苗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减毒活疫苗：卡介苗项目的重要合作伙伴。公司专注于[行业名称]领域，以创新作为驱动力，不断推动技术进步和市场扩张。在减毒活疫苗：卡介苗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减毒活疫苗：卡介苗项目中展现了强劲的增长和稳定的财务表现。公司通过有效的策略，在减毒活疫苗：卡介苗项目中扩大了其市场份额并增强了盈利能力。同时，公司积极承担社会责任，参与各类社会公益项目，增强了其在减毒活疫苗：卡介苗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22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https://d.book118.com/766230024223010054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减毒活疫苗：卡介苗项目构思建设方案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E80884"/>
    <w:rsid w:val="24E808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6230024223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2024-02-16T23:00:00Z</dcterms:created>
  <dcterms:modified xsi:type="dcterms:W3CDTF">2024-02-16T23:01:14Z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F8E9F5C30A0B4BBEAEC4F8966C7F5AED_11</vt:lpwstr>
  </property>
  <property fmtid="{D5CDD505-2E9C-101B-9397-08002B2CF9AE}" pid="3" name="KSOProductBuildVer">
    <vt:lpwstr>2052-12.1.0.16250</vt:lpwstr>
  </property>
</Properties>
</file>