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电磁学计量标准器具项目概述报告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289" w:history="1">
        <w:r>
          <w:rPr>
            <w:rFonts w:ascii="仿宋" w:eastAsia="仿宋" w:hAnsi="仿宋" w:cs="仿宋" w:hint="eastAsia"/>
            <w:lang w:eastAsia="zh-CN"/>
          </w:rPr>
          <w:t>概论</w:t>
        </w:r>
        <w:r>
          <w:tab/>
        </w:r>
        <w:r>
          <w:fldChar w:fldCharType="begin"/>
        </w:r>
        <w:r>
          <w:instrText xml:space="preserve"> PAGEREF _Toc21289 \h </w:instrText>
        </w:r>
        <w:r>
          <w:fldChar w:fldCharType="separate"/>
        </w:r>
        <w:r>
          <w:t>3</w:t>
        </w:r>
        <w:r>
          <w:fldChar w:fldCharType="end"/>
        </w:r>
      </w:hyperlink>
    </w:p>
    <w:p>
      <w:pPr>
        <w:pStyle w:val="TOC1"/>
        <w:tabs>
          <w:tab w:val="right" w:leader="dot" w:pos="8306"/>
        </w:tabs>
      </w:pPr>
      <w:hyperlink w:anchor="_Toc17230" w:history="1">
        <w:r>
          <w:rPr>
            <w:rFonts w:ascii="仿宋" w:eastAsia="仿宋" w:hAnsi="仿宋" w:cs="仿宋" w:hint="eastAsia"/>
            <w:lang w:eastAsia="zh-CN"/>
          </w:rPr>
          <w:t>一、建设规划</w:t>
        </w:r>
        <w:r>
          <w:tab/>
        </w:r>
        <w:r>
          <w:fldChar w:fldCharType="begin"/>
        </w:r>
        <w:r>
          <w:instrText xml:space="preserve"> PAGEREF _Toc17230 \h </w:instrText>
        </w:r>
        <w:r>
          <w:fldChar w:fldCharType="separate"/>
        </w:r>
        <w:r>
          <w:t>3</w:t>
        </w:r>
        <w:r>
          <w:fldChar w:fldCharType="end"/>
        </w:r>
      </w:hyperlink>
    </w:p>
    <w:p>
      <w:pPr>
        <w:pStyle w:val="TOC2"/>
        <w:tabs>
          <w:tab w:val="right" w:leader="dot" w:pos="8306"/>
        </w:tabs>
      </w:pPr>
      <w:hyperlink w:anchor="_Toc2610" w:history="1">
        <w:r>
          <w:rPr>
            <w:rFonts w:ascii="仿宋" w:eastAsia="仿宋" w:hAnsi="仿宋" w:cs="仿宋" w:hint="eastAsia"/>
            <w:lang w:eastAsia="zh-CN"/>
          </w:rPr>
          <w:t>(一)、产品规划</w:t>
        </w:r>
        <w:r>
          <w:tab/>
        </w:r>
        <w:r>
          <w:fldChar w:fldCharType="begin"/>
        </w:r>
        <w:r>
          <w:instrText xml:space="preserve"> PAGEREF _Toc2610 \h </w:instrText>
        </w:r>
        <w:r>
          <w:fldChar w:fldCharType="separate"/>
        </w:r>
        <w:r>
          <w:t>3</w:t>
        </w:r>
        <w:r>
          <w:fldChar w:fldCharType="end"/>
        </w:r>
      </w:hyperlink>
    </w:p>
    <w:p>
      <w:pPr>
        <w:pStyle w:val="TOC2"/>
        <w:tabs>
          <w:tab w:val="right" w:leader="dot" w:pos="8306"/>
        </w:tabs>
      </w:pPr>
      <w:hyperlink w:anchor="_Toc27643" w:history="1">
        <w:r>
          <w:rPr>
            <w:rFonts w:ascii="仿宋" w:eastAsia="仿宋" w:hAnsi="仿宋" w:cs="仿宋" w:hint="eastAsia"/>
            <w:lang w:eastAsia="zh-CN"/>
          </w:rPr>
          <w:t>(二)、建设规模</w:t>
        </w:r>
        <w:r>
          <w:tab/>
        </w:r>
        <w:r>
          <w:fldChar w:fldCharType="begin"/>
        </w:r>
        <w:r>
          <w:instrText xml:space="preserve"> PAGEREF _Toc27643 \h </w:instrText>
        </w:r>
        <w:r>
          <w:fldChar w:fldCharType="separate"/>
        </w:r>
        <w:r>
          <w:t>5</w:t>
        </w:r>
        <w:r>
          <w:fldChar w:fldCharType="end"/>
        </w:r>
      </w:hyperlink>
    </w:p>
    <w:p>
      <w:pPr>
        <w:pStyle w:val="TOC1"/>
        <w:tabs>
          <w:tab w:val="right" w:leader="dot" w:pos="8306"/>
        </w:tabs>
      </w:pPr>
      <w:hyperlink w:anchor="_Toc28151" w:history="1">
        <w:r>
          <w:rPr>
            <w:rFonts w:ascii="仿宋" w:eastAsia="仿宋" w:hAnsi="仿宋" w:cs="仿宋" w:hint="eastAsia"/>
            <w:lang w:eastAsia="zh-CN"/>
          </w:rPr>
          <w:t>二、工艺分析</w:t>
        </w:r>
        <w:r>
          <w:tab/>
        </w:r>
        <w:r>
          <w:fldChar w:fldCharType="begin"/>
        </w:r>
        <w:r>
          <w:instrText xml:space="preserve"> PAGEREF _Toc28151 \h </w:instrText>
        </w:r>
        <w:r>
          <w:fldChar w:fldCharType="separate"/>
        </w:r>
        <w:r>
          <w:t>6</w:t>
        </w:r>
        <w:r>
          <w:fldChar w:fldCharType="end"/>
        </w:r>
      </w:hyperlink>
    </w:p>
    <w:p>
      <w:pPr>
        <w:pStyle w:val="TOC2"/>
        <w:tabs>
          <w:tab w:val="right" w:leader="dot" w:pos="8306"/>
        </w:tabs>
      </w:pPr>
      <w:hyperlink w:anchor="_Toc20973" w:history="1">
        <w:r>
          <w:rPr>
            <w:rFonts w:ascii="仿宋" w:eastAsia="仿宋" w:hAnsi="仿宋" w:cs="仿宋" w:hint="eastAsia"/>
            <w:lang w:eastAsia="zh-CN"/>
          </w:rPr>
          <w:t>(一)、技术管理特点</w:t>
        </w:r>
        <w:r>
          <w:tab/>
        </w:r>
        <w:r>
          <w:fldChar w:fldCharType="begin"/>
        </w:r>
        <w:r>
          <w:instrText xml:space="preserve"> PAGEREF _Toc20973 \h </w:instrText>
        </w:r>
        <w:r>
          <w:fldChar w:fldCharType="separate"/>
        </w:r>
        <w:r>
          <w:t>6</w:t>
        </w:r>
        <w:r>
          <w:fldChar w:fldCharType="end"/>
        </w:r>
      </w:hyperlink>
    </w:p>
    <w:p>
      <w:pPr>
        <w:pStyle w:val="TOC2"/>
        <w:tabs>
          <w:tab w:val="right" w:leader="dot" w:pos="8306"/>
        </w:tabs>
      </w:pPr>
      <w:hyperlink w:anchor="_Toc2171" w:history="1">
        <w:r>
          <w:rPr>
            <w:rFonts w:ascii="仿宋" w:eastAsia="仿宋" w:hAnsi="仿宋" w:cs="仿宋" w:hint="eastAsia"/>
            <w:lang w:eastAsia="zh-CN"/>
          </w:rPr>
          <w:t>(二)、电磁学计量标准器具项目工艺技术设计方案</w:t>
        </w:r>
        <w:r>
          <w:tab/>
        </w:r>
        <w:r>
          <w:fldChar w:fldCharType="begin"/>
        </w:r>
        <w:r>
          <w:instrText xml:space="preserve"> PAGEREF _Toc2171 \h </w:instrText>
        </w:r>
        <w:r>
          <w:fldChar w:fldCharType="separate"/>
        </w:r>
        <w:r>
          <w:t>7</w:t>
        </w:r>
        <w:r>
          <w:fldChar w:fldCharType="end"/>
        </w:r>
      </w:hyperlink>
    </w:p>
    <w:p>
      <w:pPr>
        <w:pStyle w:val="TOC2"/>
        <w:tabs>
          <w:tab w:val="right" w:leader="dot" w:pos="8306"/>
        </w:tabs>
      </w:pPr>
      <w:hyperlink w:anchor="_Toc7405" w:history="1">
        <w:r>
          <w:rPr>
            <w:rFonts w:ascii="仿宋" w:eastAsia="仿宋" w:hAnsi="仿宋" w:cs="仿宋" w:hint="eastAsia"/>
            <w:lang w:eastAsia="zh-CN"/>
          </w:rPr>
          <w:t>(三)、设备选型方案</w:t>
        </w:r>
        <w:r>
          <w:tab/>
        </w:r>
        <w:r>
          <w:fldChar w:fldCharType="begin"/>
        </w:r>
        <w:r>
          <w:instrText xml:space="preserve"> PAGEREF _Toc7405 \h </w:instrText>
        </w:r>
        <w:r>
          <w:fldChar w:fldCharType="separate"/>
        </w:r>
        <w:r>
          <w:t>8</w:t>
        </w:r>
        <w:r>
          <w:fldChar w:fldCharType="end"/>
        </w:r>
      </w:hyperlink>
    </w:p>
    <w:p>
      <w:pPr>
        <w:pStyle w:val="TOC1"/>
        <w:tabs>
          <w:tab w:val="right" w:leader="dot" w:pos="8306"/>
        </w:tabs>
      </w:pPr>
      <w:hyperlink w:anchor="_Toc22769" w:history="1">
        <w:r>
          <w:rPr>
            <w:rFonts w:ascii="仿宋" w:eastAsia="仿宋" w:hAnsi="仿宋" w:cs="仿宋" w:hint="eastAsia"/>
            <w:lang w:eastAsia="zh-CN"/>
          </w:rPr>
          <w:t>三、电磁学计量标准器具项目基本情况</w:t>
        </w:r>
        <w:r>
          <w:tab/>
        </w:r>
        <w:r>
          <w:fldChar w:fldCharType="begin"/>
        </w:r>
        <w:r>
          <w:instrText xml:space="preserve"> PAGEREF _Toc22769 \h </w:instrText>
        </w:r>
        <w:r>
          <w:fldChar w:fldCharType="separate"/>
        </w:r>
        <w:r>
          <w:t>9</w:t>
        </w:r>
        <w:r>
          <w:fldChar w:fldCharType="end"/>
        </w:r>
      </w:hyperlink>
    </w:p>
    <w:p>
      <w:pPr>
        <w:pStyle w:val="TOC2"/>
        <w:tabs>
          <w:tab w:val="right" w:leader="dot" w:pos="8306"/>
        </w:tabs>
      </w:pPr>
      <w:hyperlink w:anchor="_Toc5065" w:history="1">
        <w:r>
          <w:rPr>
            <w:rFonts w:ascii="仿宋" w:eastAsia="仿宋" w:hAnsi="仿宋" w:cs="仿宋" w:hint="eastAsia"/>
            <w:lang w:eastAsia="zh-CN"/>
          </w:rPr>
          <w:t>(一)、电磁学计量标准器具项目名称及建设性质</w:t>
        </w:r>
        <w:r>
          <w:tab/>
        </w:r>
        <w:r>
          <w:fldChar w:fldCharType="begin"/>
        </w:r>
        <w:r>
          <w:instrText xml:space="preserve"> PAGEREF _Toc5065 \h </w:instrText>
        </w:r>
        <w:r>
          <w:fldChar w:fldCharType="separate"/>
        </w:r>
        <w:r>
          <w:t>9</w:t>
        </w:r>
        <w:r>
          <w:fldChar w:fldCharType="end"/>
        </w:r>
      </w:hyperlink>
    </w:p>
    <w:p>
      <w:pPr>
        <w:pStyle w:val="TOC2"/>
        <w:tabs>
          <w:tab w:val="right" w:leader="dot" w:pos="8306"/>
        </w:tabs>
      </w:pPr>
      <w:hyperlink w:anchor="_Toc17867" w:history="1">
        <w:r>
          <w:rPr>
            <w:rFonts w:ascii="仿宋" w:eastAsia="仿宋" w:hAnsi="仿宋" w:cs="仿宋" w:hint="eastAsia"/>
            <w:lang w:eastAsia="zh-CN"/>
          </w:rPr>
          <w:t>(二)、电磁学计量标准器具项目承办单位</w:t>
        </w:r>
        <w:r>
          <w:tab/>
        </w:r>
        <w:r>
          <w:fldChar w:fldCharType="begin"/>
        </w:r>
        <w:r>
          <w:instrText xml:space="preserve"> PAGEREF _Toc17867 \h </w:instrText>
        </w:r>
        <w:r>
          <w:fldChar w:fldCharType="separate"/>
        </w:r>
        <w:r>
          <w:t>9</w:t>
        </w:r>
        <w:r>
          <w:fldChar w:fldCharType="end"/>
        </w:r>
      </w:hyperlink>
    </w:p>
    <w:p>
      <w:pPr>
        <w:pStyle w:val="TOC2"/>
        <w:tabs>
          <w:tab w:val="right" w:leader="dot" w:pos="8306"/>
        </w:tabs>
      </w:pPr>
      <w:hyperlink w:anchor="_Toc15000" w:history="1">
        <w:r>
          <w:rPr>
            <w:rFonts w:ascii="仿宋" w:eastAsia="仿宋" w:hAnsi="仿宋" w:cs="仿宋" w:hint="eastAsia"/>
            <w:lang w:eastAsia="zh-CN"/>
          </w:rPr>
          <w:t>(三)、战略合作单位</w:t>
        </w:r>
        <w:r>
          <w:tab/>
        </w:r>
        <w:r>
          <w:fldChar w:fldCharType="begin"/>
        </w:r>
        <w:r>
          <w:instrText xml:space="preserve"> PAGEREF _Toc15000 \h </w:instrText>
        </w:r>
        <w:r>
          <w:fldChar w:fldCharType="separate"/>
        </w:r>
        <w:r>
          <w:t>9</w:t>
        </w:r>
        <w:r>
          <w:fldChar w:fldCharType="end"/>
        </w:r>
      </w:hyperlink>
    </w:p>
    <w:p>
      <w:pPr>
        <w:pStyle w:val="TOC2"/>
        <w:tabs>
          <w:tab w:val="right" w:leader="dot" w:pos="8306"/>
        </w:tabs>
      </w:pPr>
      <w:hyperlink w:anchor="_Toc25706" w:history="1">
        <w:r>
          <w:rPr>
            <w:rFonts w:ascii="仿宋" w:eastAsia="仿宋" w:hAnsi="仿宋" w:cs="仿宋" w:hint="eastAsia"/>
            <w:lang w:eastAsia="zh-CN"/>
          </w:rPr>
          <w:t>(四)、电磁学计量标准器具项目提出的理由</w:t>
        </w:r>
        <w:r>
          <w:tab/>
        </w:r>
        <w:r>
          <w:fldChar w:fldCharType="begin"/>
        </w:r>
        <w:r>
          <w:instrText xml:space="preserve"> PAGEREF _Toc25706 \h </w:instrText>
        </w:r>
        <w:r>
          <w:fldChar w:fldCharType="separate"/>
        </w:r>
        <w:r>
          <w:t>10</w:t>
        </w:r>
        <w:r>
          <w:fldChar w:fldCharType="end"/>
        </w:r>
      </w:hyperlink>
    </w:p>
    <w:p>
      <w:pPr>
        <w:pStyle w:val="TOC2"/>
        <w:tabs>
          <w:tab w:val="right" w:leader="dot" w:pos="8306"/>
        </w:tabs>
      </w:pPr>
      <w:hyperlink w:anchor="_Toc5177" w:history="1">
        <w:r>
          <w:rPr>
            <w:rFonts w:ascii="仿宋" w:eastAsia="仿宋" w:hAnsi="仿宋" w:cs="仿宋" w:hint="eastAsia"/>
            <w:lang w:eastAsia="zh-CN"/>
          </w:rPr>
          <w:t>(五)、原材料供应</w:t>
        </w:r>
        <w:r>
          <w:tab/>
        </w:r>
        <w:r>
          <w:fldChar w:fldCharType="begin"/>
        </w:r>
        <w:r>
          <w:instrText xml:space="preserve"> PAGEREF _Toc5177 \h </w:instrText>
        </w:r>
        <w:r>
          <w:fldChar w:fldCharType="separate"/>
        </w:r>
        <w:r>
          <w:t>10</w:t>
        </w:r>
        <w:r>
          <w:fldChar w:fldCharType="end"/>
        </w:r>
      </w:hyperlink>
    </w:p>
    <w:p>
      <w:pPr>
        <w:pStyle w:val="TOC2"/>
        <w:tabs>
          <w:tab w:val="right" w:leader="dot" w:pos="8306"/>
        </w:tabs>
      </w:pPr>
      <w:hyperlink w:anchor="_Toc27433" w:history="1">
        <w:r>
          <w:rPr>
            <w:rFonts w:ascii="仿宋" w:eastAsia="仿宋" w:hAnsi="仿宋" w:cs="仿宋" w:hint="eastAsia"/>
            <w:lang w:eastAsia="zh-CN"/>
          </w:rPr>
          <w:t>(六)、电磁学计量标准器具项目能耗分析</w:t>
        </w:r>
        <w:r>
          <w:tab/>
        </w:r>
        <w:r>
          <w:fldChar w:fldCharType="begin"/>
        </w:r>
        <w:r>
          <w:instrText xml:space="preserve"> PAGEREF _Toc27433 \h </w:instrText>
        </w:r>
        <w:r>
          <w:fldChar w:fldCharType="separate"/>
        </w:r>
        <w:r>
          <w:t>11</w:t>
        </w:r>
        <w:r>
          <w:fldChar w:fldCharType="end"/>
        </w:r>
      </w:hyperlink>
    </w:p>
    <w:p>
      <w:pPr>
        <w:pStyle w:val="TOC2"/>
        <w:tabs>
          <w:tab w:val="right" w:leader="dot" w:pos="8306"/>
        </w:tabs>
      </w:pPr>
      <w:hyperlink w:anchor="_Toc10413" w:history="1">
        <w:r>
          <w:rPr>
            <w:rFonts w:ascii="仿宋" w:eastAsia="仿宋" w:hAnsi="仿宋" w:cs="仿宋" w:hint="eastAsia"/>
            <w:lang w:eastAsia="zh-CN"/>
          </w:rPr>
          <w:t>(七)、环境保护</w:t>
        </w:r>
        <w:r>
          <w:tab/>
        </w:r>
        <w:r>
          <w:fldChar w:fldCharType="begin"/>
        </w:r>
        <w:r>
          <w:instrText xml:space="preserve"> PAGEREF _Toc10413 \h </w:instrText>
        </w:r>
        <w:r>
          <w:fldChar w:fldCharType="separate"/>
        </w:r>
        <w:r>
          <w:t>13</w:t>
        </w:r>
        <w:r>
          <w:fldChar w:fldCharType="end"/>
        </w:r>
      </w:hyperlink>
    </w:p>
    <w:p>
      <w:pPr>
        <w:pStyle w:val="TOC2"/>
        <w:tabs>
          <w:tab w:val="right" w:leader="dot" w:pos="8306"/>
        </w:tabs>
      </w:pPr>
      <w:hyperlink w:anchor="_Toc2262" w:history="1">
        <w:r>
          <w:rPr>
            <w:rFonts w:ascii="仿宋" w:eastAsia="仿宋" w:hAnsi="仿宋" w:cs="仿宋" w:hint="eastAsia"/>
            <w:lang w:eastAsia="zh-CN"/>
          </w:rPr>
          <w:t>(八)、电磁学计量标准器具项目建设符合性</w:t>
        </w:r>
        <w:r>
          <w:tab/>
        </w:r>
        <w:r>
          <w:fldChar w:fldCharType="begin"/>
        </w:r>
        <w:r>
          <w:instrText xml:space="preserve"> PAGEREF _Toc2262 \h </w:instrText>
        </w:r>
        <w:r>
          <w:fldChar w:fldCharType="separate"/>
        </w:r>
        <w:r>
          <w:t>13</w:t>
        </w:r>
        <w:r>
          <w:fldChar w:fldCharType="end"/>
        </w:r>
      </w:hyperlink>
    </w:p>
    <w:p>
      <w:pPr>
        <w:pStyle w:val="TOC2"/>
        <w:tabs>
          <w:tab w:val="right" w:leader="dot" w:pos="8306"/>
        </w:tabs>
      </w:pPr>
      <w:hyperlink w:anchor="_Toc16175" w:history="1">
        <w:r>
          <w:rPr>
            <w:rFonts w:ascii="仿宋" w:eastAsia="仿宋" w:hAnsi="仿宋" w:cs="仿宋" w:hint="eastAsia"/>
            <w:lang w:eastAsia="zh-CN"/>
          </w:rPr>
          <w:t>(九)、电磁学计量标准器具项目进度规划</w:t>
        </w:r>
        <w:r>
          <w:tab/>
        </w:r>
        <w:r>
          <w:fldChar w:fldCharType="begin"/>
        </w:r>
        <w:r>
          <w:instrText xml:space="preserve"> PAGEREF _Toc16175 \h </w:instrText>
        </w:r>
        <w:r>
          <w:fldChar w:fldCharType="separate"/>
        </w:r>
        <w:r>
          <w:t>15</w:t>
        </w:r>
        <w:r>
          <w:fldChar w:fldCharType="end"/>
        </w:r>
      </w:hyperlink>
    </w:p>
    <w:p>
      <w:pPr>
        <w:pStyle w:val="TOC2"/>
        <w:tabs>
          <w:tab w:val="right" w:leader="dot" w:pos="8306"/>
        </w:tabs>
      </w:pPr>
      <w:hyperlink w:anchor="_Toc29909" w:history="1">
        <w:r>
          <w:rPr>
            <w:rFonts w:ascii="仿宋" w:eastAsia="仿宋" w:hAnsi="仿宋" w:cs="仿宋" w:hint="eastAsia"/>
            <w:lang w:eastAsia="zh-CN"/>
          </w:rPr>
          <w:t>(十)、投资估算及经济效益分析</w:t>
        </w:r>
        <w:r>
          <w:tab/>
        </w:r>
        <w:r>
          <w:fldChar w:fldCharType="begin"/>
        </w:r>
        <w:r>
          <w:instrText xml:space="preserve"> PAGEREF _Toc29909 \h </w:instrText>
        </w:r>
        <w:r>
          <w:fldChar w:fldCharType="separate"/>
        </w:r>
        <w:r>
          <w:t>16</w:t>
        </w:r>
        <w:r>
          <w:fldChar w:fldCharType="end"/>
        </w:r>
      </w:hyperlink>
    </w:p>
    <w:p>
      <w:pPr>
        <w:pStyle w:val="TOC2"/>
        <w:tabs>
          <w:tab w:val="right" w:leader="dot" w:pos="8306"/>
        </w:tabs>
      </w:pPr>
      <w:hyperlink w:anchor="_Toc29252" w:history="1">
        <w:r>
          <w:rPr>
            <w:rFonts w:ascii="仿宋" w:eastAsia="仿宋" w:hAnsi="仿宋" w:cs="仿宋" w:hint="eastAsia"/>
            <w:lang w:eastAsia="zh-CN"/>
          </w:rPr>
          <w:t>(十一)、报告说明</w:t>
        </w:r>
        <w:r>
          <w:tab/>
        </w:r>
        <w:r>
          <w:fldChar w:fldCharType="begin"/>
        </w:r>
        <w:r>
          <w:instrText xml:space="preserve"> PAGEREF _Toc29252 \h </w:instrText>
        </w:r>
        <w:r>
          <w:fldChar w:fldCharType="separate"/>
        </w:r>
        <w:r>
          <w:t>17</w:t>
        </w:r>
        <w:r>
          <w:fldChar w:fldCharType="end"/>
        </w:r>
      </w:hyperlink>
    </w:p>
    <w:p>
      <w:pPr>
        <w:pStyle w:val="TOC2"/>
        <w:tabs>
          <w:tab w:val="right" w:leader="dot" w:pos="8306"/>
        </w:tabs>
      </w:pPr>
      <w:hyperlink w:anchor="_Toc25986" w:history="1">
        <w:r>
          <w:rPr>
            <w:rFonts w:ascii="仿宋" w:eastAsia="仿宋" w:hAnsi="仿宋" w:cs="仿宋" w:hint="eastAsia"/>
            <w:lang w:eastAsia="zh-CN"/>
          </w:rPr>
          <w:t>(十二)、电磁学计量标准器具项目评价</w:t>
        </w:r>
        <w:r>
          <w:tab/>
        </w:r>
        <w:r>
          <w:fldChar w:fldCharType="begin"/>
        </w:r>
        <w:r>
          <w:instrText xml:space="preserve"> PAGEREF _Toc25986 \h </w:instrText>
        </w:r>
        <w:r>
          <w:fldChar w:fldCharType="separate"/>
        </w:r>
        <w:r>
          <w:t>18</w:t>
        </w:r>
        <w:r>
          <w:fldChar w:fldCharType="end"/>
        </w:r>
      </w:hyperlink>
    </w:p>
    <w:p>
      <w:pPr>
        <w:pStyle w:val="TOC1"/>
        <w:tabs>
          <w:tab w:val="right" w:leader="dot" w:pos="8306"/>
        </w:tabs>
      </w:pPr>
      <w:hyperlink w:anchor="_Toc13592" w:history="1">
        <w:r>
          <w:rPr>
            <w:rFonts w:ascii="仿宋" w:eastAsia="仿宋" w:hAnsi="仿宋" w:cs="仿宋" w:hint="eastAsia"/>
            <w:lang w:eastAsia="zh-CN"/>
          </w:rPr>
          <w:t>四、电磁学计量标准器具项目市场前景分析</w:t>
        </w:r>
        <w:r>
          <w:tab/>
        </w:r>
        <w:r>
          <w:fldChar w:fldCharType="begin"/>
        </w:r>
        <w:r>
          <w:instrText xml:space="preserve"> PAGEREF _Toc13592 \h </w:instrText>
        </w:r>
        <w:r>
          <w:fldChar w:fldCharType="separate"/>
        </w:r>
        <w:r>
          <w:t>20</w:t>
        </w:r>
        <w:r>
          <w:fldChar w:fldCharType="end"/>
        </w:r>
      </w:hyperlink>
    </w:p>
    <w:p>
      <w:pPr>
        <w:pStyle w:val="TOC2"/>
        <w:tabs>
          <w:tab w:val="right" w:leader="dot" w:pos="8306"/>
        </w:tabs>
      </w:pPr>
      <w:hyperlink w:anchor="_Toc18068" w:history="1">
        <w:r>
          <w:rPr>
            <w:rFonts w:ascii="仿宋" w:eastAsia="仿宋" w:hAnsi="仿宋" w:cs="仿宋" w:hint="eastAsia"/>
            <w:lang w:eastAsia="zh-CN"/>
          </w:rPr>
          <w:t>(一)、建设地经济发展概况</w:t>
        </w:r>
        <w:r>
          <w:tab/>
        </w:r>
        <w:r>
          <w:fldChar w:fldCharType="begin"/>
        </w:r>
        <w:r>
          <w:instrText xml:space="preserve"> PAGEREF _Toc18068 \h </w:instrText>
        </w:r>
        <w:r>
          <w:fldChar w:fldCharType="separate"/>
        </w:r>
        <w:r>
          <w:t>20</w:t>
        </w:r>
        <w:r>
          <w:fldChar w:fldCharType="end"/>
        </w:r>
      </w:hyperlink>
    </w:p>
    <w:p>
      <w:pPr>
        <w:pStyle w:val="TOC2"/>
        <w:tabs>
          <w:tab w:val="right" w:leader="dot" w:pos="8306"/>
        </w:tabs>
      </w:pPr>
      <w:hyperlink w:anchor="_Toc23771" w:history="1">
        <w:r>
          <w:rPr>
            <w:rFonts w:ascii="仿宋" w:eastAsia="仿宋" w:hAnsi="仿宋" w:cs="仿宋" w:hint="eastAsia"/>
            <w:lang w:eastAsia="zh-CN"/>
          </w:rPr>
          <w:t>(二)、行业市场分析</w:t>
        </w:r>
        <w:r>
          <w:tab/>
        </w:r>
        <w:r>
          <w:fldChar w:fldCharType="begin"/>
        </w:r>
        <w:r>
          <w:instrText xml:space="preserve"> PAGEREF _Toc23771 \h </w:instrText>
        </w:r>
        <w:r>
          <w:fldChar w:fldCharType="separate"/>
        </w:r>
        <w:r>
          <w:t>22</w:t>
        </w:r>
        <w:r>
          <w:fldChar w:fldCharType="end"/>
        </w:r>
      </w:hyperlink>
    </w:p>
    <w:p>
      <w:pPr>
        <w:pStyle w:val="TOC1"/>
        <w:tabs>
          <w:tab w:val="right" w:leader="dot" w:pos="8306"/>
        </w:tabs>
      </w:pPr>
      <w:hyperlink w:anchor="_Toc6019" w:history="1">
        <w:r>
          <w:rPr>
            <w:rFonts w:ascii="仿宋" w:eastAsia="仿宋" w:hAnsi="仿宋" w:cs="仿宋" w:hint="eastAsia"/>
            <w:lang w:eastAsia="zh-CN"/>
          </w:rPr>
          <w:t>五、电磁学计量标准器具项目实施进度计划</w:t>
        </w:r>
        <w:r>
          <w:tab/>
        </w:r>
        <w:r>
          <w:fldChar w:fldCharType="begin"/>
        </w:r>
        <w:r>
          <w:instrText xml:space="preserve"> PAGEREF _Toc6019 \h </w:instrText>
        </w:r>
        <w:r>
          <w:fldChar w:fldCharType="separate"/>
        </w:r>
        <w:r>
          <w:t>23</w:t>
        </w:r>
        <w:r>
          <w:fldChar w:fldCharType="end"/>
        </w:r>
      </w:hyperlink>
    </w:p>
    <w:p>
      <w:pPr>
        <w:pStyle w:val="TOC2"/>
        <w:tabs>
          <w:tab w:val="right" w:leader="dot" w:pos="8306"/>
        </w:tabs>
      </w:pPr>
      <w:hyperlink w:anchor="_Toc5635" w:history="1">
        <w:r>
          <w:rPr>
            <w:rFonts w:ascii="仿宋" w:eastAsia="仿宋" w:hAnsi="仿宋" w:cs="仿宋" w:hint="eastAsia"/>
            <w:lang w:eastAsia="zh-CN"/>
          </w:rPr>
          <w:t>(一)、建设周期</w:t>
        </w:r>
        <w:r>
          <w:tab/>
        </w:r>
        <w:r>
          <w:fldChar w:fldCharType="begin"/>
        </w:r>
        <w:r>
          <w:instrText xml:space="preserve"> PAGEREF _Toc5635 \h </w:instrText>
        </w:r>
        <w:r>
          <w:fldChar w:fldCharType="separate"/>
        </w:r>
        <w:r>
          <w:t>23</w:t>
        </w:r>
        <w:r>
          <w:fldChar w:fldCharType="end"/>
        </w:r>
      </w:hyperlink>
    </w:p>
    <w:p>
      <w:pPr>
        <w:pStyle w:val="TOC2"/>
        <w:tabs>
          <w:tab w:val="right" w:leader="dot" w:pos="8306"/>
        </w:tabs>
      </w:pPr>
      <w:hyperlink w:anchor="_Toc23112" w:history="1">
        <w:r>
          <w:rPr>
            <w:rFonts w:ascii="仿宋" w:eastAsia="仿宋" w:hAnsi="仿宋" w:cs="仿宋" w:hint="eastAsia"/>
            <w:lang w:eastAsia="zh-CN"/>
          </w:rPr>
          <w:t>(二)、建设进度</w:t>
        </w:r>
        <w:r>
          <w:tab/>
        </w:r>
        <w:r>
          <w:fldChar w:fldCharType="begin"/>
        </w:r>
        <w:r>
          <w:instrText xml:space="preserve"> PAGEREF _Toc23112 \h </w:instrText>
        </w:r>
        <w:r>
          <w:fldChar w:fldCharType="separate"/>
        </w:r>
        <w:r>
          <w:t>25</w:t>
        </w:r>
        <w:r>
          <w:fldChar w:fldCharType="end"/>
        </w:r>
      </w:hyperlink>
    </w:p>
    <w:p>
      <w:pPr>
        <w:pStyle w:val="TOC2"/>
        <w:tabs>
          <w:tab w:val="right" w:leader="dot" w:pos="8306"/>
        </w:tabs>
      </w:pPr>
      <w:hyperlink w:anchor="_Toc11419" w:history="1">
        <w:r>
          <w:rPr>
            <w:rFonts w:ascii="仿宋" w:eastAsia="仿宋" w:hAnsi="仿宋" w:cs="仿宋" w:hint="eastAsia"/>
            <w:lang w:eastAsia="zh-CN"/>
          </w:rPr>
          <w:t>(三)、进度安排注意事项</w:t>
        </w:r>
        <w:r>
          <w:tab/>
        </w:r>
        <w:r>
          <w:fldChar w:fldCharType="begin"/>
        </w:r>
        <w:r>
          <w:instrText xml:space="preserve"> PAGEREF _Toc11419 \h </w:instrText>
        </w:r>
        <w:r>
          <w:fldChar w:fldCharType="separate"/>
        </w:r>
        <w:r>
          <w:t>26</w:t>
        </w:r>
        <w:r>
          <w:fldChar w:fldCharType="end"/>
        </w:r>
      </w:hyperlink>
    </w:p>
    <w:p>
      <w:pPr>
        <w:pStyle w:val="TOC2"/>
        <w:tabs>
          <w:tab w:val="right" w:leader="dot" w:pos="8306"/>
        </w:tabs>
      </w:pPr>
      <w:hyperlink w:anchor="_Toc31981" w:history="1">
        <w:r>
          <w:rPr>
            <w:rFonts w:ascii="仿宋" w:eastAsia="仿宋" w:hAnsi="仿宋" w:cs="仿宋" w:hint="eastAsia"/>
            <w:lang w:eastAsia="zh-CN"/>
          </w:rPr>
          <w:t>(四)、人力资源配置</w:t>
        </w:r>
        <w:r>
          <w:tab/>
        </w:r>
        <w:r>
          <w:fldChar w:fldCharType="begin"/>
        </w:r>
        <w:r>
          <w:instrText xml:space="preserve"> PAGEREF _Toc31981 \h </w:instrText>
        </w:r>
        <w:r>
          <w:fldChar w:fldCharType="separate"/>
        </w:r>
        <w:r>
          <w:t>28</w:t>
        </w:r>
        <w:r>
          <w:fldChar w:fldCharType="end"/>
        </w:r>
      </w:hyperlink>
    </w:p>
    <w:p>
      <w:pPr>
        <w:pStyle w:val="TOC2"/>
        <w:tabs>
          <w:tab w:val="right" w:leader="dot" w:pos="8306"/>
        </w:tabs>
      </w:pPr>
      <w:hyperlink w:anchor="_Toc2054" w:history="1">
        <w:r>
          <w:rPr>
            <w:rFonts w:ascii="仿宋" w:eastAsia="仿宋" w:hAnsi="仿宋" w:cs="仿宋" w:hint="eastAsia"/>
            <w:lang w:eastAsia="zh-CN"/>
          </w:rPr>
          <w:t>(五)、员工培训</w:t>
        </w:r>
        <w:r>
          <w:tab/>
        </w:r>
        <w:r>
          <w:fldChar w:fldCharType="begin"/>
        </w:r>
        <w:r>
          <w:instrText xml:space="preserve"> PAGEREF _Toc2054 \h </w:instrText>
        </w:r>
        <w:r>
          <w:fldChar w:fldCharType="separate"/>
        </w:r>
        <w:r>
          <w:t>29</w:t>
        </w:r>
        <w:r>
          <w:fldChar w:fldCharType="end"/>
        </w:r>
      </w:hyperlink>
    </w:p>
    <w:p>
      <w:pPr>
        <w:pStyle w:val="TOC2"/>
        <w:tabs>
          <w:tab w:val="right" w:leader="dot" w:pos="8306"/>
        </w:tabs>
      </w:pPr>
      <w:hyperlink w:anchor="_Toc15555" w:history="1">
        <w:r>
          <w:rPr>
            <w:rFonts w:ascii="仿宋" w:eastAsia="仿宋" w:hAnsi="仿宋" w:cs="仿宋" w:hint="eastAsia"/>
            <w:lang w:eastAsia="zh-CN"/>
          </w:rPr>
          <w:t>(六)、电磁学计量标准器具项目实施保障</w:t>
        </w:r>
        <w:r>
          <w:tab/>
        </w:r>
        <w:r>
          <w:fldChar w:fldCharType="begin"/>
        </w:r>
        <w:r>
          <w:instrText xml:space="preserve"> PAGEREF _Toc15555 \h </w:instrText>
        </w:r>
        <w:r>
          <w:fldChar w:fldCharType="separate"/>
        </w:r>
        <w:r>
          <w:t>31</w:t>
        </w:r>
        <w:r>
          <w:fldChar w:fldCharType="end"/>
        </w:r>
      </w:hyperlink>
    </w:p>
    <w:p>
      <w:pPr>
        <w:pStyle w:val="TOC1"/>
        <w:tabs>
          <w:tab w:val="right" w:leader="dot" w:pos="8306"/>
        </w:tabs>
      </w:pPr>
      <w:hyperlink w:anchor="_Toc32222" w:history="1">
        <w:r>
          <w:rPr>
            <w:rFonts w:ascii="仿宋" w:eastAsia="仿宋" w:hAnsi="仿宋" w:cs="仿宋" w:hint="eastAsia"/>
            <w:lang w:eastAsia="zh-CN"/>
          </w:rPr>
          <w:t>六、危机管理与应急预案</w:t>
        </w:r>
        <w:r>
          <w:tab/>
        </w:r>
        <w:r>
          <w:fldChar w:fldCharType="begin"/>
        </w:r>
        <w:r>
          <w:instrText xml:space="preserve"> PAGEREF _Toc32222 \h </w:instrText>
        </w:r>
        <w:r>
          <w:fldChar w:fldCharType="separate"/>
        </w:r>
        <w:r>
          <w:t>32</w:t>
        </w:r>
        <w:r>
          <w:fldChar w:fldCharType="end"/>
        </w:r>
      </w:hyperlink>
    </w:p>
    <w:p>
      <w:pPr>
        <w:pStyle w:val="TOC2"/>
        <w:tabs>
          <w:tab w:val="right" w:leader="dot" w:pos="8306"/>
        </w:tabs>
      </w:pPr>
      <w:hyperlink w:anchor="_Toc14405" w:history="1">
        <w:r>
          <w:rPr>
            <w:rFonts w:ascii="仿宋" w:eastAsia="仿宋" w:hAnsi="仿宋" w:cs="仿宋" w:hint="eastAsia"/>
            <w:lang w:eastAsia="zh-CN"/>
          </w:rPr>
          <w:t>(一)、危机预警与监测</w:t>
        </w:r>
        <w:r>
          <w:tab/>
        </w:r>
        <w:r>
          <w:fldChar w:fldCharType="begin"/>
        </w:r>
        <w:r>
          <w:instrText xml:space="preserve"> PAGEREF _Toc14405 \h </w:instrText>
        </w:r>
        <w:r>
          <w:fldChar w:fldCharType="separate"/>
        </w:r>
        <w:r>
          <w:t>32</w:t>
        </w:r>
        <w:r>
          <w:fldChar w:fldCharType="end"/>
        </w:r>
      </w:hyperlink>
    </w:p>
    <w:p>
      <w:pPr>
        <w:pStyle w:val="TOC2"/>
        <w:tabs>
          <w:tab w:val="right" w:leader="dot" w:pos="8306"/>
        </w:tabs>
      </w:pPr>
      <w:hyperlink w:anchor="_Toc31965" w:history="1">
        <w:r>
          <w:rPr>
            <w:rFonts w:ascii="仿宋" w:eastAsia="仿宋" w:hAnsi="仿宋" w:cs="仿宋" w:hint="eastAsia"/>
            <w:lang w:eastAsia="zh-CN"/>
          </w:rPr>
          <w:t>(二)、应急预案与危机响应</w:t>
        </w:r>
        <w:r>
          <w:tab/>
        </w:r>
        <w:r>
          <w:fldChar w:fldCharType="begin"/>
        </w:r>
        <w:r>
          <w:instrText xml:space="preserve"> PAGEREF _Toc31965 \h </w:instrText>
        </w:r>
        <w:r>
          <w:fldChar w:fldCharType="separate"/>
        </w:r>
        <w:r>
          <w:t>34</w:t>
        </w:r>
        <w:r>
          <w:fldChar w:fldCharType="end"/>
        </w:r>
      </w:hyperlink>
    </w:p>
    <w:p>
      <w:pPr>
        <w:pStyle w:val="TOC2"/>
        <w:tabs>
          <w:tab w:val="right" w:leader="dot" w:pos="8306"/>
        </w:tabs>
      </w:pPr>
      <w:hyperlink w:anchor="_Toc19677" w:history="1">
        <w:r>
          <w:rPr>
            <w:rFonts w:ascii="仿宋" w:eastAsia="仿宋" w:hAnsi="仿宋" w:cs="仿宋" w:hint="eastAsia"/>
            <w:lang w:eastAsia="zh-CN"/>
          </w:rPr>
          <w:t>(三)、危机沟通与舆情控制</w:t>
        </w:r>
        <w:r>
          <w:tab/>
        </w:r>
        <w:r>
          <w:fldChar w:fldCharType="begin"/>
        </w:r>
        <w:r>
          <w:instrText xml:space="preserve"> PAGEREF _Toc19677 \h </w:instrText>
        </w:r>
        <w:r>
          <w:fldChar w:fldCharType="separate"/>
        </w:r>
        <w:r>
          <w:t>36</w:t>
        </w:r>
        <w:r>
          <w:fldChar w:fldCharType="end"/>
        </w:r>
      </w:hyperlink>
    </w:p>
    <w:p>
      <w:pPr>
        <w:pStyle w:val="TOC2"/>
        <w:tabs>
          <w:tab w:val="right" w:leader="dot" w:pos="8306"/>
        </w:tabs>
      </w:pPr>
      <w:hyperlink w:anchor="_Toc22511" w:history="1">
        <w:r>
          <w:rPr>
            <w:rFonts w:ascii="仿宋" w:eastAsia="仿宋" w:hAnsi="仿宋" w:cs="仿宋" w:hint="eastAsia"/>
            <w:lang w:eastAsia="zh-CN"/>
          </w:rPr>
          <w:t>(四)、危机后教训与改进</w:t>
        </w:r>
        <w:r>
          <w:tab/>
        </w:r>
        <w:r>
          <w:fldChar w:fldCharType="begin"/>
        </w:r>
        <w:r>
          <w:instrText xml:space="preserve"> PAGEREF _Toc22511 \h </w:instrText>
        </w:r>
        <w:r>
          <w:fldChar w:fldCharType="separate"/>
        </w:r>
        <w:r>
          <w:t>38</w:t>
        </w:r>
        <w:r>
          <w:fldChar w:fldCharType="end"/>
        </w:r>
      </w:hyperlink>
    </w:p>
    <w:p>
      <w:pPr>
        <w:pStyle w:val="TOC1"/>
        <w:tabs>
          <w:tab w:val="right" w:leader="dot" w:pos="8306"/>
        </w:tabs>
      </w:pPr>
      <w:hyperlink w:anchor="_Toc2104" w:history="1">
        <w:r>
          <w:rPr>
            <w:rFonts w:ascii="仿宋" w:eastAsia="仿宋" w:hAnsi="仿宋" w:cs="仿宋" w:hint="eastAsia"/>
            <w:lang w:eastAsia="zh-CN"/>
          </w:rPr>
          <w:t>七、电磁学计量标准器具项目风险评估</w:t>
        </w:r>
        <w:r>
          <w:tab/>
        </w:r>
        <w:r>
          <w:fldChar w:fldCharType="begin"/>
        </w:r>
        <w:r>
          <w:instrText xml:space="preserve"> PAGEREF _Toc2104 \h </w:instrText>
        </w:r>
        <w:r>
          <w:fldChar w:fldCharType="separate"/>
        </w:r>
        <w:r>
          <w:t>40</w:t>
        </w:r>
        <w:r>
          <w:fldChar w:fldCharType="end"/>
        </w:r>
      </w:hyperlink>
    </w:p>
    <w:p>
      <w:pPr>
        <w:pStyle w:val="TOC2"/>
        <w:tabs>
          <w:tab w:val="right" w:leader="dot" w:pos="8306"/>
        </w:tabs>
      </w:pPr>
      <w:hyperlink w:anchor="_Toc31445" w:history="1">
        <w:r>
          <w:rPr>
            <w:rFonts w:ascii="仿宋" w:eastAsia="仿宋" w:hAnsi="仿宋" w:cs="仿宋" w:hint="eastAsia"/>
            <w:lang w:eastAsia="zh-CN"/>
          </w:rPr>
          <w:t>(一)、政策风险分析</w:t>
        </w:r>
        <w:r>
          <w:tab/>
        </w:r>
        <w:r>
          <w:fldChar w:fldCharType="begin"/>
        </w:r>
        <w:r>
          <w:instrText xml:space="preserve"> PAGEREF _Toc31445 \h </w:instrText>
        </w:r>
        <w:r>
          <w:fldChar w:fldCharType="separate"/>
        </w:r>
        <w:r>
          <w:t>40</w:t>
        </w:r>
        <w:r>
          <w:fldChar w:fldCharType="end"/>
        </w:r>
      </w:hyperlink>
    </w:p>
    <w:p>
      <w:pPr>
        <w:pStyle w:val="TOC2"/>
        <w:tabs>
          <w:tab w:val="right" w:leader="dot" w:pos="8306"/>
        </w:tabs>
      </w:pPr>
      <w:hyperlink w:anchor="_Toc28868" w:history="1">
        <w:r>
          <w:rPr>
            <w:rFonts w:ascii="仿宋" w:eastAsia="仿宋" w:hAnsi="仿宋" w:cs="仿宋" w:hint="eastAsia"/>
            <w:lang w:eastAsia="zh-CN"/>
          </w:rPr>
          <w:t>(二)、社会风险分析</w:t>
        </w:r>
        <w:r>
          <w:tab/>
        </w:r>
        <w:r>
          <w:fldChar w:fldCharType="begin"/>
        </w:r>
        <w:r>
          <w:instrText xml:space="preserve"> PAGEREF _Toc28868 \h </w:instrText>
        </w:r>
        <w:r>
          <w:fldChar w:fldCharType="separate"/>
        </w:r>
        <w:r>
          <w:t>41</w:t>
        </w:r>
        <w:r>
          <w:fldChar w:fldCharType="end"/>
        </w:r>
      </w:hyperlink>
    </w:p>
    <w:p>
      <w:pPr>
        <w:pStyle w:val="TOC2"/>
        <w:tabs>
          <w:tab w:val="right" w:leader="dot" w:pos="8306"/>
        </w:tabs>
      </w:pPr>
      <w:hyperlink w:anchor="_Toc23824" w:history="1">
        <w:r>
          <w:rPr>
            <w:rFonts w:ascii="仿宋" w:eastAsia="仿宋" w:hAnsi="仿宋" w:cs="仿宋" w:hint="eastAsia"/>
            <w:lang w:eastAsia="zh-CN"/>
          </w:rPr>
          <w:t>(三)、市场风险分析</w:t>
        </w:r>
        <w:r>
          <w:tab/>
        </w:r>
        <w:r>
          <w:fldChar w:fldCharType="begin"/>
        </w:r>
        <w:r>
          <w:instrText xml:space="preserve"> PAGEREF _Toc23824 \h </w:instrText>
        </w:r>
        <w:r>
          <w:fldChar w:fldCharType="separate"/>
        </w:r>
        <w:r>
          <w:t>43</w:t>
        </w:r>
        <w:r>
          <w:fldChar w:fldCharType="end"/>
        </w:r>
      </w:hyperlink>
    </w:p>
    <w:p>
      <w:pPr>
        <w:pStyle w:val="TOC2"/>
        <w:tabs>
          <w:tab w:val="right" w:leader="dot" w:pos="8306"/>
        </w:tabs>
      </w:pPr>
      <w:hyperlink w:anchor="_Toc18316" w:history="1">
        <w:r>
          <w:rPr>
            <w:rFonts w:ascii="仿宋" w:eastAsia="仿宋" w:hAnsi="仿宋" w:cs="仿宋" w:hint="eastAsia"/>
            <w:lang w:eastAsia="zh-CN"/>
          </w:rPr>
          <w:t>(四)、资金风险分析</w:t>
        </w:r>
        <w:r>
          <w:tab/>
        </w:r>
        <w:r>
          <w:fldChar w:fldCharType="begin"/>
        </w:r>
        <w:r>
          <w:instrText xml:space="preserve"> PAGEREF _Toc18316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881" w:history="1">
        <w:r>
          <w:rPr>
            <w:rFonts w:ascii="仿宋" w:eastAsia="仿宋" w:hAnsi="仿宋" w:cs="仿宋" w:hint="eastAsia"/>
            <w:lang w:eastAsia="zh-CN"/>
          </w:rPr>
          <w:t>(五)、技术风险分析</w:t>
        </w:r>
        <w:r>
          <w:tab/>
        </w:r>
        <w:r>
          <w:fldChar w:fldCharType="begin"/>
        </w:r>
        <w:r>
          <w:instrText xml:space="preserve"> PAGEREF _Toc27881 \h </w:instrText>
        </w:r>
        <w:r>
          <w:fldChar w:fldCharType="separate"/>
        </w:r>
        <w:r>
          <w:t>47</w:t>
        </w:r>
        <w:r>
          <w:fldChar w:fldCharType="end"/>
        </w:r>
      </w:hyperlink>
    </w:p>
    <w:p>
      <w:pPr>
        <w:pStyle w:val="TOC2"/>
        <w:tabs>
          <w:tab w:val="right" w:leader="dot" w:pos="8306"/>
        </w:tabs>
      </w:pPr>
      <w:hyperlink w:anchor="_Toc13716" w:history="1">
        <w:r>
          <w:rPr>
            <w:rFonts w:ascii="仿宋" w:eastAsia="仿宋" w:hAnsi="仿宋" w:cs="仿宋" w:hint="eastAsia"/>
            <w:lang w:eastAsia="zh-CN"/>
          </w:rPr>
          <w:t>(六)、财务风险分析</w:t>
        </w:r>
        <w:r>
          <w:tab/>
        </w:r>
        <w:r>
          <w:fldChar w:fldCharType="begin"/>
        </w:r>
        <w:r>
          <w:instrText xml:space="preserve"> PAGEREF _Toc13716 \h </w:instrText>
        </w:r>
        <w:r>
          <w:fldChar w:fldCharType="separate"/>
        </w:r>
        <w:r>
          <w:t>49</w:t>
        </w:r>
        <w:r>
          <w:fldChar w:fldCharType="end"/>
        </w:r>
      </w:hyperlink>
    </w:p>
    <w:p>
      <w:pPr>
        <w:pStyle w:val="TOC2"/>
        <w:tabs>
          <w:tab w:val="right" w:leader="dot" w:pos="8306"/>
        </w:tabs>
      </w:pPr>
      <w:hyperlink w:anchor="_Toc15298" w:history="1">
        <w:r>
          <w:rPr>
            <w:rFonts w:ascii="仿宋" w:eastAsia="仿宋" w:hAnsi="仿宋" w:cs="仿宋" w:hint="eastAsia"/>
            <w:lang w:eastAsia="zh-CN"/>
          </w:rPr>
          <w:t>(七)、管理风险分析</w:t>
        </w:r>
        <w:r>
          <w:tab/>
        </w:r>
        <w:r>
          <w:fldChar w:fldCharType="begin"/>
        </w:r>
        <w:r>
          <w:instrText xml:space="preserve"> PAGEREF _Toc15298 \h </w:instrText>
        </w:r>
        <w:r>
          <w:fldChar w:fldCharType="separate"/>
        </w:r>
        <w:r>
          <w:t>51</w:t>
        </w:r>
        <w:r>
          <w:fldChar w:fldCharType="end"/>
        </w:r>
      </w:hyperlink>
    </w:p>
    <w:p>
      <w:pPr>
        <w:pStyle w:val="TOC2"/>
        <w:tabs>
          <w:tab w:val="right" w:leader="dot" w:pos="8306"/>
        </w:tabs>
      </w:pPr>
      <w:hyperlink w:anchor="_Toc10584" w:history="1">
        <w:r>
          <w:rPr>
            <w:rFonts w:ascii="仿宋" w:eastAsia="仿宋" w:hAnsi="仿宋" w:cs="仿宋" w:hint="eastAsia"/>
            <w:lang w:eastAsia="zh-CN"/>
          </w:rPr>
          <w:t>(八)、其它风险分析</w:t>
        </w:r>
        <w:r>
          <w:tab/>
        </w:r>
        <w:r>
          <w:fldChar w:fldCharType="begin"/>
        </w:r>
        <w:r>
          <w:instrText xml:space="preserve"> PAGEREF _Toc10584 \h </w:instrText>
        </w:r>
        <w:r>
          <w:fldChar w:fldCharType="separate"/>
        </w:r>
        <w:r>
          <w:t>53</w:t>
        </w:r>
        <w:r>
          <w:fldChar w:fldCharType="end"/>
        </w:r>
      </w:hyperlink>
    </w:p>
    <w:p>
      <w:pPr>
        <w:pStyle w:val="TOC2"/>
        <w:tabs>
          <w:tab w:val="right" w:leader="dot" w:pos="8306"/>
        </w:tabs>
      </w:pPr>
      <w:hyperlink w:anchor="_Toc15914" w:history="1">
        <w:r>
          <w:rPr>
            <w:rFonts w:ascii="仿宋" w:eastAsia="仿宋" w:hAnsi="仿宋" w:cs="仿宋" w:hint="eastAsia"/>
            <w:lang w:eastAsia="zh-CN"/>
          </w:rPr>
          <w:t>(九)、社会影响评估</w:t>
        </w:r>
        <w:r>
          <w:tab/>
        </w:r>
        <w:r>
          <w:fldChar w:fldCharType="begin"/>
        </w:r>
        <w:r>
          <w:instrText xml:space="preserve"> PAGEREF _Toc15914 \h </w:instrText>
        </w:r>
        <w:r>
          <w:fldChar w:fldCharType="separate"/>
        </w:r>
        <w:r>
          <w:t>54</w:t>
        </w:r>
        <w:r>
          <w:fldChar w:fldCharType="end"/>
        </w:r>
      </w:hyperlink>
    </w:p>
    <w:p>
      <w:pPr>
        <w:pStyle w:val="TOC1"/>
        <w:tabs>
          <w:tab w:val="right" w:leader="dot" w:pos="8306"/>
        </w:tabs>
      </w:pPr>
      <w:hyperlink w:anchor="_Toc3368" w:history="1">
        <w:r>
          <w:rPr>
            <w:rFonts w:ascii="仿宋" w:eastAsia="仿宋" w:hAnsi="仿宋" w:cs="仿宋" w:hint="eastAsia"/>
            <w:lang w:eastAsia="zh-CN"/>
          </w:rPr>
          <w:t>八、知识管理与技术创新</w:t>
        </w:r>
        <w:r>
          <w:tab/>
        </w:r>
        <w:r>
          <w:fldChar w:fldCharType="begin"/>
        </w:r>
        <w:r>
          <w:instrText xml:space="preserve"> PAGEREF _Toc3368 \h </w:instrText>
        </w:r>
        <w:r>
          <w:fldChar w:fldCharType="separate"/>
        </w:r>
        <w:r>
          <w:t>56</w:t>
        </w:r>
        <w:r>
          <w:fldChar w:fldCharType="end"/>
        </w:r>
      </w:hyperlink>
    </w:p>
    <w:p>
      <w:pPr>
        <w:pStyle w:val="TOC2"/>
        <w:tabs>
          <w:tab w:val="right" w:leader="dot" w:pos="8306"/>
        </w:tabs>
      </w:pPr>
      <w:hyperlink w:anchor="_Toc17728" w:history="1">
        <w:r>
          <w:rPr>
            <w:rFonts w:ascii="仿宋" w:eastAsia="仿宋" w:hAnsi="仿宋" w:cs="仿宋" w:hint="eastAsia"/>
            <w:lang w:eastAsia="zh-CN"/>
          </w:rPr>
          <w:t>(一)、知识管理体系建设</w:t>
        </w:r>
        <w:r>
          <w:tab/>
        </w:r>
        <w:r>
          <w:fldChar w:fldCharType="begin"/>
        </w:r>
        <w:r>
          <w:instrText xml:space="preserve"> PAGEREF _Toc17728 \h </w:instrText>
        </w:r>
        <w:r>
          <w:fldChar w:fldCharType="separate"/>
        </w:r>
        <w:r>
          <w:t>56</w:t>
        </w:r>
        <w:r>
          <w:fldChar w:fldCharType="end"/>
        </w:r>
      </w:hyperlink>
    </w:p>
    <w:p>
      <w:pPr>
        <w:pStyle w:val="TOC2"/>
        <w:tabs>
          <w:tab w:val="right" w:leader="dot" w:pos="8306"/>
        </w:tabs>
      </w:pPr>
      <w:hyperlink w:anchor="_Toc1392" w:history="1">
        <w:r>
          <w:rPr>
            <w:rFonts w:ascii="仿宋" w:eastAsia="仿宋" w:hAnsi="仿宋" w:cs="仿宋" w:hint="eastAsia"/>
            <w:lang w:eastAsia="zh-CN"/>
          </w:rPr>
          <w:t>(二)、技术创新与研发投入</w:t>
        </w:r>
        <w:r>
          <w:tab/>
        </w:r>
        <w:r>
          <w:fldChar w:fldCharType="begin"/>
        </w:r>
        <w:r>
          <w:instrText xml:space="preserve"> PAGEREF _Toc1392 \h </w:instrText>
        </w:r>
        <w:r>
          <w:fldChar w:fldCharType="separate"/>
        </w:r>
        <w:r>
          <w:t>58</w:t>
        </w:r>
        <w:r>
          <w:fldChar w:fldCharType="end"/>
        </w:r>
      </w:hyperlink>
    </w:p>
    <w:p>
      <w:pPr>
        <w:pStyle w:val="TOC2"/>
        <w:tabs>
          <w:tab w:val="right" w:leader="dot" w:pos="8306"/>
        </w:tabs>
      </w:pPr>
      <w:hyperlink w:anchor="_Toc17508" w:history="1">
        <w:r>
          <w:rPr>
            <w:rFonts w:ascii="仿宋" w:eastAsia="仿宋" w:hAnsi="仿宋" w:cs="仿宋" w:hint="eastAsia"/>
            <w:lang w:eastAsia="zh-CN"/>
          </w:rPr>
          <w:t>(三)、专利申请与技术保护</w:t>
        </w:r>
        <w:r>
          <w:tab/>
        </w:r>
        <w:r>
          <w:fldChar w:fldCharType="begin"/>
        </w:r>
        <w:r>
          <w:instrText xml:space="preserve"> PAGEREF _Toc17508 \h </w:instrText>
        </w:r>
        <w:r>
          <w:fldChar w:fldCharType="separate"/>
        </w:r>
        <w:r>
          <w:t>59</w:t>
        </w:r>
        <w:r>
          <w:fldChar w:fldCharType="end"/>
        </w:r>
      </w:hyperlink>
    </w:p>
    <w:p>
      <w:pPr>
        <w:pStyle w:val="TOC2"/>
        <w:tabs>
          <w:tab w:val="right" w:leader="dot" w:pos="8306"/>
        </w:tabs>
      </w:pPr>
      <w:hyperlink w:anchor="_Toc7727" w:history="1">
        <w:r>
          <w:rPr>
            <w:rFonts w:ascii="仿宋" w:eastAsia="仿宋" w:hAnsi="仿宋" w:cs="仿宋" w:hint="eastAsia"/>
            <w:lang w:eastAsia="zh-CN"/>
          </w:rPr>
          <w:t>(四)、人才培养与团队建设</w:t>
        </w:r>
        <w:r>
          <w:tab/>
        </w:r>
        <w:r>
          <w:fldChar w:fldCharType="begin"/>
        </w:r>
        <w:r>
          <w:instrText xml:space="preserve"> PAGEREF _Toc7727 \h </w:instrText>
        </w:r>
        <w:r>
          <w:fldChar w:fldCharType="separate"/>
        </w:r>
        <w:r>
          <w:t>62</w:t>
        </w:r>
        <w:r>
          <w:fldChar w:fldCharType="end"/>
        </w:r>
      </w:hyperlink>
    </w:p>
    <w:p>
      <w:pPr>
        <w:pStyle w:val="TOC1"/>
        <w:tabs>
          <w:tab w:val="right" w:leader="dot" w:pos="8306"/>
        </w:tabs>
      </w:pPr>
      <w:hyperlink w:anchor="_Toc19789" w:history="1">
        <w:r>
          <w:rPr>
            <w:rFonts w:ascii="仿宋" w:eastAsia="仿宋" w:hAnsi="仿宋" w:cs="仿宋" w:hint="eastAsia"/>
            <w:lang w:eastAsia="zh-CN"/>
          </w:rPr>
          <w:t>九、法律与合规性</w:t>
        </w:r>
        <w:r>
          <w:tab/>
        </w:r>
        <w:r>
          <w:fldChar w:fldCharType="begin"/>
        </w:r>
        <w:r>
          <w:instrText xml:space="preserve"> PAGEREF _Toc19789 \h </w:instrText>
        </w:r>
        <w:r>
          <w:fldChar w:fldCharType="separate"/>
        </w:r>
        <w:r>
          <w:t>64</w:t>
        </w:r>
        <w:r>
          <w:fldChar w:fldCharType="end"/>
        </w:r>
      </w:hyperlink>
    </w:p>
    <w:p>
      <w:pPr>
        <w:pStyle w:val="TOC2"/>
        <w:tabs>
          <w:tab w:val="right" w:leader="dot" w:pos="8306"/>
        </w:tabs>
      </w:pPr>
      <w:hyperlink w:anchor="_Toc18724" w:history="1">
        <w:r>
          <w:rPr>
            <w:rFonts w:ascii="仿宋" w:eastAsia="仿宋" w:hAnsi="仿宋" w:cs="仿宋" w:hint="eastAsia"/>
            <w:lang w:eastAsia="zh-CN"/>
          </w:rPr>
          <w:t>(一)、相关法律法规概述</w:t>
        </w:r>
        <w:r>
          <w:tab/>
        </w:r>
        <w:r>
          <w:fldChar w:fldCharType="begin"/>
        </w:r>
        <w:r>
          <w:instrText xml:space="preserve"> PAGEREF _Toc18724 \h </w:instrText>
        </w:r>
        <w:r>
          <w:fldChar w:fldCharType="separate"/>
        </w:r>
        <w:r>
          <w:t>64</w:t>
        </w:r>
        <w:r>
          <w:fldChar w:fldCharType="end"/>
        </w:r>
      </w:hyperlink>
    </w:p>
    <w:p>
      <w:pPr>
        <w:pStyle w:val="TOC2"/>
        <w:tabs>
          <w:tab w:val="right" w:leader="dot" w:pos="8306"/>
        </w:tabs>
      </w:pPr>
      <w:hyperlink w:anchor="_Toc15870" w:history="1">
        <w:r>
          <w:rPr>
            <w:rFonts w:ascii="仿宋" w:eastAsia="仿宋" w:hAnsi="仿宋" w:cs="仿宋" w:hint="eastAsia"/>
            <w:lang w:eastAsia="zh-CN"/>
          </w:rPr>
          <w:t>(二)、电磁学计量标准器具项目合同管理</w:t>
        </w:r>
        <w:r>
          <w:tab/>
        </w:r>
        <w:r>
          <w:fldChar w:fldCharType="begin"/>
        </w:r>
        <w:r>
          <w:instrText xml:space="preserve"> PAGEREF _Toc15870 \h </w:instrText>
        </w:r>
        <w:r>
          <w:fldChar w:fldCharType="separate"/>
        </w:r>
        <w:r>
          <w:t>66</w:t>
        </w:r>
        <w:r>
          <w:fldChar w:fldCharType="end"/>
        </w:r>
      </w:hyperlink>
    </w:p>
    <w:p>
      <w:pPr>
        <w:pStyle w:val="TOC2"/>
        <w:tabs>
          <w:tab w:val="right" w:leader="dot" w:pos="8306"/>
        </w:tabs>
      </w:pPr>
      <w:hyperlink w:anchor="_Toc23170" w:history="1">
        <w:r>
          <w:rPr>
            <w:rFonts w:ascii="仿宋" w:eastAsia="仿宋" w:hAnsi="仿宋" w:cs="仿宋" w:hint="eastAsia"/>
            <w:lang w:eastAsia="zh-CN"/>
          </w:rPr>
          <w:t>(三)、知识产权保护</w:t>
        </w:r>
        <w:r>
          <w:tab/>
        </w:r>
        <w:r>
          <w:fldChar w:fldCharType="begin"/>
        </w:r>
        <w:r>
          <w:instrText xml:space="preserve"> PAGEREF _Toc23170 \h </w:instrText>
        </w:r>
        <w:r>
          <w:fldChar w:fldCharType="separate"/>
        </w:r>
        <w:r>
          <w:t>68</w:t>
        </w:r>
        <w:r>
          <w:fldChar w:fldCharType="end"/>
        </w:r>
      </w:hyperlink>
    </w:p>
    <w:p>
      <w:pPr>
        <w:pStyle w:val="TOC2"/>
        <w:tabs>
          <w:tab w:val="right" w:leader="dot" w:pos="8306"/>
        </w:tabs>
      </w:pPr>
      <w:hyperlink w:anchor="_Toc14127" w:history="1">
        <w:r>
          <w:rPr>
            <w:rFonts w:ascii="仿宋" w:eastAsia="仿宋" w:hAnsi="仿宋" w:cs="仿宋" w:hint="eastAsia"/>
            <w:lang w:eastAsia="zh-CN"/>
          </w:rPr>
          <w:t>(四)、劳动法规与员工权益</w:t>
        </w:r>
        <w:r>
          <w:tab/>
        </w:r>
        <w:r>
          <w:fldChar w:fldCharType="begin"/>
        </w:r>
        <w:r>
          <w:instrText xml:space="preserve"> PAGEREF _Toc14127 \h </w:instrText>
        </w:r>
        <w:r>
          <w:fldChar w:fldCharType="separate"/>
        </w:r>
        <w:r>
          <w:t>69</w:t>
        </w:r>
        <w:r>
          <w:fldChar w:fldCharType="end"/>
        </w:r>
      </w:hyperlink>
    </w:p>
    <w:p>
      <w:pPr>
        <w:pStyle w:val="TOC2"/>
        <w:tabs>
          <w:tab w:val="right" w:leader="dot" w:pos="8306"/>
        </w:tabs>
      </w:pPr>
      <w:hyperlink w:anchor="_Toc24618" w:history="1">
        <w:r>
          <w:rPr>
            <w:rFonts w:ascii="仿宋" w:eastAsia="仿宋" w:hAnsi="仿宋" w:cs="仿宋" w:hint="eastAsia"/>
            <w:lang w:eastAsia="zh-CN"/>
          </w:rPr>
          <w:t>(五)、环境保护法规遵循</w:t>
        </w:r>
        <w:r>
          <w:tab/>
        </w:r>
        <w:r>
          <w:fldChar w:fldCharType="begin"/>
        </w:r>
        <w:r>
          <w:instrText xml:space="preserve"> PAGEREF _Toc24618 \h </w:instrText>
        </w:r>
        <w:r>
          <w:fldChar w:fldCharType="separate"/>
        </w:r>
        <w:r>
          <w:t>71</w:t>
        </w:r>
        <w:r>
          <w:fldChar w:fldCharType="end"/>
        </w:r>
      </w:hyperlink>
    </w:p>
    <w:p>
      <w:pPr>
        <w:pStyle w:val="TOC1"/>
        <w:tabs>
          <w:tab w:val="right" w:leader="dot" w:pos="8306"/>
        </w:tabs>
      </w:pPr>
      <w:hyperlink w:anchor="_Toc26402" w:history="1">
        <w:r>
          <w:rPr>
            <w:rFonts w:ascii="仿宋" w:eastAsia="仿宋" w:hAnsi="仿宋" w:cs="仿宋" w:hint="eastAsia"/>
            <w:lang w:eastAsia="zh-CN"/>
          </w:rPr>
          <w:t>十、风险管理与应对策略</w:t>
        </w:r>
        <w:r>
          <w:tab/>
        </w:r>
        <w:r>
          <w:fldChar w:fldCharType="begin"/>
        </w:r>
        <w:r>
          <w:instrText xml:space="preserve"> PAGEREF _Toc26402 \h </w:instrText>
        </w:r>
        <w:r>
          <w:fldChar w:fldCharType="separate"/>
        </w:r>
        <w:r>
          <w:t>72</w:t>
        </w:r>
        <w:r>
          <w:fldChar w:fldCharType="end"/>
        </w:r>
      </w:hyperlink>
    </w:p>
    <w:p>
      <w:pPr>
        <w:pStyle w:val="TOC2"/>
        <w:tabs>
          <w:tab w:val="right" w:leader="dot" w:pos="8306"/>
        </w:tabs>
      </w:pPr>
      <w:hyperlink w:anchor="_Toc20405" w:history="1">
        <w:r>
          <w:rPr>
            <w:rFonts w:ascii="仿宋" w:eastAsia="仿宋" w:hAnsi="仿宋" w:cs="仿宋" w:hint="eastAsia"/>
            <w:lang w:eastAsia="zh-CN"/>
          </w:rPr>
          <w:t>(一)、风险管理流程</w:t>
        </w:r>
        <w:r>
          <w:tab/>
        </w:r>
        <w:r>
          <w:fldChar w:fldCharType="begin"/>
        </w:r>
        <w:r>
          <w:instrText xml:space="preserve"> PAGEREF _Toc20405 \h </w:instrText>
        </w:r>
        <w:r>
          <w:fldChar w:fldCharType="separate"/>
        </w:r>
        <w:r>
          <w:t>72</w:t>
        </w:r>
        <w:r>
          <w:fldChar w:fldCharType="end"/>
        </w:r>
      </w:hyperlink>
    </w:p>
    <w:p>
      <w:pPr>
        <w:pStyle w:val="TOC2"/>
        <w:tabs>
          <w:tab w:val="right" w:leader="dot" w:pos="8306"/>
        </w:tabs>
      </w:pPr>
      <w:hyperlink w:anchor="_Toc21500" w:history="1">
        <w:r>
          <w:rPr>
            <w:rFonts w:ascii="仿宋" w:eastAsia="仿宋" w:hAnsi="仿宋" w:cs="仿宋" w:hint="eastAsia"/>
            <w:lang w:eastAsia="zh-CN"/>
          </w:rPr>
          <w:t>(二)、风险识别与评估</w:t>
        </w:r>
        <w:r>
          <w:tab/>
        </w:r>
        <w:r>
          <w:fldChar w:fldCharType="begin"/>
        </w:r>
        <w:r>
          <w:instrText xml:space="preserve"> PAGEREF _Toc21500 \h </w:instrText>
        </w:r>
        <w:r>
          <w:fldChar w:fldCharType="separate"/>
        </w:r>
        <w:r>
          <w:t>76</w:t>
        </w:r>
        <w:r>
          <w:fldChar w:fldCharType="end"/>
        </w:r>
      </w:hyperlink>
    </w:p>
    <w:p>
      <w:pPr>
        <w:pStyle w:val="TOC2"/>
        <w:tabs>
          <w:tab w:val="right" w:leader="dot" w:pos="8306"/>
        </w:tabs>
      </w:pPr>
      <w:hyperlink w:anchor="_Toc10712" w:history="1">
        <w:r>
          <w:rPr>
            <w:rFonts w:ascii="仿宋" w:eastAsia="仿宋" w:hAnsi="仿宋" w:cs="仿宋" w:hint="eastAsia"/>
            <w:lang w:eastAsia="zh-CN"/>
          </w:rPr>
          <w:t>(三)、风险控制与应对策略</w:t>
        </w:r>
        <w:r>
          <w:tab/>
        </w:r>
        <w:r>
          <w:fldChar w:fldCharType="begin"/>
        </w:r>
        <w:r>
          <w:instrText xml:space="preserve"> PAGEREF _Toc10712 \h </w:instrText>
        </w:r>
        <w:r>
          <w:fldChar w:fldCharType="separate"/>
        </w:r>
        <w:r>
          <w:t>77</w:t>
        </w:r>
        <w:r>
          <w:fldChar w:fldCharType="end"/>
        </w:r>
      </w:hyperlink>
    </w:p>
    <w:p>
      <w:pPr>
        <w:pStyle w:val="TOC2"/>
        <w:tabs>
          <w:tab w:val="right" w:leader="dot" w:pos="8306"/>
        </w:tabs>
      </w:pPr>
      <w:hyperlink w:anchor="_Toc27166" w:history="1">
        <w:r>
          <w:rPr>
            <w:rFonts w:ascii="仿宋" w:eastAsia="仿宋" w:hAnsi="仿宋" w:cs="仿宋" w:hint="eastAsia"/>
            <w:lang w:eastAsia="zh-CN"/>
          </w:rPr>
          <w:t>(四)、危机管理与应急预案</w:t>
        </w:r>
        <w:r>
          <w:tab/>
        </w:r>
        <w:r>
          <w:fldChar w:fldCharType="begin"/>
        </w:r>
        <w:r>
          <w:instrText xml:space="preserve"> PAGEREF _Toc27166 \h </w:instrText>
        </w:r>
        <w:r>
          <w:fldChar w:fldCharType="separate"/>
        </w:r>
        <w:r>
          <w:t>79</w:t>
        </w:r>
        <w:r>
          <w:fldChar w:fldCharType="end"/>
        </w:r>
      </w:hyperlink>
    </w:p>
    <w:p>
      <w:pPr>
        <w:pStyle w:val="TOC1"/>
        <w:tabs>
          <w:tab w:val="right" w:leader="dot" w:pos="8306"/>
        </w:tabs>
      </w:pPr>
      <w:hyperlink w:anchor="_Toc26091" w:history="1">
        <w:r>
          <w:rPr>
            <w:rFonts w:ascii="仿宋" w:eastAsia="仿宋" w:hAnsi="仿宋" w:cs="仿宋" w:hint="eastAsia"/>
            <w:lang w:eastAsia="zh-CN"/>
          </w:rPr>
          <w:t>十一、电磁学计量标准器具项目监督与评估</w:t>
        </w:r>
        <w:r>
          <w:tab/>
        </w:r>
        <w:r>
          <w:fldChar w:fldCharType="begin"/>
        </w:r>
        <w:r>
          <w:instrText xml:space="preserve"> PAGEREF _Toc26091 \h </w:instrText>
        </w:r>
        <w:r>
          <w:fldChar w:fldCharType="separate"/>
        </w:r>
        <w:r>
          <w:t>82</w:t>
        </w:r>
        <w:r>
          <w:fldChar w:fldCharType="end"/>
        </w:r>
      </w:hyperlink>
    </w:p>
    <w:p>
      <w:pPr>
        <w:pStyle w:val="TOC2"/>
        <w:tabs>
          <w:tab w:val="right" w:leader="dot" w:pos="8306"/>
        </w:tabs>
      </w:pPr>
      <w:hyperlink w:anchor="_Toc30228" w:history="1">
        <w:r>
          <w:rPr>
            <w:rFonts w:ascii="仿宋" w:eastAsia="仿宋" w:hAnsi="仿宋" w:cs="仿宋" w:hint="eastAsia"/>
            <w:lang w:eastAsia="zh-CN"/>
          </w:rPr>
          <w:t>(一)、监督机构及职责</w:t>
        </w:r>
        <w:r>
          <w:tab/>
        </w:r>
        <w:r>
          <w:fldChar w:fldCharType="begin"/>
        </w:r>
        <w:r>
          <w:instrText xml:space="preserve"> PAGEREF _Toc30228 \h </w:instrText>
        </w:r>
        <w:r>
          <w:fldChar w:fldCharType="separate"/>
        </w:r>
        <w:r>
          <w:t>82</w:t>
        </w:r>
        <w:r>
          <w:fldChar w:fldCharType="end"/>
        </w:r>
      </w:hyperlink>
    </w:p>
    <w:p>
      <w:pPr>
        <w:pStyle w:val="TOC2"/>
        <w:tabs>
          <w:tab w:val="right" w:leader="dot" w:pos="8306"/>
        </w:tabs>
      </w:pPr>
      <w:hyperlink w:anchor="_Toc20118" w:history="1">
        <w:r>
          <w:rPr>
            <w:rFonts w:ascii="仿宋" w:eastAsia="仿宋" w:hAnsi="仿宋" w:cs="仿宋" w:hint="eastAsia"/>
            <w:lang w:eastAsia="zh-CN"/>
          </w:rPr>
          <w:t>(二)、监测与评估指标体系</w:t>
        </w:r>
        <w:r>
          <w:tab/>
        </w:r>
        <w:r>
          <w:fldChar w:fldCharType="begin"/>
        </w:r>
        <w:r>
          <w:instrText xml:space="preserve"> PAGEREF _Toc20118 \h </w:instrText>
        </w:r>
        <w:r>
          <w:fldChar w:fldCharType="separate"/>
        </w:r>
        <w:r>
          <w:t>84</w:t>
        </w:r>
        <w:r>
          <w:fldChar w:fldCharType="end"/>
        </w:r>
      </w:hyperlink>
    </w:p>
    <w:p>
      <w:pPr>
        <w:pStyle w:val="TOC2"/>
        <w:tabs>
          <w:tab w:val="right" w:leader="dot" w:pos="8306"/>
        </w:tabs>
      </w:pPr>
      <w:hyperlink w:anchor="_Toc12042" w:history="1">
        <w:r>
          <w:rPr>
            <w:rFonts w:ascii="仿宋" w:eastAsia="仿宋" w:hAnsi="仿宋" w:cs="仿宋" w:hint="eastAsia"/>
            <w:lang w:eastAsia="zh-CN"/>
          </w:rPr>
          <w:t>(三)、监督与评估周期</w:t>
        </w:r>
        <w:r>
          <w:tab/>
        </w:r>
        <w:r>
          <w:fldChar w:fldCharType="begin"/>
        </w:r>
        <w:r>
          <w:instrText xml:space="preserve"> PAGEREF _Toc12042 \h </w:instrText>
        </w:r>
        <w:r>
          <w:fldChar w:fldCharType="separate"/>
        </w:r>
        <w:r>
          <w:t>86</w:t>
        </w:r>
        <w:r>
          <w:fldChar w:fldCharType="end"/>
        </w:r>
      </w:hyperlink>
    </w:p>
    <w:p>
      <w:pPr>
        <w:pStyle w:val="TOC2"/>
        <w:tabs>
          <w:tab w:val="right" w:leader="dot" w:pos="8306"/>
        </w:tabs>
      </w:pPr>
      <w:hyperlink w:anchor="_Toc239" w:history="1">
        <w:r>
          <w:rPr>
            <w:rFonts w:ascii="仿宋" w:eastAsia="仿宋" w:hAnsi="仿宋" w:cs="仿宋" w:hint="eastAsia"/>
            <w:lang w:eastAsia="zh-CN"/>
          </w:rPr>
          <w:t>(四)、监督与评估报告</w:t>
        </w:r>
        <w:r>
          <w:tab/>
        </w:r>
        <w:r>
          <w:fldChar w:fldCharType="begin"/>
        </w:r>
        <w:r>
          <w:instrText xml:space="preserve"> PAGEREF _Toc239 \h </w:instrText>
        </w:r>
        <w:r>
          <w:fldChar w:fldCharType="separate"/>
        </w:r>
        <w:r>
          <w:t>88</w:t>
        </w:r>
        <w:r>
          <w:fldChar w:fldCharType="end"/>
        </w:r>
      </w:hyperlink>
    </w:p>
    <w:p>
      <w:pPr>
        <w:pStyle w:val="TOC1"/>
        <w:tabs>
          <w:tab w:val="right" w:leader="dot" w:pos="8306"/>
        </w:tabs>
      </w:pPr>
      <w:hyperlink w:anchor="_Toc24047" w:history="1">
        <w:r>
          <w:rPr>
            <w:rFonts w:ascii="仿宋" w:eastAsia="仿宋" w:hAnsi="仿宋" w:cs="仿宋" w:hint="eastAsia"/>
            <w:lang w:eastAsia="zh-CN"/>
          </w:rPr>
          <w:t>十二、市场趋势与竞争分析</w:t>
        </w:r>
        <w:r>
          <w:tab/>
        </w:r>
        <w:r>
          <w:fldChar w:fldCharType="begin"/>
        </w:r>
        <w:r>
          <w:instrText xml:space="preserve"> PAGEREF _Toc24047 \h </w:instrText>
        </w:r>
        <w:r>
          <w:fldChar w:fldCharType="separate"/>
        </w:r>
        <w:r>
          <w:t>90</w:t>
        </w:r>
        <w:r>
          <w:fldChar w:fldCharType="end"/>
        </w:r>
      </w:hyperlink>
    </w:p>
    <w:p>
      <w:pPr>
        <w:pStyle w:val="TOC2"/>
        <w:tabs>
          <w:tab w:val="right" w:leader="dot" w:pos="8306"/>
        </w:tabs>
      </w:pPr>
      <w:hyperlink w:anchor="_Toc2452" w:history="1">
        <w:r>
          <w:rPr>
            <w:rFonts w:ascii="仿宋" w:eastAsia="仿宋" w:hAnsi="仿宋" w:cs="仿宋" w:hint="eastAsia"/>
            <w:lang w:eastAsia="zh-CN"/>
          </w:rPr>
          <w:t>(一)、行业市场趋势分析</w:t>
        </w:r>
        <w:r>
          <w:tab/>
        </w:r>
        <w:r>
          <w:fldChar w:fldCharType="begin"/>
        </w:r>
        <w:r>
          <w:instrText xml:space="preserve"> PAGEREF _Toc2452 \h </w:instrText>
        </w:r>
        <w:r>
          <w:fldChar w:fldCharType="separate"/>
        </w:r>
        <w:r>
          <w:t>90</w:t>
        </w:r>
        <w:r>
          <w:fldChar w:fldCharType="end"/>
        </w:r>
      </w:hyperlink>
    </w:p>
    <w:p>
      <w:pPr>
        <w:pStyle w:val="TOC2"/>
        <w:tabs>
          <w:tab w:val="right" w:leader="dot" w:pos="8306"/>
        </w:tabs>
      </w:pPr>
      <w:hyperlink w:anchor="_Toc20139" w:history="1">
        <w:r>
          <w:rPr>
            <w:rFonts w:ascii="仿宋" w:eastAsia="仿宋" w:hAnsi="仿宋" w:cs="仿宋" w:hint="eastAsia"/>
            <w:lang w:eastAsia="zh-CN"/>
          </w:rPr>
          <w:t>(二)、竞争对手动态监测</w:t>
        </w:r>
        <w:r>
          <w:tab/>
        </w:r>
        <w:r>
          <w:fldChar w:fldCharType="begin"/>
        </w:r>
        <w:r>
          <w:instrText xml:space="preserve"> PAGEREF _Toc20139 \h </w:instrText>
        </w:r>
        <w:r>
          <w:fldChar w:fldCharType="separate"/>
        </w:r>
        <w:r>
          <w:t>92</w:t>
        </w:r>
        <w:r>
          <w:fldChar w:fldCharType="end"/>
        </w:r>
      </w:hyperlink>
    </w:p>
    <w:p>
      <w:pPr>
        <w:pStyle w:val="TOC2"/>
        <w:tabs>
          <w:tab w:val="right" w:leader="dot" w:pos="8306"/>
        </w:tabs>
      </w:pPr>
      <w:hyperlink w:anchor="_Toc14209" w:history="1">
        <w:r>
          <w:rPr>
            <w:rFonts w:ascii="仿宋" w:eastAsia="仿宋" w:hAnsi="仿宋" w:cs="仿宋" w:hint="eastAsia"/>
            <w:lang w:eastAsia="zh-CN"/>
          </w:rPr>
          <w:t>(三)、新兴技术与创新趋势</w:t>
        </w:r>
        <w:r>
          <w:tab/>
        </w:r>
        <w:r>
          <w:fldChar w:fldCharType="begin"/>
        </w:r>
        <w:r>
          <w:instrText xml:space="preserve"> PAGEREF _Toc14209 \h </w:instrText>
        </w:r>
        <w:r>
          <w:fldChar w:fldCharType="separate"/>
        </w:r>
        <w:r>
          <w:t>94</w:t>
        </w:r>
        <w:r>
          <w:fldChar w:fldCharType="end"/>
        </w:r>
      </w:hyperlink>
    </w:p>
    <w:p>
      <w:pPr>
        <w:pStyle w:val="TOC2"/>
        <w:tabs>
          <w:tab w:val="right" w:leader="dot" w:pos="8306"/>
        </w:tabs>
      </w:pPr>
      <w:hyperlink w:anchor="_Toc25625" w:history="1">
        <w:r>
          <w:rPr>
            <w:rFonts w:ascii="仿宋" w:eastAsia="仿宋" w:hAnsi="仿宋" w:cs="仿宋" w:hint="eastAsia"/>
            <w:lang w:eastAsia="zh-CN"/>
          </w:rPr>
          <w:t>(四)、市场机会与威胁评估</w:t>
        </w:r>
        <w:r>
          <w:tab/>
        </w:r>
        <w:r>
          <w:fldChar w:fldCharType="begin"/>
        </w:r>
        <w:r>
          <w:instrText xml:space="preserve"> PAGEREF _Toc25625 \h </w:instrText>
        </w:r>
        <w:r>
          <w:fldChar w:fldCharType="separate"/>
        </w:r>
        <w:r>
          <w:t>96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28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电磁学计量标准器具项目报告按照现代电磁学计量标准器具项目管理理论及标准流程编写，着重分析了电磁学计量标准器具项目管理中的系统思维、团队协作、时间成本控制等关键要素，并将理论与实验案例相结合，提出创新性的改进措施。报告的结构设计严谨，内容充实，旨在为相关领域的研究者和实践者提供有价值的参考和指引。特别声明，本报告的所有内容均不可用作商业用途，只供学习交流之用，以期通过共享知识增进电磁学计量标准器具项目管理实践的深度与广度</w:t>
      </w:r>
    </w:p>
    <w:p>
      <w:pPr>
        <w:pStyle w:val="Heading1"/>
        <w:ind w:firstLine="560" w:firstLineChars="200"/>
        <w:rPr>
          <w:rFonts w:ascii="仿宋" w:eastAsia="仿宋" w:hAnsi="仿宋" w:cs="仿宋" w:hint="eastAsia"/>
          <w:sz w:val="28"/>
          <w:lang w:eastAsia="zh-CN"/>
        </w:rPr>
      </w:pPr>
      <w:bookmarkStart w:id="2" w:name="_Toc17230"/>
      <w:r>
        <w:rPr>
          <w:rFonts w:ascii="仿宋" w:eastAsia="仿宋" w:hAnsi="仿宋" w:cs="仿宋" w:hint="eastAsia"/>
          <w:sz w:val="28"/>
          <w:lang w:eastAsia="zh-CN"/>
        </w:rPr>
        <w:t>一、建设规划</w:t>
      </w:r>
      <w:bookmarkEnd w:id="2"/>
    </w:p>
    <w:p>
      <w:pPr>
        <w:pStyle w:val="Heading2"/>
        <w:rPr>
          <w:rFonts w:ascii="仿宋" w:eastAsia="仿宋" w:hAnsi="仿宋" w:cs="仿宋" w:hint="eastAsia"/>
          <w:lang w:eastAsia="zh-CN"/>
        </w:rPr>
      </w:pPr>
      <w:bookmarkStart w:id="3" w:name="_Toc2610"/>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商业竞争激烈的当今市场，成功的产品规划是企业实现可持续发展的基石。产品规划不仅仅是对产品生命周期的考量，更是对市场、用户需求、技术趋势以及竞争局势的深度分析和综合考虑。从市场调研到技术开发，再到最终的推广营销，每个环节都至关重要，决定了产品在市场中的命运。一场成功的产品规划需要兼顾短期和长期的目标，紧密结合市场动态，确保产品具备持续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市场调研与需求分析</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产品规划的起点是对市场的深入了解和用户需求的精准洞察。市场调研通过数据收集和分析，描绘了目标市场的地形图，帮助企业更好地理解市场规模、趋势和潜在机会。同时，深入的用户需求分析能够为产品设计和开发提供有力指导，确保产品真正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创新与设计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产品的成功往往离不开创新和精良的设计。创新不仅仅是对市场的回应，更是对用户未来需求的预见。通过不断地创新，企业能够在市场中保持领先地位。设计则是产品的外在表现，一个好的设计不仅提高了产品的美观性，更是提升了用户体验，从而形成了产品的差异化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技术开发与研发投入</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是产品的核心，而技术开发和研发投入则是产品规划中至关重要的组成部分。通过技术的不断创新，企业可以在竞争中脱颖而出。研发投入不仅包括人力和物力，更需要注重科研成果的应用和实际运用，确保产品在技术上的领先地位，满足市场对高质量产品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生产与供应链管理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一旦产品规划确定，高效的生产和供应链管理是确保产品顺利上市的关键。生产过程的优化和供应链的畅通是产品能否按时交付和维持市场竞争力的决定性因素。建立稳定的供应链网络和精细的生产管理体系，有助于提高生产效率、降低成本，确保产品的质量和及时交付。</w:t>
      </w:r>
    </w:p>
    <w:p>
      <w:pPr>
        <w:ind w:firstLine="560" w:firstLineChars="200"/>
        <w:rPr>
          <w:rFonts w:ascii="仿宋" w:eastAsia="仿宋" w:hAnsi="仿宋" w:cs="仿宋" w:hint="eastAsia"/>
          <w:sz w:val="28"/>
        </w:rPr>
      </w:pPr>
      <w:r>
        <w:rPr>
          <w:rFonts w:ascii="仿宋" w:eastAsia="仿宋" w:hAnsi="仿宋" w:cs="仿宋" w:hint="eastAsia"/>
          <w:sz w:val="28"/>
          <w:lang w:eastAsia="zh-CN"/>
        </w:rPr>
        <w:t>营销与推广策略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产品规划的成功不仅仅在于产品本身，还需要通过有效的营销和推广策略将产品引入市场。品牌定位、渠道选择、广告宣传等环节需要深思熟虑。通过巧妙的市场推广，企业能够提高产品的知名度和美誉度，吸引更多目标客户。</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市场反馈与持续改进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产品上市后，与市场的互动成为产品规划中的一个重要环节。通过市场反馈、用户体验和销售数据的持续监测，企业能够不断优化产品，适应市场变化，提高产品的竞争力。持续改进是产品规划的保障，确保产品始终符合市场和用户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调研的深入了解，创新和设计的巧妙运用，技术开发和研发投入的不懈努力，生产和供应链管理的高效运作，以及营销与推广策略的巧妙运用，产品规划能够更好地适应市场的需求，确保产品在竞争激烈的市场中立于不败之地。</w:t>
      </w:r>
    </w:p>
    <w:p>
      <w:pPr>
        <w:pStyle w:val="Heading2"/>
        <w:ind w:firstLine="560" w:firstLineChars="200"/>
        <w:rPr>
          <w:rFonts w:ascii="仿宋" w:eastAsia="仿宋" w:hAnsi="仿宋" w:cs="仿宋" w:hint="eastAsia"/>
          <w:sz w:val="28"/>
          <w:lang w:eastAsia="zh-CN"/>
        </w:rPr>
      </w:pPr>
      <w:bookmarkStart w:id="4" w:name="_Toc27643"/>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该电磁学计量标准器具项目总征地面积XXXX平方米（折合约XX亩），其中：净用地面积XXXX平方米（红线范围折合约XX亩）。电磁学计量标准器具项目规划总建筑面积XXXX平方米，其中规划建设主体工程XXXX平方米，计容建筑面积XXXX平方米。预计建筑工程投资XXXX万元，这包括了基础设施建设、园区绿化等多个方面的投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磁学计量标准器具项目所占用的地面积充分考虑了红线范围，确保了电磁学计量标准器具项目的合规性和可持续发展。规划建设主体工程和计容建筑面积的设定旨在满足电磁学计量标准器具项目的生产和办公需求，为企业提供充足的工作空间。预计的建筑工程投资将用于电磁学计量标准器具项目的基础设施建设，为电磁学计量标准器具项目的未来发展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电磁学计量标准器具项目计划购置设备共计XX台（套），设备购置费XXXX万元。这些设备涵盖了生产、研发和办公等多个领域，包括先进的生产设备、办公设备和实验室设备等。设备购置费用的投入将确保电磁学计量标准器具项目具备先进的生产技术和高效的办公环境，提高企业的生产效率和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电磁学计量标准器具项目计划总投资XXXX万元，预计年实现营业收入XXXX万元。这一部分涵盖了整个电磁学计量标准器具项目的经济规模和财务计划。总投资将用于电磁学计量标准器具项目的建设、设备购置、人才引进等多个方面，确保电磁学计量标准器具项目的全面发展。预计年实现的营业收入则是对电磁学计量标准器具项目盈利能力的预估，考虑了市场需求、销售计划等多个因素。</w:t>
      </w:r>
    </w:p>
    <w:p>
      <w:pPr>
        <w:pStyle w:val="Heading1"/>
        <w:ind w:firstLine="560" w:firstLineChars="200"/>
        <w:rPr>
          <w:rFonts w:ascii="仿宋" w:eastAsia="仿宋" w:hAnsi="仿宋" w:cs="仿宋" w:hint="eastAsia"/>
          <w:sz w:val="28"/>
          <w:lang w:eastAsia="zh-CN"/>
        </w:rPr>
      </w:pPr>
      <w:bookmarkStart w:id="5" w:name="_Toc28151"/>
      <w:r>
        <w:rPr>
          <w:rFonts w:ascii="仿宋" w:eastAsia="仿宋" w:hAnsi="仿宋" w:cs="仿宋" w:hint="eastAsia"/>
          <w:sz w:val="28"/>
          <w:lang w:eastAsia="zh-CN"/>
        </w:rPr>
        <w:t>二、工艺分析</w:t>
      </w:r>
      <w:bookmarkEnd w:id="5"/>
    </w:p>
    <w:p>
      <w:pPr>
        <w:pStyle w:val="Heading2"/>
        <w:rPr>
          <w:rFonts w:ascii="仿宋" w:eastAsia="仿宋" w:hAnsi="仿宋" w:cs="仿宋" w:hint="eastAsia"/>
          <w:lang w:eastAsia="zh-CN"/>
        </w:rPr>
      </w:pPr>
      <w:bookmarkStart w:id="6" w:name="_Toc20973"/>
      <w:r>
        <w:rPr>
          <w:rFonts w:ascii="仿宋" w:eastAsia="仿宋" w:hAnsi="仿宋" w:cs="仿宋" w:hint="eastAsia"/>
          <w:lang w:eastAsia="zh-CN"/>
        </w:rPr>
        <w:t>(一)、技术管理特点</w:t>
      </w:r>
      <w:bookmarkEnd w:id="6"/>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在电磁学计量标准器具项目中显现出多层面的复杂性和有机性。其系统性突显在对广泛技术领域的全面规划和整合，要求各技术要素相互协调，以确保电磁学计量标准器具项目整体协同。这种系统性要求技术管理者在电磁学计量标准器具项目中全局思考，以适应多元领域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在不断变化的环境中具备创新能力，团队需要持续提出独具创意的技术解决方案，作为推动电磁学计量标准器具项目进步的引擎。这种创新力使技术管理不仅仅是问题应对，更是电磁学计量标准器具项目发展的推动力，促使团队在技术层面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技术管理体现出综合性。它要求在不同领域中进行全面考虑，将各种技术要素有机融合，以实现更高水平和更大范围的效果。技术管理者需要跨领域协调，确保电磁学计量标准器具项目技术方案的综合有效性。</w:t>
      </w:r>
    </w:p>
    <w:p>
      <w:pPr>
        <w:pStyle w:val="Heading2"/>
        <w:ind w:firstLine="560" w:firstLineChars="200"/>
        <w:rPr>
          <w:rFonts w:ascii="仿宋" w:eastAsia="仿宋" w:hAnsi="仿宋" w:cs="仿宋" w:hint="eastAsia"/>
          <w:sz w:val="28"/>
          <w:lang w:eastAsia="zh-CN"/>
        </w:rPr>
      </w:pPr>
      <w:bookmarkStart w:id="7" w:name="_Toc2171"/>
      <w:r>
        <w:rPr>
          <w:rFonts w:ascii="仿宋" w:eastAsia="仿宋" w:hAnsi="仿宋" w:cs="仿宋" w:hint="eastAsia"/>
          <w:sz w:val="28"/>
          <w:lang w:eastAsia="zh-CN"/>
        </w:rPr>
        <w:t>(二)、电磁学计量标准器具项目工艺技术设计方案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工艺流程设计：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工艺流程设计是电磁学计量标准器具项目工艺技术设计的核心。在设计中，需要明确每一步骤的操作顺序、所需时间和资源，以确保生产过程的高效性和流畅性。此外，要考虑可能出现的变数，采取灵活的设计以适应实际生产环境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2. 工艺参数设定：</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对关键的工艺参数进行合理设定至关重要。这包括但不限于温度、压力、流速等因素。合理的参数设置有助于提高生产效率，确保产品质量的稳定性，并降低可能的生产风险。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3. 工艺设备选择：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在选择工艺设备时，需要考虑其性能、稳定性和可维护性。设备应符合电磁学计量标准器具项目的实际需求，并与整个生产流程协同工作，确保设备的使用不成为电磁学计量标准器具项目的瓶颈。</w:t>
      </w:r>
    </w:p>
    <w:p>
      <w:pPr>
        <w:ind w:firstLine="560" w:firstLineChars="200"/>
        <w:rPr>
          <w:rFonts w:ascii="仿宋" w:eastAsia="仿宋" w:hAnsi="仿宋" w:cs="仿宋" w:hint="eastAsia"/>
          <w:sz w:val="28"/>
        </w:rPr>
      </w:pPr>
      <w:r>
        <w:rPr>
          <w:rFonts w:ascii="仿宋" w:eastAsia="仿宋" w:hAnsi="仿宋" w:cs="仿宋" w:hint="eastAsia"/>
          <w:sz w:val="28"/>
          <w:lang w:eastAsia="zh-CN"/>
        </w:rPr>
        <w:t>4. 能源消耗优化：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工艺技术设计应考虑能源消耗的优化。采取先进的节能技术，降低能源浪费，有助于提高生产效益的同时，减少对环境的不良影响。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5. 环保设计：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在工艺技术设计中，环保因素是不可忽视的。采用环保友好型的工艺，减少对环境的污染，符合可持续发展的要求，同时也有助于提升企业的社会形象。</w:t>
      </w:r>
    </w:p>
    <w:p>
      <w:pPr>
        <w:pStyle w:val="Heading2"/>
        <w:ind w:firstLine="560" w:firstLineChars="200"/>
        <w:rPr>
          <w:rFonts w:ascii="仿宋" w:eastAsia="仿宋" w:hAnsi="仿宋" w:cs="仿宋" w:hint="eastAsia"/>
          <w:sz w:val="28"/>
          <w:lang w:eastAsia="zh-CN"/>
        </w:rPr>
      </w:pPr>
      <w:bookmarkStart w:id="8" w:name="_Toc7405"/>
      <w:r>
        <w:rPr>
          <w:rFonts w:ascii="仿宋" w:eastAsia="仿宋" w:hAnsi="仿宋" w:cs="仿宋" w:hint="eastAsia"/>
          <w:sz w:val="28"/>
          <w:lang w:eastAsia="zh-CN"/>
        </w:rPr>
        <w:t>(三)、设备选型方案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以挑选卓越供应商为导向，确保所选设备能够按时交付，满足工程进度需求。我们注重售后服务的卓越性，以及设备生产厂家能够及时提供备品备件的能力，以降低电磁学计量标准器具项目投资风险，最大限度地减少总体电磁学计量标准器具项目成本。在投资电磁学计量标准器具项目中，主要工艺设备及仪器将优先选择国产设备，并确保所选生产设备厂家具备国内领先的技术水平和符合国际认证标准的科学企业管理。</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以“先进、高效、实用、节能、可靠”为准则，特别关注电磁学计量标准器具项目产品生产设备在效率、质量、物料损耗、自动化程度、劳动强度和噪音水平等方面的特性。计划采购国内领先的关键工艺设备和国内外尖端的检测设备，预计购置并安装主要设备合共XXXX台(套)，设备购置费用为XXX万元。通过这一选取原则，我们旨在确保电磁学计量标准器具项目的生产设备具备最佳性能和效益，以满足电磁学计量标准器具项目长期的发展需求。</w:t>
      </w:r>
    </w:p>
    <w:p>
      <w:pPr>
        <w:pStyle w:val="Heading1"/>
        <w:ind w:firstLine="560" w:firstLineChars="200"/>
        <w:rPr>
          <w:rFonts w:ascii="仿宋" w:eastAsia="仿宋" w:hAnsi="仿宋" w:cs="仿宋" w:hint="eastAsia"/>
          <w:sz w:val="28"/>
          <w:lang w:eastAsia="zh-CN"/>
        </w:rPr>
      </w:pPr>
      <w:bookmarkStart w:id="9" w:name="_Toc22769"/>
      <w:r>
        <w:rPr>
          <w:rFonts w:ascii="仿宋" w:eastAsia="仿宋" w:hAnsi="仿宋" w:cs="仿宋" w:hint="eastAsia"/>
          <w:sz w:val="28"/>
          <w:lang w:eastAsia="zh-CN"/>
        </w:rPr>
        <w:t>三、电磁学计量标准器具项目基本情况</w:t>
      </w:r>
      <w:bookmarkEnd w:id="9"/>
    </w:p>
    <w:p>
      <w:pPr>
        <w:pStyle w:val="Heading2"/>
        <w:rPr>
          <w:rFonts w:ascii="仿宋" w:eastAsia="仿宋" w:hAnsi="仿宋" w:cs="仿宋" w:hint="eastAsia"/>
          <w:lang w:eastAsia="zh-CN"/>
        </w:rPr>
      </w:pPr>
      <w:bookmarkStart w:id="10" w:name="_Toc5065"/>
      <w:r>
        <w:rPr>
          <w:rFonts w:ascii="仿宋" w:eastAsia="仿宋" w:hAnsi="仿宋" w:cs="仿宋" w:hint="eastAsia"/>
          <w:lang w:eastAsia="zh-CN"/>
        </w:rPr>
        <w:t>(一)、电磁学计量标准器具项目名称及建设性质</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 电磁学计量标准器具项目名称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电磁学计量标准器具项目名称：XXX电磁学计量标准器具项目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电磁学计量标准器具项目建设性质</w:t>
      </w:r>
    </w:p>
    <w:p>
      <w:pPr>
        <w:ind w:firstLine="560" w:firstLineChars="200"/>
        <w:rPr>
          <w:rFonts w:ascii="仿宋" w:eastAsia="仿宋" w:hAnsi="仿宋" w:cs="仿宋" w:hint="eastAsia"/>
          <w:sz w:val="28"/>
        </w:rPr>
      </w:pPr>
      <w:r>
        <w:rPr>
          <w:rFonts w:ascii="仿宋" w:eastAsia="仿宋" w:hAnsi="仿宋" w:cs="仿宋" w:hint="eastAsia"/>
          <w:sz w:val="28"/>
          <w:lang w:eastAsia="zh-CN"/>
        </w:rPr>
        <w:t>该电磁学计量标准器具项目属于新建电磁学计量标准器具项目，依托xx区良好的产业基础和创新氛围，充分发挥区位优势，全力打造以xxx为核心的综合性产业基地。预计年产值可达XXX万元。这一新兴电磁学计量标准器具项目将在新区的发展中发挥重要作用，推动产业升级和区域经济的可持续增长。</w:t>
      </w:r>
    </w:p>
    <w:p>
      <w:pPr>
        <w:pStyle w:val="Heading2"/>
        <w:ind w:firstLine="560" w:firstLineChars="200"/>
        <w:rPr>
          <w:rFonts w:ascii="仿宋" w:eastAsia="仿宋" w:hAnsi="仿宋" w:cs="仿宋" w:hint="eastAsia"/>
          <w:sz w:val="28"/>
          <w:lang w:eastAsia="zh-CN"/>
        </w:rPr>
      </w:pPr>
      <w:bookmarkStart w:id="11" w:name="_Toc17867"/>
      <w:r>
        <w:rPr>
          <w:rFonts w:ascii="仿宋" w:eastAsia="仿宋" w:hAnsi="仿宋" w:cs="仿宋" w:hint="eastAsia"/>
          <w:sz w:val="28"/>
          <w:lang w:eastAsia="zh-CN"/>
        </w:rPr>
        <w:t>(二)、电磁学计量标准器具项目承办单位</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xxx公司</w:t>
      </w:r>
    </w:p>
    <w:p>
      <w:pPr>
        <w:pStyle w:val="Heading2"/>
        <w:ind w:firstLine="560" w:firstLineChars="200"/>
        <w:rPr>
          <w:rFonts w:ascii="仿宋" w:eastAsia="仿宋" w:hAnsi="仿宋" w:cs="仿宋" w:hint="eastAsia"/>
          <w:sz w:val="28"/>
          <w:lang w:eastAsia="zh-CN"/>
        </w:rPr>
      </w:pPr>
      <w:bookmarkStart w:id="12" w:name="_Toc15000"/>
      <w:r>
        <w:rPr>
          <w:rFonts w:ascii="仿宋" w:eastAsia="仿宋" w:hAnsi="仿宋" w:cs="仿宋" w:hint="eastAsia"/>
          <w:sz w:val="28"/>
          <w:lang w:eastAsia="zh-CN"/>
        </w:rPr>
        <w:t>(三)、战略合作单位</w:t>
      </w:r>
      <w:bookmarkEnd w:id="12"/>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xxx集团有限公司</w:t>
      </w:r>
    </w:p>
    <w:p>
      <w:pPr>
        <w:pStyle w:val="Heading2"/>
        <w:ind w:firstLine="560" w:firstLineChars="200"/>
        <w:rPr>
          <w:rFonts w:ascii="仿宋" w:eastAsia="仿宋" w:hAnsi="仿宋" w:cs="仿宋" w:hint="eastAsia"/>
          <w:sz w:val="28"/>
          <w:lang w:eastAsia="zh-CN"/>
        </w:rPr>
      </w:pPr>
      <w:bookmarkStart w:id="13" w:name="_Toc25706"/>
      <w:r>
        <w:rPr>
          <w:rFonts w:ascii="仿宋" w:eastAsia="仿宋" w:hAnsi="仿宋" w:cs="仿宋" w:hint="eastAsia"/>
          <w:sz w:val="28"/>
          <w:lang w:eastAsia="zh-CN"/>
        </w:rPr>
        <w:t>(四)、电磁学计量标准器具项目提出的理由</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 位置优势： XX区具有良好的产业基础和创新氛围，为新兴产业的发展提供了有力支持。电磁学计量标准器具项目能够充分借助XX区的产业集聚效应和科技创新环境，更好地融入当地经济体系。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2. 区位优势： 电磁学计量标准器具项目充分发挥地理位置的优势，依托XX区的区位条件，更便利地接触市场、原材料和人才资源。这将有助于电磁学计量标准器具项目的顺利推进和市场开拓。</w:t>
      </w:r>
    </w:p>
    <w:p>
      <w:pPr>
        <w:ind w:firstLine="560" w:firstLineChars="200"/>
        <w:rPr>
          <w:rFonts w:ascii="仿宋" w:eastAsia="仿宋" w:hAnsi="仿宋" w:cs="仿宋" w:hint="eastAsia"/>
          <w:sz w:val="28"/>
        </w:rPr>
      </w:pPr>
      <w:r>
        <w:rPr>
          <w:rFonts w:ascii="仿宋" w:eastAsia="仿宋" w:hAnsi="仿宋" w:cs="仿宋" w:hint="eastAsia"/>
          <w:sz w:val="28"/>
          <w:lang w:eastAsia="zh-CN"/>
        </w:rPr>
        <w:t>3. 综合性产业基地： 该电磁学计量标准器具项目定位为以油墨为核心的综合性产业基地，这不仅能够满足市场对油墨产品的需求，还能够在油墨产业链上实现产业多元化，提高产值和经济效益。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年产值潜力： 电磁学计量标准器具项目规模较大，预计年产值可达XXX万元，这对于XX区的经济发展具有显著的促进作用。高产值意味着电磁学计量标准器具项目将为当地提供更多的就业机会，同时也能够为地方财政做出贡献。</w:t>
      </w:r>
    </w:p>
    <w:p>
      <w:pPr>
        <w:ind w:firstLine="560" w:firstLineChars="200"/>
        <w:rPr>
          <w:rFonts w:ascii="仿宋" w:eastAsia="仿宋" w:hAnsi="仿宋" w:cs="仿宋" w:hint="eastAsia"/>
          <w:sz w:val="28"/>
        </w:rPr>
      </w:pPr>
      <w:r>
        <w:rPr>
          <w:rFonts w:ascii="仿宋" w:eastAsia="仿宋" w:hAnsi="仿宋" w:cs="仿宋" w:hint="eastAsia"/>
          <w:sz w:val="28"/>
          <w:lang w:eastAsia="zh-CN"/>
        </w:rPr>
        <w:t>5. 产业升级： 通过全力打造以油墨为核心的产业基地，电磁学计量标准器具项目将推动相关产业的升级和发展。这有助于提升当地产业结构，增加高附加值产业的比重，促进区域产业的可持续发展。</w:t>
      </w:r>
    </w:p>
    <w:p>
      <w:pPr>
        <w:pStyle w:val="Heading2"/>
        <w:ind w:firstLine="560" w:firstLineChars="200"/>
        <w:rPr>
          <w:rFonts w:ascii="仿宋" w:eastAsia="仿宋" w:hAnsi="仿宋" w:cs="仿宋" w:hint="eastAsia"/>
          <w:sz w:val="28"/>
          <w:lang w:eastAsia="zh-CN"/>
        </w:rPr>
      </w:pPr>
      <w:bookmarkStart w:id="14" w:name="_Toc5177"/>
      <w:r>
        <w:rPr>
          <w:rFonts w:ascii="仿宋" w:eastAsia="仿宋" w:hAnsi="仿宋" w:cs="仿宋" w:hint="eastAsia"/>
          <w:sz w:val="28"/>
          <w:lang w:eastAsia="zh-CN"/>
        </w:rPr>
        <w:t>(五)、原材料供应</w:t>
      </w:r>
      <w:bookmarkEnd w:id="14"/>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电磁学计量标准器具项目所需的主要原材料及辅助材料包括</w:t>
      </w:r>
      <w:r>
        <w:rPr>
          <w:rFonts w:ascii="仿宋" w:eastAsia="仿宋" w:hAnsi="仿宋" w:cs="仿宋" w:hint="eastAsia"/>
          <w:sz w:val="28"/>
          <w:lang w:eastAsia="zh-CN"/>
        </w:rPr>
        <w:t xml:space="preserve"> Xxx、xxx、xx、xxx、xx</w:t>
      </w:r>
      <w:r>
        <w:rPr>
          <w:rFonts w:ascii="仿宋" w:eastAsia="仿宋" w:hAnsi="仿宋" w:cs="仿宋" w:hint="eastAsia"/>
          <w:sz w:val="28"/>
          <w:lang w:eastAsia="zh-CN"/>
        </w:rPr>
        <w:t xml:space="preserve"> 等，经过严格筛选，xxx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公司已经确保选择的供货单位完全能够稳定供应上述所需原料。这些供货商不仅具备高质量的产品和稳定的供货能力，而且与公司已建立了密切的合作关系，为电磁学计量标准器具项目提供了可靠的原辅材料供应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供货商的选择是基于其在行业内的声誉、生产能力、质量管理体系以及服务水平等多方面的考量。通过与供货商的深入合作，双方建立了互信互利的伙伴关系，确保了电磁学计量标准器具项目正常经营所需原辅材料的高质量供应。</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这些供货商不仅能够保障电磁学计量标准器具项目的当前需求，而且能够满足 xxx 投资公司今后进一步扩大生产规模的预期要求。公司与供货商之间的战略合作关系意味着在未来扩大规模的同时，供货商将积极响应，提供足够的支持，确保原材料供应链的可持续性和灵活性。</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通过这一合理而有力的供应链管理，xxx 投资公司将能够确保电磁学计量标准器具项目在原材料采购和供应方面的高效运作，为电磁学计量标准器具项目的稳健发展打下坚实基础。</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5" w:name="_Toc27433"/>
      <w:r>
        <w:rPr>
          <w:rFonts w:ascii="仿宋" w:eastAsia="仿宋" w:hAnsi="仿宋" w:cs="仿宋" w:hint="eastAsia"/>
          <w:sz w:val="28"/>
          <w:lang w:eastAsia="zh-CN"/>
        </w:rPr>
        <w:t>(六)、电磁学计量标准器具项目能耗分析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 能源类型： 确定电磁学计量标准器具项目所使用的主要能源类型，例如电力、天然气、燃油等。了解能源类型将有助于集中分析各种能源的使用情况。</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能源消耗量：</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收集并记录电磁学计量标准器具项目在生产过程中各种能源的消耗量。这可以通过监测设备、能源计量仪器以及相关数据记录来实现。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生产阶段分析： 将能耗分解到不同的生产阶段，以便更具体地了解哪些环节对总能耗贡献最大。这有助于有针对性地采取节能措施。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4. 设备效能： 评估和比较各种生产设备的能源效能。确定是否存在能效较低的设备，以便进行升级或替换，以降低能源消耗。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5. 工艺优化： 通过工艺优化来减少能源浪费。可能的优化措施包括提高设备利用率、优化生产流程、改善产品设计等。</w:t>
      </w:r>
    </w:p>
    <w:p>
      <w:pPr>
        <w:ind w:firstLine="560" w:firstLineChars="200"/>
        <w:rPr>
          <w:rFonts w:ascii="仿宋" w:eastAsia="仿宋" w:hAnsi="仿宋" w:cs="仿宋" w:hint="eastAsia"/>
          <w:sz w:val="28"/>
        </w:rPr>
      </w:pPr>
      <w:r>
        <w:rPr>
          <w:rFonts w:ascii="仿宋" w:eastAsia="仿宋" w:hAnsi="仿宋" w:cs="仿宋" w:hint="eastAsia"/>
          <w:sz w:val="28"/>
          <w:lang w:eastAsia="zh-CN"/>
        </w:rPr>
        <w:t>6. 能效改进电磁学计量标准器具项目： 考虑实施能效改进电磁学计量标准器具项目，例如更换节能设备、采用新的生产技术、改进维护和操作方法等。</w:t>
      </w:r>
    </w:p>
    <w:p>
      <w:pPr>
        <w:ind w:firstLine="560" w:firstLineChars="200"/>
        <w:rPr>
          <w:rFonts w:ascii="仿宋" w:eastAsia="仿宋" w:hAnsi="仿宋" w:cs="仿宋" w:hint="eastAsia"/>
          <w:sz w:val="28"/>
        </w:rPr>
      </w:pPr>
      <w:r>
        <w:rPr>
          <w:rFonts w:ascii="仿宋" w:eastAsia="仿宋" w:hAnsi="仿宋" w:cs="仿宋" w:hint="eastAsia"/>
          <w:sz w:val="28"/>
          <w:lang w:eastAsia="zh-CN"/>
        </w:rPr>
        <w:t>7. 再生能源应用： 探索并评估再生能源在电磁学计量标准器具项目中的应用可能性。例如，考虑采用太阳能、风能等可再生能源来部分或完全满足能源需求。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8. 员工培训： 培训员工，使其认识到能源节约的重要性，并提供相关的操作和维护指导，以确保设备的有效运行。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9. 定期审查： 建立定期审查机制，对能源使用情况进行评估，及时调整和改进能源管理策略。</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10. 法规合规性： 确保电磁学计量标准器具项目的能耗活动符合相关法规和环境保护标准。</w:t>
      </w:r>
    </w:p>
    <w:p>
      <w:pPr>
        <w:pStyle w:val="Heading2"/>
        <w:ind w:firstLine="560" w:firstLineChars="200"/>
        <w:rPr>
          <w:rFonts w:ascii="仿宋" w:eastAsia="仿宋" w:hAnsi="仿宋" w:cs="仿宋" w:hint="eastAsia"/>
          <w:sz w:val="28"/>
          <w:lang w:eastAsia="zh-CN"/>
        </w:rPr>
      </w:pPr>
      <w:bookmarkStart w:id="16" w:name="_Toc10413"/>
      <w:r>
        <w:rPr>
          <w:rFonts w:ascii="仿宋" w:eastAsia="仿宋" w:hAnsi="仿宋" w:cs="仿宋" w:hint="eastAsia"/>
          <w:sz w:val="28"/>
          <w:lang w:eastAsia="zh-CN"/>
        </w:rPr>
        <w:t>(七)、环境保护</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电磁学计量标准器具项目紧密契合xx区的发展规划，符合该区产业结构调整规划以及国家的产业发展政策。在电磁学计量标准器具项目规划中，我们充分考虑了区域的可持续发展需求，确保电磁学计量标准器具项目建设不仅符合国家政策，也与当地的产业发展方向相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保护环境，我们采取了切实可行的治理措施，严格控制各类污染物的排放，确保电磁学计量标准器具项目的生产活动在国家规定的排放标准内。电磁学计量标准器具项目建设阶段及运营后，我们将持续监测和管理排放，以确保电磁学计量标准器具项目对区域生态环境不会产生明显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计方面，我们坚持清洁生产的理念，采用先进的清洁生产工艺，应用清洁原材料，以生产清洁产品为目标。通过这一策略，我们旨在消除和减少污染，实现生产与环境的协调共生。电磁学计量标准器具项目建成并投产后，各项环境指标将严格符合国家和地方清洁生产的标准要求，确保电磁学计量标准器具项目的运营不仅不损害环境，还有助于地区的生态健康。</w:t>
      </w:r>
    </w:p>
    <w:p>
      <w:pPr>
        <w:pStyle w:val="Heading2"/>
        <w:ind w:firstLine="560" w:firstLineChars="200"/>
        <w:rPr>
          <w:rFonts w:ascii="仿宋" w:eastAsia="仿宋" w:hAnsi="仿宋" w:cs="仿宋" w:hint="eastAsia"/>
          <w:sz w:val="28"/>
          <w:lang w:eastAsia="zh-CN"/>
        </w:rPr>
      </w:pPr>
      <w:bookmarkStart w:id="17" w:name="_Toc2262"/>
      <w:r>
        <w:rPr>
          <w:rFonts w:ascii="仿宋" w:eastAsia="仿宋" w:hAnsi="仿宋" w:cs="仿宋" w:hint="eastAsia"/>
          <w:sz w:val="28"/>
          <w:lang w:eastAsia="zh-CN"/>
        </w:rPr>
        <w:t>(八)、电磁学计量标准器具项目建设符合性</w:t>
      </w:r>
      <w:bookmarkEnd w:id="17"/>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1. 法规合规性： 确保电磁学计量标准器具项目的规划和建设符合当地和国家的法规和政策要求。这可能涉及土地使用、环保、建筑规范、安全等方面的法规。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2. 环境影响评价： 进行全面的环境影响评价，确保电磁学计量标准器具项目建设和运营不会对周围环境产生负面影响。在评估中，考虑空气、水、土壤质量以及生态系统的保护。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3. 社会责任： 电磁学计量标准器具项目建设应考虑社会责任，确保电磁学计量标准器具项目对当地社区的影响是积极的。这可能包括就业机会、社区发展电磁学计量标准器具项目、文化保护等方面。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安全标准： 遵守相关的安全标准和规范，保障电磁学计量标准器具项目建设和运营的人员安全。这包括建筑结构的安全性、设备操作的安全规程等。</w:t>
      </w:r>
    </w:p>
    <w:p>
      <w:pPr>
        <w:ind w:firstLine="560" w:firstLineChars="200"/>
        <w:rPr>
          <w:rFonts w:ascii="仿宋" w:eastAsia="仿宋" w:hAnsi="仿宋" w:cs="仿宋" w:hint="eastAsia"/>
          <w:sz w:val="28"/>
        </w:rPr>
      </w:pPr>
      <w:r>
        <w:rPr>
          <w:rFonts w:ascii="仿宋" w:eastAsia="仿宋" w:hAnsi="仿宋" w:cs="仿宋" w:hint="eastAsia"/>
          <w:sz w:val="28"/>
          <w:lang w:eastAsia="zh-CN"/>
        </w:rPr>
        <w:t>5. 技术规范： 确保电磁学计量标准器具项目采用符合行业标准和技术规范的设计和建设。这有助于电磁学计量标准器具项目的高效运作和可持续性发展。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6. 可持续性： 电磁学计量标准器具项目建设应考虑可持续性原则，包括资源利用效率、能源消耗、废弃物处理等。采用清洁生产和绿色技术，以降低对环境的影响。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7. 公共参与： 电磁学计量标准器具项目建设阶段应开展公共参与，听取相关利益相关者的意见和建议。这有助于解决可能的争议，提高电磁学计量标准器具项目在社会中的接受度。</w:t>
      </w:r>
    </w:p>
    <w:p>
      <w:pPr>
        <w:ind w:firstLine="560" w:firstLineChars="200"/>
        <w:rPr>
          <w:rFonts w:ascii="仿宋" w:eastAsia="仿宋" w:hAnsi="仿宋" w:cs="仿宋" w:hint="eastAsia"/>
          <w:sz w:val="28"/>
        </w:rPr>
      </w:pPr>
      <w:r>
        <w:rPr>
          <w:rFonts w:ascii="仿宋" w:eastAsia="仿宋" w:hAnsi="仿宋" w:cs="仿宋" w:hint="eastAsia"/>
          <w:sz w:val="28"/>
          <w:lang w:eastAsia="zh-CN"/>
        </w:rPr>
        <w:t>8. 监测和报告： 建立定期监测和报告机制，监控电磁学计量标准器具项目的建设和运营过程中的符合性。及时发现和解决潜在的问题。</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9.</w:t>
      </w:r>
      <w:r>
        <w:rPr>
          <w:rFonts w:ascii="仿宋" w:eastAsia="仿宋" w:hAnsi="仿宋" w:cs="仿宋" w:hint="eastAsia"/>
          <w:sz w:val="28"/>
          <w:lang w:eastAsia="zh-CN"/>
        </w:rPr>
        <w:t xml:space="preserve"> 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开展全面的风险评估，确保电磁学计量标准器具项目建设和运营过程中的各种风险能够被有效管理和应对。</w:t>
      </w:r>
    </w:p>
    <w:p>
      <w:pPr>
        <w:pStyle w:val="Heading2"/>
        <w:ind w:firstLine="560" w:firstLineChars="200"/>
        <w:rPr>
          <w:rFonts w:ascii="仿宋" w:eastAsia="仿宋" w:hAnsi="仿宋" w:cs="仿宋" w:hint="eastAsia"/>
          <w:sz w:val="28"/>
          <w:lang w:eastAsia="zh-CN"/>
        </w:rPr>
      </w:pPr>
      <w:bookmarkStart w:id="18" w:name="_Toc16175"/>
      <w:r>
        <w:rPr>
          <w:rFonts w:ascii="仿宋" w:eastAsia="仿宋" w:hAnsi="仿宋" w:cs="仿宋" w:hint="eastAsia"/>
          <w:sz w:val="28"/>
          <w:lang w:eastAsia="zh-CN"/>
        </w:rPr>
        <w:t>(九)、电磁学计量标准器具项目进度规划</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电磁学计量标准器具项目的建设期限规划为XX个月，为了确保电磁学计量标准器具项目按时高效完成，我们采取了以下措施：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1. 分期分段建设： 将整个电磁学计量标准器具项目划分为不同的阶段和段落，实施分期建设。这有助于灵活应对各个阶段的工程挑战，确保电磁学计量标准器具项目有序推进。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2. 工期目标分解： 对电磁学计量标准器具项目进行工期目标的详细分解，明确各个主体工程的施工期限。通过科学的工期分解，可以更精准地掌握工程进展。</w:t>
      </w:r>
    </w:p>
    <w:p>
      <w:pPr>
        <w:ind w:firstLine="560" w:firstLineChars="200"/>
        <w:rPr>
          <w:rFonts w:ascii="仿宋" w:eastAsia="仿宋" w:hAnsi="仿宋" w:cs="仿宋" w:hint="eastAsia"/>
          <w:sz w:val="28"/>
        </w:rPr>
      </w:pPr>
      <w:r>
        <w:rPr>
          <w:rFonts w:ascii="仿宋" w:eastAsia="仿宋" w:hAnsi="仿宋" w:cs="仿宋" w:hint="eastAsia"/>
          <w:sz w:val="28"/>
          <w:lang w:eastAsia="zh-CN"/>
        </w:rPr>
        <w:t>3. 交叉施工安排： 采用适应性的施工安排，使各主体工程的施工期叉开实施。通过合理的交叉施工，最大限度地缩短整体建设周期。</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合理安排设计和采购时间： 承办单位要合理安排设计和采购的时间，确保与施工进度相衔接。设计、采购和设备安装的工作要交叉进行，提高工程进度。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5. 后期工程押后施工： 将投资密度较大的部分工程尽量押后施工，例如其他配套工程等。这有助于合理分配资源，保证电磁学计量标准器具项目各方面的平衡发展。</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6. 提前进行设计工作： 在技术交流谈判的同时，提前进行设计工作。这样可以在电磁学计量标准器具项目正式启动前解决一些技术问题，为后续施工提供有力支持。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7. 提前设计和定货： 针对制造周期较长的设备，提前进行设计工作，并提前定货。确保这些关键设备在需要时能够及时到位，避免因设备制造周期导致的延误。</w:t>
      </w:r>
    </w:p>
    <w:p>
      <w:pPr>
        <w:ind w:firstLine="560" w:firstLineChars="200"/>
        <w:rPr>
          <w:rFonts w:ascii="仿宋" w:eastAsia="仿宋" w:hAnsi="仿宋" w:cs="仿宋" w:hint="eastAsia"/>
          <w:sz w:val="28"/>
        </w:rPr>
      </w:pPr>
      <w:r>
        <w:rPr>
          <w:rFonts w:ascii="仿宋" w:eastAsia="仿宋" w:hAnsi="仿宋" w:cs="仿宋" w:hint="eastAsia"/>
          <w:sz w:val="28"/>
          <w:lang w:eastAsia="zh-CN"/>
        </w:rPr>
        <w:t>8. 超前融资计划： 融资计划应比资金投入计划超前，确保资金的及时投入。在资金计划中留有一定的余地，以防万一情况的发生。</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通过以上规划和措施，我们旨在保障电磁学计量标准器具项目建设期限的合理安排，最大程度地降低建设周期，确保电磁学计量标准器具项目按计划推进。</w:t>
      </w:r>
    </w:p>
    <w:p>
      <w:pPr>
        <w:pStyle w:val="Heading2"/>
        <w:ind w:firstLine="560" w:firstLineChars="200"/>
        <w:rPr>
          <w:rFonts w:ascii="仿宋" w:eastAsia="仿宋" w:hAnsi="仿宋" w:cs="仿宋" w:hint="eastAsia"/>
          <w:sz w:val="28"/>
          <w:lang w:eastAsia="zh-CN"/>
        </w:rPr>
      </w:pPr>
      <w:bookmarkStart w:id="19" w:name="_Toc29909"/>
      <w:r>
        <w:rPr>
          <w:rFonts w:ascii="仿宋" w:eastAsia="仿宋" w:hAnsi="仿宋" w:cs="仿宋" w:hint="eastAsia"/>
          <w:sz w:val="28"/>
          <w:lang w:eastAsia="zh-CN"/>
        </w:rPr>
        <w:t>(十)、投资估算及经济效益分析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(一) 电磁学计量标准器具项目总投资及资金构成</w:t>
      </w:r>
    </w:p>
    <w:p>
      <w:pPr>
        <w:ind w:firstLine="560" w:firstLineChars="200"/>
        <w:rPr>
          <w:rFonts w:ascii="仿宋" w:eastAsia="仿宋" w:hAnsi="仿宋" w:cs="仿宋" w:hint="eastAsia"/>
          <w:sz w:val="28"/>
        </w:rPr>
      </w:pPr>
      <w:r>
        <w:rPr>
          <w:rFonts w:ascii="仿宋" w:eastAsia="仿宋" w:hAnsi="仿宋" w:cs="仿宋" w:hint="eastAsia"/>
          <w:sz w:val="28"/>
          <w:lang w:eastAsia="zh-CN"/>
        </w:rPr>
        <w:t>电磁学计量标准器具项目预计总投资为XXXX万元。其中，固定资产投资为XXXX万元，占电磁学计量标准器具项目总投资的XX%；流动资金为XXXX万元，占电磁学计量标准器具项目总投资的XX%。</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资金筹措</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截至目前，电磁学计量标准器具项目的资金主要由企业自筹。通过内部资金的调动和有效管理，确保电磁学计量标准器具项目的正常推进和运作。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(三) 电磁学计量标准器具项目预期经济效益规划目标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电磁学计量标准器具项目达产年的经济效益规划目标如下：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营业收入：XXXX万元</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总成本费用：XXXX万元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税金及附加：XXXX万元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利润总额：XXXX万元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利税总额：XXXX万元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税后净利润：XXXX万元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此外，达产年投资利润率为XX%，投资利税率为XX%，投资回报率为XX%，全部投资回收期为XX年。电磁学计量标准器具项目还将提供XX个就业职位，为当地就业创造积极影响。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这一经济效益规划目标综合考虑了电磁学计量标准器具项目的投资、收入、成本、税收等多个方面，为电磁学计量标准器具项目的经济可持续发展提供了明确的指导和目标。</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20" w:name="_Toc29252"/>
      <w:r>
        <w:rPr>
          <w:rFonts w:ascii="仿宋" w:eastAsia="仿宋" w:hAnsi="仿宋" w:cs="仿宋" w:hint="eastAsia"/>
          <w:sz w:val="28"/>
          <w:lang w:eastAsia="zh-CN"/>
        </w:rPr>
        <w:t>(十一)、报告说明</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报告的详尽分析主要包括以下几个方面：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市场和销售： 对市场需求、竞争格局、潜在客户等进行深入研究，明确电磁学计量标准器具项目产品或服务的市场定位和销售策略。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2. 规模和产品： 对电磁学计量标准器具项目规模进行科学规划，明确生产的产品或服务种类、特点及市场竞争力。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厂址： 选择适宜的厂址，考虑交通便利性、用地成本、环境因素等，确保电磁学计量标准器具项目的顺利运作。</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原辅料供应：</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确保原辅料的稳定供应，分析供应商的可靠性和成本，以降低生产风险。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5. 工艺技术： 对电磁学计量标准器具项目的生产工艺进行细致研究，确保采用先进、高效、可靠的技术，提高生产效率。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6. 设备选择： 经过仔细比较和选择，确定最适合电磁学计量标准器具项目需求的生产设备，确保设备的性能和质量符合要求。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人员组织： 确保电磁学计量标准器具项目团队结构合理，拥有足够的专业人才，并规划培训计划，以提高员工的工作技能。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8. 实施计划： 制定详细的电磁学计量标准器具项目实施计划，明确各阶段的任务和时间节点，确保电磁学计量标准器具项目按计划推进。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9. 投资与成本： 确定电磁学计量标准器具项目的总投资和各项成本，并进行全面的成本效益分析，确保电磁学计量标准器具项目的经济可行性。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10. 效益及风险： 对电磁学计量标准器具项目的预期经济效益进行计算和评价，并对潜在风险进行全面分析，为决策者提供风险应对策略。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通过以上分析，报告将为投资决策提供全面的、有据可依的科学依据。其细致入微的论证和评价将使投资方能够清晰地了解电磁学计量标准器具项目的各个方面，为未来的投资决策提供有力支持。</w:t>
      </w:r>
    </w:p>
    <w:p>
      <w:pPr>
        <w:pStyle w:val="Heading2"/>
        <w:ind w:firstLine="560" w:firstLineChars="200"/>
        <w:rPr>
          <w:rFonts w:ascii="仿宋" w:eastAsia="仿宋" w:hAnsi="仿宋" w:cs="仿宋" w:hint="eastAsia"/>
          <w:sz w:val="28"/>
          <w:lang w:eastAsia="zh-CN"/>
        </w:rPr>
      </w:pPr>
      <w:bookmarkStart w:id="21" w:name="_Toc25986"/>
      <w:r>
        <w:rPr>
          <w:rFonts w:ascii="仿宋" w:eastAsia="仿宋" w:hAnsi="仿宋" w:cs="仿宋" w:hint="eastAsia"/>
          <w:sz w:val="28"/>
          <w:lang w:eastAsia="zh-CN"/>
        </w:rPr>
        <w:t>(十二)、电磁学计量标准器具项目评价</w:t>
      </w:r>
      <w:bookmarkEnd w:id="21"/>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磁学计量标准器具项目评价是对电磁学计量标准器具项目进行全面审查和判定的过程，主要包括市场评价、技术评价、财务评价、工程评价、经济评价和环境评价等多个方面。评价的目的是为决策者提供科学的、客观的信息，以确定电磁学计量标准器具项目是否值得投资以及如何进行投资。对电磁学计量标准器具项目评价各个方面的简要说明：</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市场评价： 对电磁学计量标准器具项目所在市场的需求、竞争格局、潜在客户等进行评估。通过市场评价，可以确定电磁学计量标准器具项目产品或服务的市场定位、销售策略和市场份额。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 技术评价： 对电磁学计量标准器具项目所采用的生产工艺、设备选择等技术方面进行评估。确保电磁学计量标准器具项目采用先进、高效、可靠的技术，以提高生产效率和竞争力。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财务评价： 对电磁学计量标准器具项目的资金筹措、成本结构、财务指标等进行评估。通过财务评价，可以明确电磁学计量标准器具项目的融资需求、资金运作情况，以及电磁学计量标准器具项目的盈利能力和财务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4. 工程评价： 对电磁学计量标准器具项目的规模、建设周期、工程进度等进行评估。确保电磁学计量标准器具项目在工程实施阶段能够按计划进行，减少施工风险。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5. 经济评价： 对电磁学计量标准器具项目的经济效益进行计算和评估。包括投资回收期、净现值、内部收益率等指标，以确定电磁学计量标准器具项目的经济可行性和投资回报。</w:t>
      </w:r>
    </w:p>
    <w:p>
      <w:pPr>
        <w:ind w:firstLine="560" w:firstLineChars="200"/>
        <w:rPr>
          <w:rFonts w:ascii="仿宋" w:eastAsia="仿宋" w:hAnsi="仿宋" w:cs="仿宋" w:hint="eastAsia"/>
          <w:sz w:val="28"/>
        </w:rPr>
        <w:sectPr>
          <w:headerReference w:type="default" r:id="rId42"/>
          <w:footerReference w:type="default" r:id="rId43"/>
          <w:type w:val="nextPage"/>
          <w:pgSz w:w="11906" w:h="16838"/>
          <w:pgMar w:top="1440" w:right="1800" w:bottom="1440" w:left="1800" w:header="851" w:footer="992" w:gutter="0"/>
          <w:pgNumType w:start="20"/>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环境评价：</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对电磁学计量标准器具项目可能对环境产生的影响进行评估。确保电磁学计量标准器具项目在环保方面符合相关法规和标准，减少对周边环境的负面影响。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电磁学计量标准器具项目评价通过对各个方面的全面考量，为决策者提供了关于电磁学计量标准器具项目全貌的清晰图景。决策者可以根据评价结果，权衡各个方面的利弊，做出明智的投资决策。评价的结果将直接影响到电磁学计量标准器具项目的可持续发展和投资的成功实施。</w:t>
      </w:r>
    </w:p>
    <w:p>
      <w:pPr>
        <w:pStyle w:val="Heading1"/>
        <w:ind w:firstLine="560" w:firstLineChars="200"/>
        <w:rPr>
          <w:rFonts w:ascii="仿宋" w:eastAsia="仿宋" w:hAnsi="仿宋" w:cs="仿宋" w:hint="eastAsia"/>
          <w:sz w:val="28"/>
          <w:lang w:eastAsia="zh-CN"/>
        </w:rPr>
      </w:pPr>
      <w:bookmarkStart w:id="22" w:name="_Toc13592"/>
      <w:r>
        <w:rPr>
          <w:rFonts w:ascii="仿宋" w:eastAsia="仿宋" w:hAnsi="仿宋" w:cs="仿宋" w:hint="eastAsia"/>
          <w:sz w:val="28"/>
          <w:lang w:eastAsia="zh-CN"/>
        </w:rPr>
        <w:t>四、电磁学计量标准器具项目市场前景分析</w:t>
      </w:r>
      <w:bookmarkEnd w:id="22"/>
    </w:p>
    <w:p>
      <w:pPr>
        <w:pStyle w:val="Heading2"/>
        <w:rPr>
          <w:rFonts w:ascii="仿宋" w:eastAsia="仿宋" w:hAnsi="仿宋" w:cs="仿宋" w:hint="eastAsia"/>
          <w:lang w:eastAsia="zh-CN"/>
        </w:rPr>
      </w:pPr>
      <w:bookmarkStart w:id="23" w:name="_Toc18068"/>
      <w:r>
        <w:rPr>
          <w:rFonts w:ascii="仿宋" w:eastAsia="仿宋" w:hAnsi="仿宋" w:cs="仿宋" w:hint="eastAsia"/>
          <w:lang w:eastAsia="zh-CN"/>
        </w:rPr>
        <w:t>(一)、建设地经济发展概况</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1. 经济总体情况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建设地的经济在过去几年呈现出强劲的增长态势。20XX年至20XXX年，该地区的年均GDP增速超过XX%，整体经济规模达到XX亿元。这一持续增长的趋势反映了建设地经济的活力和吸引力。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主要产业结构</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地的产业结构多元化，制造业、服务业和高科技产业占据主导地位。先进制造业中的电子、汽车等领域蓬勃发展，服务业包括金融、教育和医疗等多个领域都取得了显著进展。高科技企业的崛起为整体产业结构带来了新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投资环境</w:t>
      </w:r>
    </w:p>
    <w:p>
      <w:pPr>
        <w:ind w:firstLine="560" w:firstLineChars="200"/>
        <w:rPr>
          <w:rFonts w:ascii="仿宋" w:eastAsia="仿宋" w:hAnsi="仿宋" w:cs="仿宋" w:hint="eastAsia"/>
          <w:sz w:val="28"/>
        </w:rPr>
        <w:sectPr>
          <w:headerReference w:type="default" r:id="rId44"/>
          <w:footerReference w:type="default" r:id="rId45"/>
          <w:type w:val="nextPage"/>
          <w:pgSz w:w="11906" w:h="16838"/>
          <w:pgMar w:top="1440" w:right="1800" w:bottom="1440" w:left="1800" w:header="851" w:footer="992" w:gutter="0"/>
          <w:pgNumType w:start="2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建设地一直致力于打造优越的投资环境，吸引了众多国内外企业的投资。政府实施了一系列便利化政策，简化审批程序，降低投资门槛。建设地成为创业者和投资者青睐的热门目的地，各类产业电磁学计量标准器具项目纷纷落地。</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人口与就业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地的人口规模逐年增加，形成了多元化的社会结构。城市人口密集区域的就业市场蓬勃发展，同时城乡一体化发展战略也为农村地区提供了更多就业机会。该地区积极推动人才引进和培养，构建了具有创新力的人才队伍。</w:t>
      </w:r>
    </w:p>
    <w:p>
      <w:pPr>
        <w:ind w:firstLine="560" w:firstLineChars="200"/>
        <w:rPr>
          <w:rFonts w:ascii="仿宋" w:eastAsia="仿宋" w:hAnsi="仿宋" w:cs="仿宋" w:hint="eastAsia"/>
          <w:sz w:val="28"/>
        </w:rPr>
      </w:pPr>
      <w:r>
        <w:rPr>
          <w:rFonts w:ascii="仿宋" w:eastAsia="仿宋" w:hAnsi="仿宋" w:cs="仿宋" w:hint="eastAsia"/>
          <w:sz w:val="28"/>
          <w:lang w:eastAsia="zh-CN"/>
        </w:rPr>
        <w:t>5. 城市基础设施</w:t>
      </w:r>
    </w:p>
    <w:p>
      <w:pPr>
        <w:ind w:firstLine="560" w:firstLineChars="200"/>
        <w:rPr>
          <w:rFonts w:ascii="仿宋" w:eastAsia="仿宋" w:hAnsi="仿宋" w:cs="仿宋" w:hint="eastAsia"/>
          <w:sz w:val="28"/>
        </w:rPr>
      </w:pPr>
      <w:r>
        <w:rPr>
          <w:rFonts w:ascii="仿宋" w:eastAsia="仿宋" w:hAnsi="仿宋" w:cs="仿宋" w:hint="eastAsia"/>
          <w:sz w:val="28"/>
          <w:lang w:eastAsia="zh-CN"/>
        </w:rPr>
        <w:t>为适应经济快速发展的需要，建设地加大了对基础设施建设的投入。新建、改建的高速公路、城市轨道交通、现代化港口等电磁学计量标准器具项目得到了快速推进，提高了城市的综合竞争力。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6. 环境保护与可持续发展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建设地注重生态环境保护和可持续发展。实施了大规模的环境治理电磁学计量标准器具项目，提升了空气质量和水质。同时，该地推动绿色产业和清洁能源的发展，致力于打造宜居宜业的城市环境。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7. 区域合作与国际交往</w:t>
      </w:r>
    </w:p>
    <w:p>
      <w:pPr>
        <w:ind w:firstLine="560" w:firstLineChars="200"/>
        <w:rPr>
          <w:rFonts w:ascii="仿宋" w:eastAsia="仿宋" w:hAnsi="仿宋" w:cs="仿宋" w:hint="eastAsia"/>
          <w:sz w:val="28"/>
        </w:rPr>
        <w:sectPr>
          <w:headerReference w:type="default" r:id="rId46"/>
          <w:footerReference w:type="default" r:id="rId47"/>
          <w:type w:val="nextPage"/>
          <w:pgSz w:w="11906" w:h="16838"/>
          <w:pgMar w:top="1440" w:right="1800" w:bottom="1440" w:left="1800" w:header="851" w:footer="992" w:gutter="0"/>
          <w:pgNumType w:start="22"/>
          <w:cols w:num="1" w:space="425"/>
          <w:titlePg w:val="0"/>
          <w:docGrid w:type="lines" w:linePitch="312" w:charSpace="0"/>
        </w:sectPr>
      </w:pPr>
      <w:r>
        <w:rPr>
          <w:rFonts w:ascii="仿宋" w:eastAsia="仿宋" w:hAnsi="仿宋" w:cs="仿宋" w:hint="eastAsia"/>
          <w:sz w:val="28"/>
          <w:lang w:eastAsia="zh-CN"/>
        </w:rPr>
        <w:t>建设地积极参与区域合作和国际交往，拓展了多领域的国际合作电磁学计量标准器具项目。通过加强国际交流，该地区引进了大量国外优质技术和资金，同时推动了本地产业的对外拓展。</w:t>
      </w:r>
    </w:p>
    <w:p>
      <w:pPr>
        <w:pStyle w:val="Heading2"/>
        <w:ind w:firstLine="560" w:firstLineChars="200"/>
        <w:rPr>
          <w:rFonts w:ascii="仿宋" w:eastAsia="仿宋" w:hAnsi="仿宋" w:cs="仿宋" w:hint="eastAsia"/>
          <w:sz w:val="28"/>
          <w:lang w:eastAsia="zh-CN"/>
        </w:rPr>
      </w:pPr>
      <w:bookmarkStart w:id="24" w:name="_Toc23771"/>
      <w:r>
        <w:rPr>
          <w:rFonts w:ascii="仿宋" w:eastAsia="仿宋" w:hAnsi="仿宋" w:cs="仿宋" w:hint="eastAsia"/>
          <w:sz w:val="28"/>
          <w:lang w:eastAsia="zh-CN"/>
        </w:rPr>
        <w:t>(二)、行业市场分析</w:t>
      </w:r>
      <w:bookmarkEnd w:id="24"/>
    </w:p>
    <w:p>
      <w:pPr>
        <w:ind w:firstLine="560" w:firstLineChars="200"/>
        <w:rPr>
          <w:rFonts w:ascii="仿宋" w:eastAsia="仿宋" w:hAnsi="仿宋" w:cs="仿宋" w:hint="eastAsia"/>
          <w:sz w:val="28"/>
        </w:rPr>
      </w:pPr>
      <w:r>
        <w:rPr>
          <w:rFonts w:ascii="仿宋" w:eastAsia="仿宋" w:hAnsi="仿宋" w:cs="仿宋" w:hint="eastAsia"/>
          <w:sz w:val="28"/>
          <w:lang w:eastAsia="zh-CN"/>
        </w:rPr>
        <w:t>市场规模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该行业在全球范围内的市场规模持续扩大，据最新数据显示，年均增长率达到XX%。市场规模预计将在未来数年内继续增长，达到YY亿元。这一趋势表明行业正受到日益增长的市场需求的推动，为各类企业提供了广泛的商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竞争格局相当激烈，主要由几家大型企业主导市场，占据了相当比例的市场份额。然而，新兴企业通过创新和灵活性也逐渐在市场中崭露头角。尽管入口壁垒相对较高，但随着技术的进步和市场的开放，新进入者有望取得更多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消费者行为</w:t>
      </w:r>
    </w:p>
    <w:p>
      <w:pPr>
        <w:ind w:firstLine="560" w:firstLineChars="200"/>
        <w:rPr>
          <w:rFonts w:ascii="仿宋" w:eastAsia="仿宋" w:hAnsi="仿宋" w:cs="仿宋" w:hint="eastAsia"/>
          <w:sz w:val="28"/>
        </w:rPr>
      </w:pPr>
      <w:r>
        <w:rPr>
          <w:rFonts w:ascii="仿宋" w:eastAsia="仿宋" w:hAnsi="仿宋" w:cs="仿宋" w:hint="eastAsia"/>
          <w:sz w:val="28"/>
          <w:lang w:eastAsia="zh-CN"/>
        </w:rPr>
        <w:t>目标客户主要集中在年轻一代，他们更注重产品的创新性、环保性和品牌形象。消费者趋势显示，线上购物和个性化定制服务逐渐成为主流，这对企业提出了更高的要求。了解这些趋势有助于企业调整产品策略，提升市场占有率。</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技术创新与趋势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一直是该行业的推动力，最新的技术趋势涵盖了人工智能、大数据分析以及物联网技术的应用。在全球范围内，多家企业正在加大研发投入，以推动行业的数字化转型。未来趋势显示，智能化产品和服务将成为市场的主导力量。</w:t>
      </w:r>
    </w:p>
    <w:p>
      <w:pPr>
        <w:ind w:firstLine="560" w:firstLineChars="200"/>
        <w:rPr>
          <w:rFonts w:ascii="仿宋" w:eastAsia="仿宋" w:hAnsi="仿宋" w:cs="仿宋" w:hint="eastAsia"/>
          <w:sz w:val="28"/>
        </w:rPr>
        <w:sectPr>
          <w:headerReference w:type="default" r:id="rId48"/>
          <w:footerReference w:type="default" r:id="rId49"/>
          <w:type w:val="nextPage"/>
          <w:pgSz w:w="11906" w:h="16838"/>
          <w:pgMar w:top="1440" w:right="1800" w:bottom="1440" w:left="1800" w:header="851" w:footer="992" w:gutter="0"/>
          <w:pgNumType w:start="23"/>
          <w:cols w:num="1" w:space="425"/>
          <w:titlePg w:val="0"/>
          <w:docGrid w:type="lines" w:linePitch="312" w:charSpace="0"/>
        </w:sectPr>
      </w:pPr>
      <w:r>
        <w:rPr>
          <w:rFonts w:ascii="仿宋" w:eastAsia="仿宋" w:hAnsi="仿宋" w:cs="仿宋" w:hint="eastAsia"/>
          <w:sz w:val="28"/>
          <w:lang w:eastAsia="zh-CN"/>
        </w:rPr>
        <w:t>法规与政策影响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法规环境对该行业的影响显著，特别是关于环保和消费者权益方面的法规。政府对该行业的监管力度逐渐加强，其中包括新的环保法规和产品标准。同时，政府通过提供税收激励和创新资金，支持企业更好地适应新的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环境影响与可持续发展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环保要求日益增加，企业在产品制造和供应链管理中不断加强环保措施。社会责任在行业内也占据重要地位，许多企业积极参与社区电磁学计量标准器具项目和慈善事业，提升了其社会形象。可持续发展计划逐渐成为企业战略的一部分，以确保业务的可持续性和社会责任的履行。</w:t>
      </w:r>
    </w:p>
    <w:p>
      <w:pPr>
        <w:pStyle w:val="Heading1"/>
        <w:ind w:firstLine="560" w:firstLineChars="200"/>
        <w:rPr>
          <w:rFonts w:ascii="仿宋" w:eastAsia="仿宋" w:hAnsi="仿宋" w:cs="仿宋" w:hint="eastAsia"/>
          <w:sz w:val="28"/>
          <w:lang w:eastAsia="zh-CN"/>
        </w:rPr>
      </w:pPr>
      <w:bookmarkStart w:id="25" w:name="_Toc6019"/>
      <w:r>
        <w:rPr>
          <w:rFonts w:ascii="仿宋" w:eastAsia="仿宋" w:hAnsi="仿宋" w:cs="仿宋" w:hint="eastAsia"/>
          <w:sz w:val="28"/>
          <w:lang w:eastAsia="zh-CN"/>
        </w:rPr>
        <w:t>五、电磁学计量标准器具项目实施进度计划</w:t>
      </w:r>
      <w:bookmarkEnd w:id="25"/>
    </w:p>
    <w:p>
      <w:pPr>
        <w:pStyle w:val="Heading2"/>
        <w:rPr>
          <w:rFonts w:ascii="仿宋" w:eastAsia="仿宋" w:hAnsi="仿宋" w:cs="仿宋" w:hint="eastAsia"/>
          <w:lang w:eastAsia="zh-CN"/>
        </w:rPr>
      </w:pPr>
      <w:bookmarkStart w:id="26" w:name="_Toc5635"/>
      <w:r>
        <w:rPr>
          <w:rFonts w:ascii="仿宋" w:eastAsia="仿宋" w:hAnsi="仿宋" w:cs="仿宋" w:hint="eastAsia"/>
          <w:lang w:eastAsia="zh-CN"/>
        </w:rPr>
        <w:t>(一)、建设周期</w:t>
      </w:r>
      <w:bookmarkEnd w:id="26"/>
    </w:p>
    <w:p>
      <w:pPr>
        <w:ind w:firstLine="560" w:firstLineChars="200"/>
        <w:rPr>
          <w:rFonts w:ascii="仿宋" w:eastAsia="仿宋" w:hAnsi="仿宋" w:cs="仿宋" w:hint="eastAsia"/>
          <w:sz w:val="28"/>
        </w:rPr>
      </w:pPr>
      <w:r>
        <w:rPr>
          <w:rFonts w:ascii="仿宋" w:eastAsia="仿宋" w:hAnsi="仿宋" w:cs="仿宋" w:hint="eastAsia"/>
          <w:sz w:val="28"/>
          <w:lang w:eastAsia="zh-CN"/>
        </w:rPr>
        <w:t>建设周期是电磁学计量标准器具项目从规划到实际运作的全过程，分为多个关键阶段，每个阶段都有其独特的任务和挑战：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电磁学计量标准器具项目前期准备阶段：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个阶段，电磁学计量标准器具项目团队进行电磁学计量标准器具项目的可行性研究，明确电磁学计量标准器具项目目标和规模，进行市场分析和资金计划。完成电磁学计量标准器具项目的立项申请，确保电磁学计量标准器具项目有足够的资源和支持。</w:t>
      </w:r>
    </w:p>
    <w:p>
      <w:pPr>
        <w:ind w:firstLine="560" w:firstLineChars="200"/>
        <w:rPr>
          <w:rFonts w:ascii="仿宋" w:eastAsia="仿宋" w:hAnsi="仿宋" w:cs="仿宋" w:hint="eastAsia"/>
          <w:sz w:val="28"/>
        </w:rPr>
        <w:sectPr>
          <w:headerReference w:type="default" r:id="rId50"/>
          <w:footerReference w:type="default" r:id="rId51"/>
          <w:type w:val="nextPage"/>
          <w:pgSz w:w="11906" w:h="16838"/>
          <w:pgMar w:top="1440" w:right="1800" w:bottom="1440" w:left="1800" w:header="851" w:footer="992" w:gutter="0"/>
          <w:pgNumType w:start="24"/>
          <w:cols w:num="1" w:space="425"/>
          <w:titlePg w:val="0"/>
          <w:docGrid w:type="lines" w:linePitch="312" w:charSpace="0"/>
        </w:sectPr>
      </w:pPr>
      <w:r>
        <w:rPr>
          <w:rFonts w:ascii="仿宋" w:eastAsia="仿宋" w:hAnsi="仿宋" w:cs="仿宋" w:hint="eastAsia"/>
          <w:sz w:val="28"/>
          <w:lang w:eastAsia="zh-CN"/>
        </w:rPr>
        <w:t>2. 工程勘察与设计阶段：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进行电磁学计量标准器具项目所在地的勘察工作，包括土地调查、地质勘探等，以获取对施工环境的全面了解。设计阶段涉及建筑设计、工艺设计、设备配置等，确保电磁学计量标准器具项目的设计方案科学可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土建工程施工阶段：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实施土建工程，包括地基处理、建筑施工、主体结构建设等。这是电磁学计量标准器具项目实体建设的阶段，需要高效协调各项工程，确保施工质量和进度。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设备采购阶段：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进行电磁学计量标准器具项目所需设备的采购，包括设备的选择、供应商洽谈和合同签订。确保电磁学计量标准器具项目所使用的设备符合质量标准，满足电磁学计量标准器具项目的生产需求。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设备安装调试阶段：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进行设备的安装和调试工作，确保设备能够正常运行。这个阶段是电磁学计量标准器具项目顺利投产的关键，需要仔细调整设备，保证其稳定性和可靠性。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投产使用阶段：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电磁学计量标准器具项目正式投入运营，进行实际生产和服务。在此阶段，电磁学计量标准器具项目团队需要密切关注运营情况，及时处理可能出现的问题，确保电磁学计量标准器具项目平稳运行。</w:t>
      </w:r>
    </w:p>
    <w:p>
      <w:pPr>
        <w:ind w:firstLine="560" w:firstLineChars="200"/>
        <w:rPr>
          <w:rFonts w:ascii="仿宋" w:eastAsia="仿宋" w:hAnsi="仿宋" w:cs="仿宋" w:hint="eastAsia"/>
          <w:sz w:val="28"/>
        </w:rPr>
        <w:sectPr>
          <w:headerReference w:type="default" r:id="rId52"/>
          <w:footerReference w:type="default" r:id="rId53"/>
          <w:type w:val="nextPage"/>
          <w:pgSz w:w="11906" w:h="16838"/>
          <w:pgMar w:top="1440" w:right="1800" w:bottom="1440" w:left="1800" w:header="851" w:footer="992" w:gutter="0"/>
          <w:pgNumType w:start="2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科学合理的规划和有效的电磁学计量标准器具项目管理，确保每个建设阶段都按时、按质完成，最终实现电磁学计量标准器具项目的成功建设和投产使用。电磁学计量标准器具项目建设周期的顺利进行对于电磁学计量标准器具项目的整体成功至关重要。</w:t>
      </w:r>
    </w:p>
    <w:p>
      <w:pPr>
        <w:pStyle w:val="Heading2"/>
        <w:ind w:firstLine="560" w:firstLineChars="200"/>
        <w:rPr>
          <w:rFonts w:ascii="仿宋" w:eastAsia="仿宋" w:hAnsi="仿宋" w:cs="仿宋" w:hint="eastAsia"/>
          <w:sz w:val="28"/>
          <w:lang w:eastAsia="zh-CN"/>
        </w:rPr>
      </w:pPr>
      <w:bookmarkStart w:id="27" w:name="_Toc23112"/>
      <w:r>
        <w:rPr>
          <w:rFonts w:ascii="仿宋" w:eastAsia="仿宋" w:hAnsi="仿宋" w:cs="仿宋" w:hint="eastAsia"/>
          <w:sz w:val="28"/>
          <w:lang w:eastAsia="zh-CN"/>
        </w:rPr>
        <w:t>(二)、建设进度</w:t>
      </w:r>
      <w:bookmarkEnd w:id="27"/>
    </w:p>
    <w:p>
      <w:pPr>
        <w:ind w:firstLine="560" w:firstLineChars="200"/>
        <w:rPr>
          <w:rFonts w:ascii="仿宋" w:eastAsia="仿宋" w:hAnsi="仿宋" w:cs="仿宋" w:hint="eastAsia"/>
          <w:sz w:val="28"/>
        </w:rPr>
      </w:pPr>
      <w:r>
        <w:rPr>
          <w:rFonts w:ascii="仿宋" w:eastAsia="仿宋" w:hAnsi="仿宋" w:cs="仿宋" w:hint="eastAsia"/>
          <w:sz w:val="28"/>
          <w:lang w:eastAsia="zh-CN"/>
        </w:rPr>
        <w:t>该电磁学计量标准器具项目的分期建设是为了更好地控制进度和资源，目前的实际完成投资达到XXXX万元，占计划投资的XX%。进一步细分，固定资产投资已经完成XXXX万元，占总投资的XX%；流动资金投资也已经完成XXXX万元，占总投资的XX%。</w:t>
      </w:r>
    </w:p>
    <w:p>
      <w:pPr>
        <w:ind w:firstLine="560" w:firstLineChars="200"/>
        <w:rPr>
          <w:rFonts w:ascii="仿宋" w:eastAsia="仿宋" w:hAnsi="仿宋" w:cs="仿宋" w:hint="eastAsia"/>
          <w:sz w:val="28"/>
        </w:rPr>
      </w:pPr>
      <w:r>
        <w:rPr>
          <w:rFonts w:ascii="仿宋" w:eastAsia="仿宋" w:hAnsi="仿宋" w:cs="仿宋" w:hint="eastAsia"/>
          <w:sz w:val="28"/>
          <w:lang w:eastAsia="zh-CN"/>
        </w:rPr>
        <w:t>完成固定资产投资：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固定资产投资是电磁学计量标准器具项目中的重要组成部分，包括土建工程、设备采购等。已经完成的XXXX万元投资表明在这方面电磁学计量标准器具项目取得了良好的进展。这部分资金的使用应当符合电磁学计量标准器具项目计划，确保施工和采购等方面按照预期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完成流动资金投资：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流动资金投资则涉及电磁学计量标准器具项目运营过程中的各项费用，如人员工资、原材料采购等。已经完成XXXX万元的流动资金投资表明电磁学计量标准器具项目在运营准备方面也取得了一定的进展。这部分资金的使用需要合理规划，确保电磁学计量标准器具项目的正常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投资完成比例分析：</w:t>
      </w:r>
    </w:p>
    <w:p>
      <w:pPr>
        <w:ind w:firstLine="560" w:firstLineChars="200"/>
        <w:rPr>
          <w:rFonts w:ascii="仿宋" w:eastAsia="仿宋" w:hAnsi="仿宋" w:cs="仿宋" w:hint="eastAsia"/>
          <w:sz w:val="28"/>
        </w:rPr>
        <w:sectPr>
          <w:headerReference w:type="default" r:id="rId54"/>
          <w:footerReference w:type="default" r:id="rId55"/>
          <w:type w:val="nextPage"/>
          <w:pgSz w:w="11906" w:h="16838"/>
          <w:pgMar w:top="1440" w:right="1800" w:bottom="1440" w:left="1800" w:header="851" w:footer="992" w:gutter="0"/>
          <w:pgNumType w:start="2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磁学计量标准器具项目实际完成投资占计划投资的XX%，这反映了电磁学计量标准器具项目在资金使用方面的较好掌控。投资完成比例的合理性直接关系到电磁学计量标准器具项目后续的资金需求和进度计划。通过对比已完成和计划的投资比例，可以更准确地评估电磁学计量标准器具项目的财务状况和资金运作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未来资金规划：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基于目前的资金完成情况，可以进一步规划未来的资金使用。确保在后续的建设和运营阶段，资金能够得到及时、有效地保障。这包括对未完成部分的固定资产和流动资金投资的合理安排和管理。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随着电磁学计量标准器具项目不断推进，风险的变化也需要得到及时的识别和应对。定期对已完成投资的使用情况进行审查，及时发现潜在的财务风险，并制定相应的应对策略。</w:t>
      </w:r>
    </w:p>
    <w:p>
      <w:pPr>
        <w:pStyle w:val="Heading2"/>
        <w:ind w:firstLine="560" w:firstLineChars="200"/>
        <w:rPr>
          <w:rFonts w:ascii="仿宋" w:eastAsia="仿宋" w:hAnsi="仿宋" w:cs="仿宋" w:hint="eastAsia"/>
          <w:sz w:val="28"/>
          <w:lang w:eastAsia="zh-CN"/>
        </w:rPr>
      </w:pPr>
      <w:bookmarkStart w:id="28" w:name="_Toc11419"/>
      <w:r>
        <w:rPr>
          <w:rFonts w:ascii="仿宋" w:eastAsia="仿宋" w:hAnsi="仿宋" w:cs="仿宋" w:hint="eastAsia"/>
          <w:sz w:val="28"/>
          <w:lang w:eastAsia="zh-CN"/>
        </w:rPr>
        <w:t>(三)、进度安排注意事项</w:t>
      </w:r>
      <w:bookmarkEnd w:id="28"/>
    </w:p>
    <w:p>
      <w:pPr>
        <w:ind w:firstLine="560" w:firstLineChars="200"/>
        <w:rPr>
          <w:rFonts w:ascii="仿宋" w:eastAsia="仿宋" w:hAnsi="仿宋" w:cs="仿宋" w:hint="eastAsia"/>
          <w:sz w:val="28"/>
        </w:rPr>
      </w:pPr>
      <w:r>
        <w:rPr>
          <w:rFonts w:ascii="仿宋" w:eastAsia="仿宋" w:hAnsi="仿宋" w:cs="仿宋" w:hint="eastAsia"/>
          <w:sz w:val="28"/>
          <w:lang w:eastAsia="zh-CN"/>
        </w:rPr>
        <w:t>1. 制定合理的计划：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根据电磁学计量标准器具项目的性质和规模，制定详细的电磁学计量标准器具项目计划，包括各个阶段的任务和时间表。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考虑到可能的风险和不确定性，留有一定的缓冲时间。</w:t>
      </w:r>
    </w:p>
    <w:p>
      <w:pPr>
        <w:ind w:firstLine="560" w:firstLineChars="200"/>
        <w:rPr>
          <w:rFonts w:ascii="仿宋" w:eastAsia="仿宋" w:hAnsi="仿宋" w:cs="仿宋" w:hint="eastAsia"/>
          <w:sz w:val="28"/>
        </w:rPr>
      </w:pPr>
      <w:r>
        <w:rPr>
          <w:rFonts w:ascii="仿宋" w:eastAsia="仿宋" w:hAnsi="仿宋" w:cs="仿宋" w:hint="eastAsia"/>
          <w:sz w:val="28"/>
          <w:lang w:eastAsia="zh-CN"/>
        </w:rPr>
        <w:t>2. 明确目标和优先级：</w:t>
      </w:r>
    </w:p>
    <w:p>
      <w:pPr>
        <w:ind w:firstLine="560" w:firstLineChars="200"/>
        <w:rPr>
          <w:rFonts w:ascii="仿宋" w:eastAsia="仿宋" w:hAnsi="仿宋" w:cs="仿宋" w:hint="eastAsia"/>
          <w:sz w:val="28"/>
        </w:rPr>
      </w:pPr>
      <w:r>
        <w:rPr>
          <w:rFonts w:ascii="仿宋" w:eastAsia="仿宋" w:hAnsi="仿宋" w:cs="仿宋" w:hint="eastAsia"/>
          <w:sz w:val="28"/>
          <w:lang w:eastAsia="zh-CN"/>
        </w:rPr>
        <w:t>确定电磁学计量标准器具项目的主要目标和优先级，以便更好地分配资源和关注关键任务。</w:t>
      </w:r>
    </w:p>
    <w:p>
      <w:pPr>
        <w:ind w:firstLine="560" w:firstLineChars="200"/>
        <w:rPr>
          <w:rFonts w:ascii="仿宋" w:eastAsia="仿宋" w:hAnsi="仿宋" w:cs="仿宋" w:hint="eastAsia"/>
          <w:sz w:val="28"/>
        </w:rPr>
        <w:sectPr>
          <w:headerReference w:type="default" r:id="rId56"/>
          <w:footerReference w:type="default" r:id="rId57"/>
          <w:type w:val="nextPage"/>
          <w:pgSz w:w="11906" w:h="16838"/>
          <w:pgMar w:top="1440" w:right="1800" w:bottom="1440" w:left="1800" w:header="851" w:footer="992" w:gutter="0"/>
          <w:pgNumType w:start="2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明确哪些任务对电磁学计量标准器具项目成功至关重要，优先安排这些任务。</w:t>
      </w:r>
    </w:p>
    <w:p>
      <w:pPr>
        <w:ind w:firstLine="560" w:firstLineChars="200"/>
        <w:rPr>
          <w:rFonts w:ascii="仿宋" w:eastAsia="仿宋" w:hAnsi="仿宋" w:cs="仿宋" w:hint="eastAsia"/>
          <w:sz w:val="28"/>
        </w:rPr>
      </w:pPr>
      <w:r>
        <w:rPr>
          <w:rFonts w:ascii="仿宋" w:eastAsia="仿宋" w:hAnsi="仿宋" w:cs="仿宋" w:hint="eastAsia"/>
          <w:sz w:val="28"/>
          <w:lang w:eastAsia="zh-CN"/>
        </w:rPr>
        <w:t>3. 考虑依赖关系：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分析任务之间的依赖关系，确保一个任务的完成不受到其他任务的影响。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优先处理可能成为关键路径的任务，以避免整体进度受到影响。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4. 持续监控和更新：</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实时监控电磁学计量标准器具项目进度，及时发现和解决可能的延误或问题。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定期更新电磁学计量标准器具项目计划，确保计划与实际进展一致。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合理分配资源：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确保电磁学计量标准器具项目所需的各种资源，包括人力、物力、财力等，得到合理分配和利用。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在人员调度上考虑到专业技能和经验的匹配。</w:t>
      </w:r>
    </w:p>
    <w:p>
      <w:pPr>
        <w:ind w:firstLine="560" w:firstLineChars="200"/>
        <w:rPr>
          <w:rFonts w:ascii="仿宋" w:eastAsia="仿宋" w:hAnsi="仿宋" w:cs="仿宋" w:hint="eastAsia"/>
          <w:sz w:val="28"/>
        </w:rPr>
      </w:pPr>
      <w:r>
        <w:rPr>
          <w:rFonts w:ascii="仿宋" w:eastAsia="仿宋" w:hAnsi="仿宋" w:cs="仿宋" w:hint="eastAsia"/>
          <w:sz w:val="28"/>
          <w:lang w:eastAsia="zh-CN"/>
        </w:rPr>
        <w:t>6. 团队沟通和协作：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保持团队成员之间的良好沟通，确保大家了解任务和目标。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鼓励协作和信息分享，以促进工作的高效进行。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7. 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对可能出现的风险进行评估，并采取相应的风险管理措施。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制定备选方案，以便在发生问题时能够迅速作出调整。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8. 定期评估和审查：</w:t>
      </w:r>
    </w:p>
    <w:p>
      <w:pPr>
        <w:ind w:firstLine="560" w:firstLineChars="200"/>
        <w:rPr>
          <w:rFonts w:ascii="仿宋" w:eastAsia="仿宋" w:hAnsi="仿宋" w:cs="仿宋" w:hint="eastAsia"/>
          <w:sz w:val="28"/>
        </w:rPr>
        <w:sectPr>
          <w:headerReference w:type="default" r:id="rId58"/>
          <w:footerReference w:type="default" r:id="rId59"/>
          <w:type w:val="nextPage"/>
          <w:pgSz w:w="11906" w:h="16838"/>
          <w:pgMar w:top="1440" w:right="1800" w:bottom="1440" w:left="1800" w:header="851" w:footer="992" w:gutter="0"/>
          <w:pgNumType w:start="2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定期进行电磁学计量标准器具项目进度的评估和审查，确保电磁学计量标准器具项目仍然符合预期目标。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根据评估结果进行必要的调整和改进。</w:t>
      </w:r>
    </w:p>
    <w:p>
      <w:pPr>
        <w:pStyle w:val="Heading2"/>
        <w:ind w:firstLine="560" w:firstLineChars="200"/>
        <w:rPr>
          <w:rFonts w:ascii="仿宋" w:eastAsia="仿宋" w:hAnsi="仿宋" w:cs="仿宋" w:hint="eastAsia"/>
          <w:sz w:val="28"/>
          <w:lang w:eastAsia="zh-CN"/>
        </w:rPr>
      </w:pPr>
      <w:bookmarkStart w:id="29" w:name="_Toc31981"/>
      <w:r>
        <w:rPr>
          <w:rFonts w:ascii="仿宋" w:eastAsia="仿宋" w:hAnsi="仿宋" w:cs="仿宋" w:hint="eastAsia"/>
          <w:sz w:val="28"/>
          <w:lang w:eastAsia="zh-CN"/>
        </w:rPr>
        <w:t>(四)、人力资源配置</w:t>
      </w:r>
      <w:bookmarkEnd w:id="29"/>
    </w:p>
    <w:p>
      <w:pPr>
        <w:ind w:firstLine="560" w:firstLineChars="200"/>
        <w:rPr>
          <w:rFonts w:ascii="仿宋" w:eastAsia="仿宋" w:hAnsi="仿宋" w:cs="仿宋" w:hint="eastAsia"/>
          <w:sz w:val="28"/>
        </w:rPr>
      </w:pPr>
      <w:r>
        <w:rPr>
          <w:rFonts w:ascii="仿宋" w:eastAsia="仿宋" w:hAnsi="仿宋" w:cs="仿宋" w:hint="eastAsia"/>
          <w:sz w:val="28"/>
          <w:lang w:eastAsia="zh-CN"/>
        </w:rPr>
        <w:t>在进行人力资源配置时，首先需要全面了解电磁学计量标准器具项目的性质、规模和需求，以确保合理、高效地配置人力资源。电磁学计量标准器具项目的成功与否很大程度上取决于人力的贡献和团队的协作。因此，科学合理的人力资源配置是电磁学计量标准器具项目管理中至关重要的一环。</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综合人力需求分析：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电磁学计量标准器具项目启动阶段，需要进行全面的人力需求分析。这包括确定电磁学计量标准器具项目的规模、工作内容、所需技能等方面的要求。通过对电磁学计量标准器具项目整体的需求有一个清晰的认识，才能更好地进行后续的人力资源配置。</w:t>
      </w:r>
    </w:p>
    <w:p>
      <w:pPr>
        <w:ind w:firstLine="560" w:firstLineChars="200"/>
        <w:rPr>
          <w:rFonts w:ascii="仿宋" w:eastAsia="仿宋" w:hAnsi="仿宋" w:cs="仿宋" w:hint="eastAsia"/>
          <w:sz w:val="28"/>
        </w:rPr>
      </w:pPr>
      <w:r>
        <w:rPr>
          <w:rFonts w:ascii="仿宋" w:eastAsia="仿宋" w:hAnsi="仿宋" w:cs="仿宋" w:hint="eastAsia"/>
          <w:sz w:val="28"/>
          <w:lang w:eastAsia="zh-CN"/>
        </w:rPr>
        <w:t>岗位设置和职责划分：</w:t>
      </w:r>
    </w:p>
    <w:p>
      <w:pPr>
        <w:ind w:firstLine="560" w:firstLineChars="200"/>
        <w:rPr>
          <w:rFonts w:ascii="仿宋" w:eastAsia="仿宋" w:hAnsi="仿宋" w:cs="仿宋" w:hint="eastAsia"/>
          <w:sz w:val="28"/>
        </w:rPr>
      </w:pPr>
      <w:r>
        <w:rPr>
          <w:rFonts w:ascii="仿宋" w:eastAsia="仿宋" w:hAnsi="仿宋" w:cs="仿宋" w:hint="eastAsia"/>
          <w:sz w:val="28"/>
          <w:lang w:eastAsia="zh-CN"/>
        </w:rPr>
        <w:t>根据电磁学计量标准器具项目的特点和需要，明确各个岗位的设置以及每个岗位的具体职责。这需要考虑到团队的协作关系，确保各个岗位之间的职责清晰划分，避免冲突和混淆。</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人才招募和选拔：</w:t>
      </w:r>
    </w:p>
    <w:p>
      <w:pPr>
        <w:ind w:firstLine="560" w:firstLineChars="200"/>
        <w:rPr>
          <w:rFonts w:ascii="仿宋" w:eastAsia="仿宋" w:hAnsi="仿宋" w:cs="仿宋" w:hint="eastAsia"/>
          <w:sz w:val="28"/>
        </w:rPr>
        <w:sectPr>
          <w:headerReference w:type="default" r:id="rId60"/>
          <w:footerReference w:type="default" r:id="rId61"/>
          <w:type w:val="nextPage"/>
          <w:pgSz w:w="11906" w:h="16838"/>
          <w:pgMar w:top="1440" w:right="1800" w:bottom="1440" w:left="1800" w:header="851" w:footer="992" w:gutter="0"/>
          <w:pgNumType w:start="2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满足电磁学计量标准器具项目的需求，需要进行有效的人才招募和选拔。这包括发布招聘信息、面试候选人、评估其技能和适应能力等。确保招聘到的人才与电磁学计量标准器具项目的要求相匹配，有利于电磁学计量标准器具项目的高效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培训和技能提升：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一旦团队成员入职，需要提供必要的培训，以确保他们熟悉电磁学计量标准器具项目的流程和工作要求。同时，还需要注重团队成员的技能提升，通过培训计划和学习机会，使团队保持竞争力。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团队建设和文化塑造：</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建设一个协作高效的团队是电磁学计量标准器具项目成功的基石。通过组织团队建设活动、搭建良好的沟通渠道、塑造积极向上的团队文化，可以提高团队的凝聚力和战斗力。</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绩效评估和激励机制：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建立科学的绩效评估机制，对团队成员的工作进行定期评估，识别出色表现并予以奖励。激励机制可以激发团队成员的积极性和创造力，增强工作动力。</w:t>
      </w:r>
    </w:p>
    <w:p>
      <w:pPr>
        <w:pStyle w:val="Heading2"/>
        <w:ind w:firstLine="560" w:firstLineChars="200"/>
        <w:rPr>
          <w:rFonts w:ascii="仿宋" w:eastAsia="仿宋" w:hAnsi="仿宋" w:cs="仿宋" w:hint="eastAsia"/>
          <w:sz w:val="28"/>
          <w:lang w:eastAsia="zh-CN"/>
        </w:rPr>
      </w:pPr>
      <w:bookmarkStart w:id="30" w:name="_Toc2054"/>
      <w:r>
        <w:rPr>
          <w:rFonts w:ascii="仿宋" w:eastAsia="仿宋" w:hAnsi="仿宋" w:cs="仿宋" w:hint="eastAsia"/>
          <w:sz w:val="28"/>
          <w:lang w:eastAsia="zh-CN"/>
        </w:rPr>
        <w:t>(五)、员工培训</w:t>
      </w:r>
      <w:bookmarkEnd w:id="30"/>
    </w:p>
    <w:p>
      <w:pPr>
        <w:ind w:firstLine="560" w:firstLineChars="200"/>
        <w:rPr>
          <w:rFonts w:ascii="仿宋" w:eastAsia="仿宋" w:hAnsi="仿宋" w:cs="仿宋" w:hint="eastAsia"/>
          <w:sz w:val="28"/>
        </w:rPr>
      </w:pPr>
      <w:r>
        <w:rPr>
          <w:rFonts w:ascii="仿宋" w:eastAsia="仿宋" w:hAnsi="仿宋" w:cs="仿宋" w:hint="eastAsia"/>
          <w:sz w:val="28"/>
          <w:lang w:eastAsia="zh-CN"/>
        </w:rPr>
        <w:t>培训需求分析：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进行员工培训之前，需要进行全面的培训需求分析。这包括了解员工的现有技能水平、电磁学计量标准器具项目要求的技能和知识，以及员工个体发展的需求。通过需求分析，可以有针对性地制定培训计划，确保培训内容贴近实际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培训计划制定：</w:t>
      </w:r>
    </w:p>
    <w:p>
      <w:pPr>
        <w:ind w:firstLine="560" w:firstLineChars="200"/>
        <w:rPr>
          <w:rFonts w:ascii="仿宋" w:eastAsia="仿宋" w:hAnsi="仿宋" w:cs="仿宋" w:hint="eastAsia"/>
          <w:sz w:val="28"/>
        </w:rPr>
        <w:sectPr>
          <w:headerReference w:type="default" r:id="rId62"/>
          <w:footerReference w:type="default" r:id="rId63"/>
          <w:type w:val="nextPage"/>
          <w:pgSz w:w="11906" w:h="16838"/>
          <w:pgMar w:top="1440" w:right="1800" w:bottom="1440" w:left="1800" w:header="851" w:footer="992" w:gutter="0"/>
          <w:pgNumType w:start="3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基于培训需求分析的结果，制定详细的培训计划。培训计划应包括培训的内容、形式、时间安排等方面的细节。同时，需要根据员工的岗位和职责差异，制定个性化的培训方案，以满足不同群体的培训需求。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培训内容设计：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内容应紧密围绕电磁学计量标准器具项目需求和员工成长方向展开。采用系统性的培训模块，包括专业技能、团队协作、领导力培养等方面。培训内容设计要具有实际操作性，能够帮助员工将所学知识和技能应用到实际工作中。</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培训方法选择：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选择适当的培训方法，包括面对面培训、在线培训、实践操作等。不同的培训方法适用于不同的培训内容和目标。在选择培训方法时，要考虑员工的学习习惯和电磁学计量标准器具项目的实际情况，以提高培训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培训师资选择：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师资的选择直接关系到培训效果。选择具有丰富实践经验和专业知识的培训师，能够更好地传递电磁学计量标准器具项目所需的技能和理念。同时，也可以考虑邀请电磁学计量标准器具项目内部专家担任培训讲师，更符合电磁学计量标准器具项目的实际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培训评估机制：</w:t>
      </w:r>
    </w:p>
    <w:p>
      <w:pPr>
        <w:ind w:firstLine="560" w:firstLineChars="200"/>
        <w:rPr>
          <w:rFonts w:ascii="仿宋" w:eastAsia="仿宋" w:hAnsi="仿宋" w:cs="仿宋" w:hint="eastAsia"/>
          <w:sz w:val="28"/>
        </w:rPr>
        <w:sectPr>
          <w:headerReference w:type="default" r:id="rId64"/>
          <w:footerReference w:type="default" r:id="rId65"/>
          <w:type w:val="nextPage"/>
          <w:pgSz w:w="11906" w:h="16838"/>
          <w:pgMar w:top="1440" w:right="1800" w:bottom="1440" w:left="1800" w:header="851" w:footer="992" w:gutter="0"/>
          <w:pgNumType w:start="3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建立科学的培训评估机制，通过培训前、中、后的评估，了解培训效果和员工学习情况。这可以通过考试、实际操作、反馈调查等方式进行。培训评估的结果可用于调整和优化培训计划，确保培训的连续性和实效性。</w:t>
      </w:r>
    </w:p>
    <w:p>
      <w:pPr>
        <w:pStyle w:val="Heading2"/>
        <w:ind w:firstLine="560" w:firstLineChars="200"/>
        <w:rPr>
          <w:rFonts w:ascii="仿宋" w:eastAsia="仿宋" w:hAnsi="仿宋" w:cs="仿宋" w:hint="eastAsia"/>
          <w:sz w:val="28"/>
          <w:lang w:eastAsia="zh-CN"/>
        </w:rPr>
      </w:pPr>
      <w:bookmarkStart w:id="31" w:name="_Toc15555"/>
      <w:r>
        <w:rPr>
          <w:rFonts w:ascii="仿宋" w:eastAsia="仿宋" w:hAnsi="仿宋" w:cs="仿宋" w:hint="eastAsia"/>
          <w:sz w:val="28"/>
          <w:lang w:eastAsia="zh-CN"/>
        </w:rPr>
        <w:t>(六)、电磁学计量标准器具项目实施保障</w:t>
      </w:r>
      <w:bookmarkEnd w:id="31"/>
    </w:p>
    <w:p>
      <w:pPr>
        <w:ind w:firstLine="560" w:firstLineChars="200"/>
        <w:rPr>
          <w:rFonts w:ascii="仿宋" w:eastAsia="仿宋" w:hAnsi="仿宋" w:cs="仿宋" w:hint="eastAsia"/>
          <w:sz w:val="28"/>
        </w:rPr>
      </w:pPr>
      <w:r>
        <w:rPr>
          <w:rFonts w:ascii="仿宋" w:eastAsia="仿宋" w:hAnsi="仿宋" w:cs="仿宋" w:hint="eastAsia"/>
          <w:sz w:val="28"/>
          <w:lang w:eastAsia="zh-CN"/>
        </w:rPr>
        <w:t>电磁学计量标准器具项目团队建设：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构建一个协作默契、高效沟通的电磁学计量标准器具项目团队是电磁学计量标准器具项目实施保障的基础。通过定期的团队建设活动、培训和沟通机制的建立，确保团队成员之间的合作顺畅，共同追求电磁学计量标准器具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电磁学计量标准器具项目计划与进度管理：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科学的电磁学计量标准器具项目计划，明确电磁学计量标准器具项目的工作分解结构、任务分配和时间节点。通过电磁学计量标准器具项目管理工具对电磁学计量标准器具项目进度进行全程跟踪和管理，及时发现问题并采取相应措施，确保电磁学计量标准器具项目的进度符合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资源供给与管理：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合理配置和管理电磁学计量标准器具项目所需的资源，包括人力、物力、财力等。确保电磁学计量标准器具项目中各项资源的充分利用，避免资源的浪费。通过合理的资源管理，提高电磁学计量标准器具项目的执行效率和成本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风险管理与应对：</w:t>
      </w:r>
    </w:p>
    <w:p>
      <w:pPr>
        <w:ind w:firstLine="560" w:firstLineChars="200"/>
        <w:rPr>
          <w:rFonts w:ascii="仿宋" w:eastAsia="仿宋" w:hAnsi="仿宋" w:cs="仿宋" w:hint="eastAsia"/>
          <w:sz w:val="28"/>
        </w:rPr>
        <w:sectPr>
          <w:headerReference w:type="default" r:id="rId66"/>
          <w:footerReference w:type="default" r:id="rId67"/>
          <w:type w:val="nextPage"/>
          <w:pgSz w:w="11906" w:h="16838"/>
          <w:pgMar w:top="1440" w:right="1800" w:bottom="1440" w:left="1800" w:header="851" w:footer="992" w:gutter="0"/>
          <w:pgNumType w:start="3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建立完善的风险管理机制，对电磁学计量标准器具项目可能面临的风险进行全面评估，并制定相应的风险应对策略。定期进行风险评估和监控，确保电磁学计量标准器具项目在不同阶段能够及时应对和解决可能出现的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技术支持与创新：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电磁学计量标准器具项目实施中，技术支持是不可或缺的一环。确保电磁学计量标准器具项目团队具备必要的技术能力，及时解决技术难题。同时，鼓励团队成员提出创新性的解决方案，推动电磁学计量标准器具项目技术的不断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质量管理与验收标准：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完善的质量管理体系，确保电磁学计量标准器具项目的每个阶段都能达到预定的质量标准。设立清晰的验收标准，对电磁学计量标准器具项目成果进行全面的检查和评估。通过质量管理，保障电磁学计量标准器具项目交付物的质量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信息沟通与协调：</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建立畅通的信息沟通渠道，确保电磁学计量标准器具项目团队内外的信息传递及时准确。定期组织会议、报告电磁学计量标准器具项目进展，提高团队成员之间的协作效率，减少信息滞后导致的问题。</w:t>
      </w:r>
    </w:p>
    <w:p>
      <w:pPr>
        <w:pStyle w:val="Heading1"/>
        <w:ind w:firstLine="560" w:firstLineChars="200"/>
        <w:rPr>
          <w:rFonts w:ascii="仿宋" w:eastAsia="仿宋" w:hAnsi="仿宋" w:cs="仿宋" w:hint="eastAsia"/>
          <w:sz w:val="28"/>
          <w:lang w:eastAsia="zh-CN"/>
        </w:rPr>
      </w:pPr>
      <w:bookmarkStart w:id="32" w:name="_Toc32222"/>
      <w:r>
        <w:rPr>
          <w:rFonts w:ascii="仿宋" w:eastAsia="仿宋" w:hAnsi="仿宋" w:cs="仿宋" w:hint="eastAsia"/>
          <w:sz w:val="28"/>
          <w:lang w:eastAsia="zh-CN"/>
        </w:rPr>
        <w:t>六、危机管理与应急预案</w:t>
      </w:r>
      <w:bookmarkEnd w:id="32"/>
    </w:p>
    <w:p>
      <w:pPr>
        <w:pStyle w:val="Heading2"/>
        <w:rPr>
          <w:rFonts w:ascii="仿宋" w:eastAsia="仿宋" w:hAnsi="仿宋" w:cs="仿宋" w:hint="eastAsia"/>
          <w:lang w:eastAsia="zh-CN"/>
        </w:rPr>
      </w:pPr>
      <w:bookmarkStart w:id="33" w:name="_Toc14405"/>
      <w:r>
        <w:rPr>
          <w:rFonts w:ascii="仿宋" w:eastAsia="仿宋" w:hAnsi="仿宋" w:cs="仿宋" w:hint="eastAsia"/>
          <w:lang w:eastAsia="zh-CN"/>
        </w:rPr>
        <w:t>(一)、危机预警与监测</w:t>
      </w:r>
      <w:bookmarkEnd w:id="33"/>
    </w:p>
    <w:p>
      <w:pPr>
        <w:ind w:firstLine="560" w:firstLineChars="200"/>
        <w:rPr>
          <w:rFonts w:ascii="仿宋" w:eastAsia="仿宋" w:hAnsi="仿宋" w:cs="仿宋" w:hint="eastAsia"/>
          <w:sz w:val="28"/>
        </w:rPr>
      </w:pPr>
      <w:r>
        <w:rPr>
          <w:rFonts w:ascii="仿宋" w:eastAsia="仿宋" w:hAnsi="仿宋" w:cs="仿宋" w:hint="eastAsia"/>
          <w:sz w:val="28"/>
          <w:lang w:eastAsia="zh-CN"/>
        </w:rPr>
        <w:t>1. 建立监测体系</w:t>
      </w:r>
    </w:p>
    <w:p>
      <w:pPr>
        <w:ind w:firstLine="560" w:firstLineChars="200"/>
        <w:rPr>
          <w:rFonts w:ascii="仿宋" w:eastAsia="仿宋" w:hAnsi="仿宋" w:cs="仿宋" w:hint="eastAsia"/>
          <w:sz w:val="28"/>
        </w:rPr>
        <w:sectPr>
          <w:headerReference w:type="default" r:id="rId68"/>
          <w:footerReference w:type="default" r:id="rId69"/>
          <w:type w:val="nextPage"/>
          <w:pgSz w:w="11906" w:h="16838"/>
          <w:pgMar w:top="1440" w:right="1800" w:bottom="1440" w:left="1800" w:header="851" w:footer="992" w:gutter="0"/>
          <w:pgNumType w:start="3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建立危机监测体系是有效进行危机预警与监测的首要步骤。这一体系需要全面覆盖外部和内部环境的多个方面，以确保企业能够全面了解潜在的危机因素。外部环境的监测包括政治、经济、社会、技术等方面，而内部环境的监测则需要关注组织内部的运营状况、员工情绪等。</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在建立监测体系时，企业需要采用先进的信息技术和数据分析手段，确保能够实时、准确地收集和分析大量信息。同时，要考虑不同领域的专业监测机构和专业人才的参与，以提高监测体系的专业性和敏感性。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数据收集与分析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数据收集与分析是危机监测的核心环节。企业需要建立高效的数据收集机制，以确保能够获取与企业相关的各类信息。这可能涉及到社交媒体的监测、新闻报道的跟踪、市场调研数据的收集等多方面工作。</w:t>
      </w:r>
    </w:p>
    <w:p>
      <w:pPr>
        <w:ind w:firstLine="560" w:firstLineChars="200"/>
        <w:rPr>
          <w:rFonts w:ascii="仿宋" w:eastAsia="仿宋" w:hAnsi="仿宋" w:cs="仿宋" w:hint="eastAsia"/>
          <w:sz w:val="28"/>
        </w:rPr>
      </w:pPr>
      <w:r>
        <w:rPr>
          <w:rFonts w:ascii="仿宋" w:eastAsia="仿宋" w:hAnsi="仿宋" w:cs="仿宋" w:hint="eastAsia"/>
          <w:sz w:val="28"/>
          <w:lang w:eastAsia="zh-CN"/>
        </w:rPr>
        <w:t>一旦数据收集完成，接下来的关键步骤是对数据进行系统分析。这需要企业拥有一支专业的数据分析团队，能够从海量数据中提炼出有价值的信息。数据分析的目标是发现潜在的危机迹象和异常现象，为危机的及时处理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3. 预警机制建立</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建立灵敏的预警机制是确保企业能够在危机来临之前获得预警信息的关键。预警机制的建立需要考虑到监测体系的反馈、数据分析的结果以及与外部专业机构的合作。关键的步骤包括：</w:t>
      </w:r>
    </w:p>
    <w:p>
      <w:pPr>
        <w:ind w:firstLine="560" w:firstLineChars="200"/>
        <w:rPr>
          <w:rFonts w:ascii="仿宋" w:eastAsia="仿宋" w:hAnsi="仿宋" w:cs="仿宋" w:hint="eastAsia"/>
          <w:sz w:val="28"/>
        </w:rPr>
        <w:sectPr>
          <w:headerReference w:type="default" r:id="rId70"/>
          <w:footerReference w:type="default" r:id="rId71"/>
          <w:type w:val="nextPage"/>
          <w:pgSz w:w="11906" w:h="16838"/>
          <w:pgMar w:top="1440" w:right="1800" w:bottom="1440" w:left="1800" w:header="851" w:footer="992" w:gutter="0"/>
          <w:pgNumType w:start="34"/>
          <w:cols w:num="1" w:space="425"/>
          <w:titlePg w:val="0"/>
          <w:docGrid w:type="lines" w:linePitch="312" w:charSpace="0"/>
        </w:sectPr>
      </w:pPr>
      <w:r>
        <w:rPr>
          <w:rFonts w:ascii="仿宋" w:eastAsia="仿宋" w:hAnsi="仿宋" w:cs="仿宋" w:hint="eastAsia"/>
          <w:sz w:val="28"/>
          <w:lang w:eastAsia="zh-CN"/>
        </w:rPr>
        <w:t>设定预警指标：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根据数据分析的结果和历史危机事件的经验，确定一系列可作为危机预警指标的关键因素。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建立预警信号： 将确定的预警指标与实际监测结果相结合，建立一套能够发出明确信号的预警系统。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制定应急响应计划： 针对不同级别的预警信号，制定相应的应急响应计划，明确责任人和行动方案。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定期演练： 对预警机制进行定期演练，检验其实际效果，及时调整和改进机制。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危机预警与监测体系的建立是企业危机管理的基础，它使企业能够在危机爆发前就能够有针对性地采取措施，最大程度地降低潜在风险带来的损失。通过精细化的监测和灵活的应对机制，企业能够更好地应对多变的外部环境，保障组织的稳定和可持续发展。</w:t>
      </w:r>
    </w:p>
    <w:p>
      <w:pPr>
        <w:pStyle w:val="Heading2"/>
        <w:ind w:firstLine="560" w:firstLineChars="200"/>
        <w:rPr>
          <w:rFonts w:ascii="仿宋" w:eastAsia="仿宋" w:hAnsi="仿宋" w:cs="仿宋" w:hint="eastAsia"/>
          <w:sz w:val="28"/>
          <w:lang w:eastAsia="zh-CN"/>
        </w:rPr>
      </w:pPr>
      <w:bookmarkStart w:id="34" w:name="_Toc31965"/>
      <w:r>
        <w:rPr>
          <w:rFonts w:ascii="仿宋" w:eastAsia="仿宋" w:hAnsi="仿宋" w:cs="仿宋" w:hint="eastAsia"/>
          <w:sz w:val="28"/>
          <w:lang w:eastAsia="zh-CN"/>
        </w:rPr>
        <w:t>(二)、应急预案与危机响应</w:t>
      </w:r>
      <w:bookmarkEnd w:id="34"/>
    </w:p>
    <w:p>
      <w:pPr>
        <w:ind w:firstLine="560" w:firstLineChars="200"/>
        <w:rPr>
          <w:rFonts w:ascii="仿宋" w:eastAsia="仿宋" w:hAnsi="仿宋" w:cs="仿宋" w:hint="eastAsia"/>
          <w:sz w:val="28"/>
        </w:rPr>
      </w:pPr>
      <w:r>
        <w:rPr>
          <w:rFonts w:ascii="仿宋" w:eastAsia="仿宋" w:hAnsi="仿宋" w:cs="仿宋" w:hint="eastAsia"/>
          <w:sz w:val="28"/>
          <w:lang w:eastAsia="zh-CN"/>
        </w:rPr>
        <w:t>1. 预案制定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应急预案的制定是为了在危机发生时提供清晰的指导和规范行动。预案需要覆盖各个可能出现危机的领域，确保在面对不同类型的紧急情况时能够迅速做出正确反应。制定应急预案的关键步骤包括：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综合性规划： 制定一份全面而综合的应急预案，覆盖从人员疏散到资源调配、从危机指挥到协同合作等多个方面。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 在制定预案前进行全面的风险评估，明确可能面临的各类威胁，以便有针对性地制定应对方案。</w:t>
      </w:r>
    </w:p>
    <w:p>
      <w:pPr>
        <w:ind w:firstLine="560" w:firstLineChars="200"/>
        <w:rPr>
          <w:rFonts w:ascii="仿宋" w:eastAsia="仿宋" w:hAnsi="仿宋" w:cs="仿宋" w:hint="eastAsia"/>
          <w:sz w:val="28"/>
        </w:rPr>
        <w:sectPr>
          <w:headerReference w:type="default" r:id="rId72"/>
          <w:footerReference w:type="default" r:id="rId73"/>
          <w:type w:val="nextPage"/>
          <w:pgSz w:w="11906" w:h="16838"/>
          <w:pgMar w:top="1440" w:right="1800" w:bottom="1440" w:left="1800" w:header="851" w:footer="992" w:gutter="0"/>
          <w:pgNumType w:start="35"/>
          <w:cols w:num="1" w:space="425"/>
          <w:titlePg w:val="0"/>
          <w:docGrid w:type="lines" w:linePitch="312" w:charSpace="0"/>
        </w:sectPr>
      </w:pPr>
      <w:r>
        <w:rPr>
          <w:rFonts w:ascii="仿宋" w:eastAsia="仿宋" w:hAnsi="仿宋" w:cs="仿宋" w:hint="eastAsia"/>
          <w:sz w:val="28"/>
          <w:lang w:eastAsia="zh-CN"/>
        </w:rPr>
        <w:t>多方参与：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预案的制定需要多方面的参与，包括安全专家、卫生专业人员、法务顾问等，确保综合性和专业性。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定期更新： 预案需要根据组织的变化和外部环境的变动进行定期更新，保持其时效性和适应性。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危机演练</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定期组织危机演练是验证应急预案的有效性和可行性的关键手段。通过模拟真实危机情境，组织成员能够更好地理解应对程序，提高危机时的应对能力。危机演练的关键步骤包括：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制定演练计划： 设定演练目标、场景、参与人员和时间表，确保演练的全面性和实效性。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模拟真实情境： 在演练中模拟真实危机情境，包括人员伤亡、资源不足、信息不准确等各种可能的困难。</w:t>
      </w:r>
    </w:p>
    <w:p>
      <w:pPr>
        <w:ind w:firstLine="560" w:firstLineChars="200"/>
        <w:rPr>
          <w:rFonts w:ascii="仿宋" w:eastAsia="仿宋" w:hAnsi="仿宋" w:cs="仿宋" w:hint="eastAsia"/>
          <w:sz w:val="28"/>
        </w:rPr>
      </w:pPr>
      <w:r>
        <w:rPr>
          <w:rFonts w:ascii="仿宋" w:eastAsia="仿宋" w:hAnsi="仿宋" w:cs="仿宋" w:hint="eastAsia"/>
          <w:sz w:val="28"/>
          <w:lang w:eastAsia="zh-CN"/>
        </w:rPr>
        <w:t>评估演练结果： 对演练过程进行全面评估，发现问题和不足，为后续的改进提供依据。</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定期调整： 根据演练的结果，及时对应急预案进行调整和完善，确保其实用性和灵活性。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指挥体系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建立明确的指挥体系是危机发生时能够迅速做出决策、协调资源的关键。指挥体系的构建需要确保信息流通畅，责任分工明确，决策迅速而准确。建立指挥体系的关键步骤包括：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明确层级： 制定清晰的指挥层级，确保在危机发生时能够迅速形成统一的指挥架构。</w:t>
      </w:r>
    </w:p>
    <w:p>
      <w:pPr>
        <w:ind w:firstLine="560" w:firstLineChars="200"/>
        <w:rPr>
          <w:rFonts w:ascii="仿宋" w:eastAsia="仿宋" w:hAnsi="仿宋" w:cs="仿宋" w:hint="eastAsia"/>
          <w:sz w:val="28"/>
        </w:rPr>
        <w:sectPr>
          <w:headerReference w:type="default" r:id="rId74"/>
          <w:footerReference w:type="default" r:id="rId75"/>
          <w:type w:val="nextPage"/>
          <w:pgSz w:w="11906" w:h="16838"/>
          <w:pgMar w:top="1440" w:right="1800" w:bottom="1440" w:left="1800" w:header="851" w:footer="992" w:gutter="0"/>
          <w:pgNumType w:start="36"/>
          <w:cols w:num="1" w:space="425"/>
          <w:titlePg w:val="0"/>
          <w:docGrid w:type="lines" w:linePitch="312" w:charSpace="0"/>
        </w:sectPr>
      </w:pPr>
      <w:r>
        <w:rPr>
          <w:rFonts w:ascii="仿宋" w:eastAsia="仿宋" w:hAnsi="仿宋" w:cs="仿宋" w:hint="eastAsia"/>
          <w:sz w:val="28"/>
          <w:lang w:eastAsia="zh-CN"/>
        </w:rPr>
        <w:t>角色分工：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确定每个指挥层级的角色和职责，以便在紧急情况下各司其职，协同工作。</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信息流动： 建立快速、准确的信息传递机制，确保决策者能够及时获取所需信息。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紧急决策培训： 对指挥层级的成员进行紧急决策的培训，提高其在危机时的决策效率。</w:t>
      </w:r>
    </w:p>
    <w:p>
      <w:pPr>
        <w:pStyle w:val="Heading2"/>
        <w:ind w:firstLine="560" w:firstLineChars="200"/>
        <w:rPr>
          <w:rFonts w:ascii="仿宋" w:eastAsia="仿宋" w:hAnsi="仿宋" w:cs="仿宋" w:hint="eastAsia"/>
          <w:sz w:val="28"/>
          <w:lang w:eastAsia="zh-CN"/>
        </w:rPr>
      </w:pPr>
      <w:bookmarkStart w:id="35" w:name="_Toc19677"/>
      <w:r>
        <w:rPr>
          <w:rFonts w:ascii="仿宋" w:eastAsia="仿宋" w:hAnsi="仿宋" w:cs="仿宋" w:hint="eastAsia"/>
          <w:sz w:val="28"/>
          <w:lang w:eastAsia="zh-CN"/>
        </w:rPr>
        <w:t>(三)、危机沟通与舆情控制</w:t>
      </w:r>
      <w:bookmarkEnd w:id="35"/>
    </w:p>
    <w:p>
      <w:pPr>
        <w:ind w:firstLine="560" w:firstLineChars="200"/>
        <w:rPr>
          <w:rFonts w:ascii="仿宋" w:eastAsia="仿宋" w:hAnsi="仿宋" w:cs="仿宋" w:hint="eastAsia"/>
          <w:sz w:val="28"/>
        </w:rPr>
      </w:pPr>
      <w:r>
        <w:rPr>
          <w:rFonts w:ascii="仿宋" w:eastAsia="仿宋" w:hAnsi="仿宋" w:cs="仿宋" w:hint="eastAsia"/>
          <w:sz w:val="28"/>
          <w:lang w:eastAsia="zh-CN"/>
        </w:rPr>
        <w:t>1. 沟通计划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制定完善的危机沟通计划是确保在紧急情况下能够迅速、有序地传递信息的前提。沟通计划需要包括明确的沟通渠道、信息发布时机、沟通对象等关键元素。关键步骤包括：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建立沟通团队： 成立专门的危机沟通团队，包括公关专业人士、法务顾问等，确保具备危机时的敏感性和专业性。</w:t>
      </w:r>
    </w:p>
    <w:p>
      <w:pPr>
        <w:ind w:firstLine="560" w:firstLineChars="200"/>
        <w:rPr>
          <w:rFonts w:ascii="仿宋" w:eastAsia="仿宋" w:hAnsi="仿宋" w:cs="仿宋" w:hint="eastAsia"/>
          <w:sz w:val="28"/>
        </w:rPr>
      </w:pPr>
      <w:r>
        <w:rPr>
          <w:rFonts w:ascii="仿宋" w:eastAsia="仿宋" w:hAnsi="仿宋" w:cs="仿宋" w:hint="eastAsia"/>
          <w:sz w:val="28"/>
          <w:lang w:eastAsia="zh-CN"/>
        </w:rPr>
        <w:t>危机信息归类： 对危机信息进行分类，确定哪些信息可以及时公开，哪些需要谨慎处理。</w:t>
      </w:r>
    </w:p>
    <w:p>
      <w:pPr>
        <w:ind w:firstLine="560" w:firstLineChars="200"/>
        <w:rPr>
          <w:rFonts w:ascii="仿宋" w:eastAsia="仿宋" w:hAnsi="仿宋" w:cs="仿宋" w:hint="eastAsia"/>
          <w:sz w:val="28"/>
        </w:rPr>
      </w:pPr>
      <w:r>
        <w:rPr>
          <w:rFonts w:ascii="仿宋" w:eastAsia="仿宋" w:hAnsi="仿宋" w:cs="仿宋" w:hint="eastAsia"/>
          <w:sz w:val="28"/>
          <w:lang w:eastAsia="zh-CN"/>
        </w:rPr>
        <w:t>选择沟通渠道： 根据危机的性质和影响，选择最合适的沟通渠道，包括媒体发布、社交媒体、公司网站等。</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信息发布时机： 在危机发生后及时发布信息，但确保信息的准确性和完整性，避免过早或过晚发布导致误解。</w:t>
      </w:r>
    </w:p>
    <w:p>
      <w:pPr>
        <w:ind w:firstLine="560" w:firstLineChars="200"/>
        <w:rPr>
          <w:rFonts w:ascii="仿宋" w:eastAsia="仿宋" w:hAnsi="仿宋" w:cs="仿宋" w:hint="eastAsia"/>
          <w:sz w:val="28"/>
        </w:rPr>
      </w:pPr>
      <w:r>
        <w:rPr>
          <w:rFonts w:ascii="仿宋" w:eastAsia="仿宋" w:hAnsi="仿宋" w:cs="仿宋" w:hint="eastAsia"/>
          <w:sz w:val="28"/>
          <w:lang w:eastAsia="zh-CN"/>
        </w:rPr>
        <w:t>2. 信息透明</w:t>
      </w:r>
    </w:p>
    <w:p>
      <w:pPr>
        <w:ind w:firstLine="560" w:firstLineChars="200"/>
        <w:rPr>
          <w:rFonts w:ascii="仿宋" w:eastAsia="仿宋" w:hAnsi="仿宋" w:cs="仿宋" w:hint="eastAsia"/>
          <w:sz w:val="28"/>
        </w:rPr>
        <w:sectPr>
          <w:headerReference w:type="default" r:id="rId76"/>
          <w:footerReference w:type="default" r:id="rId77"/>
          <w:type w:val="nextPage"/>
          <w:pgSz w:w="11906" w:h="16838"/>
          <w:pgMar w:top="1440" w:right="1800" w:bottom="1440" w:left="1800" w:header="851" w:footer="992" w:gutter="0"/>
          <w:pgNumType w:start="3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危机发生时，保持信息的透明度是建立信任和减轻公众焦虑的关键。透明沟通需要展示组织的负责任态度，积极回应公众关切。关键步骤包括：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真实情况公开： 在信息发布中坚持真实、客观的原则，对危机的真实情况进行公开。</w:t>
      </w:r>
    </w:p>
    <w:p>
      <w:pPr>
        <w:ind w:firstLine="560" w:firstLineChars="200"/>
        <w:rPr>
          <w:rFonts w:ascii="仿宋" w:eastAsia="仿宋" w:hAnsi="仿宋" w:cs="仿宋" w:hint="eastAsia"/>
          <w:sz w:val="28"/>
        </w:rPr>
      </w:pPr>
      <w:r>
        <w:rPr>
          <w:rFonts w:ascii="仿宋" w:eastAsia="仿宋" w:hAnsi="仿宋" w:cs="仿宋" w:hint="eastAsia"/>
          <w:sz w:val="28"/>
          <w:lang w:eastAsia="zh-CN"/>
        </w:rPr>
        <w:t>不隐瞒问题： 如有错误或疏忽，勇于承认，并及时采取纠正措施，避免信息隐瞒引发更大危机。</w:t>
      </w:r>
    </w:p>
    <w:p>
      <w:pPr>
        <w:ind w:firstLine="560" w:firstLineChars="200"/>
        <w:rPr>
          <w:rFonts w:ascii="仿宋" w:eastAsia="仿宋" w:hAnsi="仿宋" w:cs="仿宋" w:hint="eastAsia"/>
          <w:sz w:val="28"/>
        </w:rPr>
      </w:pPr>
      <w:r>
        <w:rPr>
          <w:rFonts w:ascii="仿宋" w:eastAsia="仿宋" w:hAnsi="仿宋" w:cs="仿宋" w:hint="eastAsia"/>
          <w:sz w:val="28"/>
          <w:lang w:eastAsia="zh-CN"/>
        </w:rPr>
        <w:t>接受采访和回应： 主动接受媒体采访，回应公众关切，积极参与危机舆论引导。</w:t>
      </w:r>
    </w:p>
    <w:p>
      <w:pPr>
        <w:ind w:firstLine="560" w:firstLineChars="200"/>
        <w:rPr>
          <w:rFonts w:ascii="仿宋" w:eastAsia="仿宋" w:hAnsi="仿宋" w:cs="仿宋" w:hint="eastAsia"/>
          <w:sz w:val="28"/>
        </w:rPr>
      </w:pPr>
      <w:r>
        <w:rPr>
          <w:rFonts w:ascii="仿宋" w:eastAsia="仿宋" w:hAnsi="仿宋" w:cs="仿宋" w:hint="eastAsia"/>
          <w:sz w:val="28"/>
          <w:lang w:eastAsia="zh-CN"/>
        </w:rPr>
        <w:t>3. 舆情监测</w:t>
      </w:r>
    </w:p>
    <w:p>
      <w:pPr>
        <w:ind w:firstLine="560" w:firstLineChars="200"/>
        <w:rPr>
          <w:rFonts w:ascii="仿宋" w:eastAsia="仿宋" w:hAnsi="仿宋" w:cs="仿宋" w:hint="eastAsia"/>
          <w:sz w:val="28"/>
        </w:rPr>
      </w:pPr>
      <w:r>
        <w:rPr>
          <w:rFonts w:ascii="仿宋" w:eastAsia="仿宋" w:hAnsi="仿宋" w:cs="仿宋" w:hint="eastAsia"/>
          <w:sz w:val="28"/>
          <w:lang w:eastAsia="zh-CN"/>
        </w:rPr>
        <w:t>舆情监测是对社会舆论动态的及时了解和调整的关键环节。通过舆情监测，企业可以更好地把握公众的态度和情感，有针对性地调整沟通策略。关键步骤包括：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设立监测机制： 建立舆情监测系统，覆盖主流媒体、社交媒体、网络论坛等多个渠道，全面了解舆情动向。</w:t>
      </w:r>
    </w:p>
    <w:p>
      <w:pPr>
        <w:ind w:firstLine="560" w:firstLineChars="200"/>
        <w:rPr>
          <w:rFonts w:ascii="仿宋" w:eastAsia="仿宋" w:hAnsi="仿宋" w:cs="仿宋" w:hint="eastAsia"/>
          <w:sz w:val="28"/>
        </w:rPr>
      </w:pPr>
      <w:r>
        <w:rPr>
          <w:rFonts w:ascii="仿宋" w:eastAsia="仿宋" w:hAnsi="仿宋" w:cs="仿宋" w:hint="eastAsia"/>
          <w:sz w:val="28"/>
          <w:lang w:eastAsia="zh-CN"/>
        </w:rPr>
        <w:t>情感分析： 对舆情进行情感分析，了解公众的情感倾向，有针对性地调整信息发布策略。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即时回应： 对于涉及企业的谣言或误解，及时进行回应和澄清，防止虚假信息传播。</w:t>
      </w:r>
    </w:p>
    <w:p>
      <w:pPr>
        <w:ind w:firstLine="560" w:firstLineChars="200"/>
        <w:rPr>
          <w:rFonts w:ascii="仿宋" w:eastAsia="仿宋" w:hAnsi="仿宋" w:cs="仿宋" w:hint="eastAsia"/>
          <w:sz w:val="28"/>
        </w:rPr>
      </w:pPr>
      <w:r>
        <w:rPr>
          <w:rFonts w:ascii="仿宋" w:eastAsia="仿宋" w:hAnsi="仿宋" w:cs="仿宋" w:hint="eastAsia"/>
          <w:sz w:val="28"/>
          <w:lang w:eastAsia="zh-CN"/>
        </w:rPr>
        <w:t>4. 危机后教训</w:t>
      </w:r>
    </w:p>
    <w:p>
      <w:pPr>
        <w:ind w:firstLine="560" w:firstLineChars="200"/>
        <w:rPr>
          <w:rFonts w:ascii="仿宋" w:eastAsia="仿宋" w:hAnsi="仿宋" w:cs="仿宋" w:hint="eastAsia"/>
          <w:sz w:val="28"/>
        </w:rPr>
      </w:pPr>
      <w:r>
        <w:rPr>
          <w:rFonts w:ascii="仿宋" w:eastAsia="仿宋" w:hAnsi="仿宋" w:cs="仿宋" w:hint="eastAsia"/>
          <w:sz w:val="28"/>
          <w:lang w:eastAsia="zh-CN"/>
        </w:rPr>
        <w:t>危机后教训的总结和改进是危机沟通的闭环。通过反思危机沟通过程，企业可以更好地准备未来可能发生的危机，提升危机沟通的水平。关键步骤包括：</w:t>
      </w:r>
    </w:p>
    <w:p>
      <w:pPr>
        <w:ind w:firstLine="560" w:firstLineChars="200"/>
        <w:rPr>
          <w:rFonts w:ascii="仿宋" w:eastAsia="仿宋" w:hAnsi="仿宋" w:cs="仿宋" w:hint="eastAsia"/>
          <w:sz w:val="28"/>
        </w:rPr>
        <w:sectPr>
          <w:headerReference w:type="default" r:id="rId78"/>
          <w:footerReference w:type="default" r:id="rId79"/>
          <w:type w:val="nextPage"/>
          <w:pgSz w:w="11906" w:h="16838"/>
          <w:pgMar w:top="1440" w:right="1800" w:bottom="1440" w:left="1800" w:header="851" w:footer="992" w:gutter="0"/>
          <w:pgNumType w:start="38"/>
          <w:cols w:num="1" w:space="425"/>
          <w:titlePg w:val="0"/>
          <w:docGrid w:type="lines" w:linePitch="312" w:charSpace="0"/>
        </w:sectPr>
      </w:pPr>
      <w:r>
        <w:rPr>
          <w:rFonts w:ascii="仿宋" w:eastAsia="仿宋" w:hAnsi="仿宋" w:cs="仿宋" w:hint="eastAsia"/>
          <w:sz w:val="28"/>
          <w:lang w:eastAsia="zh-CN"/>
        </w:rPr>
        <w:t>总结经验教训：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对危机沟通过程进行深入总结，明确优点和不足之处。</w:t>
      </w:r>
    </w:p>
    <w:p>
      <w:pPr>
        <w:ind w:firstLine="560" w:firstLineChars="200"/>
        <w:rPr>
          <w:rFonts w:ascii="仿宋" w:eastAsia="仿宋" w:hAnsi="仿宋" w:cs="仿宋" w:hint="eastAsia"/>
          <w:sz w:val="28"/>
        </w:rPr>
      </w:pPr>
      <w:r>
        <w:rPr>
          <w:rFonts w:ascii="仿宋" w:eastAsia="仿宋" w:hAnsi="仿宋" w:cs="仿宋" w:hint="eastAsia"/>
          <w:sz w:val="28"/>
          <w:lang w:eastAsia="zh-CN"/>
        </w:rPr>
        <w:t>改进沟通策略： 根据总结的教训，调整和改进危机沟通策略，提高应对危机的能力。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培训沟通团队： 将总结的经验教训纳入危机沟通团队的培训体系，提高团队的专业水平。</w:t>
      </w:r>
    </w:p>
    <w:p>
      <w:pPr>
        <w:pStyle w:val="Heading2"/>
        <w:ind w:firstLine="560" w:firstLineChars="200"/>
        <w:rPr>
          <w:rFonts w:ascii="仿宋" w:eastAsia="仿宋" w:hAnsi="仿宋" w:cs="仿宋" w:hint="eastAsia"/>
          <w:sz w:val="28"/>
          <w:lang w:eastAsia="zh-CN"/>
        </w:rPr>
      </w:pPr>
      <w:bookmarkStart w:id="36" w:name="_Toc22511"/>
      <w:r>
        <w:rPr>
          <w:rFonts w:ascii="仿宋" w:eastAsia="仿宋" w:hAnsi="仿宋" w:cs="仿宋" w:hint="eastAsia"/>
          <w:sz w:val="28"/>
          <w:lang w:eastAsia="zh-CN"/>
        </w:rPr>
        <w:t>(四)、危机后教训与改进</w:t>
      </w:r>
      <w:bookmarkEnd w:id="36"/>
    </w:p>
    <w:p>
      <w:pPr>
        <w:ind w:firstLine="560" w:firstLineChars="200"/>
        <w:rPr>
          <w:rFonts w:ascii="仿宋" w:eastAsia="仿宋" w:hAnsi="仿宋" w:cs="仿宋" w:hint="eastAsia"/>
          <w:sz w:val="28"/>
        </w:rPr>
      </w:pPr>
      <w:r>
        <w:rPr>
          <w:rFonts w:ascii="仿宋" w:eastAsia="仿宋" w:hAnsi="仿宋" w:cs="仿宋" w:hint="eastAsia"/>
          <w:sz w:val="28"/>
          <w:lang w:eastAsia="zh-CN"/>
        </w:rPr>
        <w:t>1. 总结经验教训</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在危机发生后，对整个危机处理过程进行全面、深入的总结是确保企业能够吸取经验教训的首要步骤。关键方面包括：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问题识别： 确定危机处理过程中出现的问题，包括内部失误、外部压力、公众反应等方面。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决策评估： 对危机管理团队的决策进行客观评估，确定哪些决策起到了积极作用，哪些需要调整和改进。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资源利用： 评估危机期间各类资源的利用效率，包括人力、物力、信息等。</w:t>
      </w:r>
    </w:p>
    <w:p>
      <w:pPr>
        <w:ind w:firstLine="560" w:firstLineChars="200"/>
        <w:rPr>
          <w:rFonts w:ascii="仿宋" w:eastAsia="仿宋" w:hAnsi="仿宋" w:cs="仿宋" w:hint="eastAsia"/>
          <w:sz w:val="28"/>
        </w:rPr>
      </w:pPr>
      <w:r>
        <w:rPr>
          <w:rFonts w:ascii="仿宋" w:eastAsia="仿宋" w:hAnsi="仿宋" w:cs="仿宋" w:hint="eastAsia"/>
          <w:sz w:val="28"/>
          <w:lang w:eastAsia="zh-CN"/>
        </w:rPr>
        <w:t>2. 改进管理策略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基于总结的经验教训，制定并实施改进危机管理策略是确保企业下次危机能够更好应对的关键一环。关键方面包括：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修订危机预案： 根据危机中暴露的问题和不足，对危机预案进行修订和升级，确保其更具实效性和适应性。</w:t>
      </w:r>
    </w:p>
    <w:p>
      <w:pPr>
        <w:ind w:firstLine="560" w:firstLineChars="200"/>
        <w:rPr>
          <w:rFonts w:ascii="仿宋" w:eastAsia="仿宋" w:hAnsi="仿宋" w:cs="仿宋" w:hint="eastAsia"/>
          <w:sz w:val="28"/>
        </w:rPr>
        <w:sectPr>
          <w:headerReference w:type="default" r:id="rId80"/>
          <w:footerReference w:type="default" r:id="rId81"/>
          <w:type w:val="nextPage"/>
          <w:pgSz w:w="11906" w:h="16838"/>
          <w:pgMar w:top="1440" w:right="1800" w:bottom="1440" w:left="1800" w:header="851" w:footer="992" w:gutter="0"/>
          <w:pgNumType w:start="39"/>
          <w:cols w:num="1" w:space="425"/>
          <w:titlePg w:val="0"/>
          <w:docGrid w:type="lines" w:linePitch="312" w:charSpace="0"/>
        </w:sectPr>
      </w:pPr>
      <w:r>
        <w:rPr>
          <w:rFonts w:ascii="仿宋" w:eastAsia="仿宋" w:hAnsi="仿宋" w:cs="仿宋" w:hint="eastAsia"/>
          <w:sz w:val="28"/>
          <w:lang w:eastAsia="zh-CN"/>
        </w:rPr>
        <w:t>加强团队培训：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针对危机管理团队，开展专业培训，提高成员的应变能力、决策水平和团队协同能力。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升级技术支持： 结合危机处理中出现的技术问题，考虑引入更先进的技术手段，提升信息收集和处理的效率。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3. 提高沟通效果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危机时的沟通效果直接关系到公众对企业的认知和态度。通过改进沟通策略，企业可以更好地引导舆论、维护声誉。关键方面包括：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提升透明度： 加强信息透明度，及时、准确地向公众传递危机信息，减少信息不对称。</w:t>
      </w:r>
    </w:p>
    <w:p>
      <w:pPr>
        <w:ind w:firstLine="560" w:firstLineChars="200"/>
        <w:rPr>
          <w:rFonts w:ascii="仿宋" w:eastAsia="仿宋" w:hAnsi="仿宋" w:cs="仿宋" w:hint="eastAsia"/>
          <w:sz w:val="28"/>
        </w:rPr>
      </w:pPr>
      <w:r>
        <w:rPr>
          <w:rFonts w:ascii="仿宋" w:eastAsia="仿宋" w:hAnsi="仿宋" w:cs="仿宋" w:hint="eastAsia"/>
          <w:sz w:val="28"/>
          <w:lang w:eastAsia="zh-CN"/>
        </w:rPr>
        <w:t>加强社交媒体管理： 提升在社交媒体上的管理水平，积极参与互动，防范谣言传播，维护正面形象。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改进危机沟通团队： 对危机沟通团队进行定期培训，提高团队的危机沟通策略和危机公关技巧。</w:t>
      </w:r>
    </w:p>
    <w:p>
      <w:pPr>
        <w:ind w:firstLine="560" w:firstLineChars="200"/>
        <w:rPr>
          <w:rFonts w:ascii="仿宋" w:eastAsia="仿宋" w:hAnsi="仿宋" w:cs="仿宋" w:hint="eastAsia"/>
          <w:sz w:val="28"/>
        </w:rPr>
      </w:pPr>
      <w:r>
        <w:rPr>
          <w:rFonts w:ascii="仿宋" w:eastAsia="仿宋" w:hAnsi="仿宋" w:cs="仿宋" w:hint="eastAsia"/>
          <w:sz w:val="28"/>
          <w:lang w:eastAsia="zh-CN"/>
        </w:rPr>
        <w:t>4. 定期演练与检验</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为确保改进措施的有效性，企业需要定期组织危机演练，并对演练结果进行检验和评估。关键方面包括：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演练目标明确： 制定明确的演练目标，包括测试预案可行性、团队协同效果等。</w:t>
      </w:r>
    </w:p>
    <w:p>
      <w:pPr>
        <w:ind w:firstLine="560" w:firstLineChars="200"/>
        <w:rPr>
          <w:rFonts w:ascii="仿宋" w:eastAsia="仿宋" w:hAnsi="仿宋" w:cs="仿宋" w:hint="eastAsia"/>
          <w:sz w:val="28"/>
        </w:rPr>
      </w:pPr>
      <w:r>
        <w:rPr>
          <w:rFonts w:ascii="仿宋" w:eastAsia="仿宋" w:hAnsi="仿宋" w:cs="仿宋" w:hint="eastAsia"/>
          <w:sz w:val="28"/>
          <w:lang w:eastAsia="zh-CN"/>
        </w:rPr>
        <w:t>多方参与演练： 邀请外部专业机构参与演练，提供客观的评价和建议。</w:t>
      </w:r>
    </w:p>
    <w:p>
      <w:pPr>
        <w:ind w:firstLine="560" w:firstLineChars="200"/>
        <w:rPr>
          <w:rFonts w:ascii="仿宋" w:eastAsia="仿宋" w:hAnsi="仿宋" w:cs="仿宋" w:hint="eastAsia"/>
          <w:sz w:val="28"/>
        </w:rPr>
        <w:sectPr>
          <w:headerReference w:type="default" r:id="rId82"/>
          <w:footerReference w:type="default" r:id="rId83"/>
          <w:type w:val="nextPage"/>
          <w:pgSz w:w="11906" w:h="16838"/>
          <w:pgMar w:top="1440" w:right="1800" w:bottom="1440" w:left="1800" w:header="851" w:footer="992" w:gutter="0"/>
          <w:pgNumType w:start="40"/>
          <w:cols w:num="1" w:space="425"/>
          <w:titlePg w:val="0"/>
          <w:docGrid w:type="lines" w:linePitch="312" w:charSpace="0"/>
        </w:sectPr>
      </w:pPr>
      <w:r>
        <w:rPr>
          <w:rFonts w:ascii="仿宋" w:eastAsia="仿宋" w:hAnsi="仿宋" w:cs="仿宋" w:hint="eastAsia"/>
          <w:sz w:val="28"/>
          <w:lang w:eastAsia="zh-CN"/>
        </w:rPr>
        <w:t>演练结果反馈： 对演练结果进行深入分析，识别问题和不足，为下一轮改进提供依据。</w:t>
      </w:r>
    </w:p>
    <w:p>
      <w:pPr>
        <w:pStyle w:val="Heading1"/>
        <w:ind w:firstLine="560" w:firstLineChars="200"/>
        <w:rPr>
          <w:rFonts w:ascii="仿宋" w:eastAsia="仿宋" w:hAnsi="仿宋" w:cs="仿宋" w:hint="eastAsia"/>
          <w:sz w:val="28"/>
          <w:lang w:eastAsia="zh-CN"/>
        </w:rPr>
      </w:pPr>
      <w:bookmarkStart w:id="37" w:name="_Toc2104"/>
      <w:r>
        <w:rPr>
          <w:rFonts w:ascii="仿宋" w:eastAsia="仿宋" w:hAnsi="仿宋" w:cs="仿宋" w:hint="eastAsia"/>
          <w:sz w:val="28"/>
          <w:lang w:eastAsia="zh-CN"/>
        </w:rPr>
        <w:t>七、电磁学计量标准器具项目风险评估</w:t>
      </w:r>
      <w:bookmarkEnd w:id="37"/>
    </w:p>
    <w:p>
      <w:pPr>
        <w:pStyle w:val="Heading2"/>
        <w:rPr>
          <w:rFonts w:ascii="仿宋" w:eastAsia="仿宋" w:hAnsi="仿宋" w:cs="仿宋" w:hint="eastAsia"/>
          <w:lang w:eastAsia="zh-CN"/>
        </w:rPr>
      </w:pPr>
      <w:bookmarkStart w:id="38" w:name="_Toc31445"/>
      <w:r>
        <w:rPr>
          <w:rFonts w:ascii="仿宋" w:eastAsia="仿宋" w:hAnsi="仿宋" w:cs="仿宋" w:hint="eastAsia"/>
          <w:lang w:eastAsia="zh-CN"/>
        </w:rPr>
        <w:t>(一)、政策风险分析</w:t>
      </w:r>
      <w:bookmarkEnd w:id="38"/>
    </w:p>
    <w:p>
      <w:pPr>
        <w:ind w:firstLine="560" w:firstLineChars="200"/>
        <w:rPr>
          <w:rFonts w:ascii="仿宋" w:eastAsia="仿宋" w:hAnsi="仿宋" w:cs="仿宋" w:hint="eastAsia"/>
          <w:sz w:val="28"/>
        </w:rPr>
      </w:pPr>
      <w:r>
        <w:rPr>
          <w:rFonts w:ascii="仿宋" w:eastAsia="仿宋" w:hAnsi="仿宋" w:cs="仿宋" w:hint="eastAsia"/>
          <w:sz w:val="28"/>
          <w:lang w:eastAsia="zh-CN"/>
        </w:rPr>
        <w:t>政策风险分析是在电磁学计量标准器具项目实施中考虑政府政策变化可能带来的影响和挑战。政策风险分析的一般步骤：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政策环境变化：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首先，分析所处地区的政治和法规环境。政府在不同时间可能会出台新政策、修改法规或者废除旧政策，这可能对电磁学计量标准器具项目的经营产生重大影响。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2. 行业监管政策：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了解行业监管政策的动态变化。某些行业受到特殊监管，政府可能会频繁调整监管标准。电磁学计量标准器具项目如果处于受监管行业，需要密切关注相关政策变动。</w:t>
      </w:r>
    </w:p>
    <w:p>
      <w:pPr>
        <w:ind w:firstLine="560" w:firstLineChars="200"/>
        <w:rPr>
          <w:rFonts w:ascii="仿宋" w:eastAsia="仿宋" w:hAnsi="仿宋" w:cs="仿宋" w:hint="eastAsia"/>
          <w:sz w:val="28"/>
        </w:rPr>
      </w:pPr>
      <w:r>
        <w:rPr>
          <w:rFonts w:ascii="仿宋" w:eastAsia="仿宋" w:hAnsi="仿宋" w:cs="仿宋" w:hint="eastAsia"/>
          <w:sz w:val="28"/>
          <w:lang w:eastAsia="zh-CN"/>
        </w:rPr>
        <w:t>3. 税收政策：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分析税收政策的可能变化。税收政策的调整可能影响企业的盈利水平。了解企业所在地区的税收政策，包括企业所得税、增值税等，以及是否存在税收优惠政策。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4. 贸易政策：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如果电磁学计量标准器具项目涉及跨境贸易，需要考虑国际贸易政策的影响。关税、贸易壁垒、出口管制等因素可能对电磁学计量标准器具项目的进出口产生直接影响。</w:t>
      </w:r>
    </w:p>
    <w:p>
      <w:pPr>
        <w:ind w:firstLine="560" w:firstLineChars="200"/>
        <w:rPr>
          <w:rFonts w:ascii="仿宋" w:eastAsia="仿宋" w:hAnsi="仿宋" w:cs="仿宋" w:hint="eastAsia"/>
          <w:sz w:val="28"/>
        </w:rPr>
        <w:sectPr>
          <w:headerReference w:type="default" r:id="rId84"/>
          <w:footerReference w:type="default" r:id="rId85"/>
          <w:type w:val="nextPage"/>
          <w:pgSz w:w="11906" w:h="16838"/>
          <w:pgMar w:top="1440" w:right="1800" w:bottom="1440" w:left="1800" w:header="851" w:footer="992" w:gutter="0"/>
          <w:pgNumType w:start="41"/>
          <w:cols w:num="1" w:space="425"/>
          <w:titlePg w:val="0"/>
          <w:docGrid w:type="lines" w:linePitch="312" w:charSpace="0"/>
        </w:sectPr>
      </w:pPr>
      <w:r>
        <w:rPr>
          <w:rFonts w:ascii="仿宋" w:eastAsia="仿宋" w:hAnsi="仿宋" w:cs="仿宋" w:hint="eastAsia"/>
          <w:sz w:val="28"/>
          <w:lang w:eastAsia="zh-CN"/>
        </w:rPr>
        <w:t>5. 环保和能源政策：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政府对环保和能源政策的调整可能对某些行业产生深远的影响。了解并评估与电磁学计量标准器具项目相关的环保法规和能源政策的变化。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6. 劳动力法规：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分析劳动力法规的变动。劳动力法规的改变可能导致劳动力成本的波动，或者对雇佣关系和劳动力管理提出新的要求。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市场准入政策：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了解市场准入政策的情况，特别是对新兴产业或外资企业的市场准入条件。政府对于不同行业的准入标准可能会发生变化。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8. 法律体系的稳定性：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评估所处地区的法律体系的稳定性。法律环境的不稳定可能导致合同不确定性，司法争议的增加等。</w:t>
      </w:r>
    </w:p>
    <w:p>
      <w:pPr>
        <w:ind w:firstLine="560" w:firstLineChars="200"/>
        <w:rPr>
          <w:rFonts w:ascii="仿宋" w:eastAsia="仿宋" w:hAnsi="仿宋" w:cs="仿宋" w:hint="eastAsia"/>
          <w:sz w:val="28"/>
        </w:rPr>
      </w:pPr>
      <w:r>
        <w:rPr>
          <w:rFonts w:ascii="仿宋" w:eastAsia="仿宋" w:hAnsi="仿宋" w:cs="仿宋" w:hint="eastAsia"/>
          <w:sz w:val="28"/>
          <w:lang w:eastAsia="zh-CN"/>
        </w:rPr>
        <w:t>9. 政策变动的预测：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尝试预测政府政策的未来变动，可能的方向和趋势。这有助于企业更好地应对潜在的政策风险。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10. 风险缓解策略：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制定针对可能政策风险的应对策略，如建立政府关系、多方沟通、合规性审查等，以降低电磁学计量标准器具项目受政策影响的程度。</w:t>
      </w:r>
    </w:p>
    <w:p>
      <w:pPr>
        <w:pStyle w:val="Heading2"/>
        <w:ind w:firstLine="560" w:firstLineChars="200"/>
        <w:rPr>
          <w:rFonts w:ascii="仿宋" w:eastAsia="仿宋" w:hAnsi="仿宋" w:cs="仿宋" w:hint="eastAsia"/>
          <w:sz w:val="28"/>
          <w:lang w:eastAsia="zh-CN"/>
        </w:rPr>
      </w:pPr>
      <w:bookmarkStart w:id="39" w:name="_Toc28868"/>
      <w:r>
        <w:rPr>
          <w:rFonts w:ascii="仿宋" w:eastAsia="仿宋" w:hAnsi="仿宋" w:cs="仿宋" w:hint="eastAsia"/>
          <w:sz w:val="28"/>
          <w:lang w:eastAsia="zh-CN"/>
        </w:rPr>
        <w:t>(二)、社会风险分析</w:t>
      </w:r>
      <w:bookmarkEnd w:id="39"/>
    </w:p>
    <w:p>
      <w:pPr>
        <w:ind w:firstLine="560" w:firstLineChars="200"/>
        <w:rPr>
          <w:rFonts w:ascii="仿宋" w:eastAsia="仿宋" w:hAnsi="仿宋" w:cs="仿宋" w:hint="eastAsia"/>
          <w:sz w:val="28"/>
        </w:rPr>
      </w:pPr>
      <w:r>
        <w:rPr>
          <w:rFonts w:ascii="仿宋" w:eastAsia="仿宋" w:hAnsi="仿宋" w:cs="仿宋" w:hint="eastAsia"/>
          <w:sz w:val="28"/>
          <w:lang w:eastAsia="zh-CN"/>
        </w:rPr>
        <w:t>1. 社会稳定性：</w:t>
      </w:r>
    </w:p>
    <w:p>
      <w:pPr>
        <w:ind w:firstLine="560" w:firstLineChars="200"/>
        <w:rPr>
          <w:rFonts w:ascii="仿宋" w:eastAsia="仿宋" w:hAnsi="仿宋" w:cs="仿宋" w:hint="eastAsia"/>
          <w:sz w:val="28"/>
        </w:rPr>
        <w:sectPr>
          <w:headerReference w:type="default" r:id="rId86"/>
          <w:footerReference w:type="default" r:id="rId87"/>
          <w:type w:val="nextPage"/>
          <w:pgSz w:w="11906" w:h="16838"/>
          <w:pgMar w:top="1440" w:right="1800" w:bottom="1440" w:left="1800" w:header="851" w:footer="992" w:gutter="0"/>
          <w:pgNumType w:start="4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首先，评估所处地区的社会稳定性。社会动荡、示威抗议、劳工纷争等可能对电磁学计量标准器具项目产生负面影响。了解社会的整体稳定水平对风险预测至关重要。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2. 社会关系：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分析电磁学计量标准器具项目可能涉及的社会关系网络。了解关键利益相关者、社区居民、非政府组织（NGO）等的态度和期望，以及电磁学计量标准器具项目对其可能产生的影响。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3. 社会对电磁学计量标准器具项目的接受度：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社会对电磁学计量标准器具项目的接受度和态度。有时候，电磁学计量标准器具项目可能面临来自社区居民或其他利益相关者的抵制。评估社会对电磁学计量标准器具项目的整体反应，包括可能的正面和负面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4. 社会文化背景：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考虑社会文化背景对电磁学计量标准器具项目的影响。不同地区有不同的文化价值观念和行为模式，了解并尊重当地文化有助于减少文化冲突和误解。</w:t>
      </w:r>
    </w:p>
    <w:p>
      <w:pPr>
        <w:ind w:firstLine="560" w:firstLineChars="200"/>
        <w:rPr>
          <w:rFonts w:ascii="仿宋" w:eastAsia="仿宋" w:hAnsi="仿宋" w:cs="仿宋" w:hint="eastAsia"/>
          <w:sz w:val="28"/>
        </w:rPr>
      </w:pPr>
      <w:r>
        <w:rPr>
          <w:rFonts w:ascii="仿宋" w:eastAsia="仿宋" w:hAnsi="仿宋" w:cs="仿宋" w:hint="eastAsia"/>
          <w:sz w:val="28"/>
          <w:lang w:eastAsia="zh-CN"/>
        </w:rPr>
        <w:t>5. 社会公平和包容性：</w:t>
      </w:r>
    </w:p>
    <w:p>
      <w:pPr>
        <w:ind w:firstLine="560" w:firstLineChars="200"/>
        <w:rPr>
          <w:rFonts w:ascii="仿宋" w:eastAsia="仿宋" w:hAnsi="仿宋" w:cs="仿宋" w:hint="eastAsia"/>
          <w:sz w:val="28"/>
        </w:rPr>
      </w:pPr>
      <w:r>
        <w:rPr>
          <w:rFonts w:ascii="仿宋" w:eastAsia="仿宋" w:hAnsi="仿宋" w:cs="仿宋" w:hint="eastAsia"/>
          <w:sz w:val="28"/>
          <w:lang w:eastAsia="zh-CN"/>
        </w:rPr>
        <w:t>评估电磁学计量标准器具项目对社会公平和包容性的影响。电磁学计量标准器具项目是否能够促进社会的平等和包容，避免对弱势群体的不利影响。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6. 社会责任和可持续发展：</w:t>
      </w:r>
    </w:p>
    <w:p>
      <w:pPr>
        <w:ind w:firstLine="560" w:firstLineChars="200"/>
        <w:rPr>
          <w:rFonts w:ascii="仿宋" w:eastAsia="仿宋" w:hAnsi="仿宋" w:cs="仿宋" w:hint="eastAsia"/>
          <w:sz w:val="28"/>
        </w:rPr>
        <w:sectPr>
          <w:headerReference w:type="default" r:id="rId88"/>
          <w:footerReference w:type="default" r:id="rId89"/>
          <w:type w:val="nextPage"/>
          <w:pgSz w:w="11906" w:h="16838"/>
          <w:pgMar w:top="1440" w:right="1800" w:bottom="1440" w:left="1800" w:header="851" w:footer="992" w:gutter="0"/>
          <w:pgNumType w:start="4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电磁学计量标准器具项目是否考虑社会责任和可持续发展原则，以确保电磁学计量标准器具项目的可持续性和社会价值。社会责任意识有助于提升电磁学计量标准器具项目在社会中的声誉和认可。</w:t>
      </w:r>
    </w:p>
    <w:p>
      <w:pPr>
        <w:ind w:firstLine="560" w:firstLineChars="200"/>
        <w:rPr>
          <w:rFonts w:ascii="仿宋" w:eastAsia="仿宋" w:hAnsi="仿宋" w:cs="仿宋" w:hint="eastAsia"/>
          <w:sz w:val="28"/>
        </w:rPr>
      </w:pPr>
      <w:r>
        <w:rPr>
          <w:rFonts w:ascii="仿宋" w:eastAsia="仿宋" w:hAnsi="仿宋" w:cs="仿宋" w:hint="eastAsia"/>
          <w:sz w:val="28"/>
          <w:lang w:eastAsia="zh-CN"/>
        </w:rPr>
        <w:t>7. 社区参与和沟通：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建立有效的社区参与和沟通机制，以确保电磁学计量标准器具项目的透明度和社区居民对电磁学计量标准器具项目决策的参与。主动与社区进行沟通有助于解决潜在的社会矛盾。</w:t>
      </w:r>
    </w:p>
    <w:p>
      <w:pPr>
        <w:ind w:firstLine="560" w:firstLineChars="200"/>
        <w:rPr>
          <w:rFonts w:ascii="仿宋" w:eastAsia="仿宋" w:hAnsi="仿宋" w:cs="仿宋" w:hint="eastAsia"/>
          <w:sz w:val="28"/>
        </w:rPr>
      </w:pPr>
      <w:r>
        <w:rPr>
          <w:rFonts w:ascii="仿宋" w:eastAsia="仿宋" w:hAnsi="仿宋" w:cs="仿宋" w:hint="eastAsia"/>
          <w:sz w:val="28"/>
          <w:lang w:eastAsia="zh-CN"/>
        </w:rPr>
        <w:t>8. 风险缓解策略：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基于社会风险的评估，制定相应的风险缓解策略。这可能包括社会责任电磁学计量标准器具项目、社区投资、利益相关者参与计划等。</w:t>
      </w:r>
    </w:p>
    <w:p>
      <w:pPr>
        <w:ind w:firstLine="560" w:firstLineChars="200"/>
        <w:rPr>
          <w:rFonts w:ascii="仿宋" w:eastAsia="仿宋" w:hAnsi="仿宋" w:cs="仿宋" w:hint="eastAsia"/>
          <w:sz w:val="28"/>
        </w:rPr>
      </w:pPr>
      <w:r>
        <w:rPr>
          <w:rFonts w:ascii="仿宋" w:eastAsia="仿宋" w:hAnsi="仿宋" w:cs="仿宋" w:hint="eastAsia"/>
          <w:sz w:val="28"/>
          <w:lang w:eastAsia="zh-CN"/>
        </w:rPr>
        <w:t>9. 社会舆论监测：</w:t>
      </w:r>
    </w:p>
    <w:p>
      <w:pPr>
        <w:ind w:firstLine="560" w:firstLineChars="200"/>
        <w:rPr>
          <w:rFonts w:ascii="仿宋" w:eastAsia="仿宋" w:hAnsi="仿宋" w:cs="仿宋" w:hint="eastAsia"/>
          <w:sz w:val="28"/>
        </w:rPr>
      </w:pPr>
      <w:r>
        <w:rPr>
          <w:rFonts w:ascii="仿宋" w:eastAsia="仿宋" w:hAnsi="仿宋" w:cs="仿宋" w:hint="eastAsia"/>
          <w:sz w:val="28"/>
          <w:lang w:eastAsia="zh-CN"/>
        </w:rPr>
        <w:t>监测社会舆论对电磁学计量标准器具项目的反应，及时了解社会动态，以便及时做出应对调整。</w:t>
      </w:r>
    </w:p>
    <w:p>
      <w:pPr>
        <w:pStyle w:val="Heading2"/>
        <w:ind w:firstLine="560" w:firstLineChars="200"/>
        <w:rPr>
          <w:rFonts w:ascii="仿宋" w:eastAsia="仿宋" w:hAnsi="仿宋" w:cs="仿宋" w:hint="eastAsia"/>
          <w:sz w:val="28"/>
          <w:lang w:eastAsia="zh-CN"/>
        </w:rPr>
      </w:pPr>
      <w:bookmarkStart w:id="40" w:name="_Toc23824"/>
      <w:r>
        <w:rPr>
          <w:rFonts w:ascii="仿宋" w:eastAsia="仿宋" w:hAnsi="仿宋" w:cs="仿宋" w:hint="eastAsia"/>
          <w:sz w:val="28"/>
          <w:lang w:eastAsia="zh-CN"/>
        </w:rPr>
        <w:t>(三)、市场风险分析</w:t>
      </w:r>
      <w:bookmarkEnd w:id="40"/>
    </w:p>
    <w:p>
      <w:pPr>
        <w:ind w:firstLine="560" w:firstLineChars="200"/>
        <w:rPr>
          <w:rFonts w:ascii="仿宋" w:eastAsia="仿宋" w:hAnsi="仿宋" w:cs="仿宋" w:hint="eastAsia"/>
          <w:sz w:val="28"/>
        </w:rPr>
      </w:pPr>
      <w:r>
        <w:rPr>
          <w:rFonts w:ascii="仿宋" w:eastAsia="仿宋" w:hAnsi="仿宋" w:cs="仿宋" w:hint="eastAsia"/>
          <w:sz w:val="28"/>
          <w:lang w:eastAsia="zh-CN"/>
        </w:rPr>
        <w:t>1. 市场需求波动：</w:t>
      </w:r>
    </w:p>
    <w:p>
      <w:pPr>
        <w:ind w:firstLine="560" w:firstLineChars="200"/>
        <w:rPr>
          <w:rFonts w:ascii="仿宋" w:eastAsia="仿宋" w:hAnsi="仿宋" w:cs="仿宋" w:hint="eastAsia"/>
          <w:sz w:val="28"/>
        </w:rPr>
      </w:pPr>
      <w:r>
        <w:rPr>
          <w:rFonts w:ascii="仿宋" w:eastAsia="仿宋" w:hAnsi="仿宋" w:cs="仿宋" w:hint="eastAsia"/>
          <w:sz w:val="28"/>
          <w:lang w:eastAsia="zh-CN"/>
        </w:rPr>
        <w:t>评估目标市场的需求是否存在波动性。市场需求的不稳定性可能导致销售额的波动，影响电磁学计量标准器具项目的盈利能力。了解市场需求的周期性和波动性对风险分析至关重要。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2. 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分析目标市场的竞争格局和竞争对手的强度。竞争压力的增加可能导致价格下降、市场份额减少等问题。了解竞争对手的策略和市场定位，制定相应的竞争策略。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3. 技术变革：</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90" w:history="1">
        <w:r>
          <w:rPr>
            <w:rFonts w:ascii="SimSun" w:eastAsia="SimSun" w:hAnsi="SimSun" w:cs="SimSun"/>
            <w:b/>
            <w:bCs/>
            <w:color w:val="0000EE"/>
            <w:kern w:val="0"/>
            <w:sz w:val="30"/>
            <w:szCs w:val="30"/>
            <w:u w:val="single" w:color="0000EE"/>
          </w:rPr>
          <w:t>https://d.book118.com/767033110102006052</w:t>
        </w:r>
      </w:hyperlink>
    </w:p>
    <w:p>
      <w:pPr>
        <w:ind w:firstLine="560" w:firstLineChars="200"/>
        <w:rPr>
          <w:rFonts w:ascii="仿宋" w:eastAsia="仿宋" w:hAnsi="仿宋" w:cs="仿宋" w:hint="eastAsia"/>
          <w:sz w:val="28"/>
        </w:rPr>
      </w:pPr>
    </w:p>
    <w:sectPr>
      <w:headerReference w:type="default" r:id="rId91"/>
      <w:footerReference w:type="default" r:id="rId92"/>
      <w:type w:val="nextPage"/>
      <w:pgSz w:w="11906" w:h="16838"/>
      <w:pgMar w:top="1440" w:right="1800" w:bottom="1440" w:left="1800" w:header="851" w:footer="992" w:gutter="0"/>
      <w:pgNumType w:start="44"/>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33</w:t>
    </w:r>
    <w:r>
      <w:rPr>
        <w:rStyle w:val="PageNumber"/>
      </w:rPr>
      <w:fldChar w:fldCharType="end"/>
    </w:r>
  </w:p>
  <w:p>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34</w:t>
    </w:r>
    <w:r>
      <w:rPr>
        <w:rStyle w:val="PageNumber"/>
      </w:rPr>
      <w:fldChar w:fldCharType="end"/>
    </w:r>
  </w:p>
  <w:p>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35</w:t>
    </w:r>
    <w:r>
      <w:rPr>
        <w:rStyle w:val="PageNumber"/>
      </w:rPr>
      <w:fldChar w:fldCharType="end"/>
    </w:r>
  </w:p>
  <w:p>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36</w:t>
    </w:r>
    <w:r>
      <w:rPr>
        <w:rStyle w:val="PageNumber"/>
      </w:rPr>
      <w:fldChar w:fldCharType="end"/>
    </w:r>
  </w:p>
  <w:p>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37</w:t>
    </w:r>
    <w:r>
      <w:rPr>
        <w:rStyle w:val="PageNumber"/>
      </w:rPr>
      <w:fldChar w:fldCharType="end"/>
    </w:r>
  </w:p>
  <w:p>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37</w:t>
    </w:r>
    <w:r>
      <w:rPr>
        <w:rStyle w:val="PageNumber"/>
      </w:rPr>
      <w:fldChar w:fldCharType="end"/>
    </w:r>
  </w:p>
  <w:p>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39</w:t>
    </w:r>
    <w:r>
      <w:rPr>
        <w:rStyle w:val="PageNumber"/>
      </w:rPr>
      <w:fldChar w:fldCharType="end"/>
    </w:r>
  </w:p>
  <w:p>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39</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40</w:t>
    </w:r>
    <w:r>
      <w:rPr>
        <w:rStyle w:val="PageNumber"/>
      </w:rPr>
      <w:fldChar w:fldCharType="end"/>
    </w:r>
  </w:p>
  <w:p>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42</w:t>
    </w:r>
    <w:r>
      <w:rPr>
        <w:rStyle w:val="PageNumber"/>
      </w:rPr>
      <w:fldChar w:fldCharType="end"/>
    </w:r>
  </w:p>
  <w:p>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42</w:t>
    </w:r>
    <w:r>
      <w:rPr>
        <w:rStyle w:val="PageNumber"/>
      </w:rPr>
      <w:fldChar w:fldCharType="end"/>
    </w:r>
  </w:p>
  <w:p>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43</w:t>
    </w:r>
    <w:r>
      <w:rPr>
        <w:rStyle w:val="PageNumber"/>
      </w:rPr>
      <w:fldChar w:fldCharType="end"/>
    </w:r>
  </w:p>
  <w:p>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电磁学计量标准器具项目概述报告</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电磁学计量标准器具项目概述报告</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电磁学计量标准器具项目概述报告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电磁学计量标准器具项目概述报告</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电磁学计量标准器具项目概述报告</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电磁学计量标准器具项目概述报告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电磁学计量标准器具项目概述报告</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电磁学计量标准器具项目概述报告</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电磁学计量标准器具项目概述报告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电磁学计量标准器具项目概述报告</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电磁学计量标准器具项目概述报告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电磁学计量标准器具项目概述报告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电磁学计量标准器具项目概述报告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电磁学计量标准器具项目概述报告</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电磁学计量标准器具项目概述报告</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电磁学计量标准器具项目概述报告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电磁学计量标准器具项目概述报告</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电磁学计量标准器具项目概述报告</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电磁学计量标准器具项目概述报告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电磁学计量标准器具项目概述报告</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电磁学计量标准器具项目概述报告</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电磁学计量标准器具项目概述报告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电磁学计量标准器具项目概述报告</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电磁学计量标准器具项目概述报告</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电磁学计量标准器具项目概述报告</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电磁学计量标准器具项目概述报告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电磁学计量标准器具项目概述报告</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电磁学计量标准器具项目概述报告</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电磁学计量标准器具项目概述报告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电磁学计量标准器具项目概述报告</w: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电磁学计量标准器具项目概述报告</w: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电磁学计量标准器具项目概述报告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电磁学计量标准器具项目概述报告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电磁学计量标准器具项目概述报告</w: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电磁学计量标准器具项目概述报告</w: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电磁学计量标准器具项目概述报告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电磁学计量标准器具项目概述报告</w: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电磁学计量标准器具项目概述报告</w: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电磁学计量标准器具项目概述报告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电磁学计量标准器具项目概述报告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电磁学计量标准器具项目概述报告</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电磁学计量标准器具项目概述报告</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电磁学计量标准器具项目概述报告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电磁学计量标准器具项目概述报告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A014013"/>
    <w:rsid w:val="5A01401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eader" Target="header20.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footer" Target="footer22.xml" /><Relationship Id="rId48" Type="http://schemas.openxmlformats.org/officeDocument/2006/relationships/header" Target="header23.xml" /><Relationship Id="rId49" Type="http://schemas.openxmlformats.org/officeDocument/2006/relationships/footer" Target="footer23.xml" /><Relationship Id="rId5" Type="http://schemas.openxmlformats.org/officeDocument/2006/relationships/footer" Target="footer1.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footer" Target="footer25.xml" /><Relationship Id="rId54" Type="http://schemas.openxmlformats.org/officeDocument/2006/relationships/header" Target="header26.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footer" Target="footer28.xml" /><Relationship Id="rId6" Type="http://schemas.openxmlformats.org/officeDocument/2006/relationships/header" Target="header2.xml" /><Relationship Id="rId60" Type="http://schemas.openxmlformats.org/officeDocument/2006/relationships/header" Target="header29.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footer" Target="footer31.xml" /><Relationship Id="rId66" Type="http://schemas.openxmlformats.org/officeDocument/2006/relationships/header" Target="header32.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footer" Target="footer34.xml" /><Relationship Id="rId72" Type="http://schemas.openxmlformats.org/officeDocument/2006/relationships/header" Target="header35.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footer" Target="footer37.xml" /><Relationship Id="rId78" Type="http://schemas.openxmlformats.org/officeDocument/2006/relationships/header" Target="header38.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footer" Target="footer40.xml" /><Relationship Id="rId84" Type="http://schemas.openxmlformats.org/officeDocument/2006/relationships/header" Target="header41.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footer" Target="footer43.xml" /><Relationship Id="rId9" Type="http://schemas.openxmlformats.org/officeDocument/2006/relationships/footer" Target="footer3.xml" /><Relationship Id="rId90" Type="http://schemas.openxmlformats.org/officeDocument/2006/relationships/hyperlink" Target="https://d.book118.com/767033110102006052" TargetMode="External" /><Relationship Id="rId91" Type="http://schemas.openxmlformats.org/officeDocument/2006/relationships/header" Target="header44.xml" /><Relationship Id="rId92" Type="http://schemas.openxmlformats.org/officeDocument/2006/relationships/footer" Target="footer44.xml" /><Relationship Id="rId93" Type="http://schemas.openxmlformats.org/officeDocument/2006/relationships/theme" Target="theme/theme1.xml" /><Relationship Id="rId94" Type="http://schemas.openxmlformats.org/officeDocument/2006/relationships/styles" Target="styles.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小吴</dc:creator>
  <cp:lastModifiedBy>小吴</cp:lastModifiedBy>
  <cp:revision>1</cp:revision>
  <dcterms:created xsi:type="dcterms:W3CDTF">2024-01-20T10:44:00Z</dcterms:created>
  <dcterms:modified xsi:type="dcterms:W3CDTF">2024-01-20T10:45:01Z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593A78DBFD3D4AAB9093355F84F085EA_11</vt:lpwstr>
  </property>
  <property fmtid="{D5CDD505-2E9C-101B-9397-08002B2CF9AE}" pid="3" name="KSOProductBuildVer">
    <vt:lpwstr>2052-12.1.0.16120</vt:lpwstr>
  </property>
</Properties>
</file>