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避雷针相关行业公司成立方案及可行性研究报告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一、避雷针项目概况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(二)、避雷针项目提出的理由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(三)、避雷针项目选址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(六)、避雷针项目投资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(七)、避雷针项目进度规划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(九)、避雷针项目综合评价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(七)、避雷针项目建设必要性分析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(一)、避雷针项目选址原则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(五)、避雷针项目选址综合评价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_Toc20496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(一)、避雷针项目背景分析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6" w:history="1">
        <w:r>
          <w:rPr>
            <w:rFonts w:ascii="仿宋" w:eastAsia="仿宋" w:hAnsi="仿宋" w:cs="仿宋" w:hint="eastAsia"/>
            <w:lang w:eastAsia="zh-CN"/>
          </w:rPr>
          <w:t>(二)、避雷针项目建设必要性分析</w:t>
        </w:r>
        <w:r>
          <w:tab/>
        </w:r>
        <w:r>
          <w:fldChar w:fldCharType="begin"/>
        </w:r>
        <w:r>
          <w:instrText xml:space="preserve"> PAGEREF _Toc14696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_Toc23308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九、避雷针项目经济效益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(三)、避雷针项目盈利能力分析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(五)、避雷针项目总投资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十三、避雷针项目总结分析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9"/>
      <w:r>
        <w:rPr>
          <w:rFonts w:ascii="仿宋" w:eastAsia="仿宋" w:hAnsi="仿宋" w:cs="仿宋" w:hint="eastAsia"/>
          <w:sz w:val="28"/>
          <w:lang w:eastAsia="zh-CN"/>
        </w:rPr>
        <w:t>一、避雷针项目概况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7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482"/>
      <w:r>
        <w:rPr>
          <w:rFonts w:ascii="仿宋" w:eastAsia="仿宋" w:hAnsi="仿宋" w:cs="仿宋" w:hint="eastAsia"/>
          <w:sz w:val="28"/>
          <w:lang w:eastAsia="zh-CN"/>
        </w:rPr>
        <w:t>(二)、避雷针项目提出的理由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避雷针项目提出的理由可能包括以下几个方面：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市场需求：随着人们对生活品质的追求，对避雷针的需求也在不断增加。市场上对于高品质、符合个性化需求的避雷针需求量大，因此避雷针项目可以满足这一市场需求。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利润空间：避雷针行业的利润空间较大，通过生产和销售高品质的避雷针，可以获得可观的利润。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https://d.book118.com/768006070133006027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避雷针相关行业公司成立方案及可行性研究报告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避雷针相关行业公司成立方案及可行性研究报告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避雷针相关行业公司成立方案及可行性研究报告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避雷针相关行业公司成立方案及可行性研究报告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避雷针相关行业公司成立方案及可行性研究报告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00607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2024-01-01T19:46:00Z</dcterms:created>
  <dcterms:modified xsi:type="dcterms:W3CDTF">2024-01-01T19:46:48Z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025B11ACAEF846B685B9034D0133000A_11</vt:lpwstr>
  </property>
  <property fmtid="{D5CDD505-2E9C-101B-9397-08002B2CF9AE}" pid="3" name="KSOProductBuildVer">
    <vt:lpwstr>2052-12.1.0.16120</vt:lpwstr>
  </property>
</Properties>
</file>