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2018-2023年云南理工职业学院高职单招（数学／语文／英语）历年常考试题库含答案解析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下列文学常识表述完全正确的一项是（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A.鲁迅的《呐喊》、茅盾的《子夜》和巴金的《家》，都是我国现代著名的长篇小说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B.我国现代著名剧作家曹禺的代表作有《雷雨》、《日出》和《龙须沟》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C.新格律诗的“三美”主张指的是“音乐的美”、“绘画的美”、“建筑的美”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D.沈从文的《箱子岩》生动地展现了浙东水乡淳厚古朴的民风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李白《行路难（其一）》中运用比喻手法来表现诗人仕途上遭遇挫折的诗句是（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A.停杯投箸不能食，拔剑四顾心茫然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B.欲渡黄河冰塞川，将登太行雪满山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C.闲来垂钓碧溪上，忽复乘舟梦日边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D.长风破浪会有时，直挂云帆济沧海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“泪添九曲黄河溢，恨压三峰华岳低”所用的修辞方法是（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A.夸张、用典、比喻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B.夸张、对偶、比喻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C.对偶、比喻、拟人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D.用典、夸张、对偶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受五四新思潮的冲击，巴金最先接受了什么思想的影响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A.革命民主主义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B.俄国民粹派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C.马克思主义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D.自由主义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下列带点字，解释错误的是（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962816" cy="147653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62816" cy="147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5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中唐古文运动的倡导者是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A.刘禹锡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D.孟郊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《背影》本文塑造人物形象主要采用的手法是（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B.侧面描写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C.白描手法和侧面烘托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D.正面描写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“但得一个并头莲”“蜗角虚名”“泪添九曲黄河溢”所用的修辞手法是（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B.比喻、用典、夸张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C.夸张、拟人、比喻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D.用典、拟人、比喻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莫泊桑是（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A.自然主义作家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B.法国批判现实主义大师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C.法国19世纪小说家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D.法国20世纪杰出的诗人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有“曲状元”之称的是（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A.俄国诗人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B.俄国散文随笔作家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C.俄国短篇小说之王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D.俄国政论家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沈从文是以什么样的独特视角和叙述主体来观照人生的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A.都市人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B.湘西人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C.关东人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D.岭南人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A.20世纪30年代中国的农村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B.20世纪20年代中国的城市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C.20世纪30年代中国的城市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D.20世纪40年代中国的乡村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https://d.book118.com/768014027135006040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768014027135006040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