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2018-2023年青岛职业技术学院高职单招（数学／语文／英语）历年常考试题库含答案解析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古语“多行不义必自毙”出自（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李斯的《谏逐客书》选自（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D.《国语》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柳永《八声甘州（对潇潇暮雨洒江天）》着力抒写的思想情绪是（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A.爱情失意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B.羁旅行役之苦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D.伤春惜时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《心灵的灰烬》一文的作者傅雷是我国著名的（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B.科学家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C.翻译家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《季氏将伐颛臾》本文中，孔子用“周任有言曰：陈力就列，不能者止”’为论据来驳斥冉有推卸责任的行为，这种论证方法属于（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B.类比论证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奠定梁实秋在中国现代散文史上的地位的一部作品是（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A.《槐园梦忆》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B.《雅舍小品》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C.《雅舍谈吃》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D.《实秋杂文》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朱自清散文《背影》的最主要特点是（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A.真实简明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B.闲适伤感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C.清丽典雅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D.以情胜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称司马迁《史记》为“史家之绝唱，无韵之《离骚》”的作家是（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D.周作人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郭沫若诗集《女神》收录有诗作（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A.《雨巷》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C.《恢复》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D.《棠棣之花》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“忽如一夜春风来，千树万树梨花开”这两句诗所采用的修辞方法是（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D.借代、夸张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《短歌行》（其一）的主旨是（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C.感慨功业未成，忧从中来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孔子的思想核心是（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B.仁和礼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C.严刑峻法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D.自然无为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艾青曾被谁称为“吹芦笛的诗人”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A.胡风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B.臧克家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D.郭沫若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陆游是（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A.北宋爱国诗人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B.南宋爱国诗人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C.北宋现实主义诗人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https://d.book118.com/768027050132006040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68027050132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