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436"/>
        </w:tabs>
      </w:pPr>
      <w:r>
        <w:t>目</w:t>
        <w:tab/>
        <w:t>录</w:t>
      </w:r>
    </w:p>
    <w:sdt>
      <w:sdtPr>
        <w:id w:val="82442845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10"/>
            </w:numPr>
            <w:tabs>
              <w:tab w:val="left" w:pos="463"/>
              <w:tab w:val="right" w:leader="dot" w:pos="13062"/>
            </w:tabs>
            <w:spacing w:before="570" w:after="0" w:line="240" w:lineRule="auto"/>
            <w:ind w:left="462" w:right="0" w:hanging="350"/>
            <w:jc w:val="left"/>
            <w:rPr>
              <w:rFonts w:ascii="Arial" w:eastAsia="Arial"/>
            </w:rPr>
          </w:pPr>
          <w:hyperlink w:anchor="_TOC_250004" w:history="1">
            <w:r>
              <w:t>工程概况</w:t>
              <w:tab/>
            </w:r>
            <w:r>
              <w:rPr>
                <w:rFonts w:ascii="Arial" w:eastAsia="Arial"/>
              </w:rPr>
              <w:t>1</w:t>
            </w:r>
          </w:hyperlink>
        </w:p>
        <w:p>
          <w:pPr>
            <w:pStyle w:val="TOC1"/>
            <w:numPr>
              <w:ilvl w:val="0"/>
              <w:numId w:val="10"/>
            </w:numPr>
            <w:tabs>
              <w:tab w:val="left" w:pos="463"/>
              <w:tab w:val="right" w:leader="dot" w:pos="13062"/>
            </w:tabs>
            <w:spacing w:before="547" w:after="0" w:line="240" w:lineRule="auto"/>
            <w:ind w:left="462" w:right="0" w:hanging="350"/>
            <w:jc w:val="left"/>
            <w:rPr>
              <w:rFonts w:ascii="Arial" w:eastAsia="Arial"/>
            </w:rPr>
          </w:pPr>
          <w: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1612900</wp:posOffset>
                </wp:positionH>
                <wp:positionV relativeFrom="paragraph">
                  <wp:posOffset>402797</wp:posOffset>
                </wp:positionV>
                <wp:extent cx="165100" cy="38100"/>
                <wp:effectExtent l="0" t="0" r="0" b="0"/>
                <wp:wrapNone/>
                <wp:docPr id="1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1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3" w:history="1">
            <w:r>
              <w:t>施工方案</w:t>
              <w:tab/>
            </w:r>
            <w:r>
              <w:rPr>
                <w:rFonts w:ascii="Arial" w:eastAsia="Arial"/>
              </w:rPr>
              <w:t>1</w:t>
            </w:r>
          </w:hyperlink>
        </w:p>
        <w:p>
          <w:pPr>
            <w:pStyle w:val="TOC1"/>
            <w:numPr>
              <w:ilvl w:val="0"/>
              <w:numId w:val="10"/>
            </w:numPr>
            <w:tabs>
              <w:tab w:val="left" w:pos="463"/>
              <w:tab w:val="right" w:leader="dot" w:pos="13062"/>
            </w:tabs>
            <w:spacing w:before="547" w:after="0" w:line="240" w:lineRule="auto"/>
            <w:ind w:left="462" w:right="0" w:hanging="350"/>
            <w:jc w:val="left"/>
            <w:rPr>
              <w:rFonts w:ascii="Arial" w:eastAsia="Arial"/>
            </w:rPr>
          </w:pPr>
          <w:hyperlink w:anchor="_TOC_250002" w:history="1">
            <w:r>
              <w:t>施工准备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1"/>
            <w:numPr>
              <w:ilvl w:val="0"/>
              <w:numId w:val="10"/>
            </w:numPr>
            <w:tabs>
              <w:tab w:val="left" w:pos="463"/>
              <w:tab w:val="right" w:leader="dot" w:pos="13062"/>
            </w:tabs>
            <w:spacing w:before="543" w:after="0" w:line="240" w:lineRule="auto"/>
            <w:ind w:left="462" w:right="0" w:hanging="350"/>
            <w:jc w:val="left"/>
            <w:rPr>
              <w:rFonts w:ascii="Arial" w:eastAsia="Arial"/>
            </w:rPr>
          </w:pPr>
          <w:hyperlink w:anchor="_TOC_250001" w:history="1">
            <w:r>
              <w:t>操作工艺</w:t>
              <w:tab/>
            </w:r>
            <w:r>
              <w:rPr>
                <w:rFonts w:ascii="Arial" w:eastAsia="Arial"/>
              </w:rPr>
              <w:t>7</w:t>
            </w:r>
          </w:hyperlink>
        </w:p>
        <w:p>
          <w:pPr>
            <w:pStyle w:val="TOC1"/>
            <w:numPr>
              <w:ilvl w:val="0"/>
              <w:numId w:val="10"/>
            </w:numPr>
            <w:tabs>
              <w:tab w:val="left" w:pos="463"/>
              <w:tab w:val="right" w:leader="dot" w:pos="12960"/>
            </w:tabs>
            <w:spacing w:before="548" w:after="0" w:line="240" w:lineRule="auto"/>
            <w:ind w:left="462" w:right="0" w:hanging="350"/>
            <w:jc w:val="left"/>
            <w:rPr>
              <w:rFonts w:ascii="Arial" w:eastAsia="Arial"/>
            </w:rPr>
          </w:pPr>
          <w:hyperlink w:anchor="_TOC_250000" w:history="1">
            <w:r>
              <w:t>施工过程安全控制</w:t>
              <w:tab/>
            </w:r>
            <w:r>
              <w:rPr>
                <w:rFonts w:ascii="Arial" w:eastAsia="Arial"/>
              </w:rPr>
              <w:t>14</w:t>
            </w:r>
          </w:hyperlink>
        </w:p>
      </w:sdtContent>
    </w:sdt>
    <w:p>
      <w:pPr>
        <w:spacing w:after="0" w:line="240" w:lineRule="auto"/>
        <w:jc w:val="left"/>
        <w:rPr>
          <w:rFonts w:ascii="Arial" w:eastAsia="Arial"/>
        </w:rPr>
        <w:sectPr>
          <w:headerReference w:type="default" r:id="rId5"/>
          <w:footerReference w:type="default" r:id="rId6"/>
          <w:type w:val="continuous"/>
          <w:pgSz w:w="17860" w:h="25260"/>
          <w:pgMar w:top="1540" w:right="1680" w:bottom="2100" w:left="2440" w:header="1050" w:footer="1909"/>
          <w:cols w:space="708"/>
        </w:sectPr>
      </w:pPr>
    </w:p>
    <w:p>
      <w:pPr>
        <w:pStyle w:val="Heading1"/>
        <w:numPr>
          <w:ilvl w:val="0"/>
          <w:numId w:val="9"/>
        </w:numPr>
        <w:tabs>
          <w:tab w:val="left" w:pos="494"/>
        </w:tabs>
        <w:spacing w:before="103" w:after="0" w:line="240" w:lineRule="auto"/>
        <w:ind w:left="493" w:right="0" w:hanging="381"/>
        <w:jc w:val="left"/>
      </w:pPr>
      <w:bookmarkStart w:id="0" w:name="_TOC_250004"/>
      <w:bookmarkEnd w:id="0"/>
      <w:r>
        <w:t>工程概况</w:t>
      </w:r>
    </w:p>
    <w:p>
      <w:pPr>
        <w:pStyle w:val="BodyText"/>
        <w:spacing w:before="208" w:line="201" w:lineRule="auto"/>
        <w:ind w:left="113" w:right="567" w:firstLine="838"/>
        <w:jc w:val="both"/>
      </w:pPr>
      <w:r>
        <w:t>本工程名称为威海宣扬数码科技有限公司扩建厂房车间工程，建设单位是威海宣扬数码科技有限公司，资金来源为建设单位自筹，其中车间建筑面积 13789.71 平方米，工程位于威海经济技术开发区黄海路</w:t>
      </w:r>
    </w:p>
    <w:p>
      <w:pPr>
        <w:pStyle w:val="BodyText"/>
        <w:spacing w:line="624" w:lineRule="exact"/>
        <w:ind w:left="113"/>
        <w:jc w:val="both"/>
      </w:pPr>
      <w:r>
        <w:t>25-1 号，交通便利。</w:t>
      </w:r>
    </w:p>
    <w:p>
      <w:pPr>
        <w:pStyle w:val="ListParagraph"/>
        <w:numPr>
          <w:ilvl w:val="1"/>
          <w:numId w:val="9"/>
        </w:numPr>
        <w:tabs>
          <w:tab w:val="left" w:pos="815"/>
        </w:tabs>
        <w:spacing w:before="0" w:after="0" w:line="652" w:lineRule="exact"/>
        <w:ind w:left="815" w:right="0" w:hanging="702"/>
        <w:jc w:val="both"/>
        <w:rPr>
          <w:sz w:val="42"/>
        </w:rPr>
      </w:pPr>
      <w:r>
        <w:rPr>
          <w:sz w:val="42"/>
        </w:rPr>
        <w:t>建筑概况</w:t>
      </w:r>
    </w:p>
    <w:p>
      <w:pPr>
        <w:pStyle w:val="BodyText"/>
        <w:spacing w:before="27" w:line="201" w:lineRule="auto"/>
        <w:ind w:left="113" w:right="430" w:firstLine="831"/>
        <w:jc w:val="both"/>
      </w:pPr>
      <w:r>
        <w:rPr>
          <w:spacing w:val="-17"/>
        </w:rPr>
        <w:t>车间部分为两层，局部四层</w:t>
      </w:r>
      <w:r>
        <w:t>（突起部分五层</w:t>
      </w:r>
      <w:r>
        <w:rPr>
          <w:spacing w:val="-98"/>
        </w:rPr>
        <w:t>）</w:t>
      </w:r>
      <w:r>
        <w:rPr>
          <w:spacing w:val="-19"/>
        </w:rPr>
        <w:t xml:space="preserve">，建筑高度 </w:t>
      </w:r>
      <w:r>
        <w:t>13.8</w:t>
      </w:r>
      <w:r>
        <w:rPr>
          <w:spacing w:val="-49"/>
        </w:rPr>
        <w:t xml:space="preserve"> 米</w:t>
      </w:r>
      <w:r>
        <w:t>（室外地坪至女儿墙），</w:t>
      </w:r>
      <w:r>
        <w:rPr>
          <w:spacing w:val="-2"/>
        </w:rPr>
        <w:t xml:space="preserve">两层车间部分中一层层高为 </w:t>
      </w:r>
      <w:r>
        <w:t>7</w:t>
      </w:r>
      <w:r>
        <w:rPr>
          <w:spacing w:val="1"/>
        </w:rPr>
        <w:t xml:space="preserve"> 米，二层为 </w:t>
      </w:r>
      <w:r>
        <w:t>5 米；四</w:t>
      </w:r>
      <w:r>
        <w:rPr>
          <w:spacing w:val="-1"/>
        </w:rPr>
        <w:t xml:space="preserve">层部分中一层层高为 </w:t>
      </w:r>
      <w:r>
        <w:t>5 米，二、三、四层层高为 4</w:t>
      </w:r>
      <w:r>
        <w:rPr>
          <w:spacing w:val="-2"/>
        </w:rPr>
        <w:t xml:space="preserve"> 米，五层部分层高为</w:t>
      </w:r>
    </w:p>
    <w:p>
      <w:pPr>
        <w:pStyle w:val="BodyText"/>
        <w:spacing w:line="629" w:lineRule="exact"/>
        <w:ind w:left="113"/>
        <w:jc w:val="both"/>
      </w:pPr>
      <w:r>
        <w:t>3.3 米，女儿墙高 0.6 米。</w:t>
      </w:r>
    </w:p>
    <w:p>
      <w:pPr>
        <w:pStyle w:val="Heading1"/>
        <w:numPr>
          <w:ilvl w:val="0"/>
          <w:numId w:val="9"/>
        </w:numPr>
        <w:tabs>
          <w:tab w:val="left" w:pos="494"/>
        </w:tabs>
        <w:spacing w:before="0" w:after="0" w:line="716" w:lineRule="exact"/>
        <w:ind w:left="493" w:right="0" w:hanging="381"/>
        <w:jc w:val="left"/>
      </w:pPr>
      <w:bookmarkStart w:id="1" w:name="_TOC_250003"/>
      <w:bookmarkEnd w:id="1"/>
      <w:r>
        <w:t>施工方案</w:t>
      </w:r>
    </w:p>
    <w:p>
      <w:pPr>
        <w:pStyle w:val="BodyText"/>
        <w:spacing w:before="425"/>
        <w:ind w:left="951"/>
      </w:pPr>
      <w:r>
        <w:t>本方案是针对厂房基础部分的专项施工方案，是根据设计图纸的技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"/>
        <w:ind w:left="113"/>
      </w:pPr>
      <w:r>
        <w:t>术要求提出。</w:t>
      </w:r>
    </w:p>
    <w:p>
      <w:pPr>
        <w:pStyle w:val="ListParagraph"/>
        <w:numPr>
          <w:ilvl w:val="1"/>
          <w:numId w:val="9"/>
        </w:numPr>
        <w:tabs>
          <w:tab w:val="left" w:pos="815"/>
        </w:tabs>
        <w:spacing w:before="233" w:after="0" w:line="713" w:lineRule="exact"/>
        <w:ind w:left="815" w:right="0" w:hanging="702"/>
        <w:jc w:val="left"/>
        <w:rPr>
          <w:sz w:val="42"/>
        </w:rPr>
      </w:pPr>
      <w:r>
        <w:rPr>
          <w:sz w:val="42"/>
        </w:rPr>
        <w:t>施工段的划分：</w:t>
      </w:r>
    </w:p>
    <w:p>
      <w:pPr>
        <w:pStyle w:val="BodyText"/>
        <w:spacing w:before="28" w:line="201" w:lineRule="auto"/>
        <w:ind w:left="113" w:right="433" w:firstLine="831"/>
        <w:jc w:val="both"/>
      </w:pPr>
      <w:r>
        <w:t>厂房分为两部分，分别是办公区部分和车间部分，车间部分又分为</w:t>
      </w:r>
      <w:r>
        <w:rPr>
          <w:spacing w:val="-1"/>
        </w:rPr>
        <w:t>地面标高为</w:t>
      </w:r>
      <w:r>
        <w:t>-1.000</w:t>
      </w:r>
      <w:r>
        <w:rPr>
          <w:spacing w:val="-3"/>
        </w:rPr>
        <w:t xml:space="preserve"> 米的下翻车间部分和±0.000</w:t>
      </w:r>
      <w:r>
        <w:rPr>
          <w:spacing w:val="-20"/>
        </w:rPr>
        <w:t xml:space="preserve"> 米车间部分，下翻车间区</w:t>
      </w:r>
      <w:r>
        <w:rPr>
          <w:spacing w:val="-21"/>
        </w:rPr>
        <w:t xml:space="preserve">域为 </w:t>
      </w:r>
      <w:r>
        <w:t>9</w:t>
      </w:r>
      <w:r>
        <w:rPr>
          <w:spacing w:val="-11"/>
        </w:rPr>
        <w:t xml:space="preserve"> 轴至 </w:t>
      </w:r>
      <w:r>
        <w:t>1/18</w:t>
      </w:r>
      <w:r>
        <w:rPr>
          <w:spacing w:val="-11"/>
        </w:rPr>
        <w:t xml:space="preserve"> 轴及 </w:t>
      </w:r>
      <w:r>
        <w:t>1/B</w:t>
      </w:r>
      <w:r>
        <w:rPr>
          <w:spacing w:val="-11"/>
        </w:rPr>
        <w:t xml:space="preserve"> 轴至 </w:t>
      </w:r>
      <w:r>
        <w:t>1/D</w:t>
      </w:r>
      <w:r>
        <w:rPr>
          <w:spacing w:val="-8"/>
        </w:rPr>
        <w:t xml:space="preserve"> 轴，范围为 </w:t>
      </w:r>
      <w:r>
        <w:t>30</w:t>
      </w:r>
      <w:r>
        <w:rPr>
          <w:spacing w:val="-7"/>
        </w:rPr>
        <w:t xml:space="preserve"> 米×</w:t>
      </w:r>
      <w:r>
        <w:t>57</w:t>
      </w:r>
      <w:r>
        <w:rPr>
          <w:spacing w:val="-6"/>
        </w:rPr>
        <w:t xml:space="preserve"> 米。</w:t>
      </w:r>
    </w:p>
    <w:p>
      <w:pPr>
        <w:pStyle w:val="BodyText"/>
        <w:spacing w:line="201" w:lineRule="auto"/>
        <w:ind w:left="113" w:right="432" w:firstLine="831"/>
        <w:jc w:val="both"/>
      </w:pPr>
      <w:r>
        <w:rPr>
          <w:spacing w:val="-1"/>
        </w:rPr>
        <w:t>所以，厂房部分分为三个施工段，分别是Ⅰ段±</w:t>
      </w:r>
      <w:r>
        <w:rPr>
          <w:spacing w:val="-17"/>
        </w:rPr>
        <w:t>0.000</w:t>
      </w:r>
      <w:r>
        <w:rPr>
          <w:spacing w:val="-2"/>
        </w:rPr>
        <w:t xml:space="preserve"> 米的其他车间部分、Ⅱ段厂房办公区和Ⅲ段车间</w:t>
      </w:r>
      <w:r>
        <w:t>-1.000</w:t>
      </w:r>
      <w:r>
        <w:rPr>
          <w:spacing w:val="-4"/>
        </w:rPr>
        <w:t xml:space="preserve"> 米处下翻车间部分。</w:t>
      </w:r>
    </w:p>
    <w:p>
      <w:pPr>
        <w:pStyle w:val="ListParagraph"/>
        <w:numPr>
          <w:ilvl w:val="1"/>
          <w:numId w:val="9"/>
        </w:numPr>
        <w:tabs>
          <w:tab w:val="left" w:pos="815"/>
        </w:tabs>
        <w:spacing w:before="0" w:after="0" w:line="688" w:lineRule="exact"/>
        <w:ind w:left="815" w:right="0" w:hanging="702"/>
        <w:jc w:val="both"/>
        <w:rPr>
          <w:sz w:val="42"/>
        </w:rPr>
      </w:pPr>
      <w:r>
        <w:rPr>
          <w:sz w:val="42"/>
        </w:rPr>
        <w:t>具体施工方案</w:t>
      </w:r>
    </w:p>
    <w:p>
      <w:pPr>
        <w:pStyle w:val="ListParagraph"/>
        <w:numPr>
          <w:ilvl w:val="2"/>
          <w:numId w:val="9"/>
        </w:numPr>
        <w:tabs>
          <w:tab w:val="left" w:pos="1265"/>
        </w:tabs>
        <w:spacing w:before="180" w:after="0" w:line="240" w:lineRule="auto"/>
        <w:ind w:left="1265" w:right="0" w:hanging="1152"/>
        <w:jc w:val="both"/>
        <w:rPr>
          <w:sz w:val="42"/>
        </w:rPr>
      </w:pPr>
      <w:r>
        <w:rPr>
          <w:sz w:val="42"/>
        </w:rPr>
        <w:t>厂房办公区部分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spacing w:line="405" w:lineRule="auto"/>
        <w:ind w:left="113" w:right="567" w:firstLine="842"/>
        <w:jc w:val="both"/>
      </w:pPr>
      <w:r>
        <w:t>厂房办公区部分使用桩承台、基础梁构成基础体系，承台上设置基础短柱。浇筑施工时，承台及基础梁一次性浇筑完成，再浇筑短柱砼。共分两次完成基础浇筑。</w:t>
      </w:r>
    </w:p>
    <w:p>
      <w:pPr>
        <w:pStyle w:val="BodyText"/>
        <w:spacing w:before="6"/>
        <w:ind w:left="113"/>
        <w:jc w:val="both"/>
      </w:pPr>
      <w:r>
        <w:t>2.2.1 -1.000 米下翻车间部分</w:t>
      </w:r>
    </w:p>
    <w:p>
      <w:pPr>
        <w:spacing w:after="0"/>
        <w:jc w:val="both"/>
        <w:sectPr>
          <w:headerReference w:type="default" r:id="rId7"/>
          <w:footerReference w:type="default" r:id="rId8"/>
          <w:pgSz w:w="17860" w:h="25260"/>
          <w:pgMar w:top="1540" w:right="1680" w:bottom="2120" w:left="2440" w:header="1050" w:footer="1909"/>
          <w:pgNumType w:start="2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line="766" w:lineRule="exact"/>
        <w:ind w:left="951"/>
      </w:pPr>
      <w:r>
        <w:t>下翻车间部分地面基础梁板顶及承台顶标高均在同一标高，即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line="405" w:lineRule="auto"/>
        <w:ind w:left="113" w:right="410"/>
      </w:pPr>
      <w:r>
        <w:t>-1.000 米，所以，我方确定的施工方案为浇筑梁及承台分两次浇筑，钢柱下短柱最后浇筑施工，总共三次浇筑基础砼。如示意图所示：</w: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2233929</wp:posOffset>
            </wp:positionH>
            <wp:positionV relativeFrom="paragraph">
              <wp:posOffset>198287</wp:posOffset>
            </wp:positionV>
            <wp:extent cx="7220657" cy="241963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657" cy="241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75"/>
        </w:rPr>
      </w:pPr>
    </w:p>
    <w:p>
      <w:pPr>
        <w:pStyle w:val="BodyText"/>
        <w:spacing w:line="405" w:lineRule="auto"/>
        <w:ind w:left="325" w:right="407"/>
        <w:jc w:val="both"/>
      </w:pPr>
      <w:r>
        <w:rPr>
          <w:spacing w:val="-14"/>
        </w:rPr>
        <w:t xml:space="preserve">操作流程：清理承台及下翻地面基础梁基槽——支设垫层木方模板—— </w:t>
      </w:r>
      <w:r>
        <w:rPr>
          <w:spacing w:val="1"/>
        </w:rPr>
        <w:t xml:space="preserve">浇筑 </w:t>
      </w:r>
      <w:r>
        <w:t>C15</w:t>
      </w:r>
      <w:r>
        <w:rPr>
          <w:spacing w:val="-1"/>
        </w:rPr>
        <w:t xml:space="preserve"> 垫层——基础放线——绑扎承台、基础梁及短柱钢筋——支</w:t>
      </w:r>
      <w:r>
        <w:rPr>
          <w:spacing w:val="-11"/>
        </w:rPr>
        <w:t>设模板——第一次浇筑基础砼</w:t>
      </w:r>
      <w:r>
        <w:t>（下翻车间部分内承台及基础梁浇筑至板底）——</w:t>
      </w:r>
      <w:r>
        <w:rPr>
          <w:spacing w:val="1"/>
        </w:rPr>
        <w:t xml:space="preserve">平整板底地基、回填夯实——板底地面铺设 </w:t>
      </w:r>
      <w:r>
        <w:t>150</w:t>
      </w:r>
      <w:r>
        <w:rPr>
          <w:spacing w:val="10"/>
        </w:rPr>
        <w:t xml:space="preserve"> 厚级配石子</w:t>
      </w:r>
    </w:p>
    <w:p>
      <w:pPr>
        <w:pStyle w:val="BodyText"/>
        <w:spacing w:before="12" w:line="405" w:lineRule="auto"/>
        <w:ind w:left="325" w:right="423"/>
      </w:pPr>
      <w:r>
        <w:rPr>
          <w:spacing w:val="-5"/>
        </w:rPr>
        <w:t xml:space="preserve">——浇筑 </w:t>
      </w:r>
      <w:r>
        <w:t>70</w:t>
      </w:r>
      <w:r>
        <w:rPr>
          <w:spacing w:val="-12"/>
        </w:rPr>
        <w:t xml:space="preserve"> 厚 </w:t>
      </w:r>
      <w:r>
        <w:t>C15</w:t>
      </w:r>
      <w:r>
        <w:rPr>
          <w:spacing w:val="-7"/>
        </w:rPr>
        <w:t xml:space="preserve"> 砼垫层——砌筑 </w:t>
      </w:r>
      <w:r>
        <w:t>200</w:t>
      </w:r>
      <w:r>
        <w:rPr>
          <w:spacing w:val="-4"/>
        </w:rPr>
        <w:t xml:space="preserve"> 高砖模——铺塑料布——绑扎地面板钢筋——第二次浇筑下翻地面板砼——支设挡土墙模板（至</w:t>
      </w:r>
    </w:p>
    <w:p>
      <w:pPr>
        <w:pStyle w:val="BodyText"/>
        <w:tabs>
          <w:tab w:val="left" w:pos="1808"/>
        </w:tabs>
        <w:spacing w:before="5" w:line="405" w:lineRule="auto"/>
        <w:ind w:left="325" w:right="421"/>
      </w:pPr>
      <w:r>
        <w:t>-0.200</w:t>
        <w:tab/>
        <w:t>米）——</w:t>
      </w:r>
      <w:r>
        <w:rPr>
          <w:spacing w:val="-1"/>
        </w:rPr>
        <w:t>焊接预埋地脚螺栓——第三次浇筑短柱砼及下翻挡土</w:t>
      </w:r>
      <w:r>
        <w:t>墙砼。</w:t>
      </w:r>
    </w:p>
    <w:p>
      <w:pPr>
        <w:spacing w:after="0" w:line="405" w:lineRule="auto"/>
        <w:sectPr>
          <w:headerReference w:type="default" r:id="rId10"/>
          <w:footerReference w:type="default" r:id="rId11"/>
          <w:pgSz w:w="17860" w:h="25260"/>
          <w:pgMar w:top="1540" w:right="1680" w:bottom="2120" w:left="2440" w:header="1050" w:footer="1909"/>
          <w:pgNumType w:start="3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tabs>
          <w:tab w:val="left" w:pos="1264"/>
        </w:tabs>
        <w:spacing w:line="766" w:lineRule="exact"/>
        <w:ind w:left="113"/>
      </w:pPr>
      <w:r>
        <w:t>2.2.2</w:t>
        <w:tab/>
        <w:t>±0.000</w:t>
      </w:r>
      <w:r>
        <w:rPr>
          <w:spacing w:val="-5"/>
        </w:rPr>
        <w:t xml:space="preserve"> 米车间部分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line="405" w:lineRule="auto"/>
        <w:ind w:left="113" w:right="329" w:firstLine="838"/>
      </w:pPr>
      <w:r>
        <w:t>±0.000 米车间部分，此部分将承台砼、钢柱下短柱砼、梁板砼分开来，分四次浇筑。如示意图所示：</w:t>
      </w:r>
    </w:p>
    <w:p>
      <w:pPr>
        <w:pStyle w:val="BodyText"/>
        <w:spacing w:before="7"/>
        <w:rPr>
          <w:sz w:val="2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368882</wp:posOffset>
            </wp:positionV>
            <wp:extent cx="7157561" cy="321773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7561" cy="3217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8"/>
        <w:rPr>
          <w:sz w:val="47"/>
        </w:rPr>
      </w:pPr>
    </w:p>
    <w:p>
      <w:pPr>
        <w:pStyle w:val="BodyText"/>
        <w:spacing w:line="405" w:lineRule="auto"/>
        <w:ind w:left="113" w:right="364" w:firstLine="889"/>
      </w:pPr>
      <w:r>
        <w:rPr>
          <w:spacing w:val="-9"/>
        </w:rPr>
        <w:t xml:space="preserve">操作流程：清理所有承台基槽——支设垫层木方模板——浇筑 </w:t>
      </w:r>
      <w:r>
        <w:t>C15 垫层——基础放线——绑扎承台及短柱钢筋——支设模板——第一次</w:t>
      </w:r>
      <w:r>
        <w:rPr>
          <w:spacing w:val="-1"/>
        </w:rPr>
        <w:t>浇筑承台砼——平整地基、回填夯实——焊接预埋地脚螺栓——支设模板——第二次浇筑短柱砼——清理其它车间基础梁地槽——绑扎钢筋、</w:t>
      </w:r>
      <w:r>
        <w:rPr>
          <w:spacing w:val="-2"/>
        </w:rPr>
        <w:t xml:space="preserve">支设模板——第三次浇筑基础梁砼至板底处——回填土、平整夯实—— </w:t>
      </w:r>
      <w:r>
        <w:rPr>
          <w:spacing w:val="-14"/>
        </w:rPr>
        <w:t xml:space="preserve">铺设 </w:t>
      </w:r>
      <w:r>
        <w:t>150 厚级配石子——浇筑70</w:t>
      </w:r>
      <w:r>
        <w:rPr>
          <w:spacing w:val="-27"/>
        </w:rPr>
        <w:t xml:space="preserve"> 厚 </w:t>
      </w:r>
      <w:r>
        <w:t>C15</w:t>
      </w:r>
      <w:r>
        <w:rPr>
          <w:spacing w:val="-6"/>
        </w:rPr>
        <w:t xml:space="preserve"> 砼垫层——铺塑料布——绑扎板筋——第四次浇筑地面板砼。</w:t>
      </w:r>
    </w:p>
    <w:p>
      <w:pPr>
        <w:spacing w:after="0" w:line="405" w:lineRule="auto"/>
        <w:sectPr>
          <w:headerReference w:type="default" r:id="rId13"/>
          <w:footerReference w:type="default" r:id="rId14"/>
          <w:pgSz w:w="17860" w:h="25260"/>
          <w:pgMar w:top="1540" w:right="1680" w:bottom="2120" w:left="2440" w:header="1050" w:footer="1909"/>
          <w:pgNumType w:start="4"/>
          <w:cols w:space="708"/>
        </w:sectPr>
      </w:pPr>
    </w:p>
    <w:p>
      <w:pPr>
        <w:pStyle w:val="BodyText"/>
        <w:spacing w:before="1"/>
        <w:rPr>
          <w:sz w:val="6"/>
        </w:rPr>
      </w:pPr>
    </w:p>
    <w:p>
      <w:pPr>
        <w:pStyle w:val="Heading1"/>
        <w:numPr>
          <w:ilvl w:val="0"/>
          <w:numId w:val="9"/>
        </w:numPr>
        <w:tabs>
          <w:tab w:val="left" w:pos="494"/>
        </w:tabs>
        <w:spacing w:before="0" w:after="0" w:line="766" w:lineRule="exact"/>
        <w:ind w:left="493" w:right="0" w:hanging="381"/>
        <w:jc w:val="left"/>
      </w:pPr>
      <w:bookmarkStart w:id="2" w:name="_TOC_250002"/>
      <w:bookmarkEnd w:id="2"/>
      <w:r>
        <w:t>施工准备</w:t>
      </w:r>
    </w:p>
    <w:p>
      <w:pPr>
        <w:pStyle w:val="ListParagraph"/>
        <w:numPr>
          <w:ilvl w:val="1"/>
          <w:numId w:val="9"/>
        </w:numPr>
        <w:tabs>
          <w:tab w:val="left" w:pos="815"/>
        </w:tabs>
        <w:spacing w:before="421" w:after="0" w:line="240" w:lineRule="auto"/>
        <w:ind w:left="815" w:right="0" w:hanging="702"/>
        <w:jc w:val="left"/>
        <w:rPr>
          <w:sz w:val="42"/>
        </w:rPr>
      </w:pPr>
      <w:r>
        <w:rPr>
          <w:sz w:val="42"/>
        </w:rPr>
        <w:t>钢筋工程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2"/>
          <w:numId w:val="9"/>
        </w:numPr>
        <w:tabs>
          <w:tab w:val="left" w:pos="1161"/>
        </w:tabs>
        <w:spacing w:before="0" w:after="0" w:line="240" w:lineRule="auto"/>
        <w:ind w:left="1160" w:right="0" w:hanging="1048"/>
        <w:jc w:val="left"/>
        <w:rPr>
          <w:sz w:val="42"/>
        </w:rPr>
      </w:pPr>
      <w:r>
        <w:rPr>
          <w:sz w:val="42"/>
        </w:rPr>
        <w:t>作业条件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3"/>
          <w:numId w:val="9"/>
        </w:numPr>
        <w:tabs>
          <w:tab w:val="left" w:pos="1341"/>
        </w:tabs>
        <w:spacing w:before="0" w:after="0" w:line="405" w:lineRule="auto"/>
        <w:ind w:left="113" w:right="182" w:firstLine="838"/>
        <w:jc w:val="left"/>
        <w:rPr>
          <w:sz w:val="40"/>
        </w:rPr>
      </w:pPr>
      <w:r>
        <w:rPr>
          <w:spacing w:val="-1"/>
          <w:sz w:val="42"/>
        </w:rPr>
        <w:t xml:space="preserve">钢筋绑扎前，核对钢筋加工料表是否正确，并检查有无锈蚀现象， </w:t>
      </w:r>
      <w:r>
        <w:rPr>
          <w:sz w:val="42"/>
        </w:rPr>
        <w:t>除锈后再运至绑扎部位。</w:t>
      </w:r>
    </w:p>
    <w:p>
      <w:pPr>
        <w:pStyle w:val="ListParagraph"/>
        <w:numPr>
          <w:ilvl w:val="3"/>
          <w:numId w:val="9"/>
        </w:numPr>
        <w:tabs>
          <w:tab w:val="left" w:pos="1341"/>
        </w:tabs>
        <w:spacing w:before="8" w:after="0" w:line="240" w:lineRule="auto"/>
        <w:ind w:left="1340" w:right="0" w:hanging="390"/>
        <w:jc w:val="left"/>
        <w:rPr>
          <w:sz w:val="40"/>
        </w:rPr>
      </w:pPr>
      <w:r>
        <w:rPr>
          <w:sz w:val="42"/>
        </w:rPr>
        <w:t>做好放线工作，弹出柱、墙的位置线，并弹好钢筋位置线。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3"/>
          <w:numId w:val="9"/>
        </w:numPr>
        <w:tabs>
          <w:tab w:val="left" w:pos="1341"/>
        </w:tabs>
        <w:spacing w:before="0" w:after="0" w:line="240" w:lineRule="auto"/>
        <w:ind w:left="1340" w:right="0" w:hanging="390"/>
        <w:jc w:val="left"/>
        <w:rPr>
          <w:sz w:val="40"/>
        </w:rPr>
      </w:pPr>
      <w:r>
        <w:rPr>
          <w:sz w:val="42"/>
        </w:rPr>
        <w:t>做完技术交底。</w: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2"/>
          <w:numId w:val="9"/>
        </w:numPr>
        <w:tabs>
          <w:tab w:val="left" w:pos="1161"/>
        </w:tabs>
        <w:spacing w:before="1" w:after="0" w:line="240" w:lineRule="auto"/>
        <w:ind w:left="1160" w:right="0" w:hanging="1048"/>
        <w:jc w:val="left"/>
        <w:rPr>
          <w:sz w:val="42"/>
        </w:rPr>
      </w:pPr>
      <w:r>
        <w:rPr>
          <w:sz w:val="42"/>
        </w:rPr>
        <w:t>材质要求</w: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3"/>
          <w:numId w:val="9"/>
        </w:numPr>
        <w:tabs>
          <w:tab w:val="left" w:pos="1341"/>
        </w:tabs>
        <w:spacing w:before="0" w:after="0" w:line="240" w:lineRule="auto"/>
        <w:ind w:left="1340" w:right="0" w:hanging="390"/>
        <w:jc w:val="left"/>
        <w:rPr>
          <w:sz w:val="42"/>
        </w:rPr>
      </w:pPr>
      <w:r>
        <w:rPr>
          <w:sz w:val="42"/>
        </w:rPr>
        <w:t>钢筋：级别、规格符合设计要求。质量符合现行规范要求。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3"/>
          <w:numId w:val="9"/>
        </w:numPr>
        <w:tabs>
          <w:tab w:val="left" w:pos="1341"/>
        </w:tabs>
        <w:spacing w:before="1" w:after="0" w:line="240" w:lineRule="auto"/>
        <w:ind w:left="1340" w:right="0" w:hanging="390"/>
        <w:jc w:val="left"/>
        <w:rPr>
          <w:sz w:val="42"/>
        </w:rPr>
      </w:pPr>
      <w:r>
        <w:rPr>
          <w:sz w:val="42"/>
        </w:rPr>
        <w:t>20～22</w:t>
      </w:r>
      <w:r>
        <w:rPr>
          <w:spacing w:val="-5"/>
          <w:sz w:val="42"/>
        </w:rPr>
        <w:t xml:space="preserve"> 号火烧丝、水泥砂浆(塑料)垫块。</w: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2"/>
          <w:numId w:val="9"/>
        </w:numPr>
        <w:tabs>
          <w:tab w:val="left" w:pos="1161"/>
        </w:tabs>
        <w:spacing w:before="0" w:after="0" w:line="240" w:lineRule="auto"/>
        <w:ind w:left="1160" w:right="0" w:hanging="1048"/>
        <w:jc w:val="left"/>
        <w:rPr>
          <w:sz w:val="42"/>
        </w:rPr>
      </w:pPr>
      <w:r>
        <w:rPr>
          <w:sz w:val="42"/>
        </w:rPr>
        <w:t>主要机具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3"/>
          <w:numId w:val="9"/>
        </w:numPr>
        <w:tabs>
          <w:tab w:val="left" w:pos="1183"/>
        </w:tabs>
        <w:spacing w:before="1" w:after="0" w:line="405" w:lineRule="auto"/>
        <w:ind w:left="113" w:right="340" w:firstLine="680"/>
        <w:jc w:val="left"/>
        <w:rPr>
          <w:sz w:val="42"/>
        </w:rPr>
      </w:pPr>
      <w:r>
        <w:rPr>
          <w:spacing w:val="-1"/>
          <w:sz w:val="42"/>
        </w:rPr>
        <w:t>钢筋切断机、钢筋弯曲机、钢筋调直机、钢筋钩子、钢筋扳子、钢</w:t>
      </w:r>
      <w:r>
        <w:rPr>
          <w:sz w:val="42"/>
        </w:rPr>
        <w:t>丝刷、断火烧丝铡刀。</w:t>
      </w:r>
    </w:p>
    <w:p>
      <w:pPr>
        <w:pStyle w:val="ListParagraph"/>
        <w:numPr>
          <w:ilvl w:val="3"/>
          <w:numId w:val="9"/>
        </w:numPr>
        <w:tabs>
          <w:tab w:val="left" w:pos="1183"/>
        </w:tabs>
        <w:spacing w:before="5" w:after="0" w:line="240" w:lineRule="auto"/>
        <w:ind w:left="1182" w:right="0" w:hanging="390"/>
        <w:jc w:val="left"/>
        <w:rPr>
          <w:sz w:val="42"/>
        </w:rPr>
      </w:pPr>
      <w:r>
        <w:rPr>
          <w:sz w:val="42"/>
        </w:rPr>
        <w:t>墨斗、墨汁、小白线、粉笔。</w: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1"/>
          <w:numId w:val="9"/>
        </w:numPr>
        <w:tabs>
          <w:tab w:val="left" w:pos="815"/>
        </w:tabs>
        <w:spacing w:before="0" w:after="0" w:line="240" w:lineRule="auto"/>
        <w:ind w:left="815" w:right="0" w:hanging="702"/>
        <w:jc w:val="left"/>
        <w:rPr>
          <w:sz w:val="42"/>
        </w:rPr>
      </w:pPr>
      <w:r>
        <w:rPr>
          <w:sz w:val="42"/>
        </w:rPr>
        <w:t>模板工程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2"/>
          <w:numId w:val="9"/>
        </w:numPr>
        <w:tabs>
          <w:tab w:val="left" w:pos="1161"/>
        </w:tabs>
        <w:spacing w:before="0" w:after="0" w:line="240" w:lineRule="auto"/>
        <w:ind w:left="1160" w:right="0" w:hanging="1048"/>
        <w:jc w:val="left"/>
        <w:rPr>
          <w:sz w:val="42"/>
        </w:rPr>
      </w:pPr>
      <w:r>
        <w:rPr>
          <w:sz w:val="42"/>
        </w:rPr>
        <w:t>作业条件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5"/>
          <w:footerReference w:type="default" r:id="rId16"/>
          <w:pgSz w:w="17860" w:h="25260"/>
          <w:pgMar w:top="1540" w:right="1680" w:bottom="2120" w:left="2440" w:header="1050" w:footer="1909"/>
          <w:pgNumType w:start="5"/>
          <w:cols w:space="708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3"/>
          <w:numId w:val="9"/>
        </w:numPr>
        <w:tabs>
          <w:tab w:val="left" w:pos="1216"/>
          <w:tab w:val="left" w:pos="4829"/>
        </w:tabs>
        <w:spacing w:before="25" w:after="0" w:line="585" w:lineRule="auto"/>
        <w:ind w:left="113" w:right="483" w:firstLine="68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外墙高出</w:t>
      </w:r>
      <w:r>
        <w:rPr>
          <w:rFonts w:ascii="幼圆" w:eastAsia="幼圆" w:hint="eastAsia"/>
          <w:spacing w:val="16"/>
          <w:sz w:val="42"/>
        </w:rPr>
        <w:t xml:space="preserve"> </w:t>
      </w:r>
      <w:r>
        <w:rPr>
          <w:rFonts w:ascii="幼圆" w:eastAsia="幼圆" w:hint="eastAsia"/>
          <w:sz w:val="42"/>
        </w:rPr>
        <w:t>300mm</w:t>
        <w:tab/>
        <w:t>部分模板采用竹胶板拼装，拼装完毕后进行</w:t>
      </w:r>
      <w:r>
        <w:rPr>
          <w:rFonts w:ascii="幼圆" w:eastAsia="幼圆" w:hint="eastAsia"/>
          <w:spacing w:val="-17"/>
          <w:sz w:val="42"/>
        </w:rPr>
        <w:t>编</w:t>
      </w:r>
      <w:r>
        <w:rPr>
          <w:rFonts w:ascii="幼圆" w:eastAsia="幼圆" w:hint="eastAsia"/>
          <w:sz w:val="42"/>
        </w:rPr>
        <w:t>号，并涂刷水质脱模剂，分规格堆放。</w:t>
      </w:r>
    </w:p>
    <w:p>
      <w:pPr>
        <w:pStyle w:val="ListParagraph"/>
        <w:numPr>
          <w:ilvl w:val="3"/>
          <w:numId w:val="9"/>
        </w:numPr>
        <w:tabs>
          <w:tab w:val="left" w:pos="1216"/>
        </w:tabs>
        <w:spacing w:before="0" w:after="0" w:line="533" w:lineRule="exact"/>
        <w:ind w:left="1215" w:right="0" w:hanging="423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放好轴线、模板边线、水平控制标高线。</w:t>
      </w:r>
    </w:p>
    <w:p>
      <w:pPr>
        <w:pStyle w:val="BodyText"/>
        <w:spacing w:before="4"/>
        <w:rPr>
          <w:rFonts w:ascii="幼圆"/>
          <w:sz w:val="60"/>
        </w:rPr>
      </w:pPr>
    </w:p>
    <w:p>
      <w:pPr>
        <w:pStyle w:val="ListParagraph"/>
        <w:numPr>
          <w:ilvl w:val="3"/>
          <w:numId w:val="9"/>
        </w:numPr>
        <w:tabs>
          <w:tab w:val="left" w:pos="1216"/>
        </w:tabs>
        <w:spacing w:before="0" w:after="0" w:line="585" w:lineRule="auto"/>
        <w:ind w:left="113" w:right="340" w:firstLine="68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 xml:space="preserve">底板钢筋绑扎完毕，水电管线及预埋件均已安装，钢筋保护屋垫 </w:t>
      </w:r>
      <w:r>
        <w:rPr>
          <w:rFonts w:ascii="幼圆" w:eastAsia="幼圆" w:hint="eastAsia"/>
          <w:spacing w:val="-4"/>
          <w:sz w:val="42"/>
        </w:rPr>
        <w:t>块已垫好，并办完隐检手续。</w:t>
      </w:r>
    </w:p>
    <w:p>
      <w:pPr>
        <w:pStyle w:val="ListParagraph"/>
        <w:numPr>
          <w:ilvl w:val="2"/>
          <w:numId w:val="9"/>
        </w:numPr>
        <w:tabs>
          <w:tab w:val="left" w:pos="1168"/>
        </w:tabs>
        <w:spacing w:before="0" w:after="0" w:line="537" w:lineRule="exact"/>
        <w:ind w:left="1167" w:right="0" w:hanging="1055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材质要求</w:t>
      </w:r>
    </w:p>
    <w:p>
      <w:pPr>
        <w:pStyle w:val="BodyText"/>
        <w:spacing w:before="3"/>
        <w:rPr>
          <w:rFonts w:ascii="幼圆"/>
          <w:sz w:val="60"/>
        </w:rPr>
      </w:pPr>
    </w:p>
    <w:p>
      <w:pPr>
        <w:pStyle w:val="BodyText"/>
        <w:tabs>
          <w:tab w:val="left" w:pos="5078"/>
          <w:tab w:val="left" w:pos="8707"/>
        </w:tabs>
        <w:spacing w:line="585" w:lineRule="auto"/>
        <w:ind w:left="113" w:right="396" w:firstLine="68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w w:val="100"/>
        </w:rPr>
        <w:t>竹胶板</w:t>
      </w:r>
      <w:r>
        <w:rPr>
          <w:rFonts w:ascii="幼圆" w:eastAsia="幼圆" w:hAnsi="幼圆" w:hint="eastAsia"/>
          <w:spacing w:val="-71"/>
          <w:w w:val="100"/>
        </w:rPr>
        <w:t>(</w:t>
      </w:r>
      <w:r>
        <w:rPr>
          <w:rFonts w:ascii="幼圆" w:eastAsia="幼圆" w:hAnsi="幼圆" w:hint="eastAsia"/>
          <w:w w:val="100"/>
        </w:rPr>
        <w:t>厚度为</w:t>
      </w:r>
      <w:r>
        <w:rPr>
          <w:rFonts w:ascii="幼圆" w:eastAsia="幼圆" w:hAnsi="幼圆" w:hint="eastAsia"/>
          <w:spacing w:val="-109"/>
        </w:rPr>
        <w:t xml:space="preserve"> </w:t>
      </w:r>
      <w:r>
        <w:rPr>
          <w:rFonts w:ascii="幼圆" w:eastAsia="幼圆" w:hAnsi="幼圆" w:hint="eastAsia"/>
          <w:w w:val="100"/>
        </w:rPr>
        <w:t>1Omm)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w w:val="100"/>
        </w:rPr>
        <w:t>、木</w:t>
      </w:r>
      <w:r>
        <w:rPr>
          <w:rFonts w:ascii="幼圆" w:eastAsia="幼圆" w:hAnsi="幼圆" w:hint="eastAsia"/>
          <w:spacing w:val="-18"/>
          <w:w w:val="100"/>
        </w:rPr>
        <w:t>方</w:t>
      </w:r>
      <w:r>
        <w:rPr>
          <w:rFonts w:ascii="幼圆" w:eastAsia="幼圆" w:hAnsi="幼圆" w:hint="eastAsia"/>
          <w:w w:val="100"/>
        </w:rPr>
        <w:t>(6</w:t>
      </w:r>
      <w:r>
        <w:rPr>
          <w:rFonts w:ascii="幼圆" w:eastAsia="幼圆" w:hAnsi="幼圆" w:hint="eastAsia"/>
          <w:spacing w:val="1"/>
          <w:w w:val="100"/>
        </w:rPr>
        <w:t>0</w:t>
      </w:r>
      <w:r>
        <w:rPr>
          <w:rFonts w:ascii="幼圆" w:eastAsia="幼圆" w:hAnsi="幼圆" w:hint="eastAsia"/>
          <w:spacing w:val="-187"/>
          <w:w w:val="100"/>
        </w:rPr>
        <w:t>×</w:t>
      </w:r>
      <w:r>
        <w:rPr>
          <w:rFonts w:ascii="幼圆" w:eastAsia="幼圆" w:hAnsi="幼圆" w:hint="eastAsia"/>
          <w:w w:val="100"/>
        </w:rPr>
        <w:t>8Omm)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w w:val="100"/>
        </w:rPr>
        <w:t>、架子管、各种规格的</w:t>
      </w:r>
      <w:r>
        <w:rPr>
          <w:rFonts w:ascii="幼圆" w:eastAsia="幼圆" w:hAnsi="幼圆" w:hint="eastAsia"/>
          <w:spacing w:val="-17"/>
          <w:w w:val="100"/>
        </w:rPr>
        <w:t>钉</w:t>
      </w:r>
      <w:r>
        <w:rPr>
          <w:rFonts w:ascii="幼圆" w:eastAsia="幼圆" w:hAnsi="幼圆" w:hint="eastAsia"/>
        </w:rPr>
        <w:t>子。</w:t>
      </w:r>
    </w:p>
    <w:p>
      <w:pPr>
        <w:pStyle w:val="ListParagraph"/>
        <w:numPr>
          <w:ilvl w:val="2"/>
          <w:numId w:val="9"/>
        </w:numPr>
        <w:tabs>
          <w:tab w:val="left" w:pos="1168"/>
        </w:tabs>
        <w:spacing w:before="0" w:after="0" w:line="533" w:lineRule="exact"/>
        <w:ind w:left="1167" w:right="0" w:hanging="1055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工器具</w:t>
      </w:r>
    </w:p>
    <w:p>
      <w:pPr>
        <w:pStyle w:val="BodyText"/>
        <w:spacing w:before="4"/>
        <w:rPr>
          <w:rFonts w:ascii="幼圆"/>
          <w:sz w:val="60"/>
        </w:rPr>
      </w:pPr>
    </w:p>
    <w:p>
      <w:pPr>
        <w:pStyle w:val="ListParagraph"/>
        <w:numPr>
          <w:ilvl w:val="3"/>
          <w:numId w:val="9"/>
        </w:numPr>
        <w:tabs>
          <w:tab w:val="left" w:pos="1216"/>
        </w:tabs>
        <w:spacing w:before="0" w:after="0" w:line="585" w:lineRule="auto"/>
        <w:ind w:left="113" w:right="340" w:firstLine="68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 xml:space="preserve">电锯、手锯、斧子、电钻、扳手、钳子、线坠、小白线、水质脱 </w:t>
      </w:r>
      <w:r>
        <w:rPr>
          <w:rFonts w:ascii="幼圆" w:eastAsia="幼圆" w:hint="eastAsia"/>
          <w:spacing w:val="-6"/>
          <w:sz w:val="42"/>
        </w:rPr>
        <w:t>模剂。</w:t>
      </w:r>
    </w:p>
    <w:p>
      <w:pPr>
        <w:pStyle w:val="ListParagraph"/>
        <w:numPr>
          <w:ilvl w:val="3"/>
          <w:numId w:val="9"/>
        </w:numPr>
        <w:tabs>
          <w:tab w:val="left" w:pos="1216"/>
        </w:tabs>
        <w:spacing w:before="0" w:after="0" w:line="536" w:lineRule="exact"/>
        <w:ind w:left="1215" w:right="0" w:hanging="423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砂浆搅拌机、手推车、大铲、托线板、砖夹子、铁抹子、靠尺板。</w:t>
      </w:r>
    </w:p>
    <w:p>
      <w:pPr>
        <w:pStyle w:val="BodyText"/>
        <w:spacing w:before="3"/>
        <w:rPr>
          <w:rFonts w:ascii="幼圆"/>
          <w:sz w:val="60"/>
        </w:rPr>
      </w:pPr>
    </w:p>
    <w:p>
      <w:pPr>
        <w:pStyle w:val="ListParagraph"/>
        <w:numPr>
          <w:ilvl w:val="1"/>
          <w:numId w:val="9"/>
        </w:numPr>
        <w:tabs>
          <w:tab w:val="left" w:pos="815"/>
        </w:tabs>
        <w:spacing w:before="1" w:after="0" w:line="585" w:lineRule="auto"/>
        <w:ind w:left="113" w:right="10892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砼工程3.3.1</w:t>
      </w:r>
      <w:r>
        <w:rPr>
          <w:rFonts w:ascii="幼圆" w:eastAsia="幼圆" w:hint="eastAsia"/>
          <w:spacing w:val="-5"/>
          <w:sz w:val="42"/>
        </w:rPr>
        <w:t>作业条件</w:t>
      </w:r>
    </w:p>
    <w:p>
      <w:pPr>
        <w:pStyle w:val="ListParagraph"/>
        <w:numPr>
          <w:ilvl w:val="0"/>
          <w:numId w:val="8"/>
        </w:numPr>
        <w:tabs>
          <w:tab w:val="left" w:pos="1216"/>
        </w:tabs>
        <w:spacing w:before="0" w:after="0" w:line="583" w:lineRule="auto"/>
        <w:ind w:left="113" w:right="431" w:firstLine="680"/>
        <w:jc w:val="left"/>
        <w:rPr>
          <w:rFonts w:ascii="幼圆" w:eastAsia="幼圆" w:hint="eastAsia"/>
          <w:sz w:val="40"/>
        </w:rPr>
        <w:sectPr>
          <w:headerReference w:type="default" r:id="rId17"/>
          <w:footerReference w:type="default" r:id="rId18"/>
          <w:pgSz w:w="17860" w:h="25260"/>
          <w:pgMar w:top="1540" w:right="1680" w:bottom="2100" w:left="2440" w:header="1050" w:footer="1909"/>
          <w:pgNumType w:start="6"/>
          <w:cols w:space="708"/>
        </w:sectPr>
      </w:pPr>
      <w:r>
        <w:rPr>
          <w:rFonts w:ascii="幼圆" w:eastAsia="幼圆" w:hint="eastAsia"/>
          <w:spacing w:val="-5"/>
          <w:sz w:val="42"/>
        </w:rPr>
        <w:t xml:space="preserve">检查固定模板的铅丝和螺栓是否穿过砼墙，如必须穿过时要采取 </w:t>
      </w:r>
    </w:p>
    <w:p>
      <w:pPr>
        <w:pStyle w:val="ListParagraph"/>
        <w:numPr>
          <w:ilvl w:val="0"/>
          <w:numId w:val="0"/>
        </w:numPr>
        <w:tabs>
          <w:tab w:val="left" w:pos="1216"/>
        </w:tabs>
        <w:spacing w:before="0" w:after="0" w:line="583" w:lineRule="auto"/>
        <w:ind w:left="113" w:right="431" w:firstLine="68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4"/>
          <w:sz w:val="42"/>
        </w:rPr>
        <w:t>止水措施，特别是管道或预埋件穿过处是否已做好防水处理。砼浇筑层段</w:t>
      </w:r>
    </w:p>
    <w:p>
      <w:pPr>
        <w:spacing w:after="0" w:line="583" w:lineRule="auto"/>
        <w:jc w:val="left"/>
        <w:rPr>
          <w:rFonts w:ascii="幼圆" w:eastAsia="幼圆" w:hint="eastAsia"/>
          <w:sz w:val="40"/>
        </w:rPr>
        <w:sectPr>
          <w:headerReference w:type="default" r:id="rId19"/>
          <w:footerReference w:type="default" r:id="rId20"/>
          <w:type w:val="nextPage"/>
          <w:pgSz w:w="17860" w:h="25260"/>
          <w:pgMar w:top="1540" w:right="1680" w:bottom="2100" w:left="2440" w:header="1050" w:footer="1909"/>
          <w:pgNumType w:start="7"/>
          <w:cols w:space="708"/>
          <w:titlePg w:val="0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43" w:line="405" w:lineRule="auto"/>
        <w:ind w:left="113" w:right="567"/>
        <w:jc w:val="both"/>
      </w:pPr>
      <w:r>
        <w:t>的模板、钢筋、预埋件及管线等全部安装完毕，模板内的杂物和钢筋油污等要清理干净，模板的缝隙和孔洞已堵严。完成钢筋、模板的隐检、预检工作。</w:t>
      </w:r>
    </w:p>
    <w:p>
      <w:pPr>
        <w:pStyle w:val="ListParagraph"/>
        <w:numPr>
          <w:ilvl w:val="0"/>
          <w:numId w:val="11"/>
        </w:numPr>
        <w:tabs>
          <w:tab w:val="left" w:pos="1183"/>
        </w:tabs>
        <w:spacing w:before="6" w:after="0" w:line="405" w:lineRule="auto"/>
        <w:ind w:left="113" w:right="147" w:firstLine="680"/>
        <w:jc w:val="left"/>
        <w:rPr>
          <w:sz w:val="40"/>
        </w:rPr>
      </w:pPr>
      <w:r>
        <w:rPr>
          <w:sz w:val="42"/>
        </w:rPr>
        <w:t>砼泵车调试运转正常，骨料在泵管中流动不得有较大晃动，否则要</w:t>
      </w:r>
      <w:r>
        <w:rPr>
          <w:spacing w:val="-1"/>
          <w:sz w:val="42"/>
        </w:rPr>
        <w:t>立即进行加固泵管，浇筑砼用的架子及马道已支搭完毕，并经检验合格。</w:t>
      </w:r>
    </w:p>
    <w:p>
      <w:pPr>
        <w:pStyle w:val="ListParagraph"/>
        <w:numPr>
          <w:ilvl w:val="0"/>
          <w:numId w:val="11"/>
        </w:numPr>
        <w:tabs>
          <w:tab w:val="left" w:pos="1183"/>
        </w:tabs>
        <w:spacing w:before="8" w:after="0" w:line="405" w:lineRule="auto"/>
        <w:ind w:left="113" w:right="340" w:firstLine="680"/>
        <w:jc w:val="left"/>
        <w:rPr>
          <w:sz w:val="40"/>
        </w:rPr>
      </w:pPr>
      <w:r>
        <w:rPr>
          <w:spacing w:val="-1"/>
          <w:sz w:val="42"/>
        </w:rPr>
        <w:t>夜间施工配备好足够的夜间照明设备。砼浇筑时，要使砼浇筑移动</w:t>
      </w:r>
      <w:r>
        <w:rPr>
          <w:sz w:val="42"/>
        </w:rPr>
        <w:t>方向与泵送方向相反，砼浇筑过程中，只许拆除泵管，不得增没管段。</w:t>
      </w:r>
    </w:p>
    <w:p>
      <w:pPr>
        <w:pStyle w:val="ListParagraph"/>
        <w:numPr>
          <w:ilvl w:val="0"/>
          <w:numId w:val="11"/>
        </w:numPr>
        <w:tabs>
          <w:tab w:val="left" w:pos="1390"/>
          <w:tab w:val="left" w:pos="1391"/>
        </w:tabs>
        <w:spacing w:before="4" w:after="0" w:line="405" w:lineRule="auto"/>
        <w:ind w:left="793" w:right="1816" w:firstLine="0"/>
        <w:jc w:val="left"/>
        <w:rPr>
          <w:sz w:val="42"/>
        </w:rPr>
      </w:pPr>
      <w:r>
        <w:rPr>
          <w:spacing w:val="-1"/>
          <w:sz w:val="42"/>
        </w:rPr>
        <w:t>砼泵车支设位置。因现场狭小，需要多次变化支设位置。</w:t>
      </w:r>
      <w:r>
        <w:rPr>
          <w:sz w:val="42"/>
        </w:rPr>
        <w:t>5)砼配合比。按照设计要求。</w:t>
      </w:r>
    </w:p>
    <w:p>
      <w:pPr>
        <w:pStyle w:val="ListParagraph"/>
        <w:numPr>
          <w:ilvl w:val="2"/>
          <w:numId w:val="7"/>
        </w:numPr>
        <w:tabs>
          <w:tab w:val="left" w:pos="1161"/>
        </w:tabs>
        <w:spacing w:before="5" w:after="0" w:line="240" w:lineRule="auto"/>
        <w:ind w:left="1160" w:right="0" w:hanging="1048"/>
        <w:jc w:val="left"/>
        <w:rPr>
          <w:sz w:val="42"/>
        </w:rPr>
      </w:pPr>
      <w:r>
        <w:rPr>
          <w:sz w:val="42"/>
        </w:rPr>
        <w:t>材质要求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3"/>
          <w:numId w:val="7"/>
        </w:numPr>
        <w:tabs>
          <w:tab w:val="left" w:pos="1395"/>
        </w:tabs>
        <w:spacing w:before="0" w:after="0" w:line="405" w:lineRule="auto"/>
        <w:ind w:left="113" w:right="549" w:firstLine="889"/>
        <w:jc w:val="both"/>
        <w:rPr>
          <w:sz w:val="42"/>
        </w:rPr>
      </w:pPr>
      <w:r>
        <w:rPr>
          <w:spacing w:val="-1"/>
          <w:sz w:val="42"/>
        </w:rPr>
        <w:t>水泥：水泥品种、强度等级应根据设计要求确定。质量符合现行</w:t>
      </w:r>
      <w:r>
        <w:rPr>
          <w:sz w:val="42"/>
        </w:rPr>
        <w:t>水泥标准。工期紧时可做水泥快测。必要时要求厂家提供水泥含碱量的报告。</w:t>
      </w:r>
    </w:p>
    <w:p>
      <w:pPr>
        <w:pStyle w:val="ListParagraph"/>
        <w:numPr>
          <w:ilvl w:val="3"/>
          <w:numId w:val="7"/>
        </w:numPr>
        <w:tabs>
          <w:tab w:val="left" w:pos="1395"/>
        </w:tabs>
        <w:spacing w:before="10" w:after="0" w:line="405" w:lineRule="auto"/>
        <w:ind w:left="113" w:right="549" w:firstLine="889"/>
        <w:jc w:val="both"/>
        <w:rPr>
          <w:sz w:val="42"/>
        </w:rPr>
      </w:pPr>
      <w:r>
        <w:rPr>
          <w:spacing w:val="-1"/>
          <w:sz w:val="42"/>
        </w:rPr>
        <w:t>砂、石子：根据结构尺寸、钢筋密度、砼施工工艺、砼强度等级</w:t>
      </w:r>
      <w:r>
        <w:rPr>
          <w:sz w:val="42"/>
        </w:rPr>
        <w:t>的要求确定石子粒径、砂子细度。砂、石质量符合现行标准。必要时做骨料碱活性试验。</w:t>
      </w:r>
    </w:p>
    <w:p>
      <w:pPr>
        <w:spacing w:after="0" w:line="405" w:lineRule="auto"/>
        <w:jc w:val="both"/>
        <w:rPr>
          <w:sz w:val="42"/>
        </w:rPr>
        <w:sectPr>
          <w:headerReference w:type="default" r:id="rId21"/>
          <w:footerReference w:type="default" r:id="rId22"/>
          <w:pgSz w:w="17860" w:h="25260"/>
          <w:pgMar w:top="1540" w:right="1680" w:bottom="2120" w:left="2440" w:header="1050" w:footer="1909"/>
          <w:pgNumType w:start="8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3"/>
          <w:numId w:val="7"/>
        </w:numPr>
        <w:tabs>
          <w:tab w:val="left" w:pos="1391"/>
        </w:tabs>
        <w:spacing w:before="0" w:after="0" w:line="766" w:lineRule="exact"/>
        <w:ind w:left="1391" w:right="0" w:hanging="389"/>
        <w:jc w:val="left"/>
        <w:rPr>
          <w:sz w:val="42"/>
        </w:rPr>
      </w:pPr>
      <w:r>
        <w:rPr>
          <w:sz w:val="42"/>
        </w:rPr>
        <w:t>水：自来水或不含有害物质的洁净水。</w: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3"/>
          <w:numId w:val="7"/>
        </w:numPr>
        <w:tabs>
          <w:tab w:val="left" w:pos="1395"/>
        </w:tabs>
        <w:spacing w:before="0" w:after="0" w:line="405" w:lineRule="auto"/>
        <w:ind w:left="113" w:right="549" w:firstLine="889"/>
        <w:jc w:val="left"/>
        <w:rPr>
          <w:sz w:val="42"/>
        </w:rPr>
      </w:pPr>
      <w:r>
        <w:rPr>
          <w:spacing w:val="-1"/>
          <w:sz w:val="42"/>
        </w:rPr>
        <w:t>外加剂：根据施工组织设计要求，确定是否采用外加剂。外加剂</w:t>
      </w:r>
      <w:r>
        <w:rPr>
          <w:sz w:val="42"/>
        </w:rPr>
        <w:t>必须经试验合格后，方可在工程上使用。</w:t>
      </w:r>
    </w:p>
    <w:p>
      <w:pPr>
        <w:pStyle w:val="ListParagraph"/>
        <w:numPr>
          <w:ilvl w:val="3"/>
          <w:numId w:val="7"/>
        </w:numPr>
        <w:tabs>
          <w:tab w:val="left" w:pos="1395"/>
        </w:tabs>
        <w:spacing w:before="4" w:after="0" w:line="405" w:lineRule="auto"/>
        <w:ind w:left="113" w:right="549" w:firstLine="889"/>
        <w:jc w:val="left"/>
        <w:rPr>
          <w:sz w:val="42"/>
        </w:rPr>
      </w:pPr>
      <w:r>
        <w:rPr>
          <w:spacing w:val="-1"/>
          <w:sz w:val="42"/>
        </w:rPr>
        <w:t>掺合料：根据施工组织设计要求，确定是否采用掺合料。掺合料</w:t>
      </w:r>
      <w:r>
        <w:rPr>
          <w:sz w:val="42"/>
        </w:rPr>
        <w:t>质量符合现行标准。</w:t>
      </w:r>
    </w:p>
    <w:p>
      <w:pPr>
        <w:pStyle w:val="ListParagraph"/>
        <w:numPr>
          <w:ilvl w:val="3"/>
          <w:numId w:val="7"/>
        </w:numPr>
        <w:tabs>
          <w:tab w:val="left" w:pos="1395"/>
        </w:tabs>
        <w:spacing w:before="9" w:after="0" w:line="405" w:lineRule="auto"/>
        <w:ind w:left="113" w:right="549" w:firstLine="889"/>
        <w:jc w:val="left"/>
        <w:rPr>
          <w:sz w:val="42"/>
        </w:rPr>
      </w:pPr>
      <w:r>
        <w:rPr>
          <w:spacing w:val="-1"/>
          <w:sz w:val="42"/>
        </w:rPr>
        <w:t>钢筋：钢筋的级别、规格必须符合设计要求。质量符合现行标准</w:t>
      </w:r>
      <w:r>
        <w:rPr>
          <w:sz w:val="42"/>
        </w:rPr>
        <w:t>要求。表面无老锈和油污。必要时做化学分析。</w:t>
      </w:r>
    </w:p>
    <w:p>
      <w:pPr>
        <w:pStyle w:val="ListParagraph"/>
        <w:numPr>
          <w:ilvl w:val="3"/>
          <w:numId w:val="7"/>
        </w:numPr>
        <w:tabs>
          <w:tab w:val="left" w:pos="1391"/>
        </w:tabs>
        <w:spacing w:before="4" w:after="0" w:line="240" w:lineRule="auto"/>
        <w:ind w:left="1391" w:right="0" w:hanging="389"/>
        <w:jc w:val="left"/>
        <w:rPr>
          <w:sz w:val="42"/>
        </w:rPr>
      </w:pPr>
      <w:r>
        <w:rPr>
          <w:sz w:val="42"/>
        </w:rPr>
        <w:t>脱模剂：水质隔模剂。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2"/>
          <w:numId w:val="7"/>
        </w:numPr>
        <w:tabs>
          <w:tab w:val="left" w:pos="1161"/>
        </w:tabs>
        <w:spacing w:before="0" w:after="0" w:line="240" w:lineRule="auto"/>
        <w:ind w:left="1160" w:right="0" w:hanging="1048"/>
        <w:jc w:val="left"/>
        <w:rPr>
          <w:sz w:val="42"/>
        </w:rPr>
      </w:pPr>
      <w:r>
        <w:rPr>
          <w:sz w:val="42"/>
        </w:rPr>
        <w:t>工器具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3"/>
          <w:numId w:val="7"/>
        </w:numPr>
        <w:tabs>
          <w:tab w:val="left" w:pos="1391"/>
        </w:tabs>
        <w:spacing w:before="0" w:after="0" w:line="240" w:lineRule="auto"/>
        <w:ind w:left="1391" w:right="0" w:hanging="389"/>
        <w:jc w:val="left"/>
        <w:rPr>
          <w:sz w:val="42"/>
        </w:rPr>
      </w:pPr>
      <w:r>
        <w:rPr>
          <w:sz w:val="42"/>
        </w:rPr>
        <w:t>砼搅拌机、地泵、插入式振捣器、振捣棒。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3"/>
          <w:numId w:val="7"/>
        </w:numPr>
        <w:tabs>
          <w:tab w:val="left" w:pos="1391"/>
        </w:tabs>
        <w:spacing w:before="0" w:after="0" w:line="408" w:lineRule="auto"/>
        <w:ind w:left="113" w:right="436" w:firstLine="889"/>
        <w:jc w:val="left"/>
        <w:rPr>
          <w:sz w:val="42"/>
        </w:rPr>
      </w:pPr>
      <w:r>
        <w:rPr>
          <w:spacing w:val="-2"/>
          <w:sz w:val="42"/>
        </w:rPr>
        <w:t xml:space="preserve">木抹子 </w:t>
      </w:r>
      <w:r>
        <w:rPr>
          <w:sz w:val="42"/>
        </w:rPr>
        <w:t>2～3m</w:t>
      </w:r>
      <w:r>
        <w:rPr>
          <w:spacing w:val="-17"/>
          <w:sz w:val="42"/>
        </w:rPr>
        <w:t xml:space="preserve"> 杠尺、塑料薄膜、小白线。胎模采用红机砖，M5.0 </w:t>
      </w:r>
      <w:r>
        <w:rPr>
          <w:spacing w:val="-3"/>
          <w:sz w:val="42"/>
        </w:rPr>
        <w:t xml:space="preserve">水泥砂浆砌筑，内侧及顶面采用 </w:t>
      </w:r>
      <w:r>
        <w:rPr>
          <w:sz w:val="42"/>
        </w:rPr>
        <w:t>1：2.5</w:t>
      </w:r>
      <w:r>
        <w:rPr>
          <w:spacing w:val="-5"/>
          <w:sz w:val="42"/>
        </w:rPr>
        <w:t xml:space="preserve"> 水泥砂浆抹面。</w:t>
      </w:r>
    </w:p>
    <w:p>
      <w:pPr>
        <w:pStyle w:val="ListParagraph"/>
        <w:numPr>
          <w:ilvl w:val="3"/>
          <w:numId w:val="7"/>
        </w:numPr>
        <w:tabs>
          <w:tab w:val="left" w:pos="1395"/>
        </w:tabs>
        <w:spacing w:before="0" w:after="0" w:line="766" w:lineRule="exact"/>
        <w:ind w:left="1394" w:right="0" w:hanging="393"/>
        <w:jc w:val="left"/>
        <w:rPr>
          <w:sz w:val="42"/>
        </w:rPr>
      </w:pPr>
      <w:r>
        <w:rPr>
          <w:sz w:val="42"/>
        </w:rPr>
        <w:t>考虑砼浇筑时侧压力较大，砖胎模外侧面必须采用木方及钢管进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113"/>
      </w:pPr>
      <w:r>
        <w:t>行支撑加固，支撑间距不大于 1.5m。</w:t>
      </w:r>
    </w:p>
    <w:p>
      <w:pPr>
        <w:pStyle w:val="Heading1"/>
        <w:numPr>
          <w:ilvl w:val="0"/>
          <w:numId w:val="9"/>
        </w:numPr>
        <w:tabs>
          <w:tab w:val="left" w:pos="494"/>
        </w:tabs>
        <w:spacing w:before="241" w:after="0" w:line="240" w:lineRule="auto"/>
        <w:ind w:left="493" w:right="0" w:hanging="381"/>
        <w:jc w:val="left"/>
      </w:pPr>
      <w:bookmarkStart w:id="3" w:name="_TOC_250001"/>
      <w:bookmarkEnd w:id="3"/>
      <w:r>
        <w:t>操作工艺</w:t>
      </w:r>
    </w:p>
    <w:p>
      <w:pPr>
        <w:pStyle w:val="ListParagraph"/>
        <w:numPr>
          <w:ilvl w:val="1"/>
          <w:numId w:val="9"/>
        </w:numPr>
        <w:tabs>
          <w:tab w:val="left" w:pos="815"/>
        </w:tabs>
        <w:spacing w:before="421" w:after="0" w:line="240" w:lineRule="auto"/>
        <w:ind w:left="815" w:right="0" w:hanging="702"/>
        <w:jc w:val="left"/>
        <w:rPr>
          <w:sz w:val="42"/>
        </w:rPr>
      </w:pPr>
      <w:r>
        <w:rPr>
          <w:sz w:val="42"/>
        </w:rPr>
        <w:t>钢筋工程工艺流程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https://d.book118.com/768033140066006045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default" r:id="rId24"/>
      <w:footerReference w:type="default" r:id="rId25"/>
      <w:pgSz w:w="17860" w:h="25260"/>
      <w:pgMar w:top="1540" w:right="1680" w:bottom="2120" w:left="2440" w:header="1050" w:footer="1909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56.41pt;margin-left:126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56.41pt;margin-left:126.6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56.41pt;margin-left:126.6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56.41pt;margin-left:126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56.41pt;margin-left:126.6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56.41pt;margin-left:126.6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56.41pt;margin-left:126.6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156.41pt;margin-left:126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156.41pt;margin-left:126.6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126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126.6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126.6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126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126.6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126.6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126.6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51.52pt;margin-left:126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51.52pt;margin-left:126.6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0CBCD"/>
    <w:multiLevelType w:val="hybridMultilevel"/>
    <w:tmpl w:val="00000000"/>
    <w:lvl w:ilvl="0">
      <w:start w:val="1"/>
      <w:numFmt w:val="decimal"/>
      <w:lvlText w:val="%1)"/>
      <w:lvlJc w:val="left"/>
      <w:pPr>
        <w:ind w:left="113" w:hanging="423"/>
        <w:jc w:val="left"/>
      </w:pPr>
      <w:rPr>
        <w:rFonts w:hint="default"/>
        <w:spacing w:val="-33"/>
        <w:w w:val="100"/>
      </w:rPr>
    </w:lvl>
    <w:lvl w:ilvl="1">
      <w:start w:val="0"/>
      <w:numFmt w:val="bullet"/>
      <w:lvlText w:val="•"/>
      <w:lvlJc w:val="left"/>
      <w:pPr>
        <w:ind w:left="148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423"/>
      </w:pPr>
      <w:rPr>
        <w:rFonts w:hint="default"/>
      </w:rPr>
    </w:lvl>
  </w:abstractNum>
  <w:abstractNum w:abstractNumId="1">
    <w:nsid w:val="24D47E2E"/>
    <w:multiLevelType w:val="hybridMultilevel"/>
    <w:tmpl w:val="00000000"/>
    <w:lvl w:ilvl="0">
      <w:start w:val="1"/>
      <w:numFmt w:val="decimal"/>
      <w:lvlText w:val="%1)"/>
      <w:lvlJc w:val="left"/>
      <w:pPr>
        <w:ind w:left="113" w:hanging="389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81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5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389"/>
      </w:pPr>
      <w:rPr>
        <w:rFonts w:hint="default"/>
      </w:rPr>
    </w:lvl>
  </w:abstractNum>
  <w:abstractNum w:abstractNumId="2">
    <w:nsid w:val="2A08F46E"/>
    <w:multiLevelType w:val="hybridMultilevel"/>
    <w:tmpl w:val="00000000"/>
    <w:lvl w:ilvl="0">
      <w:start w:val="1"/>
      <w:numFmt w:val="decimal"/>
      <w:lvlText w:val="%1)"/>
      <w:lvlJc w:val="left"/>
      <w:pPr>
        <w:ind w:left="113" w:hanging="4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81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5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407"/>
      </w:pPr>
      <w:rPr>
        <w:rFonts w:hint="default"/>
      </w:rPr>
    </w:lvl>
  </w:abstractNum>
  <w:abstractNum w:abstractNumId="3">
    <w:nsid w:val="316CC3F6"/>
    <w:multiLevelType w:val="hybridMultilevel"/>
    <w:tmpl w:val="00000000"/>
    <w:lvl w:ilvl="0">
      <w:start w:val="1"/>
      <w:numFmt w:val="decimal"/>
      <w:lvlText w:val="%1."/>
      <w:lvlJc w:val="left"/>
      <w:pPr>
        <w:ind w:left="493" w:hanging="381"/>
        <w:jc w:val="left"/>
      </w:pPr>
      <w:rPr>
        <w:rFonts w:ascii="微软雅黑" w:eastAsia="微软雅黑" w:hAnsi="微软雅黑" w:cs="微软雅黑" w:hint="default"/>
        <w:b/>
        <w:bCs/>
        <w:spacing w:val="-2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815" w:hanging="702"/>
        <w:jc w:val="left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160" w:hanging="702"/>
        <w:jc w:val="left"/>
      </w:pPr>
      <w:rPr>
        <w:rFonts w:hint="default"/>
        <w:spacing w:val="-1"/>
        <w:w w:val="100"/>
      </w:rPr>
    </w:lvl>
    <w:lvl w:ilvl="3">
      <w:start w:val="1"/>
      <w:numFmt w:val="decimal"/>
      <w:lvlText w:val="%4)"/>
      <w:lvlJc w:val="left"/>
      <w:pPr>
        <w:ind w:left="1340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1260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0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9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79" w:hanging="702"/>
      </w:pPr>
      <w:rPr>
        <w:rFonts w:hint="default"/>
      </w:rPr>
    </w:lvl>
  </w:abstractNum>
  <w:abstractNum w:abstractNumId="4">
    <w:nsid w:val="3CAAABC9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87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5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5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3" w:hanging="350"/>
      </w:pPr>
      <w:rPr>
        <w:rFonts w:hint="default"/>
      </w:rPr>
    </w:lvl>
  </w:abstractNum>
  <w:abstractNum w:abstractNumId="5">
    <w:nsid w:val="43564DC0"/>
    <w:multiLevelType w:val="hybridMultilevel"/>
    <w:tmpl w:val="00000000"/>
    <w:lvl w:ilvl="0">
      <w:start w:val="1"/>
      <w:numFmt w:val="decimal"/>
      <w:lvlText w:val="%1)"/>
      <w:lvlJc w:val="left"/>
      <w:pPr>
        <w:ind w:left="113" w:hanging="393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81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5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393"/>
      </w:pPr>
      <w:rPr>
        <w:rFonts w:hint="default"/>
      </w:rPr>
    </w:lvl>
  </w:abstractNum>
  <w:abstractNum w:abstractNumId="6">
    <w:nsid w:val="4B8667F5"/>
    <w:multiLevelType w:val="hybridMultilevel"/>
    <w:tmpl w:val="00000000"/>
    <w:lvl w:ilvl="0">
      <w:start w:val="1"/>
      <w:numFmt w:val="decimal"/>
      <w:lvlText w:val="%1)"/>
      <w:lvlJc w:val="left"/>
      <w:pPr>
        <w:ind w:left="113" w:hanging="393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81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5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393"/>
      </w:pPr>
      <w:rPr>
        <w:rFonts w:hint="default"/>
      </w:rPr>
    </w:lvl>
  </w:abstractNum>
  <w:abstractNum w:abstractNumId="7">
    <w:nsid w:val="54F0E0EE"/>
    <w:multiLevelType w:val="hybridMultilevel"/>
    <w:tmpl w:val="00000000"/>
    <w:lvl w:ilvl="0">
      <w:start w:val="1"/>
      <w:numFmt w:val="decimal"/>
      <w:lvlText w:val="%1)"/>
      <w:lvlJc w:val="left"/>
      <w:pPr>
        <w:ind w:left="113" w:hanging="423"/>
        <w:jc w:val="left"/>
      </w:pPr>
      <w:rPr>
        <w:rFonts w:hint="default"/>
        <w:spacing w:val="-33"/>
        <w:w w:val="100"/>
      </w:rPr>
    </w:lvl>
    <w:lvl w:ilvl="1">
      <w:start w:val="0"/>
      <w:numFmt w:val="bullet"/>
      <w:lvlText w:val="•"/>
      <w:lvlJc w:val="left"/>
      <w:pPr>
        <w:ind w:left="148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423"/>
      </w:pPr>
      <w:rPr>
        <w:rFonts w:hint="default"/>
      </w:rPr>
    </w:lvl>
  </w:abstractNum>
  <w:abstractNum w:abstractNumId="8">
    <w:nsid w:val="5AF39A3F"/>
    <w:multiLevelType w:val="hybridMultilevel"/>
    <w:tmpl w:val="00000000"/>
    <w:lvl w:ilvl="0">
      <w:start w:val="1"/>
      <w:numFmt w:val="decimal"/>
      <w:lvlText w:val="%1)"/>
      <w:lvlJc w:val="left"/>
      <w:pPr>
        <w:ind w:left="1394" w:hanging="393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33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7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7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1" w:hanging="393"/>
      </w:pPr>
      <w:rPr>
        <w:rFonts w:hint="default"/>
      </w:rPr>
    </w:lvl>
  </w:abstractNum>
  <w:abstractNum w:abstractNumId="9">
    <w:nsid w:val="5E9C5E72"/>
    <w:multiLevelType w:val="hybridMultilevel"/>
    <w:tmpl w:val="00000000"/>
    <w:lvl w:ilvl="0">
      <w:start w:val="3"/>
      <w:numFmt w:val="decimal"/>
      <w:lvlText w:val="%1"/>
      <w:lvlJc w:val="left"/>
      <w:pPr>
        <w:ind w:left="1160" w:hanging="104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60" w:hanging="104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160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113" w:hanging="393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484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7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2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4" w:hanging="393"/>
      </w:pPr>
      <w:rPr>
        <w:rFonts w:hint="default"/>
      </w:rPr>
    </w:lvl>
  </w:abstractNum>
  <w:abstractNum w:abstractNumId="10">
    <w:nsid w:val="65ED577E"/>
    <w:multiLevelType w:val="hybridMultilevel"/>
    <w:tmpl w:val="00000000"/>
    <w:lvl w:ilvl="0">
      <w:start w:val="1"/>
      <w:numFmt w:val="decimal"/>
      <w:lvlText w:val="%1)"/>
      <w:lvlJc w:val="left"/>
      <w:pPr>
        <w:ind w:left="113" w:hanging="389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81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5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389"/>
      </w:pPr>
      <w:rPr>
        <w:rFonts w:hint="default"/>
      </w:rPr>
    </w:lvl>
  </w:abstractNum>
  <w:num w:numId="1">
    <w:abstractNumId w:val="2"/>
  </w:num>
  <w:num w:numId="2">
    <w:abstractNumId w:val="10"/>
  </w:num>
  <w:num w:numId="3">
    <w:abstractNumId w:val="5"/>
  </w:num>
  <w:num w:numId="4">
    <w:abstractNumId w:val="8"/>
  </w:num>
  <w:num w:numId="5">
    <w:abstractNumId w:val="6"/>
  </w:num>
  <w:num w:numId="6">
    <w:abstractNumId w:val="1"/>
  </w:num>
  <w:num w:numId="7">
    <w:abstractNumId w:val="9"/>
  </w:num>
  <w:num w:numId="8">
    <w:abstractNumId w:val="0"/>
  </w:num>
  <w:num w:numId="9">
    <w:abstractNumId w:val="3"/>
  </w:num>
  <w:num w:numId="10">
    <w:abstractNumId w:val="4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493" w:hanging="381"/>
      <w:outlineLvl w:val="0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47"/>
      <w:ind w:left="462" w:hanging="350"/>
    </w:pPr>
    <w:rPr>
      <w:rFonts w:ascii="微软雅黑" w:eastAsia="微软雅黑" w:hAnsi="微软雅黑" w:cs="微软雅黑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Title">
    <w:name w:val="Title"/>
    <w:basedOn w:val="Normal"/>
    <w:uiPriority w:val="1"/>
    <w:qFormat/>
    <w:pPr>
      <w:spacing w:line="848" w:lineRule="exact"/>
      <w:ind w:right="333"/>
      <w:jc w:val="center"/>
    </w:pPr>
    <w:rPr>
      <w:rFonts w:ascii="微软雅黑" w:eastAsia="微软雅黑" w:hAnsi="微软雅黑" w:cs="微软雅黑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13" w:firstLine="88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yperlink" Target="https://d.book118.com/768033140066006045" TargetMode="Externa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2024-02-21T16:36:56Z</dcterms:created>
  <dcterms:modified xsi:type="dcterms:W3CDTF">2024-02-21T16:36:56Z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LastSaved">
    <vt:filetime>2024-02-21T00:00:00Z</vt:filetime>
  </property>
</Properties>
</file>