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4EC3" w:rsidRPr="00AD44FC" w:rsidP="006B4EC3">
      <w:pPr>
        <w:spacing w:before="936" w:beforeLines="300" w:after="624" w:afterLines="200" w:line="360" w:lineRule="auto"/>
        <w:jc w:val="center"/>
        <w:rPr>
          <w:rFonts w:ascii="STZhongsong" w:eastAsia="STZhongsong" w:hAnsi="STZhongsong"/>
          <w:b/>
          <w:bCs/>
          <w:sz w:val="44"/>
          <w:szCs w:val="44"/>
        </w:rPr>
      </w:pPr>
      <w:r w:rsidRPr="00AD44FC">
        <w:rPr>
          <w:rFonts w:ascii="STZhongsong" w:eastAsia="STZhongsong" w:hAnsi="STZhongsong" w:hint="eastAsia"/>
          <w:b/>
          <w:bCs/>
          <w:sz w:val="44"/>
          <w:szCs w:val="44"/>
        </w:rPr>
        <w:t>高管获奖经历与企业风险承担的关系</w:t>
      </w:r>
    </w:p>
    <w:p w:rsidR="006B4EC3" w:rsidRPr="00CA6F32" w:rsidP="006B4EC3">
      <w:pPr>
        <w:spacing w:before="936" w:beforeLines="300" w:after="624" w:afterLines="200" w:line="360" w:lineRule="auto"/>
        <w:jc w:val="center"/>
        <w:rPr>
          <w:rFonts w:ascii="STZhongsong" w:eastAsia="STZhongsong" w:hAnsi="STZhongsong"/>
          <w:b/>
          <w:bCs/>
          <w:sz w:val="44"/>
          <w:szCs w:val="44"/>
        </w:rPr>
      </w:pPr>
      <w:r w:rsidRPr="00CA6F32">
        <w:rPr>
          <w:rFonts w:ascii="STZhongsong" w:eastAsia="STZhongsong" w:hAnsi="STZhongsong" w:hint="eastAsia"/>
          <w:b/>
          <w:bCs/>
          <w:sz w:val="44"/>
          <w:szCs w:val="44"/>
        </w:rPr>
        <w:t>摘要</w:t>
      </w:r>
    </w:p>
    <w:p w:rsidR="006B4EC3" w:rsidP="006B4EC3">
      <w:pPr>
        <w:spacing w:line="360" w:lineRule="auto"/>
        <w:rPr>
          <w:rFonts w:ascii="宋体" w:hAnsi="宋体"/>
          <w:b/>
          <w:bCs/>
          <w:sz w:val="24"/>
          <w:szCs w:val="24"/>
        </w:rPr>
      </w:pPr>
      <w:r w:rsidRPr="00ED5677">
        <w:rPr>
          <w:rFonts w:ascii="宋体" w:hAnsi="宋体" w:hint="eastAsia"/>
          <w:b/>
          <w:bCs/>
          <w:sz w:val="24"/>
          <w:szCs w:val="24"/>
        </w:rPr>
        <w:t>企业风险承担是公司研究的主要问题之一，如何保持合理的企业风险承担水平对于公司治理与长期发展至关重要，而高管作为公司决策中的重要一环，其个人特征很大程度上会影响企业风险承担水平。其中，对于企业高管的获奖经历对</w:t>
      </w:r>
      <w:r>
        <w:rPr>
          <w:rFonts w:ascii="宋体" w:hAnsi="宋体" w:hint="eastAsia"/>
          <w:b/>
          <w:bCs/>
          <w:sz w:val="24"/>
          <w:szCs w:val="24"/>
        </w:rPr>
        <w:t>企业风险承担水平的</w:t>
      </w:r>
      <w:r w:rsidRPr="00ED5677">
        <w:rPr>
          <w:rFonts w:ascii="宋体" w:hAnsi="宋体" w:hint="eastAsia"/>
          <w:b/>
          <w:bCs/>
          <w:sz w:val="24"/>
          <w:szCs w:val="24"/>
        </w:rPr>
        <w:t>影响，学术界持不同态度。本文基于以上研究基础，选取1611家沪深两市A股上市公司为样本，研究得出媒体获奖经历对高管风险厌恶心理产生了显著影响，使得企业的风险水平显著降低。进一步研究发现，获奖经历加剧了风险相关的代理冲突，</w:t>
      </w:r>
      <w:r>
        <w:rPr>
          <w:rFonts w:ascii="宋体" w:hAnsi="宋体" w:hint="eastAsia"/>
          <w:b/>
          <w:bCs/>
          <w:sz w:val="24"/>
          <w:szCs w:val="24"/>
        </w:rPr>
        <w:t>其</w:t>
      </w:r>
      <w:r w:rsidRPr="00ED5677">
        <w:rPr>
          <w:rFonts w:ascii="宋体" w:hAnsi="宋体" w:hint="eastAsia"/>
          <w:b/>
          <w:bCs/>
          <w:sz w:val="24"/>
          <w:szCs w:val="24"/>
        </w:rPr>
        <w:t>使得高管变得更加风险规避，以及产生了职业上的担忧；</w:t>
      </w:r>
      <w:r>
        <w:rPr>
          <w:rFonts w:ascii="宋体" w:hAnsi="宋体" w:hint="eastAsia"/>
          <w:b/>
          <w:bCs/>
          <w:sz w:val="24"/>
          <w:szCs w:val="24"/>
        </w:rPr>
        <w:t>同时，</w:t>
      </w:r>
      <w:r w:rsidRPr="00ED5677">
        <w:rPr>
          <w:rFonts w:ascii="宋体" w:hAnsi="宋体" w:hint="eastAsia"/>
          <w:b/>
          <w:bCs/>
          <w:sz w:val="24"/>
          <w:szCs w:val="24"/>
        </w:rPr>
        <w:t>获奖经历对企业风险承担的影响可以具体在创新研发、融资结构等方面</w:t>
      </w:r>
      <w:r>
        <w:rPr>
          <w:rFonts w:ascii="宋体" w:hAnsi="宋体" w:hint="eastAsia"/>
          <w:b/>
          <w:bCs/>
          <w:sz w:val="24"/>
          <w:szCs w:val="24"/>
        </w:rPr>
        <w:t>，从而在企业投资决策与融资决策两方面整体提升了企业的风险承担水平</w:t>
      </w:r>
      <w:r w:rsidRPr="00ED5677">
        <w:rPr>
          <w:rFonts w:ascii="宋体" w:hAnsi="宋体" w:hint="eastAsia"/>
          <w:b/>
          <w:bCs/>
          <w:sz w:val="24"/>
          <w:szCs w:val="24"/>
        </w:rPr>
        <w:t>。本文也提出了投资者关注获奖经历背后的企业风险</w:t>
      </w:r>
      <w:r>
        <w:rPr>
          <w:rFonts w:ascii="宋体" w:hAnsi="宋体" w:hint="eastAsia"/>
          <w:b/>
          <w:bCs/>
          <w:sz w:val="24"/>
          <w:szCs w:val="24"/>
        </w:rPr>
        <w:t>与委托代理相关冲突</w:t>
      </w:r>
      <w:r w:rsidRPr="00ED5677">
        <w:rPr>
          <w:rFonts w:ascii="宋体" w:hAnsi="宋体" w:hint="eastAsia"/>
          <w:b/>
          <w:bCs/>
          <w:sz w:val="24"/>
          <w:szCs w:val="24"/>
        </w:rPr>
        <w:t>问题，为如何</w:t>
      </w:r>
      <w:r>
        <w:rPr>
          <w:rFonts w:ascii="宋体" w:hAnsi="宋体" w:hint="eastAsia"/>
          <w:b/>
          <w:bCs/>
          <w:sz w:val="24"/>
          <w:szCs w:val="24"/>
        </w:rPr>
        <w:t>激励管理者进行合理的风险性投资</w:t>
      </w:r>
      <w:r w:rsidRPr="00ED5677">
        <w:rPr>
          <w:rFonts w:ascii="宋体" w:hAnsi="宋体" w:hint="eastAsia"/>
          <w:b/>
          <w:bCs/>
          <w:sz w:val="24"/>
          <w:szCs w:val="24"/>
        </w:rPr>
        <w:t>提供了方向。</w:t>
      </w:r>
    </w:p>
    <w:p w:rsidR="006B4EC3" w:rsidRPr="0082698E" w:rsidP="006B4EC3">
      <w:pPr>
        <w:spacing w:before="120" w:line="280" w:lineRule="exact"/>
        <w:rPr>
          <w:rFonts w:ascii="宋体" w:hAnsi="宋体"/>
          <w:b/>
          <w:bCs/>
          <w:sz w:val="24"/>
          <w:szCs w:val="24"/>
        </w:rPr>
      </w:pPr>
      <w:r w:rsidRPr="0082698E">
        <w:rPr>
          <w:rFonts w:ascii="宋体" w:hAnsi="宋体" w:hint="eastAsia"/>
          <w:b/>
          <w:bCs/>
          <w:sz w:val="24"/>
          <w:szCs w:val="24"/>
        </w:rPr>
        <w:t>关键词：获奖经历</w:t>
      </w:r>
      <w:r>
        <w:rPr>
          <w:rFonts w:ascii="宋体" w:hAnsi="宋体" w:hint="eastAsia"/>
          <w:b/>
          <w:bCs/>
          <w:sz w:val="24"/>
          <w:szCs w:val="24"/>
        </w:rPr>
        <w:t>；</w:t>
      </w:r>
      <w:r w:rsidRPr="0082698E">
        <w:rPr>
          <w:rFonts w:ascii="宋体" w:hAnsi="宋体" w:hint="eastAsia"/>
          <w:b/>
          <w:bCs/>
          <w:sz w:val="24"/>
          <w:szCs w:val="24"/>
        </w:rPr>
        <w:t>风险承担</w:t>
      </w:r>
      <w:r>
        <w:rPr>
          <w:rFonts w:ascii="宋体" w:hAnsi="宋体" w:hint="eastAsia"/>
          <w:b/>
          <w:bCs/>
          <w:sz w:val="24"/>
          <w:szCs w:val="24"/>
        </w:rPr>
        <w:t>；</w:t>
      </w:r>
      <w:r w:rsidRPr="0082698E">
        <w:rPr>
          <w:rFonts w:ascii="宋体" w:hAnsi="宋体" w:hint="eastAsia"/>
          <w:b/>
          <w:bCs/>
          <w:sz w:val="24"/>
          <w:szCs w:val="24"/>
        </w:rPr>
        <w:t>风险厌恶</w:t>
      </w:r>
      <w:r>
        <w:rPr>
          <w:rFonts w:ascii="宋体" w:hAnsi="宋体" w:hint="eastAsia"/>
          <w:b/>
          <w:bCs/>
          <w:sz w:val="24"/>
          <w:szCs w:val="24"/>
        </w:rPr>
        <w:t>；</w:t>
      </w:r>
      <w:r w:rsidRPr="0082698E">
        <w:rPr>
          <w:rFonts w:ascii="宋体" w:hAnsi="宋体" w:hint="eastAsia"/>
          <w:b/>
          <w:bCs/>
          <w:sz w:val="24"/>
          <w:szCs w:val="24"/>
        </w:rPr>
        <w:t>代理冲突</w:t>
      </w:r>
    </w:p>
    <w:p w:rsidR="006B4EC3" w:rsidP="006B4EC3">
      <w:pPr>
        <w:rPr>
          <w:rFonts w:ascii="宋体" w:hAnsi="宋体"/>
          <w:b/>
          <w:bCs/>
          <w:sz w:val="24"/>
          <w:szCs w:val="24"/>
        </w:rPr>
      </w:pPr>
    </w:p>
    <w:p w:rsidR="006B4EC3" w:rsidP="006B4EC3">
      <w:pPr>
        <w:jc w:val="center"/>
        <w:rPr>
          <w:rFonts w:ascii="Times New Roman" w:hAnsi="Times New Roman"/>
          <w:b/>
          <w:bCs/>
          <w:sz w:val="44"/>
          <w:szCs w:val="44"/>
        </w:rPr>
        <w:sectPr>
          <w:pgSz w:w="11906" w:h="16838"/>
          <w:pgMar w:top="1440" w:right="1800" w:bottom="1440" w:left="1800" w:header="851" w:footer="992" w:gutter="0"/>
          <w:cols w:space="425"/>
          <w:docGrid w:type="lines" w:linePitch="312"/>
        </w:sectPr>
      </w:pPr>
    </w:p>
    <w:p w:rsidR="006B4EC3" w:rsidRPr="0082698E" w:rsidP="006B4EC3">
      <w:pPr>
        <w:spacing w:before="936" w:beforeLines="300" w:after="624" w:afterLines="200" w:line="360" w:lineRule="auto"/>
        <w:jc w:val="center"/>
        <w:rPr>
          <w:rFonts w:ascii="Times New Roman" w:hAnsi="Times New Roman"/>
          <w:b/>
          <w:bCs/>
          <w:sz w:val="44"/>
          <w:szCs w:val="44"/>
        </w:rPr>
      </w:pPr>
      <w:r w:rsidRPr="0082698E">
        <w:rPr>
          <w:rFonts w:ascii="Times New Roman" w:hAnsi="Times New Roman"/>
          <w:b/>
          <w:bCs/>
          <w:sz w:val="44"/>
          <w:szCs w:val="44"/>
        </w:rPr>
        <w:t>ABSTRACT</w:t>
      </w:r>
    </w:p>
    <w:p w:rsidR="006B4EC3" w:rsidRPr="00AD44FC" w:rsidP="006B4EC3">
      <w:pPr>
        <w:spacing w:line="360" w:lineRule="auto"/>
        <w:rPr>
          <w:rFonts w:ascii="Times New Roman" w:eastAsia="黑体" w:hAnsi="Times New Roman"/>
          <w:b/>
          <w:bCs/>
          <w:sz w:val="24"/>
          <w:szCs w:val="24"/>
        </w:rPr>
      </w:pPr>
      <w:r w:rsidRPr="00CA6F32">
        <w:rPr>
          <w:rFonts w:ascii="Times New Roman" w:eastAsia="黑体" w:hAnsi="Times New Roman"/>
          <w:b/>
          <w:bCs/>
          <w:sz w:val="24"/>
          <w:szCs w:val="24"/>
        </w:rPr>
        <w:t>Corporate risk taking is one of the major issues in corporate research. How to maintain a reasonable level of corporate risk taking is crucial to corporate governance and long-term development. As executives are an important part of corporate decision-making, their personal characteristics will largely affect the level of corporate risk taking. Among them, the academic circle holds different attitudes towards the impact of the experience of winning awards on the risk attitude of managers, as well as the innovation activities and risk level of enterprises. This paper selected 2,299 a-share listed companies as samples, and concluded that the awards had A significant impact on the risk aversion of executives</w:t>
      </w:r>
      <w:r w:rsidRPr="00CA6F32">
        <w:rPr>
          <w:rFonts w:ascii="Times New Roman" w:eastAsia="黑体" w:hAnsi="Times New Roman" w:hint="eastAsia"/>
          <w:b/>
          <w:bCs/>
          <w:sz w:val="24"/>
          <w:szCs w:val="24"/>
        </w:rPr>
        <w:t>.</w:t>
      </w:r>
      <w:r w:rsidRPr="00CA6F32">
        <w:rPr>
          <w:rFonts w:ascii="Times New Roman" w:eastAsia="黑体" w:hAnsi="Times New Roman"/>
          <w:b/>
          <w:bCs/>
          <w:sz w:val="24"/>
          <w:szCs w:val="24"/>
        </w:rPr>
        <w:t xml:space="preserve"> </w:t>
      </w:r>
      <w:r w:rsidRPr="00CA6F32">
        <w:rPr>
          <w:rFonts w:ascii="Times New Roman" w:eastAsia="黑体" w:hAnsi="Times New Roman" w:hint="eastAsia"/>
          <w:b/>
          <w:bCs/>
          <w:sz w:val="24"/>
          <w:szCs w:val="24"/>
        </w:rPr>
        <w:t>B</w:t>
      </w:r>
      <w:r w:rsidRPr="00CA6F32">
        <w:rPr>
          <w:rFonts w:ascii="Times New Roman" w:eastAsia="黑体" w:hAnsi="Times New Roman"/>
          <w:b/>
          <w:bCs/>
          <w:sz w:val="24"/>
          <w:szCs w:val="24"/>
        </w:rPr>
        <w:t>e</w:t>
      </w:r>
      <w:r w:rsidRPr="00CA6F32">
        <w:rPr>
          <w:rFonts w:ascii="Times New Roman" w:eastAsia="黑体" w:hAnsi="Times New Roman" w:hint="eastAsia"/>
          <w:b/>
          <w:bCs/>
          <w:sz w:val="24"/>
          <w:szCs w:val="24"/>
        </w:rPr>
        <w:t>cause</w:t>
      </w:r>
      <w:r w:rsidRPr="00CA6F32">
        <w:rPr>
          <w:rFonts w:ascii="Times New Roman" w:eastAsia="黑体" w:hAnsi="Times New Roman"/>
          <w:b/>
          <w:bCs/>
          <w:sz w:val="24"/>
          <w:szCs w:val="24"/>
        </w:rPr>
        <w:t xml:space="preserve"> the executives become more risk-averse, </w:t>
      </w:r>
      <w:r w:rsidRPr="00CA6F32">
        <w:rPr>
          <w:rFonts w:ascii="Times New Roman" w:eastAsia="黑体" w:hAnsi="Times New Roman" w:hint="eastAsia"/>
          <w:b/>
          <w:bCs/>
          <w:sz w:val="24"/>
          <w:szCs w:val="24"/>
        </w:rPr>
        <w:t>and</w:t>
      </w:r>
      <w:r w:rsidRPr="00CA6F32">
        <w:rPr>
          <w:rFonts w:ascii="Times New Roman" w:eastAsia="黑体" w:hAnsi="Times New Roman"/>
          <w:b/>
          <w:bCs/>
          <w:sz w:val="24"/>
          <w:szCs w:val="24"/>
        </w:rPr>
        <w:t xml:space="preserve"> the total risk-taking activities of enterprises are significantly reduced. Further research found that the award experience exacerbates the agency conflicts related to risks, makes the executives more risk-averse and generated professional concerns. The influence of the award-winning experience on the risk-taking of enterprises can be specific in the aspects of innovative research and development, financing structure and the growth of enterprises. At the same time, this paper also proposed that investors should pay attention to the enterprise risks behind the award-winning experience, and also provided a direction for enterprises to establish a positive reputation effect on enterprise operation.</w:t>
      </w:r>
    </w:p>
    <w:p w:rsidR="006B4EC3" w:rsidRPr="00D242CF" w:rsidP="006B4EC3">
      <w:pPr>
        <w:spacing w:after="120" w:line="360" w:lineRule="auto"/>
        <w:rPr>
          <w:rFonts w:ascii="Times New Roman" w:eastAsia="黑体" w:hAnsi="Times New Roman"/>
          <w:b/>
          <w:bCs/>
          <w:sz w:val="24"/>
          <w:szCs w:val="24"/>
        </w:rPr>
      </w:pPr>
      <w:r w:rsidRPr="00D242CF">
        <w:rPr>
          <w:rFonts w:ascii="Times New Roman" w:eastAsia="黑体" w:hAnsi="Times New Roman"/>
          <w:b/>
          <w:bCs/>
          <w:sz w:val="24"/>
          <w:szCs w:val="24"/>
        </w:rPr>
        <w:t>KEY WORDS</w:t>
      </w:r>
      <w:r w:rsidRPr="00D242CF">
        <w:rPr>
          <w:rFonts w:ascii="Times New Roman" w:eastAsia="黑体" w:hAnsi="Times New Roman"/>
          <w:b/>
          <w:bCs/>
          <w:sz w:val="24"/>
          <w:szCs w:val="24"/>
        </w:rPr>
        <w:t>：</w:t>
      </w:r>
      <w:r w:rsidRPr="00D242CF">
        <w:rPr>
          <w:rFonts w:ascii="Times New Roman" w:eastAsia="黑体" w:hAnsi="Times New Roman"/>
          <w:b/>
          <w:bCs/>
          <w:sz w:val="24"/>
          <w:szCs w:val="24"/>
        </w:rPr>
        <w:t>awarding-winning,</w:t>
      </w:r>
      <w:r w:rsidRPr="00D242CF">
        <w:rPr>
          <w:rFonts w:ascii="Times New Roman" w:eastAsia="黑体" w:hAnsi="Times New Roman"/>
          <w:b/>
          <w:bCs/>
          <w:sz w:val="24"/>
          <w:szCs w:val="24"/>
        </w:rPr>
        <w:t>；</w:t>
      </w:r>
      <w:r w:rsidRPr="00D242CF">
        <w:rPr>
          <w:rFonts w:ascii="Times New Roman" w:eastAsia="黑体" w:hAnsi="Times New Roman"/>
          <w:b/>
          <w:bCs/>
          <w:sz w:val="24"/>
          <w:szCs w:val="24"/>
        </w:rPr>
        <w:t>risk-taking,</w:t>
      </w:r>
      <w:r w:rsidRPr="00D242CF">
        <w:rPr>
          <w:rFonts w:ascii="Times New Roman" w:eastAsia="黑体" w:hAnsi="Times New Roman"/>
          <w:b/>
          <w:bCs/>
          <w:sz w:val="24"/>
          <w:szCs w:val="24"/>
        </w:rPr>
        <w:t>；</w:t>
      </w:r>
      <w:r w:rsidRPr="00D242CF">
        <w:rPr>
          <w:rFonts w:ascii="Times New Roman" w:eastAsia="黑体" w:hAnsi="Times New Roman"/>
          <w:b/>
          <w:bCs/>
          <w:sz w:val="24"/>
          <w:szCs w:val="24"/>
        </w:rPr>
        <w:t>risk-aversion</w:t>
      </w:r>
      <w:r w:rsidRPr="00D242CF">
        <w:rPr>
          <w:rFonts w:ascii="Times New Roman" w:eastAsia="黑体" w:hAnsi="Times New Roman"/>
          <w:b/>
          <w:bCs/>
          <w:sz w:val="24"/>
          <w:szCs w:val="24"/>
        </w:rPr>
        <w:t>；</w:t>
      </w:r>
      <w:r w:rsidRPr="00D242CF">
        <w:rPr>
          <w:rFonts w:ascii="Times New Roman" w:eastAsia="黑体" w:hAnsi="Times New Roman"/>
          <w:b/>
          <w:bCs/>
          <w:sz w:val="24"/>
          <w:szCs w:val="24"/>
        </w:rPr>
        <w:t>Agency conflicts</w:t>
      </w:r>
      <w:r w:rsidRPr="00D242CF">
        <w:rPr>
          <w:rFonts w:ascii="Times New Roman" w:eastAsia="黑体" w:hAnsi="Times New Roman"/>
          <w:b/>
          <w:bCs/>
          <w:sz w:val="24"/>
          <w:szCs w:val="24"/>
        </w:rPr>
        <w:br/>
      </w:r>
      <w:r w:rsidRPr="00D242CF">
        <w:rPr>
          <w:rFonts w:ascii="Times New Roman" w:eastAsia="黑体" w:hAnsi="Times New Roman"/>
          <w:b/>
          <w:bCs/>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https://d.book118.com/768042027132006026</w:t>
        </w:r>
      </w:hyperlink>
    </w:p>
    <w:p w:rsidR="006B4EC3" w:rsidRPr="00D242CF" w:rsidP="006B4EC3">
      <w:pPr>
        <w:spacing w:after="120" w:line="360" w:lineRule="auto"/>
        <w:rPr>
          <w:rFonts w:ascii="Times New Roman" w:eastAsia="黑体" w:hAnsi="Times New Roman"/>
          <w:b/>
          <w:bCs/>
          <w:sz w:val="24"/>
          <w:szCs w:val="24"/>
        </w:rPr>
      </w:pPr>
    </w:p>
    <w:sectPr>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 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sig w:usb0="00000000" w:usb1="00000000" w:usb2="00000000" w:usb3="00000000" w:csb0="00000001" w:csb1="00000000"/>
  </w:font>
  <w:font w:name="STZhongsong">
    <w:altName w:val="STZhongsong"/>
    <w:charset w:val="86"/>
    <w:family w:val="auto"/>
    <w:pitch w:val="variable"/>
    <w:sig w:usb0="00000287" w:usb1="080F0000" w:usb2="00000010" w:usb3="00000000" w:csb0="0004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493DEF"/>
    <w:multiLevelType w:val="hybridMultilevel"/>
    <w:tmpl w:val="97CAC648"/>
    <w:lvl w:ilvl="0">
      <w:start w:val="1"/>
      <w:numFmt w:val="lowerLetter"/>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1B6521C3"/>
    <w:multiLevelType w:val="hybridMultilevel"/>
    <w:tmpl w:val="8958760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1CC43773"/>
    <w:multiLevelType w:val="hybridMultilevel"/>
    <w:tmpl w:val="88D252C2"/>
    <w:lvl w:ilvl="0">
      <w:start w:val="1"/>
      <w:numFmt w:val="lowerLetter"/>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208843E1"/>
    <w:multiLevelType w:val="multilevel"/>
    <w:tmpl w:val="37369FCA"/>
    <w:lvl w:ilvl="0">
      <w:start w:val="1"/>
      <w:numFmt w:val="decimal"/>
      <w:suff w:val="space"/>
      <w:lvlText w:val="%1）"/>
      <w:lvlJc w:val="left"/>
      <w:pPr>
        <w:ind w:left="420" w:firstLine="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4">
    <w:nsid w:val="24BC7D80"/>
    <w:multiLevelType w:val="multilevel"/>
    <w:tmpl w:val="37369FCA"/>
    <w:numStyleLink w:val="12"/>
  </w:abstractNum>
  <w:abstractNum w:abstractNumId="5">
    <w:nsid w:val="3D23243C"/>
    <w:multiLevelType w:val="multilevel"/>
    <w:tmpl w:val="83A287C6"/>
    <w:lvl w:ilvl="0">
      <w:start w:val="1"/>
      <w:numFmt w:val="decimal"/>
      <w:lvlText w:val="%1"/>
      <w:lvlJc w:val="left"/>
      <w:pPr>
        <w:tabs>
          <w:tab w:val="num" w:pos="432"/>
        </w:tabs>
        <w:ind w:left="432" w:hanging="432"/>
      </w:pPr>
      <w:rPr>
        <w:rFonts w:hint="eastAsia"/>
      </w:rPr>
    </w:lvl>
    <w:lvl w:ilvl="1">
      <w:start w:val="1"/>
      <w:numFmt w:val="decimal"/>
      <w:lvlText w:val="%1.%2"/>
      <w:lvlJc w:val="left"/>
      <w:pPr>
        <w:tabs>
          <w:tab w:val="num" w:pos="576"/>
        </w:tabs>
        <w:ind w:left="576" w:hanging="576"/>
      </w:pPr>
      <w:rPr>
        <w:rFonts w:hint="eastAsia"/>
      </w:rPr>
    </w:lvl>
    <w:lvl w:ilvl="2">
      <w:start w:val="1"/>
      <w:numFmt w:val="decimal"/>
      <w:lvlText w:val="%1.%2.%3"/>
      <w:lvlJc w:val="left"/>
      <w:pPr>
        <w:tabs>
          <w:tab w:val="num" w:pos="1080"/>
        </w:tabs>
        <w:ind w:left="720" w:hanging="720"/>
      </w:pPr>
      <w:rPr>
        <w:rFonts w:hint="eastAsia"/>
      </w:rPr>
    </w:lvl>
    <w:lvl w:ilvl="3">
      <w:start w:val="1"/>
      <w:numFmt w:val="decimal"/>
      <w:lvlText w:val="%1.%2.%3.%4"/>
      <w:lvlJc w:val="left"/>
      <w:pPr>
        <w:tabs>
          <w:tab w:val="num" w:pos="1440"/>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6">
    <w:nsid w:val="4554649D"/>
    <w:multiLevelType w:val="multilevel"/>
    <w:tmpl w:val="37369FCA"/>
    <w:numStyleLink w:val="12"/>
  </w:abstractNum>
  <w:abstractNum w:abstractNumId="7">
    <w:nsid w:val="4BF704BF"/>
    <w:multiLevelType w:val="singleLevel"/>
    <w:tmpl w:val="4AF4CC1A"/>
    <w:lvl w:ilvl="0">
      <w:start w:val="1"/>
      <w:numFmt w:val="decimal"/>
      <w:pStyle w:val="-13"/>
      <w:lvlText w:val="[%1]"/>
      <w:lvlJc w:val="left"/>
      <w:pPr>
        <w:tabs>
          <w:tab w:val="num" w:pos="225"/>
        </w:tabs>
        <w:ind w:left="225" w:hanging="225"/>
      </w:pPr>
      <w:rPr>
        <w:rFonts w:hint="default"/>
      </w:rPr>
    </w:lvl>
  </w:abstractNum>
  <w:abstractNum w:abstractNumId="8">
    <w:nsid w:val="4D434BAB"/>
    <w:multiLevelType w:val="hybridMultilevel"/>
    <w:tmpl w:val="49E09D2E"/>
    <w:lvl w:ilvl="0">
      <w:start w:val="1"/>
      <w:numFmt w:val="decimal"/>
      <w:lvlText w:val="%1."/>
      <w:lvlJc w:val="lef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9">
    <w:nsid w:val="4EDD49A4"/>
    <w:multiLevelType w:val="hybridMultilevel"/>
    <w:tmpl w:val="5BE6D960"/>
    <w:lvl w:ilvl="0">
      <w:start w:val="1"/>
      <w:numFmt w:val="decimal"/>
      <w:lvlText w:val="%1)"/>
      <w:lvlJc w:val="left"/>
      <w:pPr>
        <w:ind w:left="360" w:hanging="360"/>
      </w:pPr>
      <w:rPr>
        <w:rFonts w:ascii="Times New Roman" w:eastAsia="宋体" w:hAnsi="Times New Roman" w:hint="default"/>
        <w:sz w:val="21"/>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56C808D5"/>
    <w:multiLevelType w:val="multilevel"/>
    <w:tmpl w:val="F9806FD8"/>
    <w:lvl w:ilvl="0">
      <w:start w:val="0"/>
      <w:numFmt w:val="decimal"/>
      <w:pStyle w:val="-3"/>
      <w:lvlText w:val="%1"/>
      <w:lvlJc w:val="left"/>
      <w:pPr>
        <w:ind w:left="0" w:firstLine="0"/>
      </w:pPr>
      <w:rPr>
        <w:rFonts w:ascii="Arial" w:eastAsia="黑体" w:hAnsi="Arial" w:hint="default"/>
        <w:b w:val="0"/>
        <w:i w:val="0"/>
        <w:sz w:val="24"/>
      </w:rPr>
    </w:lvl>
    <w:lvl w:ilvl="1">
      <w:start w:val="1"/>
      <w:numFmt w:val="decimal"/>
      <w:pStyle w:val="-0"/>
      <w:suff w:val="space"/>
      <w:lvlText w:val="%1.%2"/>
      <w:lvlJc w:val="left"/>
      <w:pPr>
        <w:ind w:left="0" w:firstLine="0"/>
      </w:pPr>
      <w:rPr>
        <w:rFonts w:hint="default"/>
      </w:rPr>
    </w:lvl>
    <w:lvl w:ilvl="2">
      <w:start w:val="1"/>
      <w:numFmt w:val="decimal"/>
      <w:pStyle w:val="-2"/>
      <w:suff w:val="space"/>
      <w:lvlText w:val="%1.%2.%3"/>
      <w:lvlJc w:val="left"/>
      <w:pPr>
        <w:ind w:left="0" w:firstLine="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56DA329A"/>
    <w:multiLevelType w:val="hybridMultilevel"/>
    <w:tmpl w:val="4B1CE480"/>
    <w:lvl w:ilvl="0">
      <w:start w:val="3"/>
      <w:numFmt w:val="decimal"/>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2">
    <w:nsid w:val="580A4948"/>
    <w:multiLevelType w:val="multilevel"/>
    <w:tmpl w:val="B1A0B5BA"/>
    <w:lvl w:ilvl="0">
      <w:start w:val="1"/>
      <w:numFmt w:val="decimal"/>
      <w:lvlText w:val="%1"/>
      <w:lvlJc w:val="left"/>
      <w:pPr>
        <w:ind w:left="396" w:hanging="396"/>
      </w:pPr>
      <w:rPr>
        <w:rFonts w:ascii="Arial" w:eastAsia="黑体" w:hAnsi="Arial" w:hint="default"/>
        <w:b w:val="0"/>
        <w:i w:val="0"/>
        <w:sz w:val="24"/>
      </w:rPr>
    </w:lvl>
    <w:lvl w:ilvl="1">
      <w:start w:val="1"/>
      <w:numFmt w:val="decimal"/>
      <w:suff w:val="space"/>
      <w:lvlText w:val="%1.%2"/>
      <w:lvlJc w:val="left"/>
      <w:pPr>
        <w:ind w:left="420" w:hanging="420"/>
      </w:pPr>
      <w:rPr>
        <w:rFonts w:ascii="Arial" w:eastAsia="黑体" w:hAnsi="Arial" w:hint="default"/>
        <w:b w:val="0"/>
        <w:i w:val="0"/>
        <w:sz w:val="21"/>
      </w:rPr>
    </w:lvl>
    <w:lvl w:ilvl="2">
      <w:start w:val="1"/>
      <w:numFmt w:val="decimal"/>
      <w:suff w:val="space"/>
      <w:lvlText w:val="%1.%2.%3"/>
      <w:lvlJc w:val="left"/>
      <w:pPr>
        <w:ind w:left="420" w:hanging="420"/>
      </w:pPr>
      <w:rPr>
        <w:rFonts w:ascii="Times New Roman" w:eastAsia="宋体" w:hAnsi="Times New Roman" w:hint="default"/>
        <w:b w:val="0"/>
        <w:i w:val="0"/>
        <w:sz w:val="2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94A362A"/>
    <w:multiLevelType w:val="multilevel"/>
    <w:tmpl w:val="E620FAB6"/>
    <w:styleLink w:val="-12"/>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59D74B59"/>
    <w:multiLevelType w:val="hybridMultilevel"/>
    <w:tmpl w:val="79B8FE7E"/>
    <w:lvl w:ilvl="0">
      <w:start w:val="1"/>
      <w:numFmt w:val="lowerLetter"/>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5E9367AC"/>
    <w:multiLevelType w:val="multilevel"/>
    <w:tmpl w:val="9510FF5E"/>
    <w:lvl w:ilvl="0">
      <w:start w:val="1"/>
      <w:numFmt w:val="chineseCountingThousand"/>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nsid w:val="68AC6944"/>
    <w:multiLevelType w:val="multilevel"/>
    <w:tmpl w:val="37369FCA"/>
    <w:styleLink w:val="12"/>
    <w:lvl w:ilvl="0">
      <w:start w:val="1"/>
      <w:numFmt w:val="decimal"/>
      <w:suff w:val="space"/>
      <w:lvlText w:val="%1）"/>
      <w:lvlJc w:val="left"/>
      <w:pPr>
        <w:ind w:left="420" w:firstLine="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17">
    <w:nsid w:val="68C754FD"/>
    <w:multiLevelType w:val="multilevel"/>
    <w:tmpl w:val="4B1CE480"/>
    <w:lvl w:ilvl="0">
      <w:start w:val="3"/>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73A42626"/>
    <w:multiLevelType w:val="hybridMultilevel"/>
    <w:tmpl w:val="31BA1D38"/>
    <w:lvl w:ilvl="0">
      <w:start w:val="1"/>
      <w:numFmt w:val="decimal"/>
      <w:lvlText w:val="（%1）"/>
      <w:lvlJc w:val="left"/>
      <w:pPr>
        <w:tabs>
          <w:tab w:val="num" w:pos="720"/>
        </w:tabs>
        <w:ind w:left="720" w:hanging="7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9">
    <w:nsid w:val="741B7F67"/>
    <w:multiLevelType w:val="hybridMultilevel"/>
    <w:tmpl w:val="CF9C50AA"/>
    <w:lvl w:ilvl="0">
      <w:start w:val="1"/>
      <w:numFmt w:val="decimal"/>
      <w:lvlText w:val="%1、"/>
      <w:lvlJc w:val="left"/>
      <w:pPr>
        <w:ind w:left="780" w:hanging="36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0">
    <w:nsid w:val="7DCA0D45"/>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10"/>
  </w:num>
  <w:num w:numId="2">
    <w:abstractNumId w:val="7"/>
  </w:num>
  <w:num w:numId="3">
    <w:abstractNumId w:val="18"/>
  </w:num>
  <w:num w:numId="4">
    <w:abstractNumId w:val="5"/>
  </w:num>
  <w:num w:numId="5">
    <w:abstractNumId w:val="12"/>
  </w:num>
  <w:num w:numId="6">
    <w:abstractNumId w:val="9"/>
  </w:num>
  <w:num w:numId="7">
    <w:abstractNumId w:val="4"/>
  </w:num>
  <w:num w:numId="8">
    <w:abstractNumId w:val="3"/>
  </w:num>
  <w:num w:numId="9">
    <w:abstractNumId w:val="16"/>
  </w:num>
  <w:num w:numId="10">
    <w:abstractNumId w:val="20"/>
  </w:num>
  <w:num w:numId="11">
    <w:abstractNumId w:val="6"/>
  </w:num>
  <w:num w:numId="12">
    <w:abstractNumId w:val="15"/>
  </w:num>
  <w:num w:numId="13">
    <w:abstractNumId w:val="13"/>
  </w:num>
  <w:num w:numId="14">
    <w:abstractNumId w:val="19"/>
  </w:num>
  <w:num w:numId="15">
    <w:abstractNumId w:val="11"/>
  </w:num>
  <w:num w:numId="16">
    <w:abstractNumId w:val="17"/>
  </w:num>
  <w:num w:numId="17">
    <w:abstractNumId w:val="0"/>
  </w:num>
  <w:num w:numId="18">
    <w:abstractNumId w:val="14"/>
  </w:num>
  <w:num w:numId="19">
    <w:abstractNumId w:val="2"/>
  </w:num>
  <w:num w:numId="20">
    <w:abstractNumId w:val="8"/>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EC3"/>
    <w:rsid w:val="0004363D"/>
    <w:rsid w:val="00063DDA"/>
    <w:rsid w:val="000A6C4D"/>
    <w:rsid w:val="003C406C"/>
    <w:rsid w:val="00451E18"/>
    <w:rsid w:val="005C28BD"/>
    <w:rsid w:val="006B4EC3"/>
    <w:rsid w:val="00766A26"/>
    <w:rsid w:val="0082698E"/>
    <w:rsid w:val="00955932"/>
    <w:rsid w:val="00AD44FC"/>
    <w:rsid w:val="00B07E53"/>
    <w:rsid w:val="00B13657"/>
    <w:rsid w:val="00B47282"/>
    <w:rsid w:val="00B84320"/>
    <w:rsid w:val="00C56E0F"/>
    <w:rsid w:val="00CA6F32"/>
    <w:rsid w:val="00D242CF"/>
    <w:rsid w:val="00D770FA"/>
    <w:rsid w:val="00DB38BC"/>
    <w:rsid w:val="00ED5677"/>
    <w:rsid w:val="00EF08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0DBE62A6-5B44-4225-A355-26FFDAAC8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B4EC3"/>
    <w:pPr>
      <w:widowControl w:val="0"/>
      <w:jc w:val="both"/>
    </w:pPr>
    <w:rPr>
      <w:rFonts w:ascii="Calibri" w:eastAsia="宋体" w:hAnsi="Calibri" w:cs="Times New Roman"/>
    </w:rPr>
  </w:style>
  <w:style w:type="paragraph" w:styleId="Heading1">
    <w:name w:val="heading 1"/>
    <w:basedOn w:val="Normal"/>
    <w:next w:val="Normal"/>
    <w:link w:val="1"/>
    <w:qFormat/>
    <w:rsid w:val="006B4EC3"/>
    <w:pPr>
      <w:keepNext/>
      <w:keepLines/>
      <w:spacing w:before="340" w:after="330" w:line="578" w:lineRule="auto"/>
      <w:outlineLvl w:val="0"/>
    </w:pPr>
    <w:rPr>
      <w:b/>
      <w:bCs/>
      <w:kern w:val="44"/>
      <w:sz w:val="44"/>
      <w:szCs w:val="44"/>
    </w:rPr>
  </w:style>
  <w:style w:type="paragraph" w:styleId="Heading5">
    <w:name w:val="heading 5"/>
    <w:basedOn w:val="Normal"/>
    <w:next w:val="Normal"/>
    <w:link w:val="5"/>
    <w:qFormat/>
    <w:rsid w:val="006B4EC3"/>
    <w:pPr>
      <w:keepNext/>
      <w:adjustRightInd w:val="0"/>
      <w:snapToGrid w:val="0"/>
      <w:ind w:left="357" w:hanging="357"/>
      <w:jc w:val="center"/>
      <w:textAlignment w:val="baseline"/>
      <w:outlineLvl w:val="4"/>
    </w:pPr>
    <w:rPr>
      <w:rFonts w:ascii="Times New Roman" w:eastAsia="黑体" w:hAnsi="Times New Roman"/>
      <w:b/>
      <w:bCs/>
      <w:kern w:val="0"/>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
    <w:name w:val="电机-正文"/>
    <w:basedOn w:val="Normal"/>
    <w:link w:val="-1"/>
    <w:qFormat/>
    <w:rsid w:val="006B4EC3"/>
    <w:pPr>
      <w:ind w:firstLine="420"/>
    </w:pPr>
    <w:rPr>
      <w:rFonts w:ascii="Times New Roman" w:hAnsi="Times New Roman"/>
      <w:szCs w:val="24"/>
    </w:rPr>
  </w:style>
  <w:style w:type="paragraph" w:customStyle="1" w:styleId="-0">
    <w:name w:val="电机-三级标题"/>
    <w:basedOn w:val="ListParagraph"/>
    <w:link w:val="-5"/>
    <w:qFormat/>
    <w:rsid w:val="006B4EC3"/>
    <w:pPr>
      <w:numPr>
        <w:ilvl w:val="1"/>
        <w:numId w:val="1"/>
      </w:numPr>
      <w:tabs>
        <w:tab w:val="num" w:pos="360"/>
      </w:tabs>
      <w:ind w:firstLine="420" w:firstLineChars="0"/>
    </w:pPr>
    <w:rPr>
      <w:rFonts w:ascii="Arial" w:eastAsia="黑体" w:hAnsi="Arial"/>
      <w:szCs w:val="24"/>
    </w:rPr>
  </w:style>
  <w:style w:type="character" w:customStyle="1" w:styleId="-1">
    <w:name w:val="电机-正文 字符"/>
    <w:basedOn w:val="DefaultParagraphFont"/>
    <w:link w:val="-"/>
    <w:rsid w:val="006B4EC3"/>
    <w:rPr>
      <w:rFonts w:ascii="Times New Roman" w:eastAsia="宋体" w:hAnsi="Times New Roman" w:cs="Times New Roman"/>
      <w:szCs w:val="24"/>
    </w:rPr>
  </w:style>
  <w:style w:type="paragraph" w:customStyle="1" w:styleId="-2">
    <w:name w:val="电机-四级标题"/>
    <w:link w:val="-6"/>
    <w:qFormat/>
    <w:rsid w:val="006B4EC3"/>
    <w:pPr>
      <w:numPr>
        <w:ilvl w:val="2"/>
        <w:numId w:val="1"/>
      </w:numPr>
    </w:pPr>
    <w:rPr>
      <w:rFonts w:ascii="Times New Roman" w:eastAsia="宋体" w:hAnsi="Times New Roman" w:cs="Times New Roman"/>
      <w:szCs w:val="24"/>
    </w:rPr>
  </w:style>
  <w:style w:type="paragraph" w:customStyle="1" w:styleId="-3">
    <w:name w:val="电机-二级标题"/>
    <w:basedOn w:val="ListParagraph"/>
    <w:link w:val="-4"/>
    <w:qFormat/>
    <w:rsid w:val="006B4EC3"/>
    <w:pPr>
      <w:numPr>
        <w:numId w:val="1"/>
      </w:numPr>
      <w:spacing w:before="120" w:after="120"/>
      <w:ind w:firstLineChars="0"/>
    </w:pPr>
    <w:rPr>
      <w:rFonts w:ascii="Arial" w:eastAsia="黑体" w:hAnsi="Arial"/>
      <w:sz w:val="24"/>
      <w:szCs w:val="24"/>
    </w:rPr>
  </w:style>
  <w:style w:type="character" w:customStyle="1" w:styleId="-4">
    <w:name w:val="电机-二级标题 字符"/>
    <w:basedOn w:val="DefaultParagraphFont"/>
    <w:link w:val="-3"/>
    <w:rsid w:val="006B4EC3"/>
    <w:rPr>
      <w:rFonts w:ascii="Arial" w:eastAsia="黑体" w:hAnsi="Arial" w:cs="Times New Roman"/>
      <w:sz w:val="24"/>
      <w:szCs w:val="24"/>
    </w:rPr>
  </w:style>
  <w:style w:type="paragraph" w:styleId="ListParagraph">
    <w:name w:val="List Paragraph"/>
    <w:basedOn w:val="Normal"/>
    <w:link w:val="a2"/>
    <w:uiPriority w:val="34"/>
    <w:qFormat/>
    <w:rsid w:val="006B4EC3"/>
    <w:pPr>
      <w:ind w:firstLine="420" w:firstLineChars="200"/>
    </w:pPr>
  </w:style>
  <w:style w:type="character" w:customStyle="1" w:styleId="1">
    <w:name w:val="标题 1 字符"/>
    <w:basedOn w:val="DefaultParagraphFont"/>
    <w:link w:val="Heading1"/>
    <w:rsid w:val="006B4EC3"/>
    <w:rPr>
      <w:rFonts w:ascii="Calibri" w:eastAsia="宋体" w:hAnsi="Calibri" w:cs="Times New Roman"/>
      <w:b/>
      <w:bCs/>
      <w:kern w:val="44"/>
      <w:sz w:val="44"/>
      <w:szCs w:val="44"/>
    </w:rPr>
  </w:style>
  <w:style w:type="character" w:customStyle="1" w:styleId="5">
    <w:name w:val="标题 5 字符"/>
    <w:basedOn w:val="DefaultParagraphFont"/>
    <w:link w:val="Heading5"/>
    <w:rsid w:val="006B4EC3"/>
    <w:rPr>
      <w:rFonts w:ascii="Times New Roman" w:eastAsia="黑体" w:hAnsi="Times New Roman" w:cs="Times New Roman"/>
      <w:b/>
      <w:bCs/>
      <w:kern w:val="0"/>
      <w:sz w:val="18"/>
      <w:szCs w:val="20"/>
    </w:rPr>
  </w:style>
  <w:style w:type="paragraph" w:styleId="TOCHeading">
    <w:name w:val="TOC Heading"/>
    <w:basedOn w:val="Heading1"/>
    <w:next w:val="Normal"/>
    <w:uiPriority w:val="39"/>
    <w:unhideWhenUsed/>
    <w:qFormat/>
    <w:rsid w:val="006B4EC3"/>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Normal"/>
    <w:next w:val="Normal"/>
    <w:autoRedefine/>
    <w:uiPriority w:val="39"/>
    <w:unhideWhenUsed/>
    <w:rsid w:val="006B4EC3"/>
    <w:pPr>
      <w:widowControl/>
      <w:spacing w:after="100" w:line="259" w:lineRule="auto"/>
      <w:ind w:left="220"/>
      <w:jc w:val="left"/>
    </w:pPr>
    <w:rPr>
      <w:rFonts w:asciiTheme="minorHAnsi" w:eastAsiaTheme="minorEastAsia" w:hAnsiTheme="minorHAnsi"/>
      <w:kern w:val="0"/>
      <w:sz w:val="22"/>
    </w:rPr>
  </w:style>
  <w:style w:type="paragraph" w:styleId="TOC1">
    <w:name w:val="toc 1"/>
    <w:basedOn w:val="Normal"/>
    <w:next w:val="Normal"/>
    <w:autoRedefine/>
    <w:uiPriority w:val="39"/>
    <w:unhideWhenUsed/>
    <w:rsid w:val="006B4EC3"/>
    <w:pPr>
      <w:widowControl/>
      <w:spacing w:after="100" w:line="259" w:lineRule="auto"/>
      <w:jc w:val="left"/>
    </w:pPr>
    <w:rPr>
      <w:rFonts w:asciiTheme="minorHAnsi" w:eastAsiaTheme="minorEastAsia" w:hAnsiTheme="minorHAnsi"/>
      <w:kern w:val="0"/>
      <w:sz w:val="22"/>
    </w:rPr>
  </w:style>
  <w:style w:type="paragraph" w:styleId="TOC3">
    <w:name w:val="toc 3"/>
    <w:basedOn w:val="Normal"/>
    <w:next w:val="Normal"/>
    <w:autoRedefine/>
    <w:uiPriority w:val="39"/>
    <w:unhideWhenUsed/>
    <w:rsid w:val="006B4EC3"/>
    <w:pPr>
      <w:widowControl/>
      <w:spacing w:after="100" w:line="259" w:lineRule="auto"/>
      <w:ind w:left="440"/>
      <w:jc w:val="left"/>
    </w:pPr>
    <w:rPr>
      <w:rFonts w:asciiTheme="minorHAnsi" w:eastAsiaTheme="minorEastAsia" w:hAnsiTheme="minorHAnsi"/>
      <w:kern w:val="0"/>
      <w:sz w:val="22"/>
    </w:rPr>
  </w:style>
  <w:style w:type="paragraph" w:styleId="Header">
    <w:name w:val="header"/>
    <w:aliases w:val="页眉1"/>
    <w:basedOn w:val="Normal"/>
    <w:link w:val="a"/>
    <w:uiPriority w:val="99"/>
    <w:rsid w:val="006B4EC3"/>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a">
    <w:name w:val="页眉 字符"/>
    <w:aliases w:val="页眉1 字符"/>
    <w:basedOn w:val="DefaultParagraphFont"/>
    <w:link w:val="Header"/>
    <w:uiPriority w:val="99"/>
    <w:rsid w:val="006B4EC3"/>
    <w:rPr>
      <w:rFonts w:ascii="Times New Roman" w:eastAsia="宋体" w:hAnsi="Times New Roman" w:cs="Times New Roman"/>
      <w:sz w:val="18"/>
      <w:szCs w:val="18"/>
    </w:rPr>
  </w:style>
  <w:style w:type="paragraph" w:styleId="Footer">
    <w:name w:val="footer"/>
    <w:basedOn w:val="Normal"/>
    <w:link w:val="a0"/>
    <w:uiPriority w:val="99"/>
    <w:rsid w:val="006B4EC3"/>
    <w:pPr>
      <w:tabs>
        <w:tab w:val="center" w:pos="4153"/>
        <w:tab w:val="right" w:pos="8306"/>
      </w:tabs>
      <w:snapToGrid w:val="0"/>
      <w:jc w:val="left"/>
    </w:pPr>
    <w:rPr>
      <w:rFonts w:ascii="Times New Roman" w:hAnsi="Times New Roman"/>
      <w:sz w:val="18"/>
      <w:szCs w:val="18"/>
    </w:rPr>
  </w:style>
  <w:style w:type="character" w:customStyle="1" w:styleId="a0">
    <w:name w:val="页脚 字符"/>
    <w:basedOn w:val="DefaultParagraphFont"/>
    <w:link w:val="Footer"/>
    <w:uiPriority w:val="99"/>
    <w:rsid w:val="006B4EC3"/>
    <w:rPr>
      <w:rFonts w:ascii="Times New Roman" w:eastAsia="宋体" w:hAnsi="Times New Roman" w:cs="Times New Roman"/>
      <w:sz w:val="18"/>
      <w:szCs w:val="18"/>
    </w:rPr>
  </w:style>
  <w:style w:type="paragraph" w:styleId="BodyTextIndent2">
    <w:name w:val="Body Text Indent 2"/>
    <w:basedOn w:val="Normal"/>
    <w:link w:val="2"/>
    <w:semiHidden/>
    <w:rsid w:val="006B4EC3"/>
    <w:pPr>
      <w:adjustRightInd w:val="0"/>
      <w:spacing w:line="264" w:lineRule="auto"/>
      <w:ind w:firstLine="420"/>
      <w:textAlignment w:val="baseline"/>
    </w:pPr>
    <w:rPr>
      <w:rFonts w:ascii="宋体" w:hAnsi="Times New Roman"/>
      <w:kern w:val="0"/>
      <w:szCs w:val="20"/>
    </w:rPr>
  </w:style>
  <w:style w:type="character" w:customStyle="1" w:styleId="2">
    <w:name w:val="正文文本缩进 2 字符"/>
    <w:basedOn w:val="DefaultParagraphFont"/>
    <w:link w:val="BodyTextIndent2"/>
    <w:semiHidden/>
    <w:rsid w:val="006B4EC3"/>
    <w:rPr>
      <w:rFonts w:ascii="宋体" w:eastAsia="宋体" w:hAnsi="Times New Roman" w:cs="Times New Roman"/>
      <w:kern w:val="0"/>
      <w:szCs w:val="20"/>
    </w:rPr>
  </w:style>
  <w:style w:type="paragraph" w:styleId="NormalIndent">
    <w:name w:val="Normal Indent"/>
    <w:basedOn w:val="Normal"/>
    <w:semiHidden/>
    <w:rsid w:val="006B4EC3"/>
    <w:pPr>
      <w:adjustRightInd w:val="0"/>
      <w:spacing w:line="312" w:lineRule="atLeast"/>
      <w:ind w:firstLine="420"/>
      <w:textAlignment w:val="baseline"/>
    </w:pPr>
    <w:rPr>
      <w:rFonts w:ascii="Times New Roman" w:hAnsi="Times New Roman"/>
      <w:kern w:val="0"/>
      <w:szCs w:val="20"/>
    </w:rPr>
  </w:style>
  <w:style w:type="character" w:styleId="PageNumber">
    <w:name w:val="page number"/>
    <w:basedOn w:val="DefaultParagraphFont"/>
    <w:semiHidden/>
    <w:rsid w:val="006B4EC3"/>
  </w:style>
  <w:style w:type="paragraph" w:styleId="BodyText">
    <w:name w:val="Body Text"/>
    <w:basedOn w:val="Normal"/>
    <w:link w:val="a1"/>
    <w:semiHidden/>
    <w:rsid w:val="006B4EC3"/>
    <w:pPr>
      <w:spacing w:line="280" w:lineRule="exact"/>
    </w:pPr>
    <w:rPr>
      <w:rFonts w:ascii="Times New Roman" w:hAnsi="Times New Roman"/>
      <w:color w:val="FF0000"/>
      <w:sz w:val="18"/>
      <w:szCs w:val="24"/>
    </w:rPr>
  </w:style>
  <w:style w:type="character" w:customStyle="1" w:styleId="a1">
    <w:name w:val="正文文本 字符"/>
    <w:basedOn w:val="DefaultParagraphFont"/>
    <w:link w:val="BodyText"/>
    <w:semiHidden/>
    <w:rsid w:val="006B4EC3"/>
    <w:rPr>
      <w:rFonts w:ascii="Times New Roman" w:eastAsia="宋体" w:hAnsi="Times New Roman" w:cs="Times New Roman"/>
      <w:color w:val="FF0000"/>
      <w:sz w:val="18"/>
      <w:szCs w:val="24"/>
    </w:rPr>
  </w:style>
  <w:style w:type="character" w:customStyle="1" w:styleId="a2">
    <w:name w:val="列表段落 字符"/>
    <w:basedOn w:val="DefaultParagraphFont"/>
    <w:link w:val="ListParagraph"/>
    <w:uiPriority w:val="34"/>
    <w:rsid w:val="006B4EC3"/>
    <w:rPr>
      <w:rFonts w:ascii="Calibri" w:eastAsia="宋体" w:hAnsi="Calibri" w:cs="Times New Roman"/>
    </w:rPr>
  </w:style>
  <w:style w:type="character" w:customStyle="1" w:styleId="-5">
    <w:name w:val="电机-三级标题 字符"/>
    <w:basedOn w:val="a2"/>
    <w:link w:val="-0"/>
    <w:rsid w:val="006B4EC3"/>
    <w:rPr>
      <w:rFonts w:ascii="Arial" w:eastAsia="黑体" w:hAnsi="Arial" w:cs="Times New Roman"/>
      <w:szCs w:val="24"/>
    </w:rPr>
  </w:style>
  <w:style w:type="character" w:customStyle="1" w:styleId="-6">
    <w:name w:val="电机-四级标题 字符"/>
    <w:basedOn w:val="-5"/>
    <w:link w:val="-2"/>
    <w:rsid w:val="006B4EC3"/>
    <w:rPr>
      <w:rFonts w:ascii="Times New Roman" w:eastAsia="宋体" w:hAnsi="Times New Roman" w:cs="Times New Roman"/>
      <w:szCs w:val="24"/>
    </w:rPr>
  </w:style>
  <w:style w:type="paragraph" w:customStyle="1" w:styleId="-7">
    <w:name w:val="电机-表格"/>
    <w:basedOn w:val="Normal"/>
    <w:link w:val="-9"/>
    <w:rsid w:val="006B4EC3"/>
    <w:pPr>
      <w:spacing w:line="280" w:lineRule="exact"/>
      <w:jc w:val="center"/>
    </w:pPr>
    <w:rPr>
      <w:rFonts w:ascii="Times New Roman" w:hAnsi="Times New Roman"/>
      <w:sz w:val="15"/>
      <w:szCs w:val="15"/>
    </w:rPr>
  </w:style>
  <w:style w:type="table" w:customStyle="1" w:styleId="-8">
    <w:name w:val="电机-新表格"/>
    <w:basedOn w:val="TableNormal"/>
    <w:uiPriority w:val="99"/>
    <w:rsid w:val="006B4EC3"/>
    <w:pPr>
      <w:spacing w:line="280" w:lineRule="exact"/>
    </w:pPr>
    <w:rPr>
      <w:rFonts w:ascii="Times New Roman" w:eastAsia="宋体" w:hAnsi="Times New Roman" w:cs="Times New Roman"/>
      <w:kern w:val="0"/>
      <w:sz w:val="15"/>
      <w:szCs w:val="20"/>
    </w:rPr>
    <w:tblPr>
      <w:tblBorders>
        <w:top w:val="single" w:sz="6" w:space="0" w:color="auto"/>
        <w:bottom w:val="single" w:sz="6" w:space="0" w:color="auto"/>
        <w:insideH w:val="single" w:sz="4" w:space="0" w:color="auto"/>
      </w:tblBorders>
    </w:tblPr>
  </w:style>
  <w:style w:type="character" w:customStyle="1" w:styleId="-9">
    <w:name w:val="电机-表格 字符"/>
    <w:basedOn w:val="DefaultParagraphFont"/>
    <w:link w:val="-7"/>
    <w:rsid w:val="006B4EC3"/>
    <w:rPr>
      <w:rFonts w:ascii="Times New Roman" w:eastAsia="宋体" w:hAnsi="Times New Roman" w:cs="Times New Roman"/>
      <w:sz w:val="15"/>
      <w:szCs w:val="15"/>
    </w:rPr>
  </w:style>
  <w:style w:type="table" w:styleId="TableGrid">
    <w:name w:val="Table Grid"/>
    <w:basedOn w:val="TableNormal"/>
    <w:uiPriority w:val="59"/>
    <w:rsid w:val="006B4EC3"/>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
    <w:name w:val="电机-表格字体"/>
    <w:basedOn w:val="Normal"/>
    <w:link w:val="-11"/>
    <w:qFormat/>
    <w:rsid w:val="006B4EC3"/>
    <w:pPr>
      <w:spacing w:line="280" w:lineRule="exact"/>
    </w:pPr>
    <w:rPr>
      <w:rFonts w:ascii="Times New Roman" w:hAnsi="Times New Roman"/>
      <w:sz w:val="15"/>
      <w:szCs w:val="24"/>
    </w:rPr>
  </w:style>
  <w:style w:type="numbering" w:customStyle="1" w:styleId="12">
    <w:name w:val="样式1"/>
    <w:uiPriority w:val="99"/>
    <w:rsid w:val="006B4EC3"/>
    <w:pPr>
      <w:numPr>
        <w:numId w:val="9"/>
      </w:numPr>
    </w:pPr>
  </w:style>
  <w:style w:type="character" w:customStyle="1" w:styleId="-11">
    <w:name w:val="电机-表格字体 字符"/>
    <w:basedOn w:val="DefaultParagraphFont"/>
    <w:link w:val="-10"/>
    <w:rsid w:val="006B4EC3"/>
    <w:rPr>
      <w:rFonts w:ascii="Times New Roman" w:eastAsia="宋体" w:hAnsi="Times New Roman" w:cs="Times New Roman"/>
      <w:sz w:val="15"/>
      <w:szCs w:val="24"/>
    </w:rPr>
  </w:style>
  <w:style w:type="numbering" w:customStyle="1" w:styleId="-12">
    <w:name w:val="电机-列表"/>
    <w:uiPriority w:val="99"/>
    <w:rsid w:val="006B4EC3"/>
    <w:pPr>
      <w:numPr>
        <w:numId w:val="13"/>
      </w:numPr>
    </w:pPr>
  </w:style>
  <w:style w:type="paragraph" w:customStyle="1" w:styleId="-13">
    <w:name w:val="电机-参考"/>
    <w:basedOn w:val="Normal"/>
    <w:link w:val="-14"/>
    <w:qFormat/>
    <w:rsid w:val="006B4EC3"/>
    <w:pPr>
      <w:numPr>
        <w:numId w:val="2"/>
      </w:numPr>
      <w:tabs>
        <w:tab w:val="clear" w:pos="225"/>
        <w:tab w:val="num" w:pos="350"/>
      </w:tabs>
      <w:spacing w:line="280" w:lineRule="exact"/>
      <w:ind w:left="357" w:hanging="357"/>
    </w:pPr>
    <w:rPr>
      <w:rFonts w:ascii="Times New Roman" w:hAnsi="Times New Roman" w:cs="Arial"/>
      <w:color w:val="000000"/>
      <w:sz w:val="18"/>
      <w:szCs w:val="20"/>
      <w:shd w:val="clear" w:color="auto" w:fill="FFFFFF"/>
    </w:rPr>
  </w:style>
  <w:style w:type="character" w:customStyle="1" w:styleId="-14">
    <w:name w:val="电机-参考 字符"/>
    <w:basedOn w:val="DefaultParagraphFont"/>
    <w:link w:val="-13"/>
    <w:rsid w:val="006B4EC3"/>
    <w:rPr>
      <w:rFonts w:ascii="Times New Roman" w:eastAsia="宋体" w:hAnsi="Times New Roman" w:cs="Arial"/>
      <w:color w:val="000000"/>
      <w:sz w:val="18"/>
      <w:szCs w:val="20"/>
    </w:rPr>
  </w:style>
  <w:style w:type="paragraph" w:styleId="BalloonText">
    <w:name w:val="Balloon Text"/>
    <w:basedOn w:val="Normal"/>
    <w:link w:val="a3"/>
    <w:uiPriority w:val="99"/>
    <w:semiHidden/>
    <w:unhideWhenUsed/>
    <w:rsid w:val="006B4EC3"/>
    <w:rPr>
      <w:rFonts w:ascii="Times New Roman" w:hAnsi="Times New Roman"/>
      <w:sz w:val="18"/>
      <w:szCs w:val="18"/>
    </w:rPr>
  </w:style>
  <w:style w:type="character" w:customStyle="1" w:styleId="a3">
    <w:name w:val="批注框文本 字符"/>
    <w:basedOn w:val="DefaultParagraphFont"/>
    <w:link w:val="BalloonText"/>
    <w:uiPriority w:val="99"/>
    <w:semiHidden/>
    <w:rsid w:val="006B4EC3"/>
    <w:rPr>
      <w:rFonts w:ascii="Times New Roman" w:eastAsia="宋体" w:hAnsi="Times New Roman" w:cs="Times New Roman"/>
      <w:sz w:val="18"/>
      <w:szCs w:val="18"/>
    </w:rPr>
  </w:style>
  <w:style w:type="table" w:styleId="PlainTable2">
    <w:name w:val="Plain Table 2"/>
    <w:basedOn w:val="TableNormal"/>
    <w:uiPriority w:val="42"/>
    <w:rsid w:val="006B4EC3"/>
    <w:tblPr>
      <w:tblStyleRowBandSize w:val="1"/>
      <w:tblStyleColBandSize w:val="1"/>
      <w:tblInd w:w="0" w:type="dxa"/>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01">
    <w:name w:val="fontstyle01"/>
    <w:basedOn w:val="DefaultParagraphFont"/>
    <w:rsid w:val="006B4EC3"/>
    <w:rPr>
      <w:rFonts w:ascii="TimesNewRomanPSMT" w:hAnsi="TimesNewRomanPSMT" w:hint="default"/>
      <w:b w:val="0"/>
      <w:bCs w:val="0"/>
      <w:i w:val="0"/>
      <w:iCs w:val="0"/>
      <w:color w:val="000000"/>
      <w:sz w:val="22"/>
      <w:szCs w:val="22"/>
    </w:rPr>
  </w:style>
  <w:style w:type="character" w:customStyle="1" w:styleId="EndNoteBibliography">
    <w:name w:val="EndNote Bibliography 字符"/>
    <w:basedOn w:val="DefaultParagraphFont"/>
    <w:link w:val="EndNoteBibliography0"/>
    <w:locked/>
    <w:rsid w:val="006B4EC3"/>
    <w:rPr>
      <w:rFonts w:ascii="等线" w:eastAsia="等线" w:hAnsi="等线"/>
      <w:noProof/>
      <w:sz w:val="20"/>
    </w:rPr>
  </w:style>
  <w:style w:type="paragraph" w:customStyle="1" w:styleId="EndNoteBibliography0">
    <w:name w:val="EndNote Bibliography"/>
    <w:basedOn w:val="Normal"/>
    <w:link w:val="EndNoteBibliography"/>
    <w:rsid w:val="006B4EC3"/>
    <w:rPr>
      <w:rFonts w:ascii="等线" w:eastAsia="等线" w:hAnsi="等线" w:cstheme="minorBidi"/>
      <w:noProof/>
      <w:sz w:val="20"/>
    </w:rPr>
  </w:style>
  <w:style w:type="paragraph" w:customStyle="1" w:styleId="EndNoteBibliographyTitle">
    <w:name w:val="EndNote Bibliography Title"/>
    <w:basedOn w:val="Normal"/>
    <w:link w:val="EndNoteBibliographyTitle0"/>
    <w:rsid w:val="006B4EC3"/>
    <w:pPr>
      <w:jc w:val="center"/>
    </w:pPr>
    <w:rPr>
      <w:rFonts w:ascii="等线" w:eastAsia="等线" w:hAnsi="等线"/>
      <w:noProof/>
      <w:sz w:val="20"/>
      <w:szCs w:val="24"/>
    </w:rPr>
  </w:style>
  <w:style w:type="character" w:customStyle="1" w:styleId="EndNoteBibliographyTitle0">
    <w:name w:val="EndNote Bibliography Title 字符"/>
    <w:basedOn w:val="-1"/>
    <w:link w:val="EndNoteBibliographyTitle"/>
    <w:rsid w:val="006B4EC3"/>
    <w:rPr>
      <w:rFonts w:ascii="等线" w:eastAsia="等线" w:hAnsi="等线" w:cs="Times New Roman"/>
      <w:noProof/>
      <w:sz w:val="20"/>
      <w:szCs w:val="24"/>
    </w:rPr>
  </w:style>
  <w:style w:type="character" w:styleId="Hyperlink">
    <w:name w:val="Hyperlink"/>
    <w:basedOn w:val="DefaultParagraphFont"/>
    <w:uiPriority w:val="99"/>
    <w:unhideWhenUsed/>
    <w:rsid w:val="006B4EC3"/>
    <w:rPr>
      <w:color w:val="0563C1" w:themeColor="hyperlink"/>
      <w:u w:val="single"/>
    </w:rPr>
  </w:style>
  <w:style w:type="character" w:styleId="UnresolvedMention">
    <w:name w:val="Unresolved Mention"/>
    <w:basedOn w:val="DefaultParagraphFont"/>
    <w:uiPriority w:val="99"/>
    <w:semiHidden/>
    <w:unhideWhenUsed/>
    <w:rsid w:val="006B4EC3"/>
    <w:rPr>
      <w:color w:val="605E5C"/>
      <w:shd w:val="clear" w:color="auto" w:fill="E1DFDD"/>
    </w:rPr>
  </w:style>
  <w:style w:type="paragraph" w:styleId="NoSpacing">
    <w:name w:val="No Spacing"/>
    <w:link w:val="a4"/>
    <w:uiPriority w:val="1"/>
    <w:qFormat/>
    <w:rsid w:val="006B4EC3"/>
    <w:rPr>
      <w:kern w:val="0"/>
      <w:sz w:val="22"/>
    </w:rPr>
  </w:style>
  <w:style w:type="character" w:customStyle="1" w:styleId="a4">
    <w:name w:val="无间隔 字符"/>
    <w:basedOn w:val="DefaultParagraphFont"/>
    <w:link w:val="NoSpacing"/>
    <w:uiPriority w:val="1"/>
    <w:rsid w:val="006B4EC3"/>
    <w:rPr>
      <w:kern w:val="0"/>
      <w:sz w:val="22"/>
    </w:rPr>
  </w:style>
  <w:style w:type="paragraph" w:styleId="NormalWeb">
    <w:name w:val="Normal (Web)"/>
    <w:basedOn w:val="Normal"/>
    <w:uiPriority w:val="99"/>
    <w:semiHidden/>
    <w:unhideWhenUsed/>
    <w:rsid w:val="006B4EC3"/>
    <w:pPr>
      <w:widowControl/>
      <w:spacing w:before="100" w:beforeAutospacing="1" w:after="100" w:afterAutospacing="1"/>
      <w:jc w:val="left"/>
    </w:pPr>
    <w:rPr>
      <w:rFonts w:ascii="宋体" w:hAnsi="宋体" w:cs="宋体"/>
      <w:kern w:val="0"/>
      <w:sz w:val="24"/>
      <w:szCs w:val="24"/>
    </w:rPr>
  </w:style>
  <w:style w:type="paragraph" w:customStyle="1" w:styleId="EndNoteCategoryHeading">
    <w:name w:val="EndNote Category Heading"/>
    <w:basedOn w:val="Normal"/>
    <w:link w:val="EndNoteCategoryHeading0"/>
    <w:rsid w:val="006B4EC3"/>
    <w:pPr>
      <w:spacing w:before="120" w:after="120"/>
      <w:jc w:val="left"/>
    </w:pPr>
    <w:rPr>
      <w:b/>
      <w:noProof/>
      <w:sz w:val="24"/>
      <w:szCs w:val="24"/>
    </w:rPr>
  </w:style>
  <w:style w:type="character" w:customStyle="1" w:styleId="EndNoteCategoryHeading0">
    <w:name w:val="EndNote Category Heading 字符"/>
    <w:basedOn w:val="-4"/>
    <w:link w:val="EndNoteCategoryHeading"/>
    <w:rsid w:val="006B4EC3"/>
    <w:rPr>
      <w:rFonts w:ascii="Calibri" w:eastAsia="宋体" w:hAnsi="Calibri" w:cs="Times New Roman"/>
      <w:b/>
      <w:noProof/>
      <w:sz w:val="24"/>
      <w:szCs w:val="24"/>
    </w:rPr>
  </w:style>
  <w:style w:type="paragraph" w:customStyle="1" w:styleId="Default">
    <w:name w:val="Default"/>
    <w:rsid w:val="006B4EC3"/>
    <w:pPr>
      <w:widowControl w:val="0"/>
      <w:autoSpaceDE w:val="0"/>
      <w:autoSpaceDN w:val="0"/>
      <w:adjustRightInd w:val="0"/>
    </w:pPr>
    <w:rPr>
      <w:rFonts w:ascii="等线" w:eastAsia="等线" w:cs="等线"/>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6804202713200602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7833</Words>
  <Characters>44651</Characters>
  <Application>Microsoft Office Word</Application>
  <DocSecurity>0</DocSecurity>
  <Lines>372</Lines>
  <Paragraphs>104</Paragraphs>
  <ScaleCrop>false</ScaleCrop>
  <Company/>
  <LinksUpToDate>false</LinksUpToDate>
  <CharactersWithSpaces>52380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若璧</dc:creator>
  <cp:lastModifiedBy>王 若璧</cp:lastModifiedBy>
  <cp:revision>1</cp:revision>
  <dcterms:created xsi:type="dcterms:W3CDTF">2020-04-01T13:55:00Z</dcterms:created>
  <dcterms:modified xsi:type="dcterms:W3CDTF">2020-04-01T14:19:00Z</dcterms:modified>
</cp:coreProperties>
</file>