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神经系统用药行业相关公司设立可行性研究报告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(七)、神经系统用药项目建设必要性分析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(一)、神经系统用药项目选址原则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(五)、神经系统用药项目选址综合评价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四、神经系统用药筹建公司基本信息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_Toc22373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_Toc28298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六、神经系统用药项目经济效益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(三)、神经系统用药项目盈利能力分析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(五)、神经系统用药项目总投资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_Toc23496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(一)、神经系统用药项目进度安排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eastAsia="zh-CN"/>
          </w:rPr>
          <w:t>(二)、神经系统用药项目实施保障措施</w:t>
        </w:r>
        <w:r>
          <w:tab/>
        </w:r>
        <w:r>
          <w:fldChar w:fldCharType="begin"/>
        </w:r>
        <w:r>
          <w:instrText xml:space="preserve"> PAGEREF _Toc17397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_Toc9152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3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9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https://d.book118.com/768053073133006027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神经系统用药行业相关公司设立可行性研究报告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神经系统用药行业相关公司设立可行性研究报告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神经系统用药行业相关公司设立可行性研究报告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神经系统用药行业相关公司设立可行性研究报告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神经系统用药行业相关公司设立可行性研究报告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053073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2024-01-02T16:19:00Z</dcterms:created>
  <dcterms:modified xsi:type="dcterms:W3CDTF">2024-01-02T16:20:09Z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B67DB7545C114685AB1283F6E731680A_11</vt:lpwstr>
  </property>
  <property fmtid="{D5CDD505-2E9C-101B-9397-08002B2CF9AE}" pid="3" name="KSOProductBuildVer">
    <vt:lpwstr>2052-12.1.0.16120</vt:lpwstr>
  </property>
</Properties>
</file>