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体育场馆服务项目规划设计纲要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1" w:history="1">
        <w:r>
          <w:rPr>
            <w:rFonts w:ascii="仿宋" w:eastAsia="仿宋" w:hAnsi="仿宋" w:cs="仿宋" w:hint="eastAsia"/>
            <w:lang w:eastAsia="zh-CN"/>
          </w:rPr>
          <w:t>概论</w:t>
        </w:r>
        <w:r>
          <w:tab/>
        </w:r>
        <w:r>
          <w:fldChar w:fldCharType="begin"/>
        </w:r>
        <w:r>
          <w:instrText xml:space="preserve"> PAGEREF _Toc15601 \h </w:instrText>
        </w:r>
        <w:r>
          <w:fldChar w:fldCharType="separate"/>
        </w:r>
        <w:r>
          <w:t>3</w:t>
        </w:r>
        <w:r>
          <w:fldChar w:fldCharType="end"/>
        </w:r>
      </w:hyperlink>
    </w:p>
    <w:p>
      <w:pPr>
        <w:pStyle w:val="TOC1"/>
        <w:tabs>
          <w:tab w:val="right" w:leader="dot" w:pos="8306"/>
        </w:tabs>
      </w:pPr>
      <w:hyperlink w:anchor="_Toc32578" w:history="1">
        <w:r>
          <w:rPr>
            <w:rFonts w:ascii="仿宋" w:eastAsia="仿宋" w:hAnsi="仿宋" w:cs="仿宋" w:hint="eastAsia"/>
            <w:lang w:eastAsia="zh-CN"/>
          </w:rPr>
          <w:t>一、产品规划分析</w:t>
        </w:r>
        <w:r>
          <w:tab/>
        </w:r>
        <w:r>
          <w:fldChar w:fldCharType="begin"/>
        </w:r>
        <w:r>
          <w:instrText xml:space="preserve"> PAGEREF _Toc32578 \h </w:instrText>
        </w:r>
        <w:r>
          <w:fldChar w:fldCharType="separate"/>
        </w:r>
        <w:r>
          <w:t>3</w:t>
        </w:r>
        <w:r>
          <w:fldChar w:fldCharType="end"/>
        </w:r>
      </w:hyperlink>
    </w:p>
    <w:p>
      <w:pPr>
        <w:pStyle w:val="TOC2"/>
        <w:tabs>
          <w:tab w:val="right" w:leader="dot" w:pos="8306"/>
        </w:tabs>
      </w:pPr>
      <w:hyperlink w:anchor="_Toc2110" w:history="1">
        <w:r>
          <w:rPr>
            <w:rFonts w:ascii="仿宋" w:eastAsia="仿宋" w:hAnsi="仿宋" w:cs="仿宋" w:hint="eastAsia"/>
            <w:lang w:eastAsia="zh-CN"/>
          </w:rPr>
          <w:t>(一)、产品规划</w:t>
        </w:r>
        <w:r>
          <w:tab/>
        </w:r>
        <w:r>
          <w:fldChar w:fldCharType="begin"/>
        </w:r>
        <w:r>
          <w:instrText xml:space="preserve"> PAGEREF _Toc2110 \h </w:instrText>
        </w:r>
        <w:r>
          <w:fldChar w:fldCharType="separate"/>
        </w:r>
        <w:r>
          <w:t>3</w:t>
        </w:r>
        <w:r>
          <w:fldChar w:fldCharType="end"/>
        </w:r>
      </w:hyperlink>
    </w:p>
    <w:p>
      <w:pPr>
        <w:pStyle w:val="TOC2"/>
        <w:tabs>
          <w:tab w:val="right" w:leader="dot" w:pos="8306"/>
        </w:tabs>
      </w:pPr>
      <w:hyperlink w:anchor="_Toc17068" w:history="1">
        <w:r>
          <w:rPr>
            <w:rFonts w:ascii="仿宋" w:eastAsia="仿宋" w:hAnsi="仿宋" w:cs="仿宋" w:hint="eastAsia"/>
            <w:lang w:eastAsia="zh-CN"/>
          </w:rPr>
          <w:t>(二)、建设规模</w:t>
        </w:r>
        <w:r>
          <w:tab/>
        </w:r>
        <w:r>
          <w:fldChar w:fldCharType="begin"/>
        </w:r>
        <w:r>
          <w:instrText xml:space="preserve"> PAGEREF _Toc17068 \h </w:instrText>
        </w:r>
        <w:r>
          <w:fldChar w:fldCharType="separate"/>
        </w:r>
        <w:r>
          <w:t>4</w:t>
        </w:r>
        <w:r>
          <w:fldChar w:fldCharType="end"/>
        </w:r>
      </w:hyperlink>
    </w:p>
    <w:p>
      <w:pPr>
        <w:pStyle w:val="TOC1"/>
        <w:tabs>
          <w:tab w:val="right" w:leader="dot" w:pos="8306"/>
        </w:tabs>
      </w:pPr>
      <w:hyperlink w:anchor="_Toc942" w:history="1">
        <w:r>
          <w:rPr>
            <w:rFonts w:ascii="仿宋" w:eastAsia="仿宋" w:hAnsi="仿宋" w:cs="仿宋" w:hint="eastAsia"/>
            <w:lang w:eastAsia="zh-CN"/>
          </w:rPr>
          <w:t>二、体育场馆服务项目土建工程</w:t>
        </w:r>
        <w:r>
          <w:tab/>
        </w:r>
        <w:r>
          <w:fldChar w:fldCharType="begin"/>
        </w:r>
        <w:r>
          <w:instrText xml:space="preserve"> PAGEREF _Toc942 \h </w:instrText>
        </w:r>
        <w:r>
          <w:fldChar w:fldCharType="separate"/>
        </w:r>
        <w:r>
          <w:t>5</w:t>
        </w:r>
        <w:r>
          <w:fldChar w:fldCharType="end"/>
        </w:r>
      </w:hyperlink>
    </w:p>
    <w:p>
      <w:pPr>
        <w:pStyle w:val="TOC2"/>
        <w:tabs>
          <w:tab w:val="right" w:leader="dot" w:pos="8306"/>
        </w:tabs>
      </w:pPr>
      <w:hyperlink w:anchor="_Toc24180" w:history="1">
        <w:r>
          <w:rPr>
            <w:rFonts w:ascii="仿宋" w:eastAsia="仿宋" w:hAnsi="仿宋" w:cs="仿宋" w:hint="eastAsia"/>
            <w:lang w:eastAsia="zh-CN"/>
          </w:rPr>
          <w:t>(一)、建筑工程设计原则</w:t>
        </w:r>
        <w:r>
          <w:tab/>
        </w:r>
        <w:r>
          <w:fldChar w:fldCharType="begin"/>
        </w:r>
        <w:r>
          <w:instrText xml:space="preserve"> PAGEREF _Toc24180 \h </w:instrText>
        </w:r>
        <w:r>
          <w:fldChar w:fldCharType="separate"/>
        </w:r>
        <w:r>
          <w:t>5</w:t>
        </w:r>
        <w:r>
          <w:fldChar w:fldCharType="end"/>
        </w:r>
      </w:hyperlink>
    </w:p>
    <w:p>
      <w:pPr>
        <w:pStyle w:val="TOC2"/>
        <w:tabs>
          <w:tab w:val="right" w:leader="dot" w:pos="8306"/>
        </w:tabs>
      </w:pPr>
      <w:hyperlink w:anchor="_Toc26798" w:history="1">
        <w:r>
          <w:rPr>
            <w:rFonts w:ascii="仿宋" w:eastAsia="仿宋" w:hAnsi="仿宋" w:cs="仿宋" w:hint="eastAsia"/>
            <w:lang w:eastAsia="zh-CN"/>
          </w:rPr>
          <w:t>(二)、土建工程设计年限及安全等级</w:t>
        </w:r>
        <w:r>
          <w:tab/>
        </w:r>
        <w:r>
          <w:fldChar w:fldCharType="begin"/>
        </w:r>
        <w:r>
          <w:instrText xml:space="preserve"> PAGEREF _Toc26798 \h </w:instrText>
        </w:r>
        <w:r>
          <w:fldChar w:fldCharType="separate"/>
        </w:r>
        <w:r>
          <w:t>6</w:t>
        </w:r>
        <w:r>
          <w:fldChar w:fldCharType="end"/>
        </w:r>
      </w:hyperlink>
    </w:p>
    <w:p>
      <w:pPr>
        <w:pStyle w:val="TOC2"/>
        <w:tabs>
          <w:tab w:val="right" w:leader="dot" w:pos="8306"/>
        </w:tabs>
      </w:pPr>
      <w:hyperlink w:anchor="_Toc24206" w:history="1">
        <w:r>
          <w:rPr>
            <w:rFonts w:ascii="仿宋" w:eastAsia="仿宋" w:hAnsi="仿宋" w:cs="仿宋" w:hint="eastAsia"/>
            <w:lang w:eastAsia="zh-CN"/>
          </w:rPr>
          <w:t>(三)、建筑工程设计总体要求</w:t>
        </w:r>
        <w:r>
          <w:tab/>
        </w:r>
        <w:r>
          <w:fldChar w:fldCharType="begin"/>
        </w:r>
        <w:r>
          <w:instrText xml:space="preserve"> PAGEREF _Toc24206 \h </w:instrText>
        </w:r>
        <w:r>
          <w:fldChar w:fldCharType="separate"/>
        </w:r>
        <w:r>
          <w:t>7</w:t>
        </w:r>
        <w:r>
          <w:fldChar w:fldCharType="end"/>
        </w:r>
      </w:hyperlink>
    </w:p>
    <w:p>
      <w:pPr>
        <w:pStyle w:val="TOC2"/>
        <w:tabs>
          <w:tab w:val="right" w:leader="dot" w:pos="8306"/>
        </w:tabs>
      </w:pPr>
      <w:hyperlink w:anchor="_Toc21173" w:history="1">
        <w:r>
          <w:rPr>
            <w:rFonts w:ascii="仿宋" w:eastAsia="仿宋" w:hAnsi="仿宋" w:cs="仿宋" w:hint="eastAsia"/>
            <w:lang w:eastAsia="zh-CN"/>
          </w:rPr>
          <w:t>(四)、土建工程建设指标</w:t>
        </w:r>
        <w:r>
          <w:tab/>
        </w:r>
        <w:r>
          <w:fldChar w:fldCharType="begin"/>
        </w:r>
        <w:r>
          <w:instrText xml:space="preserve"> PAGEREF _Toc21173 \h </w:instrText>
        </w:r>
        <w:r>
          <w:fldChar w:fldCharType="separate"/>
        </w:r>
        <w:r>
          <w:t>8</w:t>
        </w:r>
        <w:r>
          <w:fldChar w:fldCharType="end"/>
        </w:r>
      </w:hyperlink>
    </w:p>
    <w:p>
      <w:pPr>
        <w:pStyle w:val="TOC1"/>
        <w:tabs>
          <w:tab w:val="right" w:leader="dot" w:pos="8306"/>
        </w:tabs>
      </w:pPr>
      <w:hyperlink w:anchor="_Toc31390" w:history="1">
        <w:r>
          <w:rPr>
            <w:rFonts w:ascii="仿宋" w:eastAsia="仿宋" w:hAnsi="仿宋" w:cs="仿宋" w:hint="eastAsia"/>
            <w:lang w:eastAsia="zh-CN"/>
          </w:rPr>
          <w:t>三、体育场馆服务项目绩效评估</w:t>
        </w:r>
        <w:r>
          <w:tab/>
        </w:r>
        <w:r>
          <w:fldChar w:fldCharType="begin"/>
        </w:r>
        <w:r>
          <w:instrText xml:space="preserve"> PAGEREF _Toc31390 \h </w:instrText>
        </w:r>
        <w:r>
          <w:fldChar w:fldCharType="separate"/>
        </w:r>
        <w:r>
          <w:t>8</w:t>
        </w:r>
        <w:r>
          <w:fldChar w:fldCharType="end"/>
        </w:r>
      </w:hyperlink>
    </w:p>
    <w:p>
      <w:pPr>
        <w:pStyle w:val="TOC2"/>
        <w:tabs>
          <w:tab w:val="right" w:leader="dot" w:pos="8306"/>
        </w:tabs>
      </w:pPr>
      <w:hyperlink w:anchor="_Toc9397" w:history="1">
        <w:r>
          <w:rPr>
            <w:rFonts w:ascii="仿宋" w:eastAsia="仿宋" w:hAnsi="仿宋" w:cs="仿宋" w:hint="eastAsia"/>
            <w:lang w:eastAsia="zh-CN"/>
          </w:rPr>
          <w:t>(一)、绩效评估指标</w:t>
        </w:r>
        <w:r>
          <w:tab/>
        </w:r>
        <w:r>
          <w:fldChar w:fldCharType="begin"/>
        </w:r>
        <w:r>
          <w:instrText xml:space="preserve"> PAGEREF _Toc9397 \h </w:instrText>
        </w:r>
        <w:r>
          <w:fldChar w:fldCharType="separate"/>
        </w:r>
        <w:r>
          <w:t>8</w:t>
        </w:r>
        <w:r>
          <w:fldChar w:fldCharType="end"/>
        </w:r>
      </w:hyperlink>
    </w:p>
    <w:p>
      <w:pPr>
        <w:pStyle w:val="TOC2"/>
        <w:tabs>
          <w:tab w:val="right" w:leader="dot" w:pos="8306"/>
        </w:tabs>
      </w:pPr>
      <w:hyperlink w:anchor="_Toc29735" w:history="1">
        <w:r>
          <w:rPr>
            <w:rFonts w:ascii="仿宋" w:eastAsia="仿宋" w:hAnsi="仿宋" w:cs="仿宋" w:hint="eastAsia"/>
            <w:lang w:eastAsia="zh-CN"/>
          </w:rPr>
          <w:t>(二)、绩效评估方法</w:t>
        </w:r>
        <w:r>
          <w:tab/>
        </w:r>
        <w:r>
          <w:fldChar w:fldCharType="begin"/>
        </w:r>
        <w:r>
          <w:instrText xml:space="preserve"> PAGEREF _Toc29735 \h </w:instrText>
        </w:r>
        <w:r>
          <w:fldChar w:fldCharType="separate"/>
        </w:r>
        <w:r>
          <w:t>9</w:t>
        </w:r>
        <w:r>
          <w:fldChar w:fldCharType="end"/>
        </w:r>
      </w:hyperlink>
    </w:p>
    <w:p>
      <w:pPr>
        <w:pStyle w:val="TOC2"/>
        <w:tabs>
          <w:tab w:val="right" w:leader="dot" w:pos="8306"/>
        </w:tabs>
      </w:pPr>
      <w:hyperlink w:anchor="_Toc17180" w:history="1">
        <w:r>
          <w:rPr>
            <w:rFonts w:ascii="仿宋" w:eastAsia="仿宋" w:hAnsi="仿宋" w:cs="仿宋" w:hint="eastAsia"/>
            <w:lang w:eastAsia="zh-CN"/>
          </w:rPr>
          <w:t>(三)、绩效评估周期</w:t>
        </w:r>
        <w:r>
          <w:tab/>
        </w:r>
        <w:r>
          <w:fldChar w:fldCharType="begin"/>
        </w:r>
        <w:r>
          <w:instrText xml:space="preserve"> PAGEREF _Toc17180 \h </w:instrText>
        </w:r>
        <w:r>
          <w:fldChar w:fldCharType="separate"/>
        </w:r>
        <w:r>
          <w:t>10</w:t>
        </w:r>
        <w:r>
          <w:fldChar w:fldCharType="end"/>
        </w:r>
      </w:hyperlink>
    </w:p>
    <w:p>
      <w:pPr>
        <w:pStyle w:val="TOC1"/>
        <w:tabs>
          <w:tab w:val="right" w:leader="dot" w:pos="8306"/>
        </w:tabs>
      </w:pPr>
      <w:hyperlink w:anchor="_Toc27403" w:history="1">
        <w:r>
          <w:rPr>
            <w:rFonts w:ascii="仿宋" w:eastAsia="仿宋" w:hAnsi="仿宋" w:cs="仿宋" w:hint="eastAsia"/>
            <w:lang w:eastAsia="zh-CN"/>
          </w:rPr>
          <w:t>四、工艺说明</w:t>
        </w:r>
        <w:r>
          <w:tab/>
        </w:r>
        <w:r>
          <w:fldChar w:fldCharType="begin"/>
        </w:r>
        <w:r>
          <w:instrText xml:space="preserve"> PAGEREF _Toc27403 \h </w:instrText>
        </w:r>
        <w:r>
          <w:fldChar w:fldCharType="separate"/>
        </w:r>
        <w:r>
          <w:t>11</w:t>
        </w:r>
        <w:r>
          <w:fldChar w:fldCharType="end"/>
        </w:r>
      </w:hyperlink>
    </w:p>
    <w:p>
      <w:pPr>
        <w:pStyle w:val="TOC2"/>
        <w:tabs>
          <w:tab w:val="right" w:leader="dot" w:pos="8306"/>
        </w:tabs>
      </w:pPr>
      <w:hyperlink w:anchor="_Toc3782" w:history="1">
        <w:r>
          <w:rPr>
            <w:rFonts w:ascii="仿宋" w:eastAsia="仿宋" w:hAnsi="仿宋" w:cs="仿宋" w:hint="eastAsia"/>
            <w:lang w:eastAsia="zh-CN"/>
          </w:rPr>
          <w:t>(一)、技术管理特点</w:t>
        </w:r>
        <w:r>
          <w:tab/>
        </w:r>
        <w:r>
          <w:fldChar w:fldCharType="begin"/>
        </w:r>
        <w:r>
          <w:instrText xml:space="preserve"> PAGEREF _Toc3782 \h </w:instrText>
        </w:r>
        <w:r>
          <w:fldChar w:fldCharType="separate"/>
        </w:r>
        <w:r>
          <w:t>11</w:t>
        </w:r>
        <w:r>
          <w:fldChar w:fldCharType="end"/>
        </w:r>
      </w:hyperlink>
    </w:p>
    <w:p>
      <w:pPr>
        <w:pStyle w:val="TOC2"/>
        <w:tabs>
          <w:tab w:val="right" w:leader="dot" w:pos="8306"/>
        </w:tabs>
      </w:pPr>
      <w:hyperlink w:anchor="_Toc817" w:history="1">
        <w:r>
          <w:rPr>
            <w:rFonts w:ascii="仿宋" w:eastAsia="仿宋" w:hAnsi="仿宋" w:cs="仿宋" w:hint="eastAsia"/>
            <w:lang w:eastAsia="zh-CN"/>
          </w:rPr>
          <w:t>(二)、体育场馆服务项目工艺技术设计方案</w:t>
        </w:r>
        <w:r>
          <w:tab/>
        </w:r>
        <w:r>
          <w:fldChar w:fldCharType="begin"/>
        </w:r>
        <w:r>
          <w:instrText xml:space="preserve"> PAGEREF _Toc817 \h </w:instrText>
        </w:r>
        <w:r>
          <w:fldChar w:fldCharType="separate"/>
        </w:r>
        <w:r>
          <w:t>12</w:t>
        </w:r>
        <w:r>
          <w:fldChar w:fldCharType="end"/>
        </w:r>
      </w:hyperlink>
    </w:p>
    <w:p>
      <w:pPr>
        <w:pStyle w:val="TOC2"/>
        <w:tabs>
          <w:tab w:val="right" w:leader="dot" w:pos="8306"/>
        </w:tabs>
      </w:pPr>
      <w:hyperlink w:anchor="_Toc12427" w:history="1">
        <w:r>
          <w:rPr>
            <w:rFonts w:ascii="仿宋" w:eastAsia="仿宋" w:hAnsi="仿宋" w:cs="仿宋" w:hint="eastAsia"/>
            <w:lang w:eastAsia="zh-CN"/>
          </w:rPr>
          <w:t>(三)、设备选型方案</w:t>
        </w:r>
        <w:r>
          <w:tab/>
        </w:r>
        <w:r>
          <w:fldChar w:fldCharType="begin"/>
        </w:r>
        <w:r>
          <w:instrText xml:space="preserve"> PAGEREF _Toc12427 \h </w:instrText>
        </w:r>
        <w:r>
          <w:fldChar w:fldCharType="separate"/>
        </w:r>
        <w:r>
          <w:t>14</w:t>
        </w:r>
        <w:r>
          <w:fldChar w:fldCharType="end"/>
        </w:r>
      </w:hyperlink>
    </w:p>
    <w:p>
      <w:pPr>
        <w:pStyle w:val="TOC1"/>
        <w:tabs>
          <w:tab w:val="right" w:leader="dot" w:pos="8306"/>
        </w:tabs>
      </w:pPr>
      <w:hyperlink w:anchor="_Toc19542" w:history="1">
        <w:r>
          <w:rPr>
            <w:rFonts w:ascii="仿宋" w:eastAsia="仿宋" w:hAnsi="仿宋" w:cs="仿宋" w:hint="eastAsia"/>
            <w:lang w:eastAsia="zh-CN"/>
          </w:rPr>
          <w:t>五、体育场馆服务项目概论</w:t>
        </w:r>
        <w:r>
          <w:tab/>
        </w:r>
        <w:r>
          <w:fldChar w:fldCharType="begin"/>
        </w:r>
        <w:r>
          <w:instrText xml:space="preserve"> PAGEREF _Toc19542 \h </w:instrText>
        </w:r>
        <w:r>
          <w:fldChar w:fldCharType="separate"/>
        </w:r>
        <w:r>
          <w:t>15</w:t>
        </w:r>
        <w:r>
          <w:fldChar w:fldCharType="end"/>
        </w:r>
      </w:hyperlink>
    </w:p>
    <w:p>
      <w:pPr>
        <w:pStyle w:val="TOC2"/>
        <w:tabs>
          <w:tab w:val="right" w:leader="dot" w:pos="8306"/>
        </w:tabs>
      </w:pPr>
      <w:hyperlink w:anchor="_Toc603" w:history="1">
        <w:r>
          <w:rPr>
            <w:rFonts w:ascii="仿宋" w:eastAsia="仿宋" w:hAnsi="仿宋" w:cs="仿宋" w:hint="eastAsia"/>
            <w:lang w:eastAsia="zh-CN"/>
          </w:rPr>
          <w:t>(一)、体育场馆服务项目概况</w:t>
        </w:r>
        <w:r>
          <w:tab/>
        </w:r>
        <w:r>
          <w:fldChar w:fldCharType="begin"/>
        </w:r>
        <w:r>
          <w:instrText xml:space="preserve"> PAGEREF _Toc603 \h </w:instrText>
        </w:r>
        <w:r>
          <w:fldChar w:fldCharType="separate"/>
        </w:r>
        <w:r>
          <w:t>15</w:t>
        </w:r>
        <w:r>
          <w:fldChar w:fldCharType="end"/>
        </w:r>
      </w:hyperlink>
    </w:p>
    <w:p>
      <w:pPr>
        <w:pStyle w:val="TOC2"/>
        <w:tabs>
          <w:tab w:val="right" w:leader="dot" w:pos="8306"/>
        </w:tabs>
      </w:pPr>
      <w:hyperlink w:anchor="_Toc9545" w:history="1">
        <w:r>
          <w:rPr>
            <w:rFonts w:ascii="仿宋" w:eastAsia="仿宋" w:hAnsi="仿宋" w:cs="仿宋" w:hint="eastAsia"/>
            <w:lang w:eastAsia="zh-CN"/>
          </w:rPr>
          <w:t>(二)、体育场馆服务项目目标</w:t>
        </w:r>
        <w:r>
          <w:tab/>
        </w:r>
        <w:r>
          <w:fldChar w:fldCharType="begin"/>
        </w:r>
        <w:r>
          <w:instrText xml:space="preserve"> PAGEREF _Toc9545 \h </w:instrText>
        </w:r>
        <w:r>
          <w:fldChar w:fldCharType="separate"/>
        </w:r>
        <w:r>
          <w:t>17</w:t>
        </w:r>
        <w:r>
          <w:fldChar w:fldCharType="end"/>
        </w:r>
      </w:hyperlink>
    </w:p>
    <w:p>
      <w:pPr>
        <w:pStyle w:val="TOC2"/>
        <w:tabs>
          <w:tab w:val="right" w:leader="dot" w:pos="8306"/>
        </w:tabs>
      </w:pPr>
      <w:hyperlink w:anchor="_Toc2556" w:history="1">
        <w:r>
          <w:rPr>
            <w:rFonts w:ascii="仿宋" w:eastAsia="仿宋" w:hAnsi="仿宋" w:cs="仿宋" w:hint="eastAsia"/>
            <w:lang w:eastAsia="zh-CN"/>
          </w:rPr>
          <w:t>(三)、体育场馆服务项目提出的理由</w:t>
        </w:r>
        <w:r>
          <w:tab/>
        </w:r>
        <w:r>
          <w:fldChar w:fldCharType="begin"/>
        </w:r>
        <w:r>
          <w:instrText xml:space="preserve"> PAGEREF _Toc2556 \h </w:instrText>
        </w:r>
        <w:r>
          <w:fldChar w:fldCharType="separate"/>
        </w:r>
        <w:r>
          <w:t>18</w:t>
        </w:r>
        <w:r>
          <w:fldChar w:fldCharType="end"/>
        </w:r>
      </w:hyperlink>
    </w:p>
    <w:p>
      <w:pPr>
        <w:pStyle w:val="TOC2"/>
        <w:tabs>
          <w:tab w:val="right" w:leader="dot" w:pos="8306"/>
        </w:tabs>
      </w:pPr>
      <w:hyperlink w:anchor="_Toc24099" w:history="1">
        <w:r>
          <w:rPr>
            <w:rFonts w:ascii="仿宋" w:eastAsia="仿宋" w:hAnsi="仿宋" w:cs="仿宋" w:hint="eastAsia"/>
            <w:lang w:eastAsia="zh-CN"/>
          </w:rPr>
          <w:t>(四)、体育场馆服务项目意义</w:t>
        </w:r>
        <w:r>
          <w:tab/>
        </w:r>
        <w:r>
          <w:fldChar w:fldCharType="begin"/>
        </w:r>
        <w:r>
          <w:instrText xml:space="preserve"> PAGEREF _Toc24099 \h </w:instrText>
        </w:r>
        <w:r>
          <w:fldChar w:fldCharType="separate"/>
        </w:r>
        <w:r>
          <w:t>20</w:t>
        </w:r>
        <w:r>
          <w:fldChar w:fldCharType="end"/>
        </w:r>
      </w:hyperlink>
    </w:p>
    <w:p>
      <w:pPr>
        <w:pStyle w:val="TOC2"/>
        <w:tabs>
          <w:tab w:val="right" w:leader="dot" w:pos="8306"/>
        </w:tabs>
      </w:pPr>
      <w:hyperlink w:anchor="_Toc23263" w:history="1">
        <w:r>
          <w:rPr>
            <w:rFonts w:ascii="仿宋" w:eastAsia="仿宋" w:hAnsi="仿宋" w:cs="仿宋" w:hint="eastAsia"/>
            <w:lang w:eastAsia="zh-CN"/>
          </w:rPr>
          <w:t>(五)、体育场馆服务项目背景</w:t>
        </w:r>
        <w:r>
          <w:tab/>
        </w:r>
        <w:r>
          <w:fldChar w:fldCharType="begin"/>
        </w:r>
        <w:r>
          <w:instrText xml:space="preserve"> PAGEREF _Toc23263 \h </w:instrText>
        </w:r>
        <w:r>
          <w:fldChar w:fldCharType="separate"/>
        </w:r>
        <w:r>
          <w:t>21</w:t>
        </w:r>
        <w:r>
          <w:fldChar w:fldCharType="end"/>
        </w:r>
      </w:hyperlink>
    </w:p>
    <w:p>
      <w:pPr>
        <w:pStyle w:val="TOC1"/>
        <w:tabs>
          <w:tab w:val="right" w:leader="dot" w:pos="8306"/>
        </w:tabs>
      </w:pPr>
      <w:hyperlink w:anchor="_Toc14658" w:history="1">
        <w:r>
          <w:rPr>
            <w:rFonts w:ascii="仿宋" w:eastAsia="仿宋" w:hAnsi="仿宋" w:cs="仿宋" w:hint="eastAsia"/>
            <w:lang w:eastAsia="zh-CN"/>
          </w:rPr>
          <w:t>六、体育场馆服务项目文档管理</w:t>
        </w:r>
        <w:r>
          <w:tab/>
        </w:r>
        <w:r>
          <w:fldChar w:fldCharType="begin"/>
        </w:r>
        <w:r>
          <w:instrText xml:space="preserve"> PAGEREF _Toc14658 \h </w:instrText>
        </w:r>
        <w:r>
          <w:fldChar w:fldCharType="separate"/>
        </w:r>
        <w:r>
          <w:t>22</w:t>
        </w:r>
        <w:r>
          <w:fldChar w:fldCharType="end"/>
        </w:r>
      </w:hyperlink>
    </w:p>
    <w:p>
      <w:pPr>
        <w:pStyle w:val="TOC2"/>
        <w:tabs>
          <w:tab w:val="right" w:leader="dot" w:pos="8306"/>
        </w:tabs>
      </w:pPr>
      <w:hyperlink w:anchor="_Toc8126" w:history="1">
        <w:r>
          <w:rPr>
            <w:rFonts w:ascii="仿宋" w:eastAsia="仿宋" w:hAnsi="仿宋" w:cs="仿宋" w:hint="eastAsia"/>
            <w:lang w:eastAsia="zh-CN"/>
          </w:rPr>
          <w:t>(一)、文档编制与审查</w:t>
        </w:r>
        <w:r>
          <w:tab/>
        </w:r>
        <w:r>
          <w:fldChar w:fldCharType="begin"/>
        </w:r>
        <w:r>
          <w:instrText xml:space="preserve"> PAGEREF _Toc8126 \h </w:instrText>
        </w:r>
        <w:r>
          <w:fldChar w:fldCharType="separate"/>
        </w:r>
        <w:r>
          <w:t>22</w:t>
        </w:r>
        <w:r>
          <w:fldChar w:fldCharType="end"/>
        </w:r>
      </w:hyperlink>
    </w:p>
    <w:p>
      <w:pPr>
        <w:pStyle w:val="TOC2"/>
        <w:tabs>
          <w:tab w:val="right" w:leader="dot" w:pos="8306"/>
        </w:tabs>
      </w:pPr>
      <w:hyperlink w:anchor="_Toc10508" w:history="1">
        <w:r>
          <w:rPr>
            <w:rFonts w:ascii="仿宋" w:eastAsia="仿宋" w:hAnsi="仿宋" w:cs="仿宋" w:hint="eastAsia"/>
            <w:lang w:eastAsia="zh-CN"/>
          </w:rPr>
          <w:t>(二)、文档发布与分发</w:t>
        </w:r>
        <w:r>
          <w:tab/>
        </w:r>
        <w:r>
          <w:fldChar w:fldCharType="begin"/>
        </w:r>
        <w:r>
          <w:instrText xml:space="preserve"> PAGEREF _Toc10508 \h </w:instrText>
        </w:r>
        <w:r>
          <w:fldChar w:fldCharType="separate"/>
        </w:r>
        <w:r>
          <w:t>23</w:t>
        </w:r>
        <w:r>
          <w:fldChar w:fldCharType="end"/>
        </w:r>
      </w:hyperlink>
    </w:p>
    <w:p>
      <w:pPr>
        <w:pStyle w:val="TOC2"/>
        <w:tabs>
          <w:tab w:val="right" w:leader="dot" w:pos="8306"/>
        </w:tabs>
      </w:pPr>
      <w:hyperlink w:anchor="_Toc20940" w:history="1">
        <w:r>
          <w:rPr>
            <w:rFonts w:ascii="仿宋" w:eastAsia="仿宋" w:hAnsi="仿宋" w:cs="仿宋" w:hint="eastAsia"/>
            <w:lang w:eastAsia="zh-CN"/>
          </w:rPr>
          <w:t>(三)、文档存档与归档</w:t>
        </w:r>
        <w:r>
          <w:tab/>
        </w:r>
        <w:r>
          <w:fldChar w:fldCharType="begin"/>
        </w:r>
        <w:r>
          <w:instrText xml:space="preserve"> PAGEREF _Toc20940 \h </w:instrText>
        </w:r>
        <w:r>
          <w:fldChar w:fldCharType="separate"/>
        </w:r>
        <w:r>
          <w:t>24</w:t>
        </w:r>
        <w:r>
          <w:fldChar w:fldCharType="end"/>
        </w:r>
      </w:hyperlink>
    </w:p>
    <w:p>
      <w:pPr>
        <w:pStyle w:val="TOC1"/>
        <w:tabs>
          <w:tab w:val="right" w:leader="dot" w:pos="8306"/>
        </w:tabs>
      </w:pPr>
      <w:hyperlink w:anchor="_Toc22719" w:history="1">
        <w:r>
          <w:rPr>
            <w:rFonts w:ascii="仿宋" w:eastAsia="仿宋" w:hAnsi="仿宋" w:cs="仿宋" w:hint="eastAsia"/>
            <w:lang w:eastAsia="zh-CN"/>
          </w:rPr>
          <w:t>七、生产安全保护</w:t>
        </w:r>
        <w:r>
          <w:tab/>
        </w:r>
        <w:r>
          <w:fldChar w:fldCharType="begin"/>
        </w:r>
        <w:r>
          <w:instrText xml:space="preserve"> PAGEREF _Toc22719 \h </w:instrText>
        </w:r>
        <w:r>
          <w:fldChar w:fldCharType="separate"/>
        </w:r>
        <w:r>
          <w:t>25</w:t>
        </w:r>
        <w:r>
          <w:fldChar w:fldCharType="end"/>
        </w:r>
      </w:hyperlink>
    </w:p>
    <w:p>
      <w:pPr>
        <w:pStyle w:val="TOC2"/>
        <w:tabs>
          <w:tab w:val="right" w:leader="dot" w:pos="8306"/>
        </w:tabs>
      </w:pPr>
      <w:hyperlink w:anchor="_Toc4800" w:history="1">
        <w:r>
          <w:rPr>
            <w:rFonts w:ascii="仿宋" w:eastAsia="仿宋" w:hAnsi="仿宋" w:cs="仿宋" w:hint="eastAsia"/>
            <w:lang w:eastAsia="zh-CN"/>
          </w:rPr>
          <w:t>(一)、消防安全</w:t>
        </w:r>
        <w:r>
          <w:tab/>
        </w:r>
        <w:r>
          <w:fldChar w:fldCharType="begin"/>
        </w:r>
        <w:r>
          <w:instrText xml:space="preserve"> PAGEREF _Toc4800 \h </w:instrText>
        </w:r>
        <w:r>
          <w:fldChar w:fldCharType="separate"/>
        </w:r>
        <w:r>
          <w:t>25</w:t>
        </w:r>
        <w:r>
          <w:fldChar w:fldCharType="end"/>
        </w:r>
      </w:hyperlink>
    </w:p>
    <w:p>
      <w:pPr>
        <w:pStyle w:val="TOC2"/>
        <w:tabs>
          <w:tab w:val="right" w:leader="dot" w:pos="8306"/>
        </w:tabs>
      </w:pPr>
      <w:hyperlink w:anchor="_Toc16607" w:history="1">
        <w:r>
          <w:rPr>
            <w:rFonts w:ascii="仿宋" w:eastAsia="仿宋" w:hAnsi="仿宋" w:cs="仿宋" w:hint="eastAsia"/>
            <w:lang w:eastAsia="zh-CN"/>
          </w:rPr>
          <w:t>(二)、防火防爆总图布置措施</w:t>
        </w:r>
        <w:r>
          <w:tab/>
        </w:r>
        <w:r>
          <w:fldChar w:fldCharType="begin"/>
        </w:r>
        <w:r>
          <w:instrText xml:space="preserve"> PAGEREF _Toc16607 \h </w:instrText>
        </w:r>
        <w:r>
          <w:fldChar w:fldCharType="separate"/>
        </w:r>
        <w:r>
          <w:t>27</w:t>
        </w:r>
        <w:r>
          <w:fldChar w:fldCharType="end"/>
        </w:r>
      </w:hyperlink>
    </w:p>
    <w:p>
      <w:pPr>
        <w:pStyle w:val="TOC2"/>
        <w:tabs>
          <w:tab w:val="right" w:leader="dot" w:pos="8306"/>
        </w:tabs>
      </w:pPr>
      <w:hyperlink w:anchor="_Toc2065" w:history="1">
        <w:r>
          <w:rPr>
            <w:rFonts w:ascii="仿宋" w:eastAsia="仿宋" w:hAnsi="仿宋" w:cs="仿宋" w:hint="eastAsia"/>
            <w:lang w:eastAsia="zh-CN"/>
          </w:rPr>
          <w:t>(三)、自然灾害防范措施</w:t>
        </w:r>
        <w:r>
          <w:tab/>
        </w:r>
        <w:r>
          <w:fldChar w:fldCharType="begin"/>
        </w:r>
        <w:r>
          <w:instrText xml:space="preserve"> PAGEREF _Toc2065 \h </w:instrText>
        </w:r>
        <w:r>
          <w:fldChar w:fldCharType="separate"/>
        </w:r>
        <w:r>
          <w:t>28</w:t>
        </w:r>
        <w:r>
          <w:fldChar w:fldCharType="end"/>
        </w:r>
      </w:hyperlink>
    </w:p>
    <w:p>
      <w:pPr>
        <w:pStyle w:val="TOC2"/>
        <w:tabs>
          <w:tab w:val="right" w:leader="dot" w:pos="8306"/>
        </w:tabs>
      </w:pPr>
      <w:hyperlink w:anchor="_Toc19457" w:history="1">
        <w:r>
          <w:rPr>
            <w:rFonts w:ascii="仿宋" w:eastAsia="仿宋" w:hAnsi="仿宋" w:cs="仿宋" w:hint="eastAsia"/>
            <w:lang w:eastAsia="zh-CN"/>
          </w:rPr>
          <w:t>(四)、安全色及安全标志使用要求</w:t>
        </w:r>
        <w:r>
          <w:tab/>
        </w:r>
        <w:r>
          <w:fldChar w:fldCharType="begin"/>
        </w:r>
        <w:r>
          <w:instrText xml:space="preserve"> PAGEREF _Toc19457 \h </w:instrText>
        </w:r>
        <w:r>
          <w:fldChar w:fldCharType="separate"/>
        </w:r>
        <w:r>
          <w:t>29</w:t>
        </w:r>
        <w:r>
          <w:fldChar w:fldCharType="end"/>
        </w:r>
      </w:hyperlink>
    </w:p>
    <w:p>
      <w:pPr>
        <w:pStyle w:val="TOC2"/>
        <w:tabs>
          <w:tab w:val="right" w:leader="dot" w:pos="8306"/>
        </w:tabs>
      </w:pPr>
      <w:hyperlink w:anchor="_Toc18700" w:history="1">
        <w:r>
          <w:rPr>
            <w:rFonts w:ascii="仿宋" w:eastAsia="仿宋" w:hAnsi="仿宋" w:cs="仿宋" w:hint="eastAsia"/>
            <w:lang w:eastAsia="zh-CN"/>
          </w:rPr>
          <w:t>(五)、防尘防毒措施</w:t>
        </w:r>
        <w:r>
          <w:tab/>
        </w:r>
        <w:r>
          <w:fldChar w:fldCharType="begin"/>
        </w:r>
        <w:r>
          <w:instrText xml:space="preserve"> PAGEREF _Toc18700 \h </w:instrText>
        </w:r>
        <w:r>
          <w:fldChar w:fldCharType="separate"/>
        </w:r>
        <w:r>
          <w:t>30</w:t>
        </w:r>
        <w:r>
          <w:fldChar w:fldCharType="end"/>
        </w:r>
      </w:hyperlink>
    </w:p>
    <w:p>
      <w:pPr>
        <w:pStyle w:val="TOC2"/>
        <w:tabs>
          <w:tab w:val="right" w:leader="dot" w:pos="8306"/>
        </w:tabs>
      </w:pPr>
      <w:hyperlink w:anchor="_Toc30470" w:history="1">
        <w:r>
          <w:rPr>
            <w:rFonts w:ascii="仿宋" w:eastAsia="仿宋" w:hAnsi="仿宋" w:cs="仿宋" w:hint="eastAsia"/>
            <w:lang w:eastAsia="zh-CN"/>
          </w:rPr>
          <w:t>(六)、防静电、触电防护及防雷措施</w:t>
        </w:r>
        <w:r>
          <w:tab/>
        </w:r>
        <w:r>
          <w:fldChar w:fldCharType="begin"/>
        </w:r>
        <w:r>
          <w:instrText xml:space="preserve"> PAGEREF _Toc30470 \h </w:instrText>
        </w:r>
        <w:r>
          <w:fldChar w:fldCharType="separate"/>
        </w:r>
        <w:r>
          <w:t>31</w:t>
        </w:r>
        <w:r>
          <w:fldChar w:fldCharType="end"/>
        </w:r>
      </w:hyperlink>
    </w:p>
    <w:p>
      <w:pPr>
        <w:pStyle w:val="TOC2"/>
        <w:tabs>
          <w:tab w:val="right" w:leader="dot" w:pos="8306"/>
        </w:tabs>
      </w:pPr>
      <w:hyperlink w:anchor="_Toc16054" w:history="1">
        <w:r>
          <w:rPr>
            <w:rFonts w:ascii="仿宋" w:eastAsia="仿宋" w:hAnsi="仿宋" w:cs="仿宋" w:hint="eastAsia"/>
            <w:lang w:eastAsia="zh-CN"/>
          </w:rPr>
          <w:t>(七)、机械设备安全保障措施</w:t>
        </w:r>
        <w:r>
          <w:tab/>
        </w:r>
        <w:r>
          <w:fldChar w:fldCharType="begin"/>
        </w:r>
        <w:r>
          <w:instrText xml:space="preserve"> PAGEREF _Toc16054 \h </w:instrText>
        </w:r>
        <w:r>
          <w:fldChar w:fldCharType="separate"/>
        </w:r>
        <w:r>
          <w:t>32</w:t>
        </w:r>
        <w:r>
          <w:fldChar w:fldCharType="end"/>
        </w:r>
      </w:hyperlink>
    </w:p>
    <w:p>
      <w:pPr>
        <w:pStyle w:val="TOC1"/>
        <w:tabs>
          <w:tab w:val="right" w:leader="dot" w:pos="8306"/>
        </w:tabs>
      </w:pPr>
      <w:hyperlink w:anchor="_Toc28669" w:history="1">
        <w:r>
          <w:rPr>
            <w:rFonts w:ascii="仿宋" w:eastAsia="仿宋" w:hAnsi="仿宋" w:cs="仿宋" w:hint="eastAsia"/>
            <w:lang w:eastAsia="zh-CN"/>
          </w:rPr>
          <w:t>八、体育场馆服务项目投资规划</w:t>
        </w:r>
        <w:r>
          <w:tab/>
        </w:r>
        <w:r>
          <w:fldChar w:fldCharType="begin"/>
        </w:r>
        <w:r>
          <w:instrText xml:space="preserve"> PAGEREF _Toc28669 \h </w:instrText>
        </w:r>
        <w:r>
          <w:fldChar w:fldCharType="separate"/>
        </w:r>
        <w:r>
          <w:t>33</w:t>
        </w:r>
        <w:r>
          <w:fldChar w:fldCharType="end"/>
        </w:r>
      </w:hyperlink>
    </w:p>
    <w:p>
      <w:pPr>
        <w:pStyle w:val="TOC2"/>
        <w:tabs>
          <w:tab w:val="right" w:leader="dot" w:pos="8306"/>
        </w:tabs>
      </w:pPr>
      <w:hyperlink w:anchor="_Toc2962" w:history="1">
        <w:r>
          <w:rPr>
            <w:rFonts w:ascii="仿宋" w:eastAsia="仿宋" w:hAnsi="仿宋" w:cs="仿宋" w:hint="eastAsia"/>
            <w:lang w:eastAsia="zh-CN"/>
          </w:rPr>
          <w:t>(一)、体育场馆服务项目总投资估算</w:t>
        </w:r>
        <w:r>
          <w:tab/>
        </w:r>
        <w:r>
          <w:fldChar w:fldCharType="begin"/>
        </w:r>
        <w:r>
          <w:instrText xml:space="preserve"> PAGEREF _Toc2962 \h </w:instrText>
        </w:r>
        <w:r>
          <w:fldChar w:fldCharType="separate"/>
        </w:r>
        <w:r>
          <w:t>33</w:t>
        </w:r>
        <w:r>
          <w:fldChar w:fldCharType="end"/>
        </w:r>
      </w:hyperlink>
    </w:p>
    <w:p>
      <w:pPr>
        <w:pStyle w:val="TOC2"/>
        <w:tabs>
          <w:tab w:val="right" w:leader="dot" w:pos="8306"/>
        </w:tabs>
      </w:pPr>
      <w:hyperlink w:anchor="_Toc4422" w:history="1">
        <w:r>
          <w:rPr>
            <w:rFonts w:ascii="仿宋" w:eastAsia="仿宋" w:hAnsi="仿宋" w:cs="仿宋" w:hint="eastAsia"/>
            <w:lang w:eastAsia="zh-CN"/>
          </w:rPr>
          <w:t>(二)、资金筹措</w:t>
        </w:r>
        <w:r>
          <w:tab/>
        </w:r>
        <w:r>
          <w:fldChar w:fldCharType="begin"/>
        </w:r>
        <w:r>
          <w:instrText xml:space="preserve"> PAGEREF _Toc4422 \h </w:instrText>
        </w:r>
        <w:r>
          <w:fldChar w:fldCharType="separate"/>
        </w:r>
        <w:r>
          <w:t>35</w:t>
        </w:r>
        <w:r>
          <w:fldChar w:fldCharType="end"/>
        </w:r>
      </w:hyperlink>
    </w:p>
    <w:p>
      <w:pPr>
        <w:pStyle w:val="TOC1"/>
        <w:tabs>
          <w:tab w:val="right" w:leader="dot" w:pos="8306"/>
        </w:tabs>
      </w:pPr>
      <w:hyperlink w:anchor="_Toc706" w:history="1">
        <w:r>
          <w:rPr>
            <w:rFonts w:ascii="仿宋" w:eastAsia="仿宋" w:hAnsi="仿宋" w:cs="仿宋" w:hint="eastAsia"/>
            <w:lang w:eastAsia="zh-CN"/>
          </w:rPr>
          <w:t>九、体育场馆服务项目经营效益</w:t>
        </w:r>
        <w:r>
          <w:tab/>
        </w:r>
        <w:r>
          <w:fldChar w:fldCharType="begin"/>
        </w:r>
        <w:r>
          <w:instrText xml:space="preserve"> PAGEREF _Toc706 \h </w:instrText>
        </w:r>
        <w:r>
          <w:fldChar w:fldCharType="separate"/>
        </w:r>
        <w:r>
          <w:t>35</w:t>
        </w:r>
        <w:r>
          <w:fldChar w:fldCharType="end"/>
        </w:r>
      </w:hyperlink>
    </w:p>
    <w:p>
      <w:pPr>
        <w:pStyle w:val="TOC2"/>
        <w:tabs>
          <w:tab w:val="right" w:leader="dot" w:pos="8306"/>
        </w:tabs>
      </w:pPr>
      <w:hyperlink w:anchor="_Toc17074" w:history="1">
        <w:r>
          <w:rPr>
            <w:rFonts w:ascii="仿宋" w:eastAsia="仿宋" w:hAnsi="仿宋" w:cs="仿宋" w:hint="eastAsia"/>
            <w:lang w:eastAsia="zh-CN"/>
          </w:rPr>
          <w:t>(一)、经济评价财务测算</w:t>
        </w:r>
        <w:r>
          <w:tab/>
        </w:r>
        <w:r>
          <w:fldChar w:fldCharType="begin"/>
        </w:r>
        <w:r>
          <w:instrText xml:space="preserve"> PAGEREF _Toc17074 \h </w:instrText>
        </w:r>
        <w:r>
          <w:fldChar w:fldCharType="separate"/>
        </w:r>
        <w:r>
          <w:t>35</w:t>
        </w:r>
        <w:r>
          <w:fldChar w:fldCharType="end"/>
        </w:r>
      </w:hyperlink>
    </w:p>
    <w:p>
      <w:pPr>
        <w:pStyle w:val="TOC2"/>
        <w:tabs>
          <w:tab w:val="right" w:leader="dot" w:pos="8306"/>
        </w:tabs>
      </w:pPr>
      <w:hyperlink w:anchor="_Toc12583" w:history="1">
        <w:r>
          <w:rPr>
            <w:rFonts w:ascii="仿宋" w:eastAsia="仿宋" w:hAnsi="仿宋" w:cs="仿宋" w:hint="eastAsia"/>
            <w:lang w:eastAsia="zh-CN"/>
          </w:rPr>
          <w:t>(二)、体育场馆服务项目盈利能力分析</w:t>
        </w:r>
        <w:r>
          <w:tab/>
        </w:r>
        <w:r>
          <w:fldChar w:fldCharType="begin"/>
        </w:r>
        <w:r>
          <w:instrText xml:space="preserve"> PAGEREF _Toc12583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01" w:history="1">
        <w:r>
          <w:rPr>
            <w:rFonts w:ascii="仿宋" w:eastAsia="仿宋" w:hAnsi="仿宋" w:cs="仿宋" w:hint="eastAsia"/>
            <w:lang w:eastAsia="zh-CN"/>
          </w:rPr>
          <w:t>十、体育场馆服务项目计划安排</w:t>
        </w:r>
        <w:r>
          <w:tab/>
        </w:r>
        <w:r>
          <w:fldChar w:fldCharType="begin"/>
        </w:r>
        <w:r>
          <w:instrText xml:space="preserve"> PAGEREF _Toc22701 \h </w:instrText>
        </w:r>
        <w:r>
          <w:fldChar w:fldCharType="separate"/>
        </w:r>
        <w:r>
          <w:t>37</w:t>
        </w:r>
        <w:r>
          <w:fldChar w:fldCharType="end"/>
        </w:r>
      </w:hyperlink>
    </w:p>
    <w:p>
      <w:pPr>
        <w:pStyle w:val="TOC2"/>
        <w:tabs>
          <w:tab w:val="right" w:leader="dot" w:pos="8306"/>
        </w:tabs>
      </w:pPr>
      <w:hyperlink w:anchor="_Toc20573" w:history="1">
        <w:r>
          <w:rPr>
            <w:rFonts w:ascii="仿宋" w:eastAsia="仿宋" w:hAnsi="仿宋" w:cs="仿宋" w:hint="eastAsia"/>
            <w:lang w:eastAsia="zh-CN"/>
          </w:rPr>
          <w:t>(一)、建设周期</w:t>
        </w:r>
        <w:r>
          <w:tab/>
        </w:r>
        <w:r>
          <w:fldChar w:fldCharType="begin"/>
        </w:r>
        <w:r>
          <w:instrText xml:space="preserve"> PAGEREF _Toc20573 \h </w:instrText>
        </w:r>
        <w:r>
          <w:fldChar w:fldCharType="separate"/>
        </w:r>
        <w:r>
          <w:t>37</w:t>
        </w:r>
        <w:r>
          <w:fldChar w:fldCharType="end"/>
        </w:r>
      </w:hyperlink>
    </w:p>
    <w:p>
      <w:pPr>
        <w:pStyle w:val="TOC2"/>
        <w:tabs>
          <w:tab w:val="right" w:leader="dot" w:pos="8306"/>
        </w:tabs>
      </w:pPr>
      <w:hyperlink w:anchor="_Toc2489" w:history="1">
        <w:r>
          <w:rPr>
            <w:rFonts w:ascii="仿宋" w:eastAsia="仿宋" w:hAnsi="仿宋" w:cs="仿宋" w:hint="eastAsia"/>
            <w:lang w:eastAsia="zh-CN"/>
          </w:rPr>
          <w:t>(二)、建设进度</w:t>
        </w:r>
        <w:r>
          <w:tab/>
        </w:r>
        <w:r>
          <w:fldChar w:fldCharType="begin"/>
        </w:r>
        <w:r>
          <w:instrText xml:space="preserve"> PAGEREF _Toc2489 \h </w:instrText>
        </w:r>
        <w:r>
          <w:fldChar w:fldCharType="separate"/>
        </w:r>
        <w:r>
          <w:t>38</w:t>
        </w:r>
        <w:r>
          <w:fldChar w:fldCharType="end"/>
        </w:r>
      </w:hyperlink>
    </w:p>
    <w:p>
      <w:pPr>
        <w:pStyle w:val="TOC2"/>
        <w:tabs>
          <w:tab w:val="right" w:leader="dot" w:pos="8306"/>
        </w:tabs>
      </w:pPr>
      <w:hyperlink w:anchor="_Toc31437" w:history="1">
        <w:r>
          <w:rPr>
            <w:rFonts w:ascii="仿宋" w:eastAsia="仿宋" w:hAnsi="仿宋" w:cs="仿宋" w:hint="eastAsia"/>
            <w:lang w:eastAsia="zh-CN"/>
          </w:rPr>
          <w:t>(三)、进度安排注意事项</w:t>
        </w:r>
        <w:r>
          <w:tab/>
        </w:r>
        <w:r>
          <w:fldChar w:fldCharType="begin"/>
        </w:r>
        <w:r>
          <w:instrText xml:space="preserve"> PAGEREF _Toc31437 \h </w:instrText>
        </w:r>
        <w:r>
          <w:fldChar w:fldCharType="separate"/>
        </w:r>
        <w:r>
          <w:t>39</w:t>
        </w:r>
        <w:r>
          <w:fldChar w:fldCharType="end"/>
        </w:r>
      </w:hyperlink>
    </w:p>
    <w:p>
      <w:pPr>
        <w:pStyle w:val="TOC2"/>
        <w:tabs>
          <w:tab w:val="right" w:leader="dot" w:pos="8306"/>
        </w:tabs>
      </w:pPr>
      <w:hyperlink w:anchor="_Toc5317" w:history="1">
        <w:r>
          <w:rPr>
            <w:rFonts w:ascii="仿宋" w:eastAsia="仿宋" w:hAnsi="仿宋" w:cs="仿宋" w:hint="eastAsia"/>
            <w:lang w:eastAsia="zh-CN"/>
          </w:rPr>
          <w:t>(四)、人力资源配置</w:t>
        </w:r>
        <w:r>
          <w:tab/>
        </w:r>
        <w:r>
          <w:fldChar w:fldCharType="begin"/>
        </w:r>
        <w:r>
          <w:instrText xml:space="preserve"> PAGEREF _Toc5317 \h </w:instrText>
        </w:r>
        <w:r>
          <w:fldChar w:fldCharType="separate"/>
        </w:r>
        <w:r>
          <w:t>41</w:t>
        </w:r>
        <w:r>
          <w:fldChar w:fldCharType="end"/>
        </w:r>
      </w:hyperlink>
    </w:p>
    <w:p>
      <w:pPr>
        <w:pStyle w:val="TOC1"/>
        <w:tabs>
          <w:tab w:val="right" w:leader="dot" w:pos="8306"/>
        </w:tabs>
      </w:pPr>
      <w:hyperlink w:anchor="_Toc28978" w:history="1">
        <w:r>
          <w:rPr>
            <w:rFonts w:ascii="仿宋" w:eastAsia="仿宋" w:hAnsi="仿宋" w:cs="仿宋" w:hint="eastAsia"/>
            <w:lang w:eastAsia="zh-CN"/>
          </w:rPr>
          <w:t>十一、体育场馆服务项目社会影响</w:t>
        </w:r>
        <w:r>
          <w:tab/>
        </w:r>
        <w:r>
          <w:fldChar w:fldCharType="begin"/>
        </w:r>
        <w:r>
          <w:instrText xml:space="preserve"> PAGEREF _Toc28978 \h </w:instrText>
        </w:r>
        <w:r>
          <w:fldChar w:fldCharType="separate"/>
        </w:r>
        <w:r>
          <w:t>42</w:t>
        </w:r>
        <w:r>
          <w:fldChar w:fldCharType="end"/>
        </w:r>
      </w:hyperlink>
    </w:p>
    <w:p>
      <w:pPr>
        <w:pStyle w:val="TOC2"/>
        <w:tabs>
          <w:tab w:val="right" w:leader="dot" w:pos="8306"/>
        </w:tabs>
      </w:pPr>
      <w:hyperlink w:anchor="_Toc18206" w:history="1">
        <w:r>
          <w:rPr>
            <w:rFonts w:ascii="仿宋" w:eastAsia="仿宋" w:hAnsi="仿宋" w:cs="仿宋" w:hint="eastAsia"/>
            <w:lang w:eastAsia="zh-CN"/>
          </w:rPr>
          <w:t>(一)、社会责任与义务</w:t>
        </w:r>
        <w:r>
          <w:tab/>
        </w:r>
        <w:r>
          <w:fldChar w:fldCharType="begin"/>
        </w:r>
        <w:r>
          <w:instrText xml:space="preserve"> PAGEREF _Toc18206 \h </w:instrText>
        </w:r>
        <w:r>
          <w:fldChar w:fldCharType="separate"/>
        </w:r>
        <w:r>
          <w:t>42</w:t>
        </w:r>
        <w:r>
          <w:fldChar w:fldCharType="end"/>
        </w:r>
      </w:hyperlink>
    </w:p>
    <w:p>
      <w:pPr>
        <w:pStyle w:val="TOC2"/>
        <w:tabs>
          <w:tab w:val="right" w:leader="dot" w:pos="8306"/>
        </w:tabs>
      </w:pPr>
      <w:hyperlink w:anchor="_Toc1333" w:history="1">
        <w:r>
          <w:rPr>
            <w:rFonts w:ascii="仿宋" w:eastAsia="仿宋" w:hAnsi="仿宋" w:cs="仿宋" w:hint="eastAsia"/>
            <w:lang w:eastAsia="zh-CN"/>
          </w:rPr>
          <w:t>(二)、社会参与与沟通</w:t>
        </w:r>
        <w:r>
          <w:tab/>
        </w:r>
        <w:r>
          <w:fldChar w:fldCharType="begin"/>
        </w:r>
        <w:r>
          <w:instrText xml:space="preserve"> PAGEREF _Toc1333 \h </w:instrText>
        </w:r>
        <w:r>
          <w:fldChar w:fldCharType="separate"/>
        </w:r>
        <w:r>
          <w:t>42</w:t>
        </w:r>
        <w:r>
          <w:fldChar w:fldCharType="end"/>
        </w:r>
      </w:hyperlink>
    </w:p>
    <w:p>
      <w:pPr>
        <w:pStyle w:val="TOC1"/>
        <w:tabs>
          <w:tab w:val="right" w:leader="dot" w:pos="8306"/>
        </w:tabs>
      </w:pPr>
      <w:hyperlink w:anchor="_Toc18190" w:history="1">
        <w:r>
          <w:rPr>
            <w:rFonts w:ascii="仿宋" w:eastAsia="仿宋" w:hAnsi="仿宋" w:cs="仿宋" w:hint="eastAsia"/>
            <w:lang w:eastAsia="zh-CN"/>
          </w:rPr>
          <w:t>十二、体育场馆服务项目风险管理</w:t>
        </w:r>
        <w:r>
          <w:tab/>
        </w:r>
        <w:r>
          <w:fldChar w:fldCharType="begin"/>
        </w:r>
        <w:r>
          <w:instrText xml:space="preserve"> PAGEREF _Toc18190 \h </w:instrText>
        </w:r>
        <w:r>
          <w:fldChar w:fldCharType="separate"/>
        </w:r>
        <w:r>
          <w:t>43</w:t>
        </w:r>
        <w:r>
          <w:fldChar w:fldCharType="end"/>
        </w:r>
      </w:hyperlink>
    </w:p>
    <w:p>
      <w:pPr>
        <w:pStyle w:val="TOC2"/>
        <w:tabs>
          <w:tab w:val="right" w:leader="dot" w:pos="8306"/>
        </w:tabs>
      </w:pPr>
      <w:hyperlink w:anchor="_Toc6679" w:history="1">
        <w:r>
          <w:rPr>
            <w:rFonts w:ascii="仿宋" w:eastAsia="仿宋" w:hAnsi="仿宋" w:cs="仿宋" w:hint="eastAsia"/>
            <w:lang w:eastAsia="zh-CN"/>
          </w:rPr>
          <w:t>(一)、风险识别与评估</w:t>
        </w:r>
        <w:r>
          <w:tab/>
        </w:r>
        <w:r>
          <w:fldChar w:fldCharType="begin"/>
        </w:r>
        <w:r>
          <w:instrText xml:space="preserve"> PAGEREF _Toc6679 \h </w:instrText>
        </w:r>
        <w:r>
          <w:fldChar w:fldCharType="separate"/>
        </w:r>
        <w:r>
          <w:t>43</w:t>
        </w:r>
        <w:r>
          <w:fldChar w:fldCharType="end"/>
        </w:r>
      </w:hyperlink>
    </w:p>
    <w:p>
      <w:pPr>
        <w:pStyle w:val="TOC2"/>
        <w:tabs>
          <w:tab w:val="right" w:leader="dot" w:pos="8306"/>
        </w:tabs>
      </w:pPr>
      <w:hyperlink w:anchor="_Toc28782" w:history="1">
        <w:r>
          <w:rPr>
            <w:rFonts w:ascii="仿宋" w:eastAsia="仿宋" w:hAnsi="仿宋" w:cs="仿宋" w:hint="eastAsia"/>
            <w:lang w:eastAsia="zh-CN"/>
          </w:rPr>
          <w:t>(二)、风险应对策略</w:t>
        </w:r>
        <w:r>
          <w:tab/>
        </w:r>
        <w:r>
          <w:fldChar w:fldCharType="begin"/>
        </w:r>
        <w:r>
          <w:instrText xml:space="preserve"> PAGEREF _Toc28782 \h </w:instrText>
        </w:r>
        <w:r>
          <w:fldChar w:fldCharType="separate"/>
        </w:r>
        <w:r>
          <w:t>44</w:t>
        </w:r>
        <w:r>
          <w:fldChar w:fldCharType="end"/>
        </w:r>
      </w:hyperlink>
    </w:p>
    <w:p>
      <w:pPr>
        <w:pStyle w:val="TOC2"/>
        <w:tabs>
          <w:tab w:val="right" w:leader="dot" w:pos="8306"/>
        </w:tabs>
      </w:pPr>
      <w:hyperlink w:anchor="_Toc29570" w:history="1">
        <w:r>
          <w:rPr>
            <w:rFonts w:ascii="仿宋" w:eastAsia="仿宋" w:hAnsi="仿宋" w:cs="仿宋" w:hint="eastAsia"/>
            <w:lang w:eastAsia="zh-CN"/>
          </w:rPr>
          <w:t>(三)、风险监控与控制</w:t>
        </w:r>
        <w:r>
          <w:tab/>
        </w:r>
        <w:r>
          <w:fldChar w:fldCharType="begin"/>
        </w:r>
        <w:r>
          <w:instrText xml:space="preserve"> PAGEREF _Toc29570 \h </w:instrText>
        </w:r>
        <w:r>
          <w:fldChar w:fldCharType="separate"/>
        </w:r>
        <w:r>
          <w:t>46</w:t>
        </w:r>
        <w:r>
          <w:fldChar w:fldCharType="end"/>
        </w:r>
      </w:hyperlink>
    </w:p>
    <w:p>
      <w:pPr>
        <w:pStyle w:val="TOC1"/>
        <w:tabs>
          <w:tab w:val="right" w:leader="dot" w:pos="8306"/>
        </w:tabs>
      </w:pPr>
      <w:hyperlink w:anchor="_Toc15019" w:history="1">
        <w:r>
          <w:rPr>
            <w:rFonts w:ascii="仿宋" w:eastAsia="仿宋" w:hAnsi="仿宋" w:cs="仿宋" w:hint="eastAsia"/>
            <w:lang w:eastAsia="zh-CN"/>
          </w:rPr>
          <w:t>十三、体育场馆服务项目实施保障措施</w:t>
        </w:r>
        <w:r>
          <w:tab/>
        </w:r>
        <w:r>
          <w:fldChar w:fldCharType="begin"/>
        </w:r>
        <w:r>
          <w:instrText xml:space="preserve"> PAGEREF _Toc15019 \h </w:instrText>
        </w:r>
        <w:r>
          <w:fldChar w:fldCharType="separate"/>
        </w:r>
        <w:r>
          <w:t>47</w:t>
        </w:r>
        <w:r>
          <w:fldChar w:fldCharType="end"/>
        </w:r>
      </w:hyperlink>
    </w:p>
    <w:p>
      <w:pPr>
        <w:pStyle w:val="TOC2"/>
        <w:tabs>
          <w:tab w:val="right" w:leader="dot" w:pos="8306"/>
        </w:tabs>
      </w:pPr>
      <w:hyperlink w:anchor="_Toc3056" w:history="1">
        <w:r>
          <w:rPr>
            <w:rFonts w:ascii="仿宋" w:eastAsia="仿宋" w:hAnsi="仿宋" w:cs="仿宋" w:hint="eastAsia"/>
            <w:lang w:eastAsia="zh-CN"/>
          </w:rPr>
          <w:t>(一)、体育场馆服务项目实施保障机制</w:t>
        </w:r>
        <w:r>
          <w:tab/>
        </w:r>
        <w:r>
          <w:fldChar w:fldCharType="begin"/>
        </w:r>
        <w:r>
          <w:instrText xml:space="preserve"> PAGEREF _Toc3056 \h </w:instrText>
        </w:r>
        <w:r>
          <w:fldChar w:fldCharType="separate"/>
        </w:r>
        <w:r>
          <w:t>47</w:t>
        </w:r>
        <w:r>
          <w:fldChar w:fldCharType="end"/>
        </w:r>
      </w:hyperlink>
    </w:p>
    <w:p>
      <w:pPr>
        <w:pStyle w:val="TOC2"/>
        <w:tabs>
          <w:tab w:val="right" w:leader="dot" w:pos="8306"/>
        </w:tabs>
      </w:pPr>
      <w:hyperlink w:anchor="_Toc7185" w:history="1">
        <w:r>
          <w:rPr>
            <w:rFonts w:ascii="仿宋" w:eastAsia="仿宋" w:hAnsi="仿宋" w:cs="仿宋" w:hint="eastAsia"/>
            <w:lang w:eastAsia="zh-CN"/>
          </w:rPr>
          <w:t>(二)、体育场馆服务项目法律合规要求</w:t>
        </w:r>
        <w:r>
          <w:tab/>
        </w:r>
        <w:r>
          <w:fldChar w:fldCharType="begin"/>
        </w:r>
        <w:r>
          <w:instrText xml:space="preserve"> PAGEREF _Toc7185 \h </w:instrText>
        </w:r>
        <w:r>
          <w:fldChar w:fldCharType="separate"/>
        </w:r>
        <w:r>
          <w:t>51</w:t>
        </w:r>
        <w:r>
          <w:fldChar w:fldCharType="end"/>
        </w:r>
      </w:hyperlink>
    </w:p>
    <w:p>
      <w:pPr>
        <w:pStyle w:val="TOC2"/>
        <w:tabs>
          <w:tab w:val="right" w:leader="dot" w:pos="8306"/>
        </w:tabs>
      </w:pPr>
      <w:hyperlink w:anchor="_Toc14160" w:history="1">
        <w:r>
          <w:rPr>
            <w:rFonts w:ascii="仿宋" w:eastAsia="仿宋" w:hAnsi="仿宋" w:cs="仿宋" w:hint="eastAsia"/>
            <w:lang w:eastAsia="zh-CN"/>
          </w:rPr>
          <w:t>(三)、体育场馆服务项目合同管理与法律事务</w:t>
        </w:r>
        <w:r>
          <w:tab/>
        </w:r>
        <w:r>
          <w:fldChar w:fldCharType="begin"/>
        </w:r>
        <w:r>
          <w:instrText xml:space="preserve"> PAGEREF _Toc14160 \h </w:instrText>
        </w:r>
        <w:r>
          <w:fldChar w:fldCharType="separate"/>
        </w:r>
        <w:r>
          <w:t>55</w:t>
        </w:r>
        <w:r>
          <w:fldChar w:fldCharType="end"/>
        </w:r>
      </w:hyperlink>
    </w:p>
    <w:p>
      <w:pPr>
        <w:pStyle w:val="TOC2"/>
        <w:tabs>
          <w:tab w:val="right" w:leader="dot" w:pos="8306"/>
        </w:tabs>
      </w:pPr>
      <w:hyperlink w:anchor="_Toc15452" w:history="1">
        <w:r>
          <w:rPr>
            <w:rFonts w:ascii="仿宋" w:eastAsia="仿宋" w:hAnsi="仿宋" w:cs="仿宋" w:hint="eastAsia"/>
            <w:lang w:eastAsia="zh-CN"/>
          </w:rPr>
          <w:t>(四)、体育场馆服务项目知识产权保护策略</w:t>
        </w:r>
        <w:r>
          <w:tab/>
        </w:r>
        <w:r>
          <w:fldChar w:fldCharType="begin"/>
        </w:r>
        <w:r>
          <w:instrText xml:space="preserve"> PAGEREF _Toc15452 \h </w:instrText>
        </w:r>
        <w:r>
          <w:fldChar w:fldCharType="separate"/>
        </w:r>
        <w:r>
          <w:t>62</w:t>
        </w:r>
        <w:r>
          <w:fldChar w:fldCharType="end"/>
        </w:r>
      </w:hyperlink>
    </w:p>
    <w:p>
      <w:pPr>
        <w:pStyle w:val="TOC1"/>
        <w:tabs>
          <w:tab w:val="right" w:leader="dot" w:pos="8306"/>
        </w:tabs>
      </w:pPr>
      <w:hyperlink w:anchor="_Toc15312" w:history="1">
        <w:r>
          <w:rPr>
            <w:rFonts w:ascii="仿宋" w:eastAsia="仿宋" w:hAnsi="仿宋" w:cs="仿宋" w:hint="eastAsia"/>
            <w:lang w:eastAsia="zh-CN"/>
          </w:rPr>
          <w:t>十四、营销与推广策略</w:t>
        </w:r>
        <w:r>
          <w:tab/>
        </w:r>
        <w:r>
          <w:fldChar w:fldCharType="begin"/>
        </w:r>
        <w:r>
          <w:instrText xml:space="preserve"> PAGEREF _Toc15312 \h </w:instrText>
        </w:r>
        <w:r>
          <w:fldChar w:fldCharType="separate"/>
        </w:r>
        <w:r>
          <w:t>64</w:t>
        </w:r>
        <w:r>
          <w:fldChar w:fldCharType="end"/>
        </w:r>
      </w:hyperlink>
    </w:p>
    <w:p>
      <w:pPr>
        <w:pStyle w:val="TOC2"/>
        <w:tabs>
          <w:tab w:val="right" w:leader="dot" w:pos="8306"/>
        </w:tabs>
      </w:pPr>
      <w:hyperlink w:anchor="_Toc6362" w:history="1">
        <w:r>
          <w:rPr>
            <w:rFonts w:ascii="仿宋" w:eastAsia="仿宋" w:hAnsi="仿宋" w:cs="仿宋" w:hint="eastAsia"/>
            <w:lang w:eastAsia="zh-CN"/>
          </w:rPr>
          <w:t>(一)、产品/服务定位与特点</w:t>
        </w:r>
        <w:r>
          <w:tab/>
        </w:r>
        <w:r>
          <w:fldChar w:fldCharType="begin"/>
        </w:r>
        <w:r>
          <w:instrText xml:space="preserve"> PAGEREF _Toc6362 \h </w:instrText>
        </w:r>
        <w:r>
          <w:fldChar w:fldCharType="separate"/>
        </w:r>
        <w:r>
          <w:t>64</w:t>
        </w:r>
        <w:r>
          <w:fldChar w:fldCharType="end"/>
        </w:r>
      </w:hyperlink>
    </w:p>
    <w:p>
      <w:pPr>
        <w:pStyle w:val="TOC2"/>
        <w:tabs>
          <w:tab w:val="right" w:leader="dot" w:pos="8306"/>
        </w:tabs>
      </w:pPr>
      <w:hyperlink w:anchor="_Toc6645" w:history="1">
        <w:r>
          <w:rPr>
            <w:rFonts w:ascii="仿宋" w:eastAsia="仿宋" w:hAnsi="仿宋" w:cs="仿宋" w:hint="eastAsia"/>
            <w:lang w:eastAsia="zh-CN"/>
          </w:rPr>
          <w:t>(二)、市场定位与竞争分析</w:t>
        </w:r>
        <w:r>
          <w:tab/>
        </w:r>
        <w:r>
          <w:fldChar w:fldCharType="begin"/>
        </w:r>
        <w:r>
          <w:instrText xml:space="preserve"> PAGEREF _Toc6645 \h </w:instrText>
        </w:r>
        <w:r>
          <w:fldChar w:fldCharType="separate"/>
        </w:r>
        <w:r>
          <w:t>65</w:t>
        </w:r>
        <w:r>
          <w:fldChar w:fldCharType="end"/>
        </w:r>
      </w:hyperlink>
    </w:p>
    <w:p>
      <w:pPr>
        <w:pStyle w:val="TOC2"/>
        <w:tabs>
          <w:tab w:val="right" w:leader="dot" w:pos="8306"/>
        </w:tabs>
      </w:pPr>
      <w:hyperlink w:anchor="_Toc3756" w:history="1">
        <w:r>
          <w:rPr>
            <w:rFonts w:ascii="仿宋" w:eastAsia="仿宋" w:hAnsi="仿宋" w:cs="仿宋" w:hint="eastAsia"/>
            <w:lang w:eastAsia="zh-CN"/>
          </w:rPr>
          <w:t>(三)、营销渠道与策略</w:t>
        </w:r>
        <w:r>
          <w:tab/>
        </w:r>
        <w:r>
          <w:fldChar w:fldCharType="begin"/>
        </w:r>
        <w:r>
          <w:instrText xml:space="preserve"> PAGEREF _Toc3756 \h </w:instrText>
        </w:r>
        <w:r>
          <w:fldChar w:fldCharType="separate"/>
        </w:r>
        <w:r>
          <w:t>67</w:t>
        </w:r>
        <w:r>
          <w:fldChar w:fldCharType="end"/>
        </w:r>
      </w:hyperlink>
    </w:p>
    <w:p>
      <w:pPr>
        <w:pStyle w:val="TOC2"/>
        <w:tabs>
          <w:tab w:val="right" w:leader="dot" w:pos="8306"/>
        </w:tabs>
      </w:pPr>
      <w:hyperlink w:anchor="_Toc18018" w:history="1">
        <w:r>
          <w:rPr>
            <w:rFonts w:ascii="仿宋" w:eastAsia="仿宋" w:hAnsi="仿宋" w:cs="仿宋" w:hint="eastAsia"/>
            <w:lang w:eastAsia="zh-CN"/>
          </w:rPr>
          <w:t>(四)、推广与宣传活动</w:t>
        </w:r>
        <w:r>
          <w:tab/>
        </w:r>
        <w:r>
          <w:fldChar w:fldCharType="begin"/>
        </w:r>
        <w:r>
          <w:instrText xml:space="preserve"> PAGEREF _Toc18018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体育场馆服务项目的主要产品是XXXX，预计年产值为XXX万元。这一产品在市场中占据着重要的地位，其广泛的应用范围使得该体育场馆服务项目的市场前景非常广阔。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场馆服务项目的xxx产品作为重要的原材料之一，将在多个领域发挥关键作用。其在建筑、交通、能源等方面的广泛应用将为整个产业链提供强大的支持，形成产业协同效应。体育场馆服务项目的年产值XXX万XXX万XXX万万元不仅反映了其在市场上的巨大潜力，更预示着它对国民经济的积极贡献。这种关联度高、涉及面广的产业关系，使得该体育场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0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总征地面积为XXXX平方米，相当于约XX.XX亩，其中净用地面积为XXXX平方米，红线范围内相当于约XX.XX亩。这一用地规模充分考虑了体育场馆服务项目的建设需求，保障了体育场馆服务项目在合适的空间内得以充分发展。体育场馆服务项目规划的总建筑面积为XXXX平方米，其中主体工程建设占XXXX平方米，计容建筑面积达XXXX平方米。预计建筑工程的投资将达到XXXX万元，为体育场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计划购置的设备共计XXXX台（套），设备购置费用为XXXX万元。这一设备购置计划充分考虑到体育场馆服务项目的生产需求和技术要求，确保了体育场馆服务项目在生产运营中具备先进的技术装备和高效的生产能力。设备的合理配置将为体育场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计划总投资为XXXX万元，预计年实现营业收入为XXXX万元。这一产能规模的设定旨在确保体育场馆服务项目能够在投资与回报之间取得平衡，实现长期可持续的发展。体育场馆服务项目的总投资充分考虑到各个方面的需求，包括用地建设、设备购置等多个环节，以确保体育场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42"/>
      <w:r>
        <w:rPr>
          <w:rFonts w:ascii="仿宋" w:eastAsia="仿宋" w:hAnsi="仿宋" w:cs="仿宋" w:hint="eastAsia"/>
          <w:sz w:val="28"/>
          <w:lang w:eastAsia="zh-CN"/>
        </w:rPr>
        <w:t>二、体育场馆服务项目土建工程</w:t>
      </w:r>
      <w:bookmarkEnd w:id="5"/>
    </w:p>
    <w:p>
      <w:pPr>
        <w:pStyle w:val="Heading2"/>
        <w:rPr>
          <w:rFonts w:ascii="仿宋" w:eastAsia="仿宋" w:hAnsi="仿宋" w:cs="仿宋" w:hint="eastAsia"/>
          <w:lang w:eastAsia="zh-CN"/>
        </w:rPr>
      </w:pPr>
      <w:bookmarkStart w:id="6" w:name="_Toc241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在体育场馆服务项目的建筑工程设计中，我们将秉承一系列重要的设计原则，以确保体育场馆服务项目建筑在功能、美观、可持续性等方面达到最佳效果。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首要原则是确保建筑的功能性得到最大化的发挥。我们将充分理解体育场馆服务项目的实际需求，合理布局各个功能区域，保证建筑在满足业务需求的同时，提供高效的工作环境。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在建筑设计中，我们将综合考虑建设和运营成本。通过精细的经济效益分析，确保设计方案在高效利用资源的同时，对体育场馆服务项目的长期盈利能力有积极的贡献。</w:t>
      </w:r>
    </w:p>
    <w:p>
      <w:pPr>
        <w:pStyle w:val="Heading2"/>
        <w:ind w:firstLine="560" w:firstLineChars="200"/>
        <w:rPr>
          <w:rFonts w:ascii="仿宋" w:eastAsia="仿宋" w:hAnsi="仿宋" w:cs="仿宋" w:hint="eastAsia"/>
          <w:sz w:val="28"/>
          <w:lang w:eastAsia="zh-CN"/>
        </w:rPr>
      </w:pPr>
      <w:bookmarkStart w:id="7" w:name="_Toc2679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场馆服务项目的土建工程设计中，我们将精准设定设计年限，结合体育场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育场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2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体育场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育场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育场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1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本期工程体育场馆服务项目预计总建筑面积XXX平方米，其中：计容建筑面积XXX平方米，计划建筑工程投资XX万元，占体育场馆服务项目总投资的XX%。</w:t>
      </w:r>
    </w:p>
    <w:p>
      <w:pPr>
        <w:pStyle w:val="Heading1"/>
        <w:ind w:firstLine="560" w:firstLineChars="200"/>
        <w:rPr>
          <w:rFonts w:ascii="仿宋" w:eastAsia="仿宋" w:hAnsi="仿宋" w:cs="仿宋" w:hint="eastAsia"/>
          <w:sz w:val="28"/>
          <w:lang w:eastAsia="zh-CN"/>
        </w:rPr>
      </w:pPr>
      <w:bookmarkStart w:id="10" w:name="_Toc31390"/>
      <w:r>
        <w:rPr>
          <w:rFonts w:ascii="仿宋" w:eastAsia="仿宋" w:hAnsi="仿宋" w:cs="仿宋" w:hint="eastAsia"/>
          <w:sz w:val="28"/>
          <w:lang w:eastAsia="zh-CN"/>
        </w:rPr>
        <w:t>三、体育场馆服务项目绩效评估</w:t>
      </w:r>
      <w:bookmarkEnd w:id="10"/>
    </w:p>
    <w:p>
      <w:pPr>
        <w:pStyle w:val="Heading2"/>
        <w:rPr>
          <w:rFonts w:ascii="仿宋" w:eastAsia="仿宋" w:hAnsi="仿宋" w:cs="仿宋" w:hint="eastAsia"/>
          <w:lang w:eastAsia="zh-CN"/>
        </w:rPr>
      </w:pPr>
      <w:bookmarkStart w:id="11" w:name="_Toc939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场馆服务项目中，我们设计了一套全面的绩效评估指标，以确保体育场馆服务项目的可控和成功交付。这些指标跨足体育场馆服务项目目标、成本、进度和质量等多个维度，为我们提供了全面洞察体育场馆服务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体育场馆服务项目目标达成率是我们关注的首要指标。我们设定了明确的目标，并通过定期监测和评估，迅速发现并应对潜在的目标偏差。这为体育场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成本绩效是另一个核心关注点。通过实际成本与预算成本的对比分析，我们深入了解成本差异的原因，及时调整资源分配，保持体育场馆服务项目在经济效益方面的合理水平。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进度作为关键的绩效指标之一，得到了精心的关注。我们制定了详细的体育场馆服务项目进度计划，并设立了进度符合度指标，确保实际进度与计划进度保持一致。这使我们能够快速发现和解决潜在的进度问题，保持体育场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场馆服务项目绩效的不可或缺的一环。我们引入了一系列的质量标准和客户满意度指标，以确保体育场馆服务项目交付的成果在质量上达到或超越预期水平。通过持续监测这些指标，我们努力提升体育场馆服务项目整体质量水平，为体育场馆服务项目的成功交付提供有力保障。通过这些科学且全面的绩效评估，我们能够更好地引导体育场馆服务项目的持续改进，确保体育场馆服务项目目标的顺利达成。</w:t>
      </w:r>
    </w:p>
    <w:p>
      <w:pPr>
        <w:pStyle w:val="Heading2"/>
        <w:ind w:firstLine="560" w:firstLineChars="200"/>
        <w:rPr>
          <w:rFonts w:ascii="仿宋" w:eastAsia="仿宋" w:hAnsi="仿宋" w:cs="仿宋" w:hint="eastAsia"/>
          <w:sz w:val="28"/>
          <w:lang w:eastAsia="zh-CN"/>
        </w:rPr>
      </w:pPr>
      <w:bookmarkStart w:id="12" w:name="_Toc2973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绩效评估是体育场馆服务项目中的关键环节，为确保体育场馆服务项目达到预期目标，我们采用了多层次、多维度的绩效评估方法。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体育场馆服务项目的战略目标对齐，确保每个决策和行动都与体育场馆服务项目整体目标保持一致。团队会定期召开战略对齐会议，审视当前工作与体育场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场馆服务项目进度、质量、成本和风险等方面。这些指标通过数据收集和分析，为体育场馆服务项目管理团队提供了客观的评估依据。例如，我们通过体育场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绩效评估不仅仅停留在体育场馆服务项目内部，还考虑了体育场馆服务项目对外部环境的影响。我们定期进行干系人满意度调查，以了解各利益相关方对体育场馆服务项目的期望和满意度，并及时做出调整。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这种多层次、多角度的绩效评估方法，使得我们能够全面了解体育场馆服务项目的运行状态，及时做出调整，确保体育场馆服务项目在不断变化的环境中保持稳健前行。</w:t>
      </w:r>
    </w:p>
    <w:p>
      <w:pPr>
        <w:pStyle w:val="Heading2"/>
        <w:ind w:firstLine="560" w:firstLineChars="200"/>
        <w:rPr>
          <w:rFonts w:ascii="仿宋" w:eastAsia="仿宋" w:hAnsi="仿宋" w:cs="仿宋" w:hint="eastAsia"/>
          <w:sz w:val="28"/>
          <w:lang w:eastAsia="zh-CN"/>
        </w:rPr>
      </w:pPr>
      <w:bookmarkStart w:id="13" w:name="_Toc1718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为了确保体育场馆服务项目的有效管理和不断优化，我们采用了精心设计的绩效评估周期。这个周期旨在实现灵活、实时和全面的评估，以适应体育场馆服务项目执行中的各种挑战。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场馆服务项目的不同需求，分为短期、中期和长期。短期评估关注每个迭代或工作周期，以及时发现和解决当前任务中的问题。中期评估涵盖几个迭代，深入了解整体体育场馆服务项目的趋势和性能。长期评估则着眼于整个体育场馆服务项目阶段，确保体育场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场馆服务项目管理工具和协作平台，团队成员能够随时更新和分享体育场馆服务项目数据。这种实时性的反馈机制使我们能够及时察觉潜在问题，快速调整，保持体育场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育场馆服务项目的决策制定密不可分。每个周期的体育场馆服务项目回顾会议成为集体总结经验、识别问题深层次原因并找到创新解决方案的平台。这种定期的反思与调整机制使体育场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740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7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技术管理特点体现在其创新导向。通过引入最先进的技术趋势和解决方案，体育场馆服务项目致力于提升科技含量、提高质量和效率水平。这意味着我们将采用最新的工具和方法，确保体育场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育场馆服务项目技术管理的显著特征。通过整合不同领域的技术资源，我们实现了跨学科的协同工作。这有助于优化技术架构，提高整体效能。此外，整合性策略还促进了不同技术团队之间的紧密沟通和高效合作，确保体育场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育场馆服务项目所采用的技术。通过不断优化技术方案，体育场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育场馆服务项目团队将在体育场馆服务项目初期识别可能的技术风险，并采取相应的预防和应对措施。通过建立健全的风险评估机制，体育场馆服务项目能够在实施过程中及时发现并解决潜在的技术问题，保障体育场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育场馆服务项目中，技术将成为体育场馆服务项目成功的有力支持。这一深度剖析揭示了技术管理在体育场馆服务项目实施中的关键作用，为体育场馆服务项目的技术基础奠定了坚实的基础。</w:t>
      </w:r>
    </w:p>
    <w:p>
      <w:pPr>
        <w:pStyle w:val="Heading2"/>
        <w:ind w:firstLine="560" w:firstLineChars="200"/>
        <w:rPr>
          <w:rFonts w:ascii="仿宋" w:eastAsia="仿宋" w:hAnsi="仿宋" w:cs="仿宋" w:hint="eastAsia"/>
          <w:sz w:val="28"/>
          <w:lang w:eastAsia="zh-CN"/>
        </w:rPr>
      </w:pPr>
      <w:bookmarkStart w:id="16" w:name="_Toc817"/>
      <w:r>
        <w:rPr>
          <w:rFonts w:ascii="仿宋" w:eastAsia="仿宋" w:hAnsi="仿宋" w:cs="仿宋" w:hint="eastAsia"/>
          <w:sz w:val="28"/>
          <w:lang w:eastAsia="zh-CN"/>
        </w:rPr>
        <w:t>(二)、体育场馆服务项目工艺技术设计方案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育场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育场馆服务项目将严格按照相关行业规范要求进行组织。通过有效控制产品质量，体育场馆服务项目将致力于为顾客提供优质的体育场馆服务项目产品和良好的服务。这体现了体育场馆服务项目对于生产活动合规性和质量标准的高度重视，为体育场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育场馆服务项目注重生态效益和清洁生产原则。体育场馆服务项目建设将紧密结合地方特色经济发展，与社会经济发展规划和区域环境保护规划方案相协调一致。通过与当地区域自然生态系统的结合，体育场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育场馆服务项目产品具有多样化的客户需求和个性化的特点。因此，体育场馆服务项目产品规格品种多样，且单批生产数量较小。为满足这一特点，体育场馆服务项目承办单位将建设先进的柔性制造生产线。通过广泛应用柔性制造技术，体育场馆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育场馆服务项目采用的技术具有较高的技术含量和自动化水平，处于国内先进水平。这一技术选用不仅体现了对生产效率、质量和环境友好性的高标准要求，同时为体育场馆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1242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为确保体育场馆服务项目的高效生产和技术实施，我们制定了一套精心设计的设备选型方案，以满足体育场馆服务项目生产、质量和环保的要求。该方案的主要特点如下：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育场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针对体育场馆服务项目产品的多样性和小批量生产的特点，我们将建设柔性制造生产线。通过在设备选型中考虑柔性制造技术，可以灵活应对不同产品规格和生产需求，实现生产线的高度灵活性和适应性。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9542"/>
      <w:r>
        <w:rPr>
          <w:rFonts w:ascii="仿宋" w:eastAsia="仿宋" w:hAnsi="仿宋" w:cs="仿宋" w:hint="eastAsia"/>
          <w:sz w:val="28"/>
          <w:lang w:eastAsia="zh-CN"/>
        </w:rPr>
        <w:t>五、体育场馆服务项目概论</w:t>
      </w:r>
      <w:bookmarkEnd w:id="18"/>
    </w:p>
    <w:p>
      <w:pPr>
        <w:pStyle w:val="Heading2"/>
        <w:rPr>
          <w:rFonts w:ascii="仿宋" w:eastAsia="仿宋" w:hAnsi="仿宋" w:cs="仿宋" w:hint="eastAsia"/>
          <w:lang w:eastAsia="zh-CN"/>
        </w:rPr>
      </w:pPr>
      <w:bookmarkStart w:id="19" w:name="_Toc603"/>
      <w:r>
        <w:rPr>
          <w:rFonts w:ascii="仿宋" w:eastAsia="仿宋" w:hAnsi="仿宋" w:cs="仿宋" w:hint="eastAsia"/>
          <w:lang w:eastAsia="zh-CN"/>
        </w:rPr>
        <w:t>(一)、体育场馆服务项目概况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起源追溯至对市场的深入洞察。市场的不断演变与变革为体育场馆服务项目提供了难得的机遇。当前市场存在的需求缺口和变革的大环境共同构成了体育场馆服务项目的背景。这个体育场馆服务项目旨在充分利用市场机遇，填补行业中尚未满足的需求，为客户提供全新的解决方案。市场的变革和需求的增长使得这个体育场馆服务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体育场馆服务项目名称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正式命名为体育场馆服务。这个名称不仅仅是一个标识，更代表了体育场馆服务项目的核心理念和愿景。它蕴含着体育场馆服务项目所要解决问题的关键字，具有强烈的表达和辨识度，为体育场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体育场馆服务项目目标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核心目标是提供一种全新、高效的解决方案，满足客户日益增长的需求。体育场馆服务项目追求的不仅仅是满足市场需求，更是在市场中获得卓越的竞争优势。通过不断提升产品或服务的质量和创新水平，体育场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体育场馆服务项目范围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全面涵盖了产品研发、制造、市场推广和售后服务，确保从产品设计到最终用户体验的全方位关注。这一全面的体育场馆服务项目范围是为了确保体育场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体育场馆服务项目时间表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体育场馆服务项目计划在未来18个月内完成，包括研发、测试、市场试点和正式推出等不同阶段。这个时间表的合理设计是为了确保体育场馆服务项目各个阶段的顺利推进，以便按时交付高质量的成果。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体育场馆服务项目预算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https://d.book118.com/768056062122006024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642D9"/>
    <w:rsid w:val="6D7642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5606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2024-01-07T18:26:00Z</dcterms:created>
  <dcterms:modified xsi:type="dcterms:W3CDTF">2024-01-07T18:27:02Z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EB09805B764A4016B2D2CBBB273E865F_11</vt:lpwstr>
  </property>
  <property fmtid="{D5CDD505-2E9C-101B-9397-08002B2CF9AE}" pid="3" name="KSOProductBuildVer">
    <vt:lpwstr>2052-12.1.0.16120</vt:lpwstr>
  </property>
</Properties>
</file>