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9"/>
        <w:rPr>
          <w:rFonts w:ascii="仿宋" w:eastAsia="仿宋" w:hAnsi="仿宋" w:cs="仿宋" w:hint="eastAsia"/>
          <w:b/>
          <w:bCs/>
          <w:color w:val="000000"/>
          <w:sz w:val="32"/>
          <w:szCs w:val="32"/>
        </w:rPr>
      </w:pPr>
      <w:bookmarkStart w:id="0" w:name="_Toc33246199"/>
      <w:bookmarkStart w:id="1" w:name="_Toc271529534"/>
      <w:r>
        <w:rPr>
          <w:rFonts w:ascii="仿宋" w:eastAsia="仿宋" w:hAnsi="仿宋" w:cs="仿宋" w:hint="eastAsia"/>
          <w:b/>
          <w:bCs/>
          <w:color w:val="000000"/>
          <w:sz w:val="32"/>
          <w:szCs w:val="32"/>
        </w:rPr>
        <w:t xml:space="preserve">第一章 </w:t>
      </w:r>
      <w:r>
        <w:rPr>
          <w:rFonts w:ascii="仿宋" w:eastAsia="仿宋" w:hAnsi="仿宋" w:cs="仿宋" w:hint="eastAsia"/>
          <w:b/>
          <w:bCs/>
          <w:color w:val="000000"/>
          <w:sz w:val="32"/>
          <w:szCs w:val="32"/>
          <w:lang w:val="en-US" w:eastAsia="zh-CN"/>
        </w:rPr>
        <w:t xml:space="preserve"> </w:t>
      </w:r>
      <w:r>
        <w:rPr>
          <w:rFonts w:ascii="仿宋" w:eastAsia="仿宋" w:hAnsi="仿宋" w:cs="仿宋" w:hint="eastAsia"/>
          <w:b/>
          <w:bCs/>
          <w:color w:val="000000"/>
          <w:sz w:val="32"/>
          <w:szCs w:val="32"/>
        </w:rPr>
        <w:t>工程概况</w:t>
      </w:r>
      <w:bookmarkEnd w:id="0"/>
      <w:bookmarkEnd w:id="1"/>
    </w:p>
    <w:p>
      <w:pPr>
        <w:keepNext w:val="0"/>
        <w:keepLines w:val="0"/>
        <w:pageBreakBefore w:val="0"/>
        <w:widowControl w:val="0"/>
        <w:kinsoku/>
        <w:wordWrap/>
        <w:overflowPunct/>
        <w:topLinePunct w:val="0"/>
        <w:autoSpaceDE/>
        <w:autoSpaceDN/>
        <w:bidi w:val="0"/>
        <w:adjustRightInd/>
        <w:snapToGrid/>
        <w:spacing w:before="0" w:after="0" w:line="500" w:lineRule="exact"/>
        <w:ind w:firstLine="640" w:firstLineChars="200"/>
        <w:jc w:val="both"/>
        <w:textAlignment w:val="auto"/>
        <w:outlineLvl w:val="9"/>
        <w:rPr>
          <w:rFonts w:ascii="仿宋" w:eastAsia="仿宋" w:hAnsi="仿宋" w:cs="仿宋" w:hint="eastAsia"/>
          <w:color w:val="000000"/>
          <w:sz w:val="32"/>
          <w:szCs w:val="32"/>
        </w:rPr>
      </w:pPr>
      <w:bookmarkStart w:id="2" w:name="_Toc225531020"/>
      <w:bookmarkStart w:id="3" w:name="_Toc267482358"/>
      <w:bookmarkStart w:id="4" w:name="_Toc267838406"/>
      <w:bookmarkStart w:id="5" w:name="_Toc33246200"/>
      <w:bookmarkStart w:id="6" w:name="_Toc271529535"/>
      <w:r>
        <w:rPr>
          <w:rFonts w:ascii="仿宋" w:eastAsia="仿宋" w:hAnsi="仿宋" w:cs="仿宋" w:hint="eastAsia"/>
          <w:color w:val="000000"/>
          <w:sz w:val="32"/>
          <w:szCs w:val="32"/>
        </w:rPr>
        <w:t>1.</w:t>
      </w:r>
      <w:bookmarkEnd w:id="2"/>
      <w:r>
        <w:rPr>
          <w:rFonts w:ascii="仿宋" w:eastAsia="仿宋" w:hAnsi="仿宋" w:cs="仿宋" w:hint="eastAsia"/>
          <w:color w:val="000000"/>
          <w:sz w:val="32"/>
          <w:szCs w:val="32"/>
        </w:rPr>
        <w:t>1</w:t>
      </w:r>
      <w:r>
        <w:rPr>
          <w:rFonts w:ascii="仿宋" w:eastAsia="仿宋" w:hAnsi="仿宋" w:cs="仿宋" w:hint="eastAsia"/>
          <w:color w:val="000000"/>
          <w:sz w:val="32"/>
          <w:szCs w:val="32"/>
          <w:lang w:eastAsia="zh-CN"/>
        </w:rPr>
        <w:t>工程</w:t>
      </w:r>
      <w:r>
        <w:rPr>
          <w:rFonts w:ascii="仿宋" w:eastAsia="仿宋" w:hAnsi="仿宋" w:cs="仿宋" w:hint="eastAsia"/>
          <w:color w:val="000000"/>
          <w:sz w:val="32"/>
          <w:szCs w:val="32"/>
        </w:rPr>
        <w:t>概况</w:t>
      </w:r>
      <w:bookmarkEnd w:id="3"/>
      <w:bookmarkEnd w:id="4"/>
      <w:bookmarkEnd w:id="5"/>
      <w:bookmarkEnd w:id="6"/>
      <w:r>
        <w:rPr>
          <w:rFonts w:ascii="仿宋" w:eastAsia="仿宋" w:hAnsi="仿宋" w:cs="仿宋" w:hint="eastAsia"/>
          <w:color w:val="000000"/>
          <w:sz w:val="32"/>
          <w:szCs w:val="32"/>
        </w:rPr>
        <w:t xml:space="preserve"> </w:t>
      </w:r>
    </w:p>
    <w:p>
      <w:pPr>
        <w:pStyle w:val="10880"/>
        <w:keepNext w:val="0"/>
        <w:keepLines w:val="0"/>
        <w:pageBreakBefore w:val="0"/>
        <w:widowControl w:val="0"/>
        <w:kinsoku/>
        <w:wordWrap/>
        <w:overflowPunct/>
        <w:topLinePunct w:val="0"/>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color w:val="000000"/>
          <w:sz w:val="32"/>
          <w:szCs w:val="32"/>
        </w:rPr>
      </w:pPr>
      <w:r>
        <w:rPr>
          <w:rFonts w:ascii="仿宋" w:eastAsia="仿宋" w:hAnsi="仿宋" w:cs="仿宋" w:hint="eastAsia"/>
          <w:color w:val="000000"/>
          <w:sz w:val="32"/>
          <w:szCs w:val="32"/>
        </w:rPr>
        <w:t>银川市贺兰</w:t>
      </w:r>
      <w:r>
        <w:rPr>
          <w:rFonts w:ascii="仿宋" w:eastAsia="仿宋" w:hAnsi="仿宋" w:cs="仿宋" w:hint="eastAsia"/>
          <w:color w:val="000000"/>
          <w:sz w:val="32"/>
          <w:szCs w:val="32"/>
        </w:rPr>
        <w:t>山西路（文昌北街-西绕城段）拓宽改造项目管网工程位于银川市西夏区北部</w:t>
      </w:r>
      <w:r>
        <w:rPr>
          <w:rFonts w:ascii="仿宋" w:eastAsia="仿宋" w:hAnsi="仿宋" w:cs="仿宋" w:hint="eastAsia"/>
          <w:color w:val="000000"/>
          <w:sz w:val="32"/>
          <w:szCs w:val="32"/>
          <w:lang w:eastAsia="zh-CN"/>
        </w:rPr>
        <w:t>，</w:t>
      </w:r>
      <w:r>
        <w:rPr>
          <w:rFonts w:ascii="仿宋" w:eastAsia="仿宋" w:hAnsi="仿宋" w:cs="仿宋" w:hint="eastAsia"/>
          <w:color w:val="000000"/>
          <w:sz w:val="32"/>
          <w:szCs w:val="32"/>
        </w:rPr>
        <w:t>本次招标道路长约1000m，主要工程量为：雨水混凝土管道（不含雨水联络管）1797米；雨水混凝土井47座；污水混凝土管道1312米；污水混凝土井17座；球墨铸铁给水管1878米；砖砌给水井35座；</w:t>
      </w:r>
      <w:r>
        <w:rPr>
          <w:rFonts w:ascii="仿宋" w:eastAsia="仿宋" w:hAnsi="仿宋" w:cs="仿宋" w:hint="eastAsia"/>
          <w:color w:val="000000"/>
          <w:sz w:val="32"/>
          <w:szCs w:val="32"/>
        </w:rPr>
        <w:t>φ</w:t>
      </w:r>
      <w:r>
        <w:rPr>
          <w:rFonts w:ascii="仿宋" w:eastAsia="仿宋" w:hAnsi="仿宋" w:cs="仿宋" w:hint="eastAsia"/>
          <w:color w:val="000000"/>
          <w:sz w:val="32"/>
          <w:szCs w:val="32"/>
        </w:rPr>
        <w:t>500-</w:t>
      </w:r>
      <w:r>
        <w:rPr>
          <w:rFonts w:ascii="仿宋" w:eastAsia="仿宋" w:hAnsi="仿宋" w:cs="仿宋" w:hint="eastAsia"/>
          <w:color w:val="000000"/>
          <w:sz w:val="32"/>
          <w:szCs w:val="32"/>
        </w:rPr>
        <w:t>φ</w:t>
      </w:r>
      <w:r>
        <w:rPr>
          <w:rFonts w:ascii="仿宋" w:eastAsia="仿宋" w:hAnsi="仿宋" w:cs="仿宋" w:hint="eastAsia"/>
          <w:color w:val="000000"/>
          <w:sz w:val="32"/>
          <w:szCs w:val="32"/>
        </w:rPr>
        <w:t>600无砂管大口井950m；</w:t>
      </w:r>
      <w:r>
        <w:rPr>
          <w:rFonts w:ascii="仿宋" w:eastAsia="仿宋" w:hAnsi="仿宋" w:cs="仿宋" w:hint="eastAsia"/>
          <w:color w:val="000000"/>
          <w:sz w:val="32"/>
          <w:szCs w:val="32"/>
        </w:rPr>
        <w:t>φ</w:t>
      </w:r>
      <w:r>
        <w:rPr>
          <w:rFonts w:ascii="仿宋" w:eastAsia="仿宋" w:hAnsi="仿宋" w:cs="仿宋" w:hint="eastAsia"/>
          <w:color w:val="000000"/>
          <w:sz w:val="32"/>
          <w:szCs w:val="32"/>
        </w:rPr>
        <w:t>500-</w:t>
      </w:r>
      <w:r>
        <w:rPr>
          <w:rFonts w:ascii="仿宋" w:eastAsia="仿宋" w:hAnsi="仿宋" w:cs="仿宋" w:hint="eastAsia"/>
          <w:color w:val="000000"/>
          <w:sz w:val="32"/>
          <w:szCs w:val="32"/>
        </w:rPr>
        <w:t>φ</w:t>
      </w:r>
      <w:r>
        <w:rPr>
          <w:rFonts w:ascii="仿宋" w:eastAsia="仿宋" w:hAnsi="仿宋" w:cs="仿宋" w:hint="eastAsia"/>
          <w:color w:val="000000"/>
          <w:sz w:val="32"/>
          <w:szCs w:val="32"/>
        </w:rPr>
        <w:t>600大口井降水台班1900昼夜；轻型井点成孔4000根；轻型井点降水台班1900昼夜等。</w:t>
      </w:r>
    </w:p>
    <w:p>
      <w:pPr>
        <w:pStyle w:val="10880"/>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9"/>
        <w:rPr>
          <w:rFonts w:ascii="仿宋" w:eastAsia="仿宋" w:hAnsi="仿宋" w:cs="仿宋" w:hint="eastAsia"/>
          <w:color w:val="000000"/>
          <w:sz w:val="32"/>
          <w:szCs w:val="32"/>
        </w:rPr>
      </w:pPr>
      <w:bookmarkStart w:id="7" w:name="_Toc271529536"/>
      <w:bookmarkStart w:id="8" w:name="_Toc33246201"/>
      <w:bookmarkStart w:id="9" w:name="_Toc267838407"/>
      <w:bookmarkStart w:id="10" w:name="_Toc267482359"/>
      <w:bookmarkStart w:id="11" w:name="_Toc211588121"/>
      <w:bookmarkStart w:id="12" w:name="_Toc211588512"/>
      <w:r>
        <w:rPr>
          <w:rFonts w:ascii="仿宋" w:eastAsia="仿宋" w:hAnsi="仿宋" w:cs="仿宋" w:hint="eastAsia"/>
          <w:color w:val="000000"/>
          <w:sz w:val="32"/>
          <w:szCs w:val="32"/>
        </w:rPr>
        <w:t>1.2地质特征</w:t>
      </w:r>
      <w:bookmarkEnd w:id="7"/>
      <w:bookmarkEnd w:id="8"/>
      <w:bookmarkEnd w:id="9"/>
      <w:bookmarkEnd w:id="10"/>
    </w:p>
    <w:p>
      <w:pPr>
        <w:pStyle w:val="10880"/>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outlineLvl w:val="9"/>
        <w:rPr>
          <w:rFonts w:ascii="仿宋" w:eastAsia="仿宋" w:hAnsi="仿宋" w:cs="仿宋" w:hint="eastAsia"/>
          <w:color w:val="000000"/>
          <w:sz w:val="32"/>
          <w:szCs w:val="32"/>
        </w:rPr>
      </w:pPr>
      <w:r>
        <w:rPr>
          <w:rFonts w:ascii="仿宋" w:eastAsia="仿宋" w:hAnsi="仿宋" w:cs="仿宋" w:hint="eastAsia"/>
          <w:color w:val="000000"/>
          <w:sz w:val="32"/>
          <w:szCs w:val="32"/>
        </w:rPr>
        <w:t>1</w:t>
      </w:r>
      <w:r>
        <w:rPr>
          <w:rFonts w:ascii="仿宋" w:eastAsia="仿宋" w:hAnsi="仿宋" w:cs="仿宋" w:hint="eastAsia"/>
          <w:color w:val="000000"/>
          <w:sz w:val="32"/>
          <w:szCs w:val="32"/>
          <w:lang w:val="en-US" w:eastAsia="zh-CN"/>
        </w:rPr>
        <w:t>.2.1</w:t>
      </w:r>
      <w:r>
        <w:rPr>
          <w:rFonts w:ascii="仿宋" w:eastAsia="仿宋" w:hAnsi="仿宋" w:cs="仿宋" w:hint="eastAsia"/>
          <w:color w:val="000000"/>
          <w:sz w:val="32"/>
          <w:szCs w:val="32"/>
        </w:rPr>
        <w:t>主要地质岩层特征：根据现场勘察及岩土工程勘察报告，场地内由上而下主要以粉细砂为主</w:t>
      </w:r>
    </w:p>
    <w:p>
      <w:pPr>
        <w:pStyle w:val="10880"/>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outlineLvl w:val="9"/>
        <w:rPr>
          <w:rFonts w:ascii="仿宋" w:eastAsia="仿宋" w:hAnsi="仿宋" w:cs="仿宋" w:hint="eastAsia"/>
          <w:color w:val="000000"/>
          <w:sz w:val="32"/>
          <w:szCs w:val="32"/>
        </w:rPr>
      </w:pPr>
      <w:r>
        <w:rPr>
          <w:rFonts w:ascii="仿宋" w:eastAsia="仿宋" w:hAnsi="仿宋" w:cs="仿宋" w:hint="eastAsia"/>
          <w:color w:val="000000"/>
          <w:sz w:val="32"/>
          <w:szCs w:val="32"/>
          <w:lang w:val="en-US" w:eastAsia="zh-CN"/>
        </w:rPr>
        <w:t>1.2.2</w:t>
      </w:r>
      <w:r>
        <w:rPr>
          <w:rFonts w:ascii="仿宋" w:eastAsia="仿宋" w:hAnsi="仿宋" w:cs="仿宋" w:hint="eastAsia"/>
          <w:color w:val="000000"/>
          <w:sz w:val="32"/>
          <w:szCs w:val="32"/>
        </w:rPr>
        <w:t>地下水文情况</w:t>
      </w:r>
    </w:p>
    <w:p>
      <w:pPr>
        <w:pStyle w:val="10880"/>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9"/>
        <w:rPr>
          <w:rFonts w:ascii="仿宋" w:eastAsia="仿宋" w:hAnsi="仿宋" w:cs="仿宋" w:hint="eastAsia"/>
          <w:color w:val="000000"/>
          <w:sz w:val="32"/>
          <w:szCs w:val="32"/>
        </w:rPr>
      </w:pPr>
      <w:r>
        <w:rPr>
          <w:rFonts w:ascii="仿宋" w:eastAsia="仿宋" w:hAnsi="仿宋" w:cs="仿宋" w:hint="eastAsia"/>
          <w:color w:val="000000"/>
          <w:sz w:val="32"/>
          <w:szCs w:val="32"/>
        </w:rPr>
        <w:t>（1）场地内地下水根据其赋存介质和埋藏条件不同主要分为两类：第一类，存在于第四系全新统冲洪积层含有机质粉砂层及第四系上更新统冲洪积含粘性土中砂层中的孔隙水，其含水量较丰富、透水性好，是本场地内主要含水层；第二类，存在于基岩强风化带及中等风化带中的裂隙承压水，其含水量及透水性主要受基岩裂隙发育程度控制，埋藏较深，具微承压性。</w:t>
      </w:r>
    </w:p>
    <w:p>
      <w:pPr>
        <w:pStyle w:val="10880"/>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9"/>
        <w:rPr>
          <w:rFonts w:ascii="仿宋" w:eastAsia="仿宋" w:hAnsi="仿宋" w:cs="仿宋" w:hint="eastAsia"/>
          <w:color w:val="000000"/>
          <w:sz w:val="32"/>
          <w:szCs w:val="32"/>
        </w:rPr>
      </w:pPr>
      <w:r>
        <w:rPr>
          <w:rFonts w:ascii="仿宋" w:eastAsia="仿宋" w:hAnsi="仿宋" w:cs="仿宋" w:hint="eastAsia"/>
          <w:color w:val="000000"/>
          <w:sz w:val="32"/>
          <w:szCs w:val="32"/>
        </w:rPr>
        <w:t>（2）场地内地表水主要接受大气降水补给，径流方向大体由</w:t>
      </w:r>
      <w:r>
        <w:rPr>
          <w:rFonts w:ascii="仿宋" w:eastAsia="仿宋" w:hAnsi="仿宋" w:cs="仿宋" w:hint="eastAsia"/>
          <w:color w:val="000000"/>
          <w:sz w:val="32"/>
          <w:szCs w:val="32"/>
          <w:highlight w:val="none"/>
          <w:lang w:eastAsia="zh-CN"/>
        </w:rPr>
        <w:t>南</w:t>
      </w:r>
      <w:r>
        <w:rPr>
          <w:rFonts w:ascii="仿宋" w:eastAsia="仿宋" w:hAnsi="仿宋" w:cs="仿宋" w:hint="eastAsia"/>
          <w:color w:val="000000"/>
          <w:sz w:val="32"/>
          <w:szCs w:val="32"/>
          <w:highlight w:val="none"/>
        </w:rPr>
        <w:t>向</w:t>
      </w:r>
      <w:r>
        <w:rPr>
          <w:rFonts w:ascii="仿宋" w:eastAsia="仿宋" w:hAnsi="仿宋" w:cs="仿宋" w:hint="eastAsia"/>
          <w:color w:val="000000"/>
          <w:sz w:val="32"/>
          <w:szCs w:val="32"/>
        </w:rPr>
        <w:t>北流。稳定水层为第四系</w:t>
      </w:r>
      <w:r>
        <w:rPr>
          <w:rFonts w:ascii="仿宋" w:eastAsia="仿宋" w:hAnsi="仿宋" w:cs="仿宋" w:hint="eastAsia"/>
          <w:color w:val="000000"/>
          <w:sz w:val="32"/>
          <w:szCs w:val="32"/>
          <w:highlight w:val="none"/>
        </w:rPr>
        <w:t>空隙潜</w:t>
      </w:r>
      <w:r>
        <w:rPr>
          <w:rFonts w:ascii="仿宋" w:eastAsia="仿宋" w:hAnsi="仿宋" w:cs="仿宋" w:hint="eastAsia"/>
          <w:color w:val="000000"/>
          <w:sz w:val="32"/>
          <w:szCs w:val="32"/>
        </w:rPr>
        <w:t>水，埋深2.30m～3.20m。</w:t>
      </w:r>
    </w:p>
    <w:p>
      <w:pPr>
        <w:pStyle w:val="10880"/>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9"/>
        <w:rPr>
          <w:rFonts w:ascii="仿宋" w:eastAsia="仿宋" w:hAnsi="仿宋" w:cs="仿宋" w:hint="eastAsia"/>
          <w:color w:val="000000"/>
          <w:sz w:val="32"/>
          <w:szCs w:val="32"/>
        </w:rPr>
      </w:pPr>
      <w:r>
        <w:rPr>
          <w:rFonts w:ascii="仿宋" w:eastAsia="仿宋" w:hAnsi="仿宋" w:cs="仿宋" w:hint="eastAsia"/>
          <w:color w:val="000000"/>
          <w:sz w:val="32"/>
          <w:szCs w:val="32"/>
        </w:rPr>
        <w:t>（3）场地地下水对混凝土结构具弱腐蚀性，对钢筋混凝土结构中的钢筋及钢结构具弱腐蚀性。</w:t>
      </w:r>
      <w:bookmarkEnd w:id="11"/>
      <w:bookmarkEnd w:id="12"/>
    </w:p>
    <w:p>
      <w:pPr>
        <w:keepNext w:val="0"/>
        <w:keepLines w:val="0"/>
        <w:pageBreakBefore w:val="0"/>
        <w:widowControl w:val="0"/>
        <w:kinsoku/>
        <w:wordWrap/>
        <w:overflowPunct/>
        <w:topLinePunct w:val="0"/>
        <w:autoSpaceDE/>
        <w:autoSpaceDN/>
        <w:bidi w:val="0"/>
        <w:adjustRightInd/>
        <w:snapToGrid/>
        <w:spacing w:line="500" w:lineRule="exact"/>
        <w:ind w:firstLine="480"/>
        <w:textAlignment w:val="auto"/>
        <w:outlineLvl w:val="9"/>
        <w:rPr>
          <w:rFonts w:ascii="宋体" w:hAnsi="宋体" w:hint="eastAsia"/>
          <w:color w:val="000000"/>
          <w:sz w:val="32"/>
          <w:szCs w:val="32"/>
        </w:rPr>
      </w:pPr>
    </w:p>
    <w:p>
      <w:pPr>
        <w:rPr>
          <w:color w:val="000000"/>
        </w:rPr>
        <w:sectPr>
          <w:type w:val="nextPage"/>
          <w:pgSz w:w="11906" w:h="16838"/>
          <w:pgMar w:top="1440" w:right="1800" w:bottom="1440" w:left="1800" w:header="851" w:footer="992" w:gutter="0"/>
          <w:cols w:space="708"/>
          <w:docGrid w:type="lines" w:linePitch="312" w:charSpace="0"/>
        </w:sectPr>
      </w:pPr>
    </w:p>
    <w:p>
      <w:pPr>
        <w:pStyle w:val="10880"/>
        <w:keepNext w:val="0"/>
        <w:keepLines w:val="0"/>
        <w:pageBreakBefore w:val="0"/>
        <w:widowControl w:val="0"/>
        <w:kinsoku/>
        <w:wordWrap/>
        <w:overflowPunct/>
        <w:topLinePunct w:val="0"/>
        <w:autoSpaceDE/>
        <w:autoSpaceDN/>
        <w:bidi w:val="0"/>
        <w:adjustRightInd/>
        <w:snapToGrid/>
        <w:spacing w:line="500" w:lineRule="exact"/>
        <w:ind w:left="0" w:firstLine="0" w:leftChars="0" w:firstLineChars="0"/>
        <w:jc w:val="center"/>
        <w:textAlignment w:val="auto"/>
        <w:outlineLvl w:val="9"/>
        <w:rPr>
          <w:rFonts w:ascii="仿宋" w:eastAsia="仿宋" w:hAnsi="仿宋" w:cs="仿宋" w:hint="eastAsia"/>
          <w:color w:val="000000"/>
          <w:sz w:val="32"/>
          <w:szCs w:val="32"/>
          <w:lang w:eastAsia="zh-CN"/>
        </w:rPr>
      </w:pPr>
      <w:bookmarkStart w:id="13" w:name="_Toc271529537"/>
      <w:r>
        <w:rPr>
          <w:rFonts w:ascii="仿宋" w:eastAsia="仿宋" w:hAnsi="仿宋" w:cs="仿宋" w:hint="eastAsia"/>
          <w:b/>
          <w:bCs/>
          <w:color w:val="000000"/>
          <w:sz w:val="32"/>
          <w:szCs w:val="32"/>
        </w:rPr>
        <w:t xml:space="preserve">第二章 </w:t>
      </w:r>
      <w:r>
        <w:rPr>
          <w:rFonts w:ascii="仿宋" w:eastAsia="仿宋" w:hAnsi="仿宋" w:cs="仿宋" w:hint="eastAsia"/>
          <w:b/>
          <w:bCs/>
          <w:color w:val="000000"/>
          <w:sz w:val="32"/>
          <w:szCs w:val="32"/>
          <w:lang w:val="en-US" w:eastAsia="zh-CN"/>
        </w:rPr>
        <w:t xml:space="preserve"> </w:t>
      </w:r>
      <w:r>
        <w:rPr>
          <w:rFonts w:ascii="仿宋" w:eastAsia="仿宋" w:hAnsi="仿宋" w:cs="仿宋" w:hint="eastAsia"/>
          <w:b/>
          <w:bCs/>
          <w:color w:val="000000"/>
          <w:sz w:val="32"/>
          <w:szCs w:val="32"/>
        </w:rPr>
        <w:t>施工</w:t>
      </w:r>
      <w:bookmarkEnd w:id="13"/>
      <w:r>
        <w:rPr>
          <w:rFonts w:ascii="仿宋" w:eastAsia="仿宋" w:hAnsi="仿宋" w:cs="仿宋" w:hint="eastAsia"/>
          <w:b/>
          <w:bCs/>
          <w:color w:val="000000"/>
          <w:sz w:val="32"/>
          <w:szCs w:val="32"/>
          <w:lang w:eastAsia="zh-CN"/>
        </w:rPr>
        <w:t>布置</w:t>
      </w:r>
    </w:p>
    <w:p>
      <w:pPr>
        <w:widowControl w:val="0"/>
        <w:spacing w:line="440" w:lineRule="exact"/>
        <w:ind w:firstLine="595" w:firstLineChars="186"/>
        <w:outlineLvl w:val="2"/>
        <w:rPr>
          <w:rFonts w:ascii="仿宋" w:eastAsia="仿宋" w:hAnsi="仿宋" w:cs="仿宋" w:hint="eastAsia"/>
          <w:color w:val="000000"/>
          <w:sz w:val="32"/>
          <w:szCs w:val="32"/>
        </w:rPr>
      </w:pPr>
      <w:bookmarkStart w:id="14" w:name="_Toc161826859"/>
      <w:bookmarkStart w:id="15" w:name="_Toc161826716"/>
      <w:bookmarkStart w:id="16" w:name="_Toc161827065"/>
      <w:bookmarkStart w:id="17" w:name="_Toc161826957"/>
      <w:bookmarkStart w:id="18" w:name="_Toc161827345"/>
      <w:bookmarkStart w:id="19" w:name="_Toc161827219"/>
      <w:bookmarkStart w:id="20" w:name="_Toc428449165"/>
      <w:bookmarkStart w:id="21" w:name="_Toc271529540"/>
      <w:bookmarkStart w:id="22" w:name="_Toc261336720"/>
      <w:r>
        <w:rPr>
          <w:rFonts w:ascii="仿宋" w:eastAsia="仿宋" w:hAnsi="仿宋" w:cs="仿宋" w:hint="eastAsia"/>
          <w:color w:val="000000"/>
          <w:kern w:val="2"/>
          <w:sz w:val="32"/>
          <w:szCs w:val="32"/>
          <w:lang w:val="en-US" w:eastAsia="zh-CN" w:bidi="ar-SA"/>
        </w:rPr>
        <w:t>2.1施工总布置</w:t>
      </w:r>
      <w:bookmarkEnd w:id="14"/>
      <w:bookmarkEnd w:id="15"/>
      <w:bookmarkEnd w:id="16"/>
      <w:bookmarkEnd w:id="17"/>
      <w:bookmarkEnd w:id="18"/>
      <w:bookmarkEnd w:id="19"/>
      <w:bookmarkEnd w:id="20"/>
    </w:p>
    <w:p>
      <w:pPr>
        <w:widowControl w:val="0"/>
        <w:spacing w:line="440" w:lineRule="exact"/>
        <w:ind w:firstLine="595" w:firstLineChars="186"/>
        <w:rPr>
          <w:rFonts w:ascii="仿宋" w:eastAsia="仿宋" w:hAnsi="仿宋" w:cs="仿宋" w:hint="eastAsia"/>
          <w:color w:val="000000"/>
          <w:sz w:val="32"/>
          <w:szCs w:val="32"/>
        </w:rPr>
      </w:pPr>
      <w:r>
        <w:rPr>
          <w:rFonts w:ascii="仿宋" w:eastAsia="仿宋" w:hAnsi="仿宋" w:cs="仿宋" w:hint="eastAsia"/>
          <w:color w:val="000000"/>
          <w:kern w:val="2"/>
          <w:sz w:val="32"/>
          <w:szCs w:val="32"/>
          <w:lang w:val="en-US" w:eastAsia="zh-CN" w:bidi="ar-SA"/>
        </w:rPr>
        <w:t>2.1.1本工程实行全封闭式施工管理，在现场设立一个与外界出入的大门。</w:t>
      </w:r>
    </w:p>
    <w:p>
      <w:pPr>
        <w:widowControl w:val="0"/>
        <w:spacing w:line="440" w:lineRule="exact"/>
        <w:ind w:firstLine="595" w:firstLineChars="186"/>
        <w:rPr>
          <w:rFonts w:ascii="仿宋" w:eastAsia="仿宋" w:hAnsi="仿宋" w:cs="仿宋" w:hint="eastAsia"/>
          <w:color w:val="000000"/>
          <w:sz w:val="32"/>
          <w:szCs w:val="32"/>
        </w:rPr>
      </w:pPr>
      <w:r>
        <w:rPr>
          <w:rFonts w:ascii="仿宋" w:eastAsia="仿宋" w:hAnsi="仿宋" w:cs="仿宋" w:hint="eastAsia"/>
          <w:color w:val="000000"/>
          <w:kern w:val="2"/>
          <w:sz w:val="32"/>
          <w:szCs w:val="32"/>
          <w:lang w:val="en-US" w:eastAsia="zh-CN" w:bidi="ar-SA"/>
        </w:rPr>
        <w:t>2.1.2根据现场条件，在现有房子外设立办公室及部分临时设施，管道及管件材料、零星材料堆放场所。</w:t>
      </w:r>
    </w:p>
    <w:p>
      <w:pPr>
        <w:widowControl w:val="0"/>
        <w:spacing w:line="440" w:lineRule="exact"/>
        <w:ind w:firstLine="595" w:firstLineChars="186"/>
        <w:outlineLvl w:val="2"/>
        <w:rPr>
          <w:rFonts w:ascii="仿宋" w:eastAsia="仿宋" w:hAnsi="仿宋" w:cs="仿宋" w:hint="eastAsia"/>
          <w:color w:val="000000"/>
          <w:sz w:val="32"/>
          <w:szCs w:val="32"/>
        </w:rPr>
      </w:pPr>
      <w:bookmarkStart w:id="23" w:name="_Toc161827220"/>
      <w:bookmarkStart w:id="24" w:name="_Toc161827066"/>
      <w:bookmarkStart w:id="25" w:name="_Toc428449166"/>
      <w:bookmarkStart w:id="26" w:name="_Toc161826717"/>
      <w:bookmarkStart w:id="27" w:name="_Toc161827346"/>
      <w:bookmarkStart w:id="28" w:name="_Toc161826958"/>
      <w:bookmarkStart w:id="29" w:name="_Toc161826860"/>
      <w:r>
        <w:rPr>
          <w:rFonts w:ascii="仿宋" w:eastAsia="仿宋" w:hAnsi="仿宋" w:cs="仿宋" w:hint="eastAsia"/>
          <w:color w:val="000000"/>
          <w:kern w:val="2"/>
          <w:sz w:val="32"/>
          <w:szCs w:val="32"/>
          <w:lang w:val="en-US" w:eastAsia="zh-CN" w:bidi="ar-SA"/>
        </w:rPr>
        <w:t>2.2施工用电</w:t>
      </w:r>
      <w:bookmarkEnd w:id="23"/>
      <w:bookmarkEnd w:id="24"/>
      <w:bookmarkEnd w:id="25"/>
      <w:bookmarkEnd w:id="26"/>
      <w:bookmarkEnd w:id="27"/>
      <w:bookmarkEnd w:id="28"/>
      <w:bookmarkEnd w:id="29"/>
    </w:p>
    <w:p>
      <w:pPr>
        <w:widowControl w:val="0"/>
        <w:spacing w:line="440" w:lineRule="exact"/>
        <w:ind w:firstLine="595" w:firstLineChars="186"/>
        <w:rPr>
          <w:rFonts w:ascii="仿宋" w:eastAsia="仿宋" w:hAnsi="仿宋" w:cs="仿宋" w:hint="eastAsia"/>
          <w:color w:val="000000"/>
          <w:sz w:val="32"/>
          <w:szCs w:val="32"/>
        </w:rPr>
      </w:pPr>
      <w:r>
        <w:rPr>
          <w:rFonts w:ascii="仿宋" w:eastAsia="仿宋" w:hAnsi="仿宋" w:cs="仿宋" w:hint="eastAsia"/>
          <w:color w:val="000000"/>
          <w:kern w:val="2"/>
          <w:sz w:val="32"/>
          <w:szCs w:val="32"/>
          <w:lang w:val="en-US" w:eastAsia="zh-CN" w:bidi="ar-SA"/>
        </w:rPr>
        <w:t>2.2.1现场用电包括动力用电和照明用电两种，在确定总用电量时应根据下列各点考虑，并按JGJ46-2012《临时用电安全技术规范》及GB194-2011《建筑工程施工现场供用电安全规范》进行全面布置。</w:t>
      </w:r>
    </w:p>
    <w:p>
      <w:pPr>
        <w:widowControl w:val="0"/>
        <w:spacing w:line="440" w:lineRule="exact"/>
        <w:ind w:firstLine="595" w:firstLineChars="186"/>
        <w:rPr>
          <w:rFonts w:ascii="仿宋" w:eastAsia="仿宋" w:hAnsi="仿宋" w:cs="仿宋" w:hint="eastAsia"/>
          <w:color w:val="000000"/>
          <w:sz w:val="32"/>
          <w:szCs w:val="32"/>
        </w:rPr>
      </w:pPr>
      <w:r>
        <w:rPr>
          <w:rFonts w:ascii="仿宋" w:eastAsia="仿宋" w:hAnsi="仿宋" w:cs="仿宋" w:hint="eastAsia"/>
          <w:color w:val="000000"/>
          <w:kern w:val="2"/>
          <w:sz w:val="32"/>
          <w:szCs w:val="32"/>
          <w:lang w:val="en-US" w:eastAsia="zh-CN" w:bidi="ar-SA"/>
        </w:rPr>
        <w:t>2.2.1.1全工地所使用的机械动力设备，其安电气工具及照明用电的数量；</w:t>
      </w:r>
    </w:p>
    <w:p>
      <w:pPr>
        <w:widowControl w:val="0"/>
        <w:spacing w:line="440" w:lineRule="exact"/>
        <w:ind w:firstLine="595" w:firstLineChars="186"/>
        <w:rPr>
          <w:rFonts w:ascii="仿宋" w:eastAsia="仿宋" w:hAnsi="仿宋" w:cs="仿宋" w:hint="eastAsia"/>
          <w:color w:val="000000"/>
          <w:sz w:val="32"/>
          <w:szCs w:val="32"/>
        </w:rPr>
      </w:pPr>
      <w:r>
        <w:rPr>
          <w:rFonts w:ascii="仿宋" w:eastAsia="仿宋" w:hAnsi="仿宋" w:cs="仿宋" w:hint="eastAsia"/>
          <w:color w:val="000000"/>
          <w:kern w:val="2"/>
          <w:sz w:val="32"/>
          <w:szCs w:val="32"/>
          <w:lang w:val="en-US" w:eastAsia="zh-CN" w:bidi="ar-SA"/>
        </w:rPr>
        <w:t>2.2.1.2施工总进度计划中施工高峰阶段同时用电的机械设备最高数量；</w:t>
      </w:r>
    </w:p>
    <w:p>
      <w:pPr>
        <w:widowControl w:val="0"/>
        <w:spacing w:line="440" w:lineRule="exact"/>
        <w:ind w:firstLine="595" w:firstLineChars="186"/>
        <w:rPr>
          <w:rFonts w:ascii="仿宋" w:eastAsia="仿宋" w:hAnsi="仿宋" w:cs="仿宋" w:hint="eastAsia"/>
          <w:color w:val="000000"/>
          <w:sz w:val="32"/>
          <w:szCs w:val="32"/>
        </w:rPr>
      </w:pPr>
      <w:r>
        <w:rPr>
          <w:rFonts w:ascii="仿宋" w:eastAsia="仿宋" w:hAnsi="仿宋" w:cs="仿宋" w:hint="eastAsia"/>
          <w:color w:val="000000"/>
          <w:kern w:val="2"/>
          <w:sz w:val="32"/>
          <w:szCs w:val="32"/>
          <w:lang w:val="en-US" w:eastAsia="zh-CN" w:bidi="ar-SA"/>
        </w:rPr>
        <w:t>2.2.1.3各种机械设备在工程中需要的情况；</w:t>
      </w:r>
    </w:p>
    <w:p>
      <w:pPr>
        <w:widowControl w:val="0"/>
        <w:spacing w:line="440" w:lineRule="exact"/>
        <w:ind w:firstLine="595" w:firstLineChars="186"/>
        <w:rPr>
          <w:rFonts w:ascii="仿宋" w:eastAsia="仿宋" w:hAnsi="仿宋" w:cs="仿宋" w:hint="eastAsia"/>
          <w:color w:val="000000"/>
          <w:sz w:val="32"/>
          <w:szCs w:val="32"/>
        </w:rPr>
      </w:pPr>
      <w:r>
        <w:rPr>
          <w:rFonts w:ascii="仿宋" w:eastAsia="仿宋" w:hAnsi="仿宋" w:cs="仿宋" w:hint="eastAsia"/>
          <w:color w:val="000000"/>
          <w:kern w:val="2"/>
          <w:sz w:val="32"/>
          <w:szCs w:val="32"/>
          <w:lang w:val="en-US" w:eastAsia="zh-CN" w:bidi="ar-SA"/>
        </w:rPr>
        <w:t>根据以上原则确定招标文件中所提供的能满足施工电源容量要求。</w:t>
      </w:r>
    </w:p>
    <w:p>
      <w:pPr>
        <w:widowControl w:val="0"/>
        <w:spacing w:line="440" w:lineRule="exact"/>
        <w:ind w:firstLine="595" w:firstLineChars="186"/>
        <w:rPr>
          <w:rFonts w:ascii="仿宋" w:eastAsia="仿宋" w:hAnsi="仿宋" w:cs="仿宋" w:hint="eastAsia"/>
          <w:color w:val="000000"/>
          <w:sz w:val="32"/>
          <w:szCs w:val="32"/>
        </w:rPr>
      </w:pPr>
      <w:r>
        <w:rPr>
          <w:rFonts w:ascii="仿宋" w:eastAsia="仿宋" w:hAnsi="仿宋" w:cs="仿宋" w:hint="eastAsia"/>
          <w:color w:val="000000"/>
          <w:kern w:val="2"/>
          <w:sz w:val="32"/>
          <w:szCs w:val="32"/>
          <w:lang w:val="en-US" w:eastAsia="zh-CN" w:bidi="ar-SA"/>
        </w:rPr>
        <w:t>2.2.2在现场设置总配电间，并在建筑物各层设多个配电箱，根据生产用电和生活用电分别采用电缆线接至各层用电设施的分配电箱。垂直方向的电缆用DN75黑铁管保护，固定在墙上。</w:t>
      </w:r>
    </w:p>
    <w:p>
      <w:pPr>
        <w:widowControl w:val="0"/>
        <w:spacing w:line="440" w:lineRule="exact"/>
        <w:ind w:firstLine="595" w:firstLineChars="186"/>
        <w:outlineLvl w:val="2"/>
        <w:rPr>
          <w:rFonts w:ascii="仿宋" w:eastAsia="仿宋" w:hAnsi="仿宋" w:cs="仿宋" w:hint="eastAsia"/>
          <w:color w:val="000000"/>
          <w:sz w:val="32"/>
          <w:szCs w:val="32"/>
        </w:rPr>
      </w:pPr>
      <w:bookmarkStart w:id="30" w:name="_Toc161826959"/>
      <w:bookmarkStart w:id="31" w:name="_Toc161826718"/>
      <w:bookmarkStart w:id="32" w:name="_Toc161827221"/>
      <w:bookmarkStart w:id="33" w:name="_Toc161827347"/>
      <w:bookmarkStart w:id="34" w:name="_Toc161826861"/>
      <w:bookmarkStart w:id="35" w:name="_Toc161827067"/>
      <w:bookmarkStart w:id="36" w:name="_Toc428449167"/>
      <w:r>
        <w:rPr>
          <w:rFonts w:ascii="仿宋" w:eastAsia="仿宋" w:hAnsi="仿宋" w:cs="仿宋" w:hint="eastAsia"/>
          <w:color w:val="000000"/>
          <w:kern w:val="2"/>
          <w:sz w:val="32"/>
          <w:szCs w:val="32"/>
          <w:lang w:val="en-US" w:eastAsia="zh-CN" w:bidi="ar-SA"/>
        </w:rPr>
        <w:t>2.3施工用水</w:t>
      </w:r>
      <w:bookmarkEnd w:id="35"/>
      <w:bookmarkEnd w:id="36"/>
      <w:bookmarkEnd w:id="30"/>
      <w:bookmarkEnd w:id="31"/>
      <w:bookmarkEnd w:id="32"/>
      <w:bookmarkEnd w:id="33"/>
      <w:bookmarkEnd w:id="34"/>
    </w:p>
    <w:p>
      <w:pPr>
        <w:widowControl w:val="0"/>
        <w:spacing w:line="440" w:lineRule="exact"/>
        <w:ind w:firstLine="595" w:firstLineChars="186"/>
        <w:rPr>
          <w:rFonts w:ascii="仿宋" w:eastAsia="仿宋" w:hAnsi="仿宋" w:cs="仿宋" w:hint="eastAsia"/>
          <w:color w:val="000000"/>
          <w:sz w:val="32"/>
          <w:szCs w:val="32"/>
        </w:rPr>
      </w:pPr>
      <w:r>
        <w:rPr>
          <w:rFonts w:ascii="仿宋" w:eastAsia="仿宋" w:hAnsi="仿宋" w:cs="仿宋" w:hint="eastAsia"/>
          <w:color w:val="000000"/>
          <w:kern w:val="2"/>
          <w:sz w:val="32"/>
          <w:szCs w:val="32"/>
          <w:lang w:val="en-US" w:eastAsia="zh-CN" w:bidi="ar-SA"/>
        </w:rPr>
        <w:t>现场用水分生产用水、生活用水，场地内的生产用水由专用水管接至各用水设施，用DN75的管子接至所需部位，以满足各处的生产、消防用水；生活用水直接接至各用水设施。</w:t>
      </w:r>
    </w:p>
    <w:p>
      <w:pPr>
        <w:widowControl w:val="0"/>
        <w:spacing w:line="440" w:lineRule="exact"/>
        <w:ind w:firstLine="595" w:firstLineChars="186"/>
        <w:jc w:val="both"/>
        <w:outlineLvl w:val="1"/>
        <w:rPr>
          <w:rFonts w:ascii="仿宋" w:eastAsia="仿宋" w:hAnsi="仿宋" w:cs="仿宋" w:hint="eastAsia"/>
          <w:color w:val="000000"/>
          <w:sz w:val="32"/>
          <w:szCs w:val="32"/>
        </w:rPr>
      </w:pPr>
      <w:bookmarkStart w:id="37" w:name="_Toc161826862"/>
      <w:bookmarkStart w:id="38" w:name="_Toc428449168"/>
      <w:bookmarkStart w:id="39" w:name="_Toc161827348"/>
      <w:bookmarkStart w:id="40" w:name="_Toc161827068"/>
      <w:bookmarkStart w:id="41" w:name="_Toc161827222"/>
      <w:bookmarkStart w:id="42" w:name="_Toc161826719"/>
      <w:bookmarkStart w:id="43" w:name="_Toc161826960"/>
    </w:p>
    <w:p>
      <w:pPr>
        <w:widowControl w:val="0"/>
        <w:spacing w:line="440" w:lineRule="exact"/>
        <w:ind w:firstLine="521" w:firstLineChars="186"/>
        <w:jc w:val="both"/>
        <w:outlineLvl w:val="1"/>
        <w:rPr>
          <w:rFonts w:ascii="宋体" w:hAnsi="宋体" w:hint="eastAsia"/>
          <w:b/>
          <w:color w:val="000000"/>
          <w:sz w:val="28"/>
          <w:szCs w:val="28"/>
        </w:rPr>
      </w:pPr>
    </w:p>
    <w:p>
      <w:pPr>
        <w:widowControl w:val="0"/>
        <w:spacing w:line="440" w:lineRule="exact"/>
        <w:ind w:firstLine="521" w:firstLineChars="186"/>
        <w:jc w:val="both"/>
        <w:outlineLvl w:val="1"/>
        <w:rPr>
          <w:rFonts w:ascii="宋体" w:hAnsi="宋体" w:hint="eastAsia"/>
          <w:b/>
          <w:color w:val="000000"/>
          <w:sz w:val="28"/>
          <w:szCs w:val="28"/>
        </w:rPr>
      </w:pPr>
    </w:p>
    <w:p>
      <w:pPr>
        <w:widowControl w:val="0"/>
        <w:spacing w:line="440" w:lineRule="exact"/>
        <w:ind w:firstLine="521" w:firstLineChars="186"/>
        <w:jc w:val="both"/>
        <w:outlineLvl w:val="1"/>
        <w:rPr>
          <w:rFonts w:ascii="宋体" w:hAnsi="宋体" w:hint="eastAsia"/>
          <w:b/>
          <w:color w:val="000000"/>
          <w:sz w:val="28"/>
          <w:szCs w:val="28"/>
        </w:rPr>
        <w:sectPr>
          <w:type w:val="nextPage"/>
          <w:pgSz w:w="11906" w:h="16838"/>
          <w:pgMar w:top="1440" w:right="1800" w:bottom="1440" w:left="1800" w:header="851" w:footer="992" w:gutter="0"/>
          <w:pgNumType w:start="2"/>
          <w:cols w:space="708"/>
          <w:titlePg w:val="0"/>
          <w:docGrid w:type="lines" w:linePitch="312" w:charSpace="0"/>
        </w:sectPr>
      </w:pPr>
    </w:p>
    <w:p>
      <w:pPr>
        <w:widowControl w:val="0"/>
        <w:spacing w:line="440" w:lineRule="exact"/>
        <w:jc w:val="center"/>
        <w:rPr>
          <w:rFonts w:ascii="仿宋" w:eastAsia="仿宋" w:hAnsi="仿宋" w:cs="仿宋" w:hint="eastAsia"/>
          <w:b/>
          <w:bCs/>
          <w:color w:val="000000"/>
          <w:sz w:val="32"/>
          <w:szCs w:val="32"/>
        </w:rPr>
      </w:pPr>
      <w:r>
        <w:rPr>
          <w:rFonts w:ascii="仿宋" w:eastAsia="仿宋" w:hAnsi="仿宋" w:cs="仿宋" w:hint="eastAsia"/>
          <w:b/>
          <w:bCs/>
          <w:color w:val="000000"/>
          <w:kern w:val="2"/>
          <w:sz w:val="32"/>
          <w:szCs w:val="32"/>
          <w:lang w:val="en-US" w:eastAsia="zh-CN" w:bidi="ar-SA"/>
        </w:rPr>
        <w:t>第三章  拟投入本标段的</w:t>
      </w:r>
      <w:bookmarkEnd w:id="42"/>
      <w:bookmarkEnd w:id="43"/>
      <w:bookmarkEnd w:id="37"/>
      <w:bookmarkEnd w:id="38"/>
      <w:bookmarkEnd w:id="39"/>
      <w:bookmarkEnd w:id="40"/>
      <w:bookmarkEnd w:id="41"/>
      <w:r>
        <w:rPr>
          <w:rFonts w:ascii="仿宋" w:eastAsia="仿宋" w:hAnsi="仿宋" w:cs="仿宋" w:hint="eastAsia"/>
          <w:b/>
          <w:bCs/>
          <w:color w:val="000000"/>
          <w:kern w:val="2"/>
          <w:sz w:val="32"/>
          <w:szCs w:val="32"/>
          <w:lang w:val="en-US" w:eastAsia="zh-CN" w:bidi="ar-SA"/>
        </w:rPr>
        <w:t>人力和设备</w:t>
      </w:r>
    </w:p>
    <w:p>
      <w:pPr>
        <w:widowControl w:val="0"/>
        <w:spacing w:line="440" w:lineRule="exact"/>
        <w:ind w:firstLine="595" w:firstLineChars="186"/>
        <w:rPr>
          <w:rFonts w:ascii="仿宋" w:eastAsia="仿宋" w:hAnsi="仿宋" w:cs="仿宋" w:hint="eastAsia"/>
          <w:color w:val="000000"/>
          <w:sz w:val="32"/>
          <w:szCs w:val="32"/>
        </w:rPr>
      </w:pPr>
      <w:r>
        <w:rPr>
          <w:rFonts w:ascii="仿宋" w:eastAsia="仿宋" w:hAnsi="仿宋" w:cs="仿宋" w:hint="eastAsia"/>
          <w:color w:val="000000"/>
          <w:kern w:val="2"/>
          <w:sz w:val="32"/>
          <w:szCs w:val="32"/>
          <w:lang w:val="en-US" w:eastAsia="zh-CN" w:bidi="ar-SA"/>
        </w:rPr>
        <w:t>根据本工程特点及工期要求，按总体施工部署，详见进场机械和人力进场计划表：</w:t>
      </w:r>
    </w:p>
    <w:p>
      <w:pPr>
        <w:pStyle w:val="10880"/>
        <w:keepNext w:val="0"/>
        <w:keepLines w:val="0"/>
        <w:pageBreakBefore w:val="0"/>
        <w:widowControl w:val="0"/>
        <w:kinsoku/>
        <w:wordWrap/>
        <w:overflowPunct/>
        <w:topLinePunct w:val="0"/>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color w:val="000000"/>
          <w:sz w:val="32"/>
          <w:szCs w:val="32"/>
        </w:rPr>
      </w:pPr>
      <w:r>
        <w:rPr>
          <w:rFonts w:ascii="仿宋" w:eastAsia="仿宋" w:hAnsi="仿宋" w:cs="仿宋" w:hint="eastAsia"/>
          <w:color w:val="000000"/>
          <w:sz w:val="32"/>
          <w:szCs w:val="32"/>
          <w:lang w:val="en-US" w:eastAsia="zh-CN"/>
        </w:rPr>
        <w:t>3.1</w:t>
      </w:r>
      <w:r>
        <w:rPr>
          <w:rFonts w:ascii="仿宋" w:eastAsia="仿宋" w:hAnsi="仿宋" w:cs="仿宋" w:hint="eastAsia"/>
          <w:color w:val="000000"/>
          <w:sz w:val="32"/>
          <w:szCs w:val="32"/>
        </w:rPr>
        <w:t>劳动力安排</w:t>
      </w:r>
      <w:bookmarkEnd w:id="21"/>
      <w:bookmarkEnd w:id="22"/>
    </w:p>
    <w:tbl>
      <w:tblPr>
        <w:tblStyle w:val="TableNormal"/>
        <w:jc w:val="center"/>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344"/>
        <w:gridCol w:w="2282"/>
        <w:gridCol w:w="2651"/>
        <w:gridCol w:w="2794"/>
      </w:tblGrid>
      <w:tr>
        <w:tblPrEx>
          <w:jc w:val="center"/>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54"/>
          <w:jc w:val="center"/>
        </w:trPr>
        <w:tc>
          <w:tcPr>
            <w:tcW w:w="1344" w:type="dxa"/>
            <w:vMerge w:val="restart"/>
            <w:tcBorders>
              <w:top w:val="single" w:sz="12" w:space="0" w:color="auto"/>
              <w:left w:val="single" w:sz="12"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bookmarkStart w:id="44" w:name="_Toc261336721"/>
            <w:bookmarkStart w:id="45" w:name="_Toc271529541"/>
            <w:r>
              <w:rPr>
                <w:rFonts w:ascii="仿宋" w:eastAsia="仿宋" w:hAnsi="仿宋" w:cs="仿宋" w:hint="eastAsia"/>
                <w:color w:val="000000"/>
                <w:sz w:val="21"/>
                <w:szCs w:val="21"/>
              </w:rPr>
              <w:t>序号</w:t>
            </w:r>
          </w:p>
        </w:tc>
        <w:tc>
          <w:tcPr>
            <w:tcW w:w="2282" w:type="dxa"/>
            <w:vMerge w:val="restart"/>
            <w:tcBorders>
              <w:top w:val="single" w:sz="12"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rPr>
              <w:t>工  种</w:t>
            </w:r>
          </w:p>
        </w:tc>
        <w:tc>
          <w:tcPr>
            <w:tcW w:w="5445" w:type="dxa"/>
            <w:gridSpan w:val="2"/>
            <w:tcBorders>
              <w:top w:val="single" w:sz="12"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rPr>
              <w:t>20</w:t>
            </w:r>
            <w:r>
              <w:rPr>
                <w:rFonts w:ascii="仿宋" w:eastAsia="仿宋" w:hAnsi="仿宋" w:cs="仿宋" w:hint="eastAsia"/>
                <w:color w:val="000000"/>
                <w:sz w:val="21"/>
                <w:szCs w:val="21"/>
                <w:lang w:val="en-US" w:eastAsia="zh-CN"/>
              </w:rPr>
              <w:t>19</w:t>
            </w:r>
            <w:r>
              <w:rPr>
                <w:rFonts w:ascii="仿宋" w:eastAsia="仿宋" w:hAnsi="仿宋" w:cs="仿宋" w:hint="eastAsia"/>
                <w:color w:val="000000"/>
                <w:sz w:val="21"/>
                <w:szCs w:val="21"/>
              </w:rPr>
              <w:t>年</w:t>
            </w:r>
          </w:p>
        </w:tc>
      </w:tr>
      <w:tr>
        <w:tblPrEx>
          <w:jc w:val="center"/>
          <w:tblInd w:w="-104" w:type="dxa"/>
          <w:tblLayout w:type="fixed"/>
          <w:tblCellMar>
            <w:top w:w="0" w:type="dxa"/>
            <w:left w:w="108" w:type="dxa"/>
            <w:bottom w:w="0" w:type="dxa"/>
            <w:right w:w="108" w:type="dxa"/>
          </w:tblCellMar>
          <w:tblLook w:val="0000"/>
        </w:tblPrEx>
        <w:trPr>
          <w:cantSplit/>
          <w:trHeight w:val="454"/>
          <w:jc w:val="center"/>
        </w:trPr>
        <w:tc>
          <w:tcPr>
            <w:tcW w:w="1344" w:type="dxa"/>
            <w:vMerge/>
            <w:tcBorders>
              <w:left w:val="single" w:sz="12"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p>
        </w:tc>
        <w:tc>
          <w:tcPr>
            <w:tcW w:w="2282" w:type="dxa"/>
            <w:vMerge/>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p>
        </w:tc>
        <w:tc>
          <w:tcPr>
            <w:tcW w:w="2651" w:type="dxa"/>
            <w:tcBorders>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rPr>
              <w:t>6月</w:t>
            </w:r>
          </w:p>
        </w:tc>
        <w:tc>
          <w:tcPr>
            <w:tcW w:w="2794" w:type="dxa"/>
            <w:tcBorders>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rPr>
              <w:t>7月</w:t>
            </w:r>
          </w:p>
        </w:tc>
      </w:tr>
      <w:tr>
        <w:tblPrEx>
          <w:jc w:val="center"/>
          <w:tblInd w:w="-104" w:type="dxa"/>
          <w:tblLayout w:type="fixed"/>
          <w:tblCellMar>
            <w:top w:w="0" w:type="dxa"/>
            <w:left w:w="108" w:type="dxa"/>
            <w:bottom w:w="0" w:type="dxa"/>
            <w:right w:w="108" w:type="dxa"/>
          </w:tblCellMar>
          <w:tblLook w:val="0000"/>
        </w:tblPrEx>
        <w:trPr>
          <w:cantSplit/>
          <w:trHeight w:val="454"/>
          <w:jc w:val="center"/>
        </w:trPr>
        <w:tc>
          <w:tcPr>
            <w:tcW w:w="1344" w:type="dxa"/>
            <w:tcBorders>
              <w:left w:val="single" w:sz="12"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rPr>
              <w:t>1</w:t>
            </w:r>
          </w:p>
        </w:tc>
        <w:tc>
          <w:tcPr>
            <w:tcW w:w="2282"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eastAsia="zh-CN"/>
              </w:rPr>
              <w:t>普工</w:t>
            </w:r>
          </w:p>
        </w:tc>
        <w:tc>
          <w:tcPr>
            <w:tcW w:w="2651" w:type="dxa"/>
            <w:tcBorders>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20</w:t>
            </w:r>
          </w:p>
        </w:tc>
        <w:tc>
          <w:tcPr>
            <w:tcW w:w="2794" w:type="dxa"/>
            <w:tcBorders>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20</w:t>
            </w:r>
          </w:p>
        </w:tc>
      </w:tr>
      <w:tr>
        <w:tblPrEx>
          <w:jc w:val="center"/>
          <w:tblInd w:w="-104" w:type="dxa"/>
          <w:tblLayout w:type="fixed"/>
          <w:tblCellMar>
            <w:top w:w="0" w:type="dxa"/>
            <w:left w:w="108" w:type="dxa"/>
            <w:bottom w:w="0" w:type="dxa"/>
            <w:right w:w="108" w:type="dxa"/>
          </w:tblCellMar>
          <w:tblLook w:val="0000"/>
        </w:tblPrEx>
        <w:trPr>
          <w:cantSplit/>
          <w:trHeight w:val="454"/>
          <w:jc w:val="center"/>
        </w:trPr>
        <w:tc>
          <w:tcPr>
            <w:tcW w:w="1344" w:type="dxa"/>
            <w:tcBorders>
              <w:left w:val="single" w:sz="12"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rPr>
              <w:t>2</w:t>
            </w:r>
          </w:p>
        </w:tc>
        <w:tc>
          <w:tcPr>
            <w:tcW w:w="2282"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eastAsia="zh-CN"/>
              </w:rPr>
              <w:t>铲车司机</w:t>
            </w:r>
          </w:p>
        </w:tc>
        <w:tc>
          <w:tcPr>
            <w:tcW w:w="2651" w:type="dxa"/>
            <w:tcBorders>
              <w:right w:val="single" w:sz="4" w:space="0" w:color="auto"/>
            </w:tcBorders>
            <w:vAlign w:val="center"/>
          </w:tcPr>
          <w:p>
            <w:pPr>
              <w:pStyle w:val="a"/>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 w:val="21"/>
                <w:szCs w:val="21"/>
                <w:lang w:eastAsia="zh-CN"/>
              </w:rPr>
            </w:pPr>
            <w:r>
              <w:rPr>
                <w:rFonts w:ascii="仿宋" w:eastAsia="仿宋" w:hAnsi="仿宋" w:cs="仿宋" w:hint="eastAsia"/>
                <w:color w:val="000000"/>
                <w:sz w:val="21"/>
                <w:szCs w:val="21"/>
                <w:lang w:val="en-US" w:eastAsia="zh-CN"/>
              </w:rPr>
              <w:t>4</w:t>
            </w:r>
          </w:p>
        </w:tc>
        <w:tc>
          <w:tcPr>
            <w:tcW w:w="2794" w:type="dxa"/>
            <w:tcBorders>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4</w:t>
            </w:r>
          </w:p>
        </w:tc>
      </w:tr>
      <w:tr>
        <w:tblPrEx>
          <w:jc w:val="center"/>
          <w:tblInd w:w="-104" w:type="dxa"/>
          <w:tblLayout w:type="fixed"/>
          <w:tblCellMar>
            <w:top w:w="0" w:type="dxa"/>
            <w:left w:w="108" w:type="dxa"/>
            <w:bottom w:w="0" w:type="dxa"/>
            <w:right w:w="108" w:type="dxa"/>
          </w:tblCellMar>
          <w:tblLook w:val="0000"/>
        </w:tblPrEx>
        <w:trPr>
          <w:cantSplit/>
          <w:trHeight w:val="454"/>
          <w:jc w:val="center"/>
        </w:trPr>
        <w:tc>
          <w:tcPr>
            <w:tcW w:w="1344" w:type="dxa"/>
            <w:tcBorders>
              <w:left w:val="single" w:sz="12"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rPr>
              <w:t>3</w:t>
            </w:r>
          </w:p>
        </w:tc>
        <w:tc>
          <w:tcPr>
            <w:tcW w:w="2282"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eastAsia="zh-CN"/>
              </w:rPr>
              <w:t>自卸车司机</w:t>
            </w:r>
          </w:p>
        </w:tc>
        <w:tc>
          <w:tcPr>
            <w:tcW w:w="2651" w:type="dxa"/>
            <w:tcBorders>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10</w:t>
            </w:r>
          </w:p>
        </w:tc>
        <w:tc>
          <w:tcPr>
            <w:tcW w:w="2794" w:type="dxa"/>
            <w:tcBorders>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10</w:t>
            </w:r>
          </w:p>
        </w:tc>
      </w:tr>
      <w:tr>
        <w:tblPrEx>
          <w:jc w:val="center"/>
          <w:tblInd w:w="-104" w:type="dxa"/>
          <w:tblLayout w:type="fixed"/>
          <w:tblCellMar>
            <w:top w:w="0" w:type="dxa"/>
            <w:left w:w="108" w:type="dxa"/>
            <w:bottom w:w="0" w:type="dxa"/>
            <w:right w:w="108" w:type="dxa"/>
          </w:tblCellMar>
          <w:tblLook w:val="0000"/>
        </w:tblPrEx>
        <w:trPr>
          <w:cantSplit/>
          <w:trHeight w:val="454"/>
          <w:jc w:val="center"/>
        </w:trPr>
        <w:tc>
          <w:tcPr>
            <w:tcW w:w="1344" w:type="dxa"/>
            <w:tcBorders>
              <w:left w:val="single" w:sz="12"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rPr>
              <w:t>4</w:t>
            </w:r>
          </w:p>
        </w:tc>
        <w:tc>
          <w:tcPr>
            <w:tcW w:w="2282" w:type="dxa"/>
            <w:vAlign w:val="center"/>
          </w:tcPr>
          <w:p>
            <w:pPr>
              <w:pStyle w:val="a"/>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 w:val="21"/>
                <w:szCs w:val="21"/>
                <w:lang w:eastAsia="zh-CN"/>
              </w:rPr>
            </w:pPr>
            <w:r>
              <w:rPr>
                <w:rFonts w:ascii="仿宋" w:eastAsia="仿宋" w:hAnsi="仿宋" w:cs="仿宋" w:hint="eastAsia"/>
                <w:color w:val="000000"/>
                <w:sz w:val="21"/>
                <w:szCs w:val="21"/>
                <w:lang w:eastAsia="zh-CN"/>
              </w:rPr>
              <w:t>挖掘机司机</w:t>
            </w:r>
          </w:p>
        </w:tc>
        <w:tc>
          <w:tcPr>
            <w:tcW w:w="2651" w:type="dxa"/>
            <w:tcBorders>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2</w:t>
            </w:r>
          </w:p>
        </w:tc>
        <w:tc>
          <w:tcPr>
            <w:tcW w:w="2794" w:type="dxa"/>
            <w:tcBorders>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2</w:t>
            </w:r>
          </w:p>
        </w:tc>
      </w:tr>
      <w:tr>
        <w:tblPrEx>
          <w:jc w:val="center"/>
          <w:tblInd w:w="-104" w:type="dxa"/>
          <w:tblLayout w:type="fixed"/>
          <w:tblCellMar>
            <w:top w:w="0" w:type="dxa"/>
            <w:left w:w="108" w:type="dxa"/>
            <w:bottom w:w="0" w:type="dxa"/>
            <w:right w:w="108" w:type="dxa"/>
          </w:tblCellMar>
          <w:tblLook w:val="0000"/>
        </w:tblPrEx>
        <w:trPr>
          <w:cantSplit/>
          <w:trHeight w:val="454"/>
          <w:jc w:val="center"/>
        </w:trPr>
        <w:tc>
          <w:tcPr>
            <w:tcW w:w="1344" w:type="dxa"/>
            <w:tcBorders>
              <w:left w:val="single" w:sz="12"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rPr>
              <w:t>5</w:t>
            </w:r>
          </w:p>
        </w:tc>
        <w:tc>
          <w:tcPr>
            <w:tcW w:w="2282"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eastAsia="zh-CN"/>
              </w:rPr>
              <w:t>技工</w:t>
            </w:r>
          </w:p>
        </w:tc>
        <w:tc>
          <w:tcPr>
            <w:tcW w:w="2651" w:type="dxa"/>
            <w:tcBorders>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rPr>
              <w:t>10</w:t>
            </w:r>
          </w:p>
        </w:tc>
        <w:tc>
          <w:tcPr>
            <w:tcW w:w="2794" w:type="dxa"/>
            <w:tcBorders>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rPr>
              <w:t>10</w:t>
            </w:r>
          </w:p>
        </w:tc>
      </w:tr>
      <w:tr>
        <w:tblPrEx>
          <w:jc w:val="center"/>
          <w:tblInd w:w="-104" w:type="dxa"/>
          <w:tblLayout w:type="fixed"/>
          <w:tblCellMar>
            <w:top w:w="0" w:type="dxa"/>
            <w:left w:w="108" w:type="dxa"/>
            <w:bottom w:w="0" w:type="dxa"/>
            <w:right w:w="108" w:type="dxa"/>
          </w:tblCellMar>
          <w:tblLook w:val="0000"/>
        </w:tblPrEx>
        <w:trPr>
          <w:cantSplit/>
          <w:trHeight w:val="454"/>
          <w:jc w:val="center"/>
        </w:trPr>
        <w:tc>
          <w:tcPr>
            <w:tcW w:w="1344" w:type="dxa"/>
            <w:tcBorders>
              <w:left w:val="single" w:sz="12"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rPr>
              <w:t>6</w:t>
            </w:r>
          </w:p>
        </w:tc>
        <w:tc>
          <w:tcPr>
            <w:tcW w:w="2282"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eastAsia="zh-CN"/>
              </w:rPr>
              <w:t>测量员</w:t>
            </w:r>
          </w:p>
        </w:tc>
        <w:tc>
          <w:tcPr>
            <w:tcW w:w="2651" w:type="dxa"/>
            <w:tcBorders>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3</w:t>
            </w:r>
          </w:p>
        </w:tc>
        <w:tc>
          <w:tcPr>
            <w:tcW w:w="2794" w:type="dxa"/>
            <w:tcBorders>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3</w:t>
            </w:r>
          </w:p>
        </w:tc>
      </w:tr>
      <w:tr>
        <w:tblPrEx>
          <w:jc w:val="center"/>
          <w:tblInd w:w="-104" w:type="dxa"/>
          <w:tblLayout w:type="fixed"/>
          <w:tblCellMar>
            <w:top w:w="0" w:type="dxa"/>
            <w:left w:w="108" w:type="dxa"/>
            <w:bottom w:w="0" w:type="dxa"/>
            <w:right w:w="108" w:type="dxa"/>
          </w:tblCellMar>
          <w:tblLook w:val="0000"/>
        </w:tblPrEx>
        <w:trPr>
          <w:cantSplit/>
          <w:trHeight w:val="454"/>
          <w:jc w:val="center"/>
        </w:trPr>
        <w:tc>
          <w:tcPr>
            <w:tcW w:w="1344" w:type="dxa"/>
            <w:tcBorders>
              <w:left w:val="single" w:sz="12"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rPr>
              <w:t>7</w:t>
            </w:r>
          </w:p>
        </w:tc>
        <w:tc>
          <w:tcPr>
            <w:tcW w:w="2282"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rPr>
              <w:t>吊车司机</w:t>
            </w:r>
          </w:p>
        </w:tc>
        <w:tc>
          <w:tcPr>
            <w:tcW w:w="2651" w:type="dxa"/>
            <w:tcBorders>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2</w:t>
            </w:r>
          </w:p>
        </w:tc>
        <w:tc>
          <w:tcPr>
            <w:tcW w:w="2794" w:type="dxa"/>
            <w:tcBorders>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2</w:t>
            </w:r>
          </w:p>
        </w:tc>
      </w:tr>
      <w:tr>
        <w:tblPrEx>
          <w:jc w:val="center"/>
          <w:tblInd w:w="-104" w:type="dxa"/>
          <w:tblLayout w:type="fixed"/>
          <w:tblCellMar>
            <w:top w:w="0" w:type="dxa"/>
            <w:left w:w="108" w:type="dxa"/>
            <w:bottom w:w="0" w:type="dxa"/>
            <w:right w:w="108" w:type="dxa"/>
          </w:tblCellMar>
          <w:tblLook w:val="0000"/>
        </w:tblPrEx>
        <w:trPr>
          <w:cantSplit/>
          <w:trHeight w:val="454"/>
          <w:jc w:val="center"/>
        </w:trPr>
        <w:tc>
          <w:tcPr>
            <w:tcW w:w="1344" w:type="dxa"/>
            <w:tcBorders>
              <w:left w:val="single" w:sz="12"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8</w:t>
            </w:r>
          </w:p>
        </w:tc>
        <w:tc>
          <w:tcPr>
            <w:tcW w:w="2282"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eastAsia="zh-CN"/>
              </w:rPr>
              <w:t>管道安装工</w:t>
            </w:r>
          </w:p>
        </w:tc>
        <w:tc>
          <w:tcPr>
            <w:tcW w:w="2651" w:type="dxa"/>
            <w:tcBorders>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10</w:t>
            </w:r>
          </w:p>
        </w:tc>
        <w:tc>
          <w:tcPr>
            <w:tcW w:w="2794" w:type="dxa"/>
            <w:tcBorders>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10</w:t>
            </w:r>
          </w:p>
        </w:tc>
      </w:tr>
      <w:tr>
        <w:tblPrEx>
          <w:jc w:val="center"/>
          <w:tblInd w:w="-104" w:type="dxa"/>
          <w:tblLayout w:type="fixed"/>
          <w:tblCellMar>
            <w:top w:w="0" w:type="dxa"/>
            <w:left w:w="108" w:type="dxa"/>
            <w:bottom w:w="0" w:type="dxa"/>
            <w:right w:w="108" w:type="dxa"/>
          </w:tblCellMar>
          <w:tblLook w:val="0000"/>
        </w:tblPrEx>
        <w:trPr>
          <w:cantSplit/>
          <w:trHeight w:val="454"/>
          <w:jc w:val="center"/>
        </w:trPr>
        <w:tc>
          <w:tcPr>
            <w:tcW w:w="1344" w:type="dxa"/>
            <w:tcBorders>
              <w:left w:val="single" w:sz="12"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9</w:t>
            </w:r>
          </w:p>
        </w:tc>
        <w:tc>
          <w:tcPr>
            <w:tcW w:w="2282"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eastAsia="zh-CN"/>
              </w:rPr>
              <w:t>钢筋工</w:t>
            </w:r>
          </w:p>
        </w:tc>
        <w:tc>
          <w:tcPr>
            <w:tcW w:w="2651" w:type="dxa"/>
            <w:tcBorders>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6</w:t>
            </w:r>
          </w:p>
        </w:tc>
        <w:tc>
          <w:tcPr>
            <w:tcW w:w="2794" w:type="dxa"/>
            <w:tcBorders>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6</w:t>
            </w:r>
          </w:p>
        </w:tc>
      </w:tr>
      <w:tr>
        <w:tblPrEx>
          <w:jc w:val="center"/>
          <w:tblInd w:w="-104" w:type="dxa"/>
          <w:tblLayout w:type="fixed"/>
          <w:tblCellMar>
            <w:top w:w="0" w:type="dxa"/>
            <w:left w:w="108" w:type="dxa"/>
            <w:bottom w:w="0" w:type="dxa"/>
            <w:right w:w="108" w:type="dxa"/>
          </w:tblCellMar>
          <w:tblLook w:val="0000"/>
        </w:tblPrEx>
        <w:trPr>
          <w:cantSplit/>
          <w:trHeight w:val="454"/>
          <w:jc w:val="center"/>
        </w:trPr>
        <w:tc>
          <w:tcPr>
            <w:tcW w:w="1344" w:type="dxa"/>
            <w:tcBorders>
              <w:left w:val="single" w:sz="12"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10</w:t>
            </w:r>
          </w:p>
        </w:tc>
        <w:tc>
          <w:tcPr>
            <w:tcW w:w="2282"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eastAsia="zh-CN"/>
              </w:rPr>
              <w:t>木工</w:t>
            </w:r>
          </w:p>
        </w:tc>
        <w:tc>
          <w:tcPr>
            <w:tcW w:w="2651" w:type="dxa"/>
            <w:tcBorders>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6</w:t>
            </w:r>
          </w:p>
        </w:tc>
        <w:tc>
          <w:tcPr>
            <w:tcW w:w="2794" w:type="dxa"/>
            <w:tcBorders>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6</w:t>
            </w:r>
          </w:p>
        </w:tc>
      </w:tr>
      <w:tr>
        <w:tblPrEx>
          <w:jc w:val="center"/>
          <w:tblInd w:w="-104" w:type="dxa"/>
          <w:tblLayout w:type="fixed"/>
          <w:tblCellMar>
            <w:top w:w="0" w:type="dxa"/>
            <w:left w:w="108" w:type="dxa"/>
            <w:bottom w:w="0" w:type="dxa"/>
            <w:right w:w="108" w:type="dxa"/>
          </w:tblCellMar>
          <w:tblLook w:val="0000"/>
        </w:tblPrEx>
        <w:trPr>
          <w:cantSplit/>
          <w:trHeight w:val="454"/>
          <w:jc w:val="center"/>
        </w:trPr>
        <w:tc>
          <w:tcPr>
            <w:tcW w:w="1344" w:type="dxa"/>
            <w:tcBorders>
              <w:left w:val="single" w:sz="12"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11</w:t>
            </w:r>
          </w:p>
        </w:tc>
        <w:tc>
          <w:tcPr>
            <w:tcW w:w="2282"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eastAsia="zh-CN"/>
              </w:rPr>
              <w:t>管理人员</w:t>
            </w:r>
          </w:p>
        </w:tc>
        <w:tc>
          <w:tcPr>
            <w:tcW w:w="2651" w:type="dxa"/>
            <w:tcBorders>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6</w:t>
            </w:r>
          </w:p>
        </w:tc>
        <w:tc>
          <w:tcPr>
            <w:tcW w:w="2794" w:type="dxa"/>
            <w:tcBorders>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ascii="仿宋" w:eastAsia="仿宋" w:hAnsi="仿宋" w:cs="仿宋" w:hint="eastAsia"/>
                <w:color w:val="000000"/>
                <w:szCs w:val="21"/>
              </w:rPr>
            </w:pPr>
            <w:r>
              <w:rPr>
                <w:rFonts w:ascii="仿宋" w:eastAsia="仿宋" w:hAnsi="仿宋" w:cs="仿宋" w:hint="eastAsia"/>
                <w:color w:val="000000"/>
                <w:sz w:val="21"/>
                <w:szCs w:val="21"/>
                <w:lang w:val="en-US" w:eastAsia="zh-CN"/>
              </w:rPr>
              <w:t>6</w:t>
            </w:r>
          </w:p>
        </w:tc>
      </w:tr>
    </w:tbl>
    <w:p>
      <w:pPr>
        <w:pStyle w:val="10880"/>
        <w:keepNext w:val="0"/>
        <w:keepLines w:val="0"/>
        <w:pageBreakBefore w:val="0"/>
        <w:widowControl w:val="0"/>
        <w:kinsoku/>
        <w:wordWrap/>
        <w:overflowPunct/>
        <w:topLinePunct w:val="0"/>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color w:val="000000"/>
          <w:sz w:val="32"/>
          <w:szCs w:val="32"/>
        </w:rPr>
      </w:pPr>
      <w:r>
        <w:rPr>
          <w:rFonts w:ascii="仿宋" w:eastAsia="仿宋" w:hAnsi="仿宋" w:cs="仿宋" w:hint="eastAsia"/>
          <w:color w:val="000000"/>
          <w:sz w:val="32"/>
          <w:szCs w:val="32"/>
          <w:lang w:val="en-US" w:eastAsia="zh-CN"/>
        </w:rPr>
        <w:t>3.2</w:t>
      </w:r>
      <w:r>
        <w:rPr>
          <w:rFonts w:ascii="仿宋" w:eastAsia="仿宋" w:hAnsi="仿宋" w:cs="仿宋" w:hint="eastAsia"/>
          <w:color w:val="000000"/>
          <w:sz w:val="32"/>
          <w:szCs w:val="32"/>
        </w:rPr>
        <w:t>主要机械设备需求计划表</w:t>
      </w:r>
    </w:p>
    <w:tbl>
      <w:tblPr>
        <w:tblStyle w:val="TableNormal"/>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548"/>
        <w:gridCol w:w="1449"/>
        <w:gridCol w:w="1343"/>
        <w:gridCol w:w="456"/>
        <w:gridCol w:w="722"/>
        <w:gridCol w:w="722"/>
        <w:gridCol w:w="1085"/>
        <w:gridCol w:w="1445"/>
        <w:gridCol w:w="941"/>
        <w:gridCol w:w="329"/>
      </w:tblGrid>
      <w:tr>
        <w:tblPrEx>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889"/>
          <w:jc w:val="center"/>
        </w:trPr>
        <w:tc>
          <w:tcPr>
            <w:tcW w:w="548" w:type="dxa"/>
            <w:vAlign w:val="center"/>
          </w:tcPr>
          <w:p>
            <w:pPr>
              <w:pStyle w:val="a0"/>
              <w:keepNext w:val="0"/>
              <w:keepLines w:val="0"/>
              <w:pageBreakBefore w:val="0"/>
              <w:widowControl w:val="0"/>
              <w:kinsoku/>
              <w:wordWrap/>
              <w:overflowPunct/>
              <w:topLinePunct w:val="0"/>
              <w:autoSpaceDE/>
              <w:autoSpaceDN/>
              <w:bidi w:val="0"/>
              <w:spacing w:line="320" w:lineRule="atLeast"/>
              <w:ind w:left="0" w:leftChars="0"/>
              <w:textAlignment w:val="auto"/>
              <w:outlineLvl w:val="9"/>
              <w:rPr>
                <w:rFonts w:hint="eastAsia"/>
                <w:shadow w:val="0"/>
                <w:color w:val="000000"/>
                <w:w w:val="100"/>
                <w:position w:val="0"/>
                <w:vertAlign w:val="baseline"/>
              </w:rPr>
            </w:pPr>
            <w:bookmarkEnd w:id="44"/>
            <w:bookmarkEnd w:id="45"/>
            <w:r>
              <w:rPr>
                <w:rFonts w:hint="eastAsia"/>
                <w:shadow w:val="0"/>
                <w:color w:val="000000"/>
                <w:w w:val="100"/>
                <w:position w:val="0"/>
                <w:sz w:val="21"/>
                <w:szCs w:val="21"/>
                <w:vertAlign w:val="baseline"/>
              </w:rPr>
              <w:t>序号</w:t>
            </w:r>
          </w:p>
        </w:tc>
        <w:tc>
          <w:tcPr>
            <w:tcW w:w="144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设备名称</w:t>
            </w:r>
          </w:p>
        </w:tc>
        <w:tc>
          <w:tcPr>
            <w:tcW w:w="1343" w:type="dxa"/>
            <w:vAlign w:val="center"/>
          </w:tcPr>
          <w:p>
            <w:pPr>
              <w:pStyle w:val="a0"/>
              <w:keepNext w:val="0"/>
              <w:keepLines w:val="0"/>
              <w:pageBreakBefore w:val="0"/>
              <w:widowControl w:val="0"/>
              <w:kinsoku/>
              <w:wordWrap/>
              <w:overflowPunct/>
              <w:topLinePunct w:val="0"/>
              <w:autoSpaceDE/>
              <w:autoSpaceDN/>
              <w:bidi w:val="0"/>
              <w:spacing w:line="320" w:lineRule="atLeast"/>
              <w:ind w:left="0" w:leftChars="0"/>
              <w:textAlignment w:val="auto"/>
              <w:outlineLvl w:val="9"/>
              <w:rPr>
                <w:rFonts w:hint="eastAsia"/>
                <w:shadow w:val="0"/>
                <w:color w:val="000000"/>
                <w:w w:val="100"/>
                <w:position w:val="0"/>
                <w:vertAlign w:val="baseline"/>
              </w:rPr>
            </w:pPr>
            <w:r>
              <w:rPr>
                <w:rFonts w:hint="eastAsia"/>
                <w:shadow w:val="0"/>
                <w:color w:val="000000"/>
                <w:w w:val="100"/>
                <w:position w:val="0"/>
                <w:sz w:val="21"/>
                <w:szCs w:val="21"/>
                <w:vertAlign w:val="baseline"/>
              </w:rPr>
              <w:t>型号</w:t>
            </w:r>
          </w:p>
          <w:p>
            <w:pPr>
              <w:pStyle w:val="a0"/>
              <w:keepNext w:val="0"/>
              <w:keepLines w:val="0"/>
              <w:pageBreakBefore w:val="0"/>
              <w:widowControl w:val="0"/>
              <w:kinsoku/>
              <w:wordWrap/>
              <w:overflowPunct/>
              <w:topLinePunct w:val="0"/>
              <w:autoSpaceDE/>
              <w:autoSpaceDN/>
              <w:bidi w:val="0"/>
              <w:spacing w:line="320" w:lineRule="atLeast"/>
              <w:ind w:left="0" w:leftChars="0"/>
              <w:textAlignment w:val="auto"/>
              <w:outlineLvl w:val="9"/>
              <w:rPr>
                <w:rFonts w:hint="eastAsia"/>
                <w:shadow w:val="0"/>
                <w:color w:val="000000"/>
                <w:w w:val="100"/>
                <w:position w:val="0"/>
                <w:vertAlign w:val="baseline"/>
              </w:rPr>
            </w:pPr>
            <w:r>
              <w:rPr>
                <w:rFonts w:hint="eastAsia"/>
                <w:shadow w:val="0"/>
                <w:color w:val="000000"/>
                <w:w w:val="100"/>
                <w:position w:val="0"/>
                <w:sz w:val="21"/>
                <w:szCs w:val="21"/>
                <w:vertAlign w:val="baseline"/>
              </w:rPr>
              <w:t>规格</w:t>
            </w:r>
          </w:p>
        </w:tc>
        <w:tc>
          <w:tcPr>
            <w:tcW w:w="456" w:type="dxa"/>
            <w:vAlign w:val="center"/>
          </w:tcPr>
          <w:p>
            <w:pPr>
              <w:pStyle w:val="a0"/>
              <w:keepNext w:val="0"/>
              <w:keepLines w:val="0"/>
              <w:pageBreakBefore w:val="0"/>
              <w:widowControl w:val="0"/>
              <w:kinsoku/>
              <w:wordWrap/>
              <w:overflowPunct/>
              <w:topLinePunct w:val="0"/>
              <w:autoSpaceDE/>
              <w:autoSpaceDN/>
              <w:bidi w:val="0"/>
              <w:spacing w:line="320" w:lineRule="atLeast"/>
              <w:ind w:left="0" w:leftChars="0"/>
              <w:textAlignment w:val="auto"/>
              <w:outlineLvl w:val="9"/>
              <w:rPr>
                <w:rFonts w:hint="eastAsia"/>
                <w:shadow w:val="0"/>
                <w:color w:val="000000"/>
                <w:w w:val="100"/>
                <w:position w:val="0"/>
                <w:vertAlign w:val="baseline"/>
              </w:rPr>
            </w:pPr>
            <w:r>
              <w:rPr>
                <w:rFonts w:hint="eastAsia"/>
                <w:shadow w:val="0"/>
                <w:color w:val="000000"/>
                <w:w w:val="100"/>
                <w:position w:val="0"/>
                <w:sz w:val="21"/>
                <w:szCs w:val="21"/>
                <w:vertAlign w:val="baseline"/>
              </w:rPr>
              <w:t>数量</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国别</w:t>
            </w:r>
          </w:p>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产地</w:t>
            </w:r>
          </w:p>
        </w:tc>
        <w:tc>
          <w:tcPr>
            <w:tcW w:w="722" w:type="dxa"/>
            <w:vAlign w:val="center"/>
          </w:tcPr>
          <w:p>
            <w:pPr>
              <w:pStyle w:val="a0"/>
              <w:keepNext w:val="0"/>
              <w:keepLines w:val="0"/>
              <w:pageBreakBefore w:val="0"/>
              <w:widowControl w:val="0"/>
              <w:kinsoku/>
              <w:wordWrap/>
              <w:overflowPunct/>
              <w:topLinePunct w:val="0"/>
              <w:autoSpaceDE/>
              <w:autoSpaceDN/>
              <w:bidi w:val="0"/>
              <w:spacing w:line="320" w:lineRule="atLeast"/>
              <w:ind w:left="0" w:leftChars="0"/>
              <w:textAlignment w:val="auto"/>
              <w:outlineLvl w:val="9"/>
              <w:rPr>
                <w:rFonts w:hint="eastAsia"/>
                <w:shadow w:val="0"/>
                <w:color w:val="000000"/>
                <w:w w:val="100"/>
                <w:position w:val="0"/>
                <w:vertAlign w:val="baseline"/>
              </w:rPr>
            </w:pPr>
            <w:r>
              <w:rPr>
                <w:rFonts w:hint="eastAsia"/>
                <w:shadow w:val="0"/>
                <w:color w:val="000000"/>
                <w:w w:val="100"/>
                <w:position w:val="0"/>
                <w:sz w:val="21"/>
                <w:szCs w:val="21"/>
                <w:vertAlign w:val="baseline"/>
              </w:rPr>
              <w:t>制造年份</w:t>
            </w:r>
          </w:p>
        </w:tc>
        <w:tc>
          <w:tcPr>
            <w:tcW w:w="108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额定</w:t>
            </w:r>
          </w:p>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功率（kw）</w:t>
            </w:r>
          </w:p>
        </w:tc>
        <w:tc>
          <w:tcPr>
            <w:tcW w:w="1445" w:type="dxa"/>
            <w:vAlign w:val="center"/>
          </w:tcPr>
          <w:p>
            <w:pPr>
              <w:pStyle w:val="a0"/>
              <w:keepNext w:val="0"/>
              <w:keepLines w:val="0"/>
              <w:pageBreakBefore w:val="0"/>
              <w:widowControl w:val="0"/>
              <w:kinsoku/>
              <w:wordWrap/>
              <w:overflowPunct/>
              <w:topLinePunct w:val="0"/>
              <w:autoSpaceDE/>
              <w:autoSpaceDN/>
              <w:bidi w:val="0"/>
              <w:spacing w:line="320" w:lineRule="atLeast"/>
              <w:ind w:left="0" w:leftChars="0"/>
              <w:textAlignment w:val="auto"/>
              <w:outlineLvl w:val="9"/>
              <w:rPr>
                <w:rFonts w:hint="eastAsia"/>
                <w:shadow w:val="0"/>
                <w:color w:val="000000"/>
                <w:w w:val="100"/>
                <w:position w:val="0"/>
                <w:vertAlign w:val="baseline"/>
              </w:rPr>
            </w:pPr>
            <w:r>
              <w:rPr>
                <w:rFonts w:hint="eastAsia"/>
                <w:shadow w:val="0"/>
                <w:color w:val="000000"/>
                <w:w w:val="100"/>
                <w:position w:val="0"/>
                <w:sz w:val="21"/>
                <w:szCs w:val="21"/>
                <w:vertAlign w:val="baseline"/>
              </w:rPr>
              <w:t>生产能力</w:t>
            </w:r>
          </w:p>
        </w:tc>
        <w:tc>
          <w:tcPr>
            <w:tcW w:w="941" w:type="dxa"/>
            <w:vAlign w:val="center"/>
          </w:tcPr>
          <w:p>
            <w:pPr>
              <w:pStyle w:val="a0"/>
              <w:keepNext w:val="0"/>
              <w:keepLines w:val="0"/>
              <w:pageBreakBefore w:val="0"/>
              <w:widowControl w:val="0"/>
              <w:kinsoku/>
              <w:wordWrap/>
              <w:overflowPunct/>
              <w:topLinePunct w:val="0"/>
              <w:autoSpaceDE/>
              <w:autoSpaceDN/>
              <w:bidi w:val="0"/>
              <w:spacing w:line="320" w:lineRule="atLeast"/>
              <w:ind w:left="0" w:leftChars="0"/>
              <w:textAlignment w:val="auto"/>
              <w:outlineLvl w:val="9"/>
              <w:rPr>
                <w:rFonts w:hint="eastAsia"/>
                <w:shadow w:val="0"/>
                <w:color w:val="000000"/>
                <w:w w:val="100"/>
                <w:position w:val="0"/>
                <w:vertAlign w:val="baseline"/>
              </w:rPr>
            </w:pPr>
            <w:r>
              <w:rPr>
                <w:rFonts w:hint="eastAsia"/>
                <w:shadow w:val="0"/>
                <w:color w:val="000000"/>
                <w:w w:val="100"/>
                <w:position w:val="0"/>
                <w:sz w:val="21"/>
                <w:szCs w:val="21"/>
                <w:vertAlign w:val="baseline"/>
              </w:rPr>
              <w:t>用于施工部位</w:t>
            </w:r>
          </w:p>
        </w:tc>
        <w:tc>
          <w:tcPr>
            <w:tcW w:w="329" w:type="dxa"/>
            <w:vAlign w:val="center"/>
          </w:tcPr>
          <w:p>
            <w:pPr>
              <w:pStyle w:val="a0"/>
              <w:keepNext w:val="0"/>
              <w:keepLines w:val="0"/>
              <w:pageBreakBefore w:val="0"/>
              <w:widowControl w:val="0"/>
              <w:kinsoku/>
              <w:wordWrap/>
              <w:overflowPunct/>
              <w:topLinePunct w:val="0"/>
              <w:autoSpaceDE/>
              <w:autoSpaceDN/>
              <w:bidi w:val="0"/>
              <w:spacing w:line="320" w:lineRule="atLeast"/>
              <w:ind w:left="0" w:leftChars="0"/>
              <w:textAlignment w:val="auto"/>
              <w:outlineLvl w:val="9"/>
              <w:rPr>
                <w:rFonts w:hint="eastAsia"/>
                <w:shadow w:val="0"/>
                <w:color w:val="000000"/>
                <w:w w:val="100"/>
                <w:position w:val="0"/>
                <w:vertAlign w:val="baseline"/>
              </w:rPr>
            </w:pPr>
            <w:r>
              <w:rPr>
                <w:rFonts w:hint="eastAsia"/>
                <w:shadow w:val="0"/>
                <w:color w:val="000000"/>
                <w:w w:val="100"/>
                <w:position w:val="0"/>
                <w:sz w:val="21"/>
                <w:szCs w:val="21"/>
                <w:vertAlign w:val="baseline"/>
              </w:rPr>
              <w:t>备注</w:t>
            </w:r>
          </w:p>
        </w:tc>
      </w:tr>
      <w:tr>
        <w:tblPrEx>
          <w:jc w:val="center"/>
          <w:tblLayout w:type="fixed"/>
          <w:tblCellMar>
            <w:top w:w="0" w:type="dxa"/>
            <w:left w:w="108" w:type="dxa"/>
            <w:bottom w:w="0" w:type="dxa"/>
            <w:right w:w="108" w:type="dxa"/>
          </w:tblCellMar>
          <w:tblLook w:val="0000"/>
        </w:tblPrEx>
        <w:trPr>
          <w:trHeight w:val="636"/>
          <w:jc w:val="center"/>
        </w:trPr>
        <w:tc>
          <w:tcPr>
            <w:tcW w:w="548"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1</w:t>
            </w:r>
          </w:p>
        </w:tc>
        <w:tc>
          <w:tcPr>
            <w:tcW w:w="144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挖掘机</w:t>
            </w:r>
          </w:p>
        </w:tc>
        <w:tc>
          <w:tcPr>
            <w:tcW w:w="1343"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SK270</w:t>
            </w:r>
          </w:p>
        </w:tc>
        <w:tc>
          <w:tcPr>
            <w:tcW w:w="456"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3</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山东</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shadow w:val="0"/>
                <w:snapToGrid w:val="0"/>
                <w:color w:val="000000"/>
                <w:w w:val="100"/>
                <w:position w:val="0"/>
                <w:sz w:val="21"/>
                <w:szCs w:val="21"/>
                <w:vertAlign w:val="baseline"/>
              </w:rPr>
              <w:t>20</w:t>
            </w:r>
            <w:r>
              <w:rPr>
                <w:rFonts w:ascii="仿宋" w:eastAsia="仿宋" w:hAnsi="仿宋" w:hint="eastAsia"/>
                <w:shadow w:val="0"/>
                <w:snapToGrid w:val="0"/>
                <w:color w:val="000000"/>
                <w:w w:val="100"/>
                <w:position w:val="0"/>
                <w:sz w:val="21"/>
                <w:szCs w:val="21"/>
                <w:vertAlign w:val="baseline"/>
              </w:rPr>
              <w:t>13</w:t>
            </w:r>
          </w:p>
        </w:tc>
        <w:tc>
          <w:tcPr>
            <w:tcW w:w="108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shadow w:val="0"/>
                <w:snapToGrid w:val="0"/>
                <w:color w:val="000000"/>
                <w:w w:val="100"/>
                <w:position w:val="0"/>
                <w:sz w:val="21"/>
                <w:szCs w:val="21"/>
                <w:vertAlign w:val="baseline"/>
              </w:rPr>
              <w:t>121kw</w:t>
            </w:r>
          </w:p>
        </w:tc>
        <w:tc>
          <w:tcPr>
            <w:tcW w:w="144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斗容0.6m3</w:t>
            </w:r>
          </w:p>
        </w:tc>
        <w:tc>
          <w:tcPr>
            <w:tcW w:w="941"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636"/>
          <w:jc w:val="center"/>
        </w:trPr>
        <w:tc>
          <w:tcPr>
            <w:tcW w:w="548"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w:t>
            </w:r>
          </w:p>
        </w:tc>
        <w:tc>
          <w:tcPr>
            <w:tcW w:w="144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shadow w:val="0"/>
                <w:snapToGrid w:val="0"/>
                <w:color w:val="000000"/>
                <w:w w:val="100"/>
                <w:position w:val="0"/>
                <w:sz w:val="21"/>
                <w:szCs w:val="21"/>
                <w:vertAlign w:val="baseline"/>
              </w:rPr>
              <w:t>铲车</w:t>
            </w:r>
          </w:p>
        </w:tc>
        <w:tc>
          <w:tcPr>
            <w:tcW w:w="1343"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ZL50B</w:t>
            </w:r>
          </w:p>
        </w:tc>
        <w:tc>
          <w:tcPr>
            <w:tcW w:w="456"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2</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成都</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2013</w:t>
            </w:r>
          </w:p>
        </w:tc>
        <w:tc>
          <w:tcPr>
            <w:tcW w:w="108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82</w:t>
            </w:r>
            <w:r>
              <w:rPr>
                <w:rFonts w:ascii="仿宋" w:eastAsia="仿宋" w:hAnsi="仿宋"/>
                <w:shadow w:val="0"/>
                <w:snapToGrid w:val="0"/>
                <w:color w:val="000000"/>
                <w:w w:val="100"/>
                <w:position w:val="0"/>
                <w:sz w:val="21"/>
                <w:szCs w:val="21"/>
                <w:vertAlign w:val="baseline"/>
              </w:rPr>
              <w:t>kw</w:t>
            </w:r>
          </w:p>
        </w:tc>
        <w:tc>
          <w:tcPr>
            <w:tcW w:w="144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斗容1.5m3</w:t>
            </w:r>
          </w:p>
        </w:tc>
        <w:tc>
          <w:tcPr>
            <w:tcW w:w="941"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636"/>
          <w:jc w:val="center"/>
        </w:trPr>
        <w:tc>
          <w:tcPr>
            <w:tcW w:w="548"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3</w:t>
            </w:r>
          </w:p>
        </w:tc>
        <w:tc>
          <w:tcPr>
            <w:tcW w:w="144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自卸汽车</w:t>
            </w:r>
          </w:p>
        </w:tc>
        <w:tc>
          <w:tcPr>
            <w:tcW w:w="1343"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8t</w:t>
            </w:r>
          </w:p>
        </w:tc>
        <w:tc>
          <w:tcPr>
            <w:tcW w:w="456"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10</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湖北</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2012</w:t>
            </w:r>
          </w:p>
        </w:tc>
        <w:tc>
          <w:tcPr>
            <w:tcW w:w="108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p>
        </w:tc>
        <w:tc>
          <w:tcPr>
            <w:tcW w:w="144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8t</w:t>
            </w:r>
          </w:p>
        </w:tc>
        <w:tc>
          <w:tcPr>
            <w:tcW w:w="941"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636"/>
          <w:jc w:val="center"/>
        </w:trPr>
        <w:tc>
          <w:tcPr>
            <w:tcW w:w="548"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4</w:t>
            </w:r>
          </w:p>
        </w:tc>
        <w:tc>
          <w:tcPr>
            <w:tcW w:w="144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平板运输车</w:t>
            </w:r>
          </w:p>
        </w:tc>
        <w:tc>
          <w:tcPr>
            <w:tcW w:w="1343"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8t</w:t>
            </w:r>
          </w:p>
        </w:tc>
        <w:tc>
          <w:tcPr>
            <w:tcW w:w="456"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湖北</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2012</w:t>
            </w:r>
          </w:p>
        </w:tc>
        <w:tc>
          <w:tcPr>
            <w:tcW w:w="108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p>
        </w:tc>
        <w:tc>
          <w:tcPr>
            <w:tcW w:w="144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8t</w:t>
            </w:r>
          </w:p>
        </w:tc>
        <w:tc>
          <w:tcPr>
            <w:tcW w:w="941"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636"/>
          <w:jc w:val="center"/>
        </w:trPr>
        <w:tc>
          <w:tcPr>
            <w:tcW w:w="548"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5</w:t>
            </w:r>
          </w:p>
        </w:tc>
        <w:tc>
          <w:tcPr>
            <w:tcW w:w="144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蛙式打夯机</w:t>
            </w:r>
          </w:p>
        </w:tc>
        <w:tc>
          <w:tcPr>
            <w:tcW w:w="1343"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WD1200</w:t>
            </w:r>
          </w:p>
        </w:tc>
        <w:tc>
          <w:tcPr>
            <w:tcW w:w="456"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10</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成都</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shadow w:val="0"/>
                <w:snapToGrid w:val="0"/>
                <w:color w:val="000000"/>
                <w:w w:val="100"/>
                <w:position w:val="0"/>
                <w:sz w:val="21"/>
                <w:szCs w:val="21"/>
                <w:vertAlign w:val="baseline"/>
              </w:rPr>
              <w:t>20</w:t>
            </w:r>
            <w:r>
              <w:rPr>
                <w:rFonts w:ascii="仿宋" w:eastAsia="仿宋" w:hAnsi="仿宋" w:hint="eastAsia"/>
                <w:shadow w:val="0"/>
                <w:snapToGrid w:val="0"/>
                <w:color w:val="000000"/>
                <w:w w:val="100"/>
                <w:position w:val="0"/>
                <w:sz w:val="21"/>
                <w:szCs w:val="21"/>
                <w:vertAlign w:val="baseline"/>
              </w:rPr>
              <w:t>15</w:t>
            </w:r>
          </w:p>
        </w:tc>
        <w:tc>
          <w:tcPr>
            <w:tcW w:w="108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p>
        </w:tc>
        <w:tc>
          <w:tcPr>
            <w:tcW w:w="1445"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良好</w:t>
            </w:r>
          </w:p>
        </w:tc>
        <w:tc>
          <w:tcPr>
            <w:tcW w:w="941"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636"/>
          <w:jc w:val="center"/>
        </w:trPr>
        <w:tc>
          <w:tcPr>
            <w:tcW w:w="548"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6</w:t>
            </w:r>
          </w:p>
        </w:tc>
        <w:tc>
          <w:tcPr>
            <w:tcW w:w="144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插入式振动器</w:t>
            </w:r>
          </w:p>
        </w:tc>
        <w:tc>
          <w:tcPr>
            <w:tcW w:w="1343"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ZD100</w:t>
            </w:r>
          </w:p>
        </w:tc>
        <w:tc>
          <w:tcPr>
            <w:tcW w:w="456"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2</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成都</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2015</w:t>
            </w:r>
          </w:p>
        </w:tc>
        <w:tc>
          <w:tcPr>
            <w:tcW w:w="108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1.5kw</w:t>
            </w:r>
          </w:p>
        </w:tc>
        <w:tc>
          <w:tcPr>
            <w:tcW w:w="1445"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良好</w:t>
            </w:r>
          </w:p>
        </w:tc>
        <w:tc>
          <w:tcPr>
            <w:tcW w:w="941"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636"/>
          <w:jc w:val="center"/>
        </w:trPr>
        <w:tc>
          <w:tcPr>
            <w:tcW w:w="548"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7</w:t>
            </w:r>
          </w:p>
        </w:tc>
        <w:tc>
          <w:tcPr>
            <w:tcW w:w="144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搅拌机</w:t>
            </w:r>
          </w:p>
        </w:tc>
        <w:tc>
          <w:tcPr>
            <w:tcW w:w="1343"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JDY500</w:t>
            </w:r>
          </w:p>
        </w:tc>
        <w:tc>
          <w:tcPr>
            <w:tcW w:w="456"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成都</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2015</w:t>
            </w:r>
          </w:p>
        </w:tc>
        <w:tc>
          <w:tcPr>
            <w:tcW w:w="108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3.7kw</w:t>
            </w:r>
          </w:p>
        </w:tc>
        <w:tc>
          <w:tcPr>
            <w:tcW w:w="144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500L</w:t>
            </w:r>
          </w:p>
        </w:tc>
        <w:tc>
          <w:tcPr>
            <w:tcW w:w="941"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p>
        </w:tc>
      </w:tr>
    </w:tbl>
    <w:p>
      <w:pPr>
        <w:sectPr>
          <w:type w:val="nextPage"/>
          <w:pgSz w:w="11906" w:h="16838"/>
          <w:pgMar w:top="1440" w:right="1800" w:bottom="1440" w:left="1800" w:header="851" w:footer="992" w:gutter="0"/>
          <w:pgNumType w:start="3"/>
          <w:cols w:space="708"/>
          <w:titlePg w:val="0"/>
          <w:docGrid w:type="lines" w:linePitch="312" w:charSpace="0"/>
        </w:sectPr>
      </w:pPr>
    </w:p>
    <w:tbl>
      <w:tblPr>
        <w:tblStyle w:val="TableNormal"/>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548"/>
        <w:gridCol w:w="1449"/>
        <w:gridCol w:w="1343"/>
        <w:gridCol w:w="456"/>
        <w:gridCol w:w="722"/>
        <w:gridCol w:w="722"/>
        <w:gridCol w:w="1085"/>
        <w:gridCol w:w="1445"/>
        <w:gridCol w:w="941"/>
        <w:gridCol w:w="329"/>
      </w:tblGrid>
      <w:tr>
        <w:tblPrEx>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636"/>
          <w:jc w:val="center"/>
        </w:trPr>
        <w:tc>
          <w:tcPr>
            <w:tcW w:w="548"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8</w:t>
            </w:r>
          </w:p>
        </w:tc>
        <w:tc>
          <w:tcPr>
            <w:tcW w:w="144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切割机</w:t>
            </w:r>
          </w:p>
        </w:tc>
        <w:tc>
          <w:tcPr>
            <w:tcW w:w="1343"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Q165SX</w:t>
            </w:r>
          </w:p>
        </w:tc>
        <w:tc>
          <w:tcPr>
            <w:tcW w:w="456"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8</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成都</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2016</w:t>
            </w:r>
          </w:p>
        </w:tc>
        <w:tc>
          <w:tcPr>
            <w:tcW w:w="108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1.5kw</w:t>
            </w:r>
          </w:p>
        </w:tc>
        <w:tc>
          <w:tcPr>
            <w:tcW w:w="1445"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良好</w:t>
            </w:r>
          </w:p>
        </w:tc>
        <w:tc>
          <w:tcPr>
            <w:tcW w:w="941"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636"/>
          <w:jc w:val="center"/>
        </w:trPr>
        <w:tc>
          <w:tcPr>
            <w:tcW w:w="548"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9</w:t>
            </w:r>
          </w:p>
        </w:tc>
        <w:tc>
          <w:tcPr>
            <w:tcW w:w="1449"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打磨机</w:t>
            </w:r>
          </w:p>
        </w:tc>
        <w:tc>
          <w:tcPr>
            <w:tcW w:w="1343"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ML320</w:t>
            </w:r>
          </w:p>
        </w:tc>
        <w:tc>
          <w:tcPr>
            <w:tcW w:w="456"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8</w:t>
            </w:r>
          </w:p>
        </w:tc>
        <w:tc>
          <w:tcPr>
            <w:tcW w:w="722"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成都</w:t>
            </w:r>
          </w:p>
        </w:tc>
        <w:tc>
          <w:tcPr>
            <w:tcW w:w="722"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2016</w:t>
            </w:r>
          </w:p>
        </w:tc>
        <w:tc>
          <w:tcPr>
            <w:tcW w:w="1085"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2kw</w:t>
            </w:r>
          </w:p>
        </w:tc>
        <w:tc>
          <w:tcPr>
            <w:tcW w:w="1445"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良好</w:t>
            </w:r>
          </w:p>
        </w:tc>
        <w:tc>
          <w:tcPr>
            <w:tcW w:w="941"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636"/>
          <w:jc w:val="center"/>
        </w:trPr>
        <w:tc>
          <w:tcPr>
            <w:tcW w:w="548"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10</w:t>
            </w:r>
          </w:p>
        </w:tc>
        <w:tc>
          <w:tcPr>
            <w:tcW w:w="1449" w:type="dxa"/>
            <w:vAlign w:val="center"/>
          </w:tcPr>
          <w:p>
            <w:pPr>
              <w:pStyle w:val="2"/>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color w:val="000000"/>
                <w:w w:val="100"/>
                <w:position w:val="0"/>
                <w:sz w:val="21"/>
                <w:szCs w:val="21"/>
                <w:vertAlign w:val="baseline"/>
              </w:rPr>
            </w:pPr>
            <w:r>
              <w:rPr>
                <w:rFonts w:ascii="仿宋" w:eastAsia="仿宋" w:hAnsi="仿宋" w:hint="eastAsia"/>
                <w:shadow w:val="0"/>
                <w:color w:val="000000"/>
                <w:w w:val="100"/>
                <w:position w:val="0"/>
                <w:sz w:val="21"/>
                <w:szCs w:val="21"/>
                <w:vertAlign w:val="baseline"/>
              </w:rPr>
              <w:t>电焊机</w:t>
            </w:r>
          </w:p>
        </w:tc>
        <w:tc>
          <w:tcPr>
            <w:tcW w:w="1343" w:type="dxa"/>
            <w:vAlign w:val="center"/>
          </w:tcPr>
          <w:p>
            <w:pPr>
              <w:pStyle w:val="2"/>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color w:val="000000"/>
                <w:w w:val="100"/>
                <w:position w:val="0"/>
                <w:sz w:val="21"/>
                <w:szCs w:val="21"/>
                <w:vertAlign w:val="baseline"/>
              </w:rPr>
            </w:pPr>
            <w:r>
              <w:rPr>
                <w:rFonts w:ascii="仿宋" w:eastAsia="仿宋" w:hAnsi="仿宋" w:hint="eastAsia"/>
                <w:shadow w:val="0"/>
                <w:color w:val="000000"/>
                <w:w w:val="100"/>
                <w:position w:val="0"/>
                <w:sz w:val="21"/>
                <w:szCs w:val="21"/>
                <w:vertAlign w:val="baseline"/>
              </w:rPr>
              <w:t>UB1-100</w:t>
            </w:r>
          </w:p>
        </w:tc>
        <w:tc>
          <w:tcPr>
            <w:tcW w:w="456" w:type="dxa"/>
            <w:vAlign w:val="center"/>
          </w:tcPr>
          <w:p>
            <w:pPr>
              <w:pStyle w:val="2"/>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color w:val="000000"/>
                <w:w w:val="100"/>
                <w:position w:val="0"/>
                <w:sz w:val="21"/>
                <w:szCs w:val="21"/>
                <w:vertAlign w:val="baseline"/>
              </w:rPr>
            </w:pPr>
            <w:r>
              <w:rPr>
                <w:rFonts w:ascii="仿宋" w:eastAsia="仿宋" w:hAnsi="仿宋" w:hint="eastAsia"/>
                <w:shadow w:val="0"/>
                <w:color w:val="000000"/>
                <w:w w:val="100"/>
                <w:position w:val="0"/>
                <w:sz w:val="21"/>
                <w:szCs w:val="21"/>
                <w:vertAlign w:val="baseline"/>
              </w:rPr>
              <w:t>2</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成都</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2015</w:t>
            </w:r>
          </w:p>
        </w:tc>
        <w:tc>
          <w:tcPr>
            <w:tcW w:w="108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100KVA</w:t>
            </w:r>
          </w:p>
        </w:tc>
        <w:tc>
          <w:tcPr>
            <w:tcW w:w="1445"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良好</w:t>
            </w:r>
          </w:p>
        </w:tc>
        <w:tc>
          <w:tcPr>
            <w:tcW w:w="941"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636"/>
          <w:jc w:val="center"/>
        </w:trPr>
        <w:tc>
          <w:tcPr>
            <w:tcW w:w="548"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11</w:t>
            </w:r>
          </w:p>
        </w:tc>
        <w:tc>
          <w:tcPr>
            <w:tcW w:w="144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汽车吊</w:t>
            </w:r>
          </w:p>
        </w:tc>
        <w:tc>
          <w:tcPr>
            <w:tcW w:w="1343"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QY-24</w:t>
            </w:r>
          </w:p>
        </w:tc>
        <w:tc>
          <w:tcPr>
            <w:tcW w:w="456"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重庆</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2014</w:t>
            </w:r>
          </w:p>
        </w:tc>
        <w:tc>
          <w:tcPr>
            <w:tcW w:w="108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p>
        </w:tc>
        <w:tc>
          <w:tcPr>
            <w:tcW w:w="144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12t</w:t>
            </w:r>
          </w:p>
        </w:tc>
        <w:tc>
          <w:tcPr>
            <w:tcW w:w="941"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636"/>
          <w:jc w:val="center"/>
        </w:trPr>
        <w:tc>
          <w:tcPr>
            <w:tcW w:w="548"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12</w:t>
            </w:r>
          </w:p>
        </w:tc>
        <w:tc>
          <w:tcPr>
            <w:tcW w:w="1449" w:type="dxa"/>
            <w:vAlign w:val="center"/>
          </w:tcPr>
          <w:p>
            <w:pPr>
              <w:keepNext w:val="0"/>
              <w:keepLines w:val="0"/>
              <w:pageBreakBefore w:val="0"/>
              <w:widowControl w:val="0"/>
              <w:kinsoku/>
              <w:wordWrap/>
              <w:overflowPunct/>
              <w:topLinePunct w:val="0"/>
              <w:autoSpaceDE/>
              <w:autoSpaceDN/>
              <w:bidi w:val="0"/>
              <w:snapToGrid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倒链</w:t>
            </w:r>
          </w:p>
        </w:tc>
        <w:tc>
          <w:tcPr>
            <w:tcW w:w="1343" w:type="dxa"/>
            <w:vAlign w:val="center"/>
          </w:tcPr>
          <w:p>
            <w:pPr>
              <w:keepNext w:val="0"/>
              <w:keepLines w:val="0"/>
              <w:pageBreakBefore w:val="0"/>
              <w:widowControl w:val="0"/>
              <w:kinsoku/>
              <w:wordWrap/>
              <w:overflowPunct/>
              <w:topLinePunct w:val="0"/>
              <w:autoSpaceDE/>
              <w:autoSpaceDN/>
              <w:bidi w:val="0"/>
              <w:snapToGrid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shadow w:val="0"/>
                <w:color w:val="000000"/>
                <w:w w:val="100"/>
                <w:position w:val="0"/>
                <w:sz w:val="21"/>
                <w:szCs w:val="21"/>
                <w:vertAlign w:val="baseline"/>
              </w:rPr>
              <w:t>ZS6005</w:t>
            </w:r>
          </w:p>
        </w:tc>
        <w:tc>
          <w:tcPr>
            <w:tcW w:w="456" w:type="dxa"/>
            <w:vAlign w:val="center"/>
          </w:tcPr>
          <w:p>
            <w:pPr>
              <w:keepNext w:val="0"/>
              <w:keepLines w:val="0"/>
              <w:pageBreakBefore w:val="0"/>
              <w:widowControl w:val="0"/>
              <w:kinsoku/>
              <w:wordWrap/>
              <w:overflowPunct/>
              <w:topLinePunct w:val="0"/>
              <w:autoSpaceDE/>
              <w:autoSpaceDN/>
              <w:bidi w:val="0"/>
              <w:snapToGrid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4</w:t>
            </w:r>
          </w:p>
        </w:tc>
        <w:tc>
          <w:tcPr>
            <w:tcW w:w="722" w:type="dxa"/>
            <w:vAlign w:val="center"/>
          </w:tcPr>
          <w:p>
            <w:pPr>
              <w:keepNext w:val="0"/>
              <w:keepLines w:val="0"/>
              <w:pageBreakBefore w:val="0"/>
              <w:widowControl w:val="0"/>
              <w:kinsoku/>
              <w:wordWrap/>
              <w:overflowPunct/>
              <w:topLinePunct w:val="0"/>
              <w:autoSpaceDE/>
              <w:autoSpaceDN/>
              <w:bidi w:val="0"/>
              <w:snapToGrid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成都</w:t>
            </w:r>
          </w:p>
        </w:tc>
        <w:tc>
          <w:tcPr>
            <w:tcW w:w="722" w:type="dxa"/>
            <w:vAlign w:val="center"/>
          </w:tcPr>
          <w:p>
            <w:pPr>
              <w:keepNext w:val="0"/>
              <w:keepLines w:val="0"/>
              <w:pageBreakBefore w:val="0"/>
              <w:widowControl w:val="0"/>
              <w:kinsoku/>
              <w:wordWrap/>
              <w:overflowPunct/>
              <w:topLinePunct w:val="0"/>
              <w:autoSpaceDE/>
              <w:autoSpaceDN/>
              <w:bidi w:val="0"/>
              <w:snapToGrid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2014</w:t>
            </w:r>
          </w:p>
        </w:tc>
        <w:tc>
          <w:tcPr>
            <w:tcW w:w="108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1T</w:t>
            </w:r>
          </w:p>
        </w:tc>
        <w:tc>
          <w:tcPr>
            <w:tcW w:w="1445"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良好</w:t>
            </w:r>
          </w:p>
        </w:tc>
        <w:tc>
          <w:tcPr>
            <w:tcW w:w="941"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889"/>
          <w:jc w:val="center"/>
        </w:trPr>
        <w:tc>
          <w:tcPr>
            <w:tcW w:w="548"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13</w:t>
            </w:r>
          </w:p>
        </w:tc>
        <w:tc>
          <w:tcPr>
            <w:tcW w:w="1449" w:type="dxa"/>
            <w:vAlign w:val="center"/>
          </w:tcPr>
          <w:p>
            <w:pPr>
              <w:keepNext w:val="0"/>
              <w:keepLines w:val="0"/>
              <w:pageBreakBefore w:val="0"/>
              <w:widowControl w:val="0"/>
              <w:kinsoku/>
              <w:wordWrap/>
              <w:overflowPunct/>
              <w:topLinePunct w:val="0"/>
              <w:autoSpaceDE/>
              <w:autoSpaceDN/>
              <w:bidi w:val="0"/>
              <w:snapToGrid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空气压缩机</w:t>
            </w:r>
          </w:p>
        </w:tc>
        <w:tc>
          <w:tcPr>
            <w:tcW w:w="1343" w:type="dxa"/>
            <w:vAlign w:val="center"/>
          </w:tcPr>
          <w:p>
            <w:pPr>
              <w:keepNext w:val="0"/>
              <w:keepLines w:val="0"/>
              <w:pageBreakBefore w:val="0"/>
              <w:widowControl w:val="0"/>
              <w:kinsoku/>
              <w:wordWrap/>
              <w:overflowPunct/>
              <w:topLinePunct w:val="0"/>
              <w:autoSpaceDE/>
              <w:autoSpaceDN/>
              <w:bidi w:val="0"/>
              <w:snapToGrid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JD2-42-20</w:t>
            </w:r>
          </w:p>
        </w:tc>
        <w:tc>
          <w:tcPr>
            <w:tcW w:w="456" w:type="dxa"/>
            <w:vAlign w:val="center"/>
          </w:tcPr>
          <w:p>
            <w:pPr>
              <w:keepNext w:val="0"/>
              <w:keepLines w:val="0"/>
              <w:pageBreakBefore w:val="0"/>
              <w:widowControl w:val="0"/>
              <w:kinsoku/>
              <w:wordWrap/>
              <w:overflowPunct/>
              <w:topLinePunct w:val="0"/>
              <w:autoSpaceDE/>
              <w:autoSpaceDN/>
              <w:bidi w:val="0"/>
              <w:snapToGrid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2</w:t>
            </w:r>
          </w:p>
        </w:tc>
        <w:tc>
          <w:tcPr>
            <w:tcW w:w="722" w:type="dxa"/>
            <w:vAlign w:val="center"/>
          </w:tcPr>
          <w:p>
            <w:pPr>
              <w:keepNext w:val="0"/>
              <w:keepLines w:val="0"/>
              <w:pageBreakBefore w:val="0"/>
              <w:widowControl w:val="0"/>
              <w:kinsoku/>
              <w:wordWrap/>
              <w:overflowPunct/>
              <w:topLinePunct w:val="0"/>
              <w:autoSpaceDE/>
              <w:autoSpaceDN/>
              <w:bidi w:val="0"/>
              <w:snapToGrid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成都</w:t>
            </w:r>
          </w:p>
        </w:tc>
        <w:tc>
          <w:tcPr>
            <w:tcW w:w="722" w:type="dxa"/>
            <w:vAlign w:val="center"/>
          </w:tcPr>
          <w:p>
            <w:pPr>
              <w:keepNext w:val="0"/>
              <w:keepLines w:val="0"/>
              <w:pageBreakBefore w:val="0"/>
              <w:widowControl w:val="0"/>
              <w:kinsoku/>
              <w:wordWrap/>
              <w:overflowPunct/>
              <w:topLinePunct w:val="0"/>
              <w:autoSpaceDE/>
              <w:autoSpaceDN/>
              <w:bidi w:val="0"/>
              <w:snapToGrid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2016</w:t>
            </w:r>
          </w:p>
        </w:tc>
        <w:tc>
          <w:tcPr>
            <w:tcW w:w="108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5.5KW</w:t>
            </w:r>
          </w:p>
        </w:tc>
        <w:tc>
          <w:tcPr>
            <w:tcW w:w="1445"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良好</w:t>
            </w:r>
          </w:p>
        </w:tc>
        <w:tc>
          <w:tcPr>
            <w:tcW w:w="941"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636"/>
          <w:jc w:val="center"/>
        </w:trPr>
        <w:tc>
          <w:tcPr>
            <w:tcW w:w="548"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14</w:t>
            </w:r>
          </w:p>
        </w:tc>
        <w:tc>
          <w:tcPr>
            <w:tcW w:w="1449"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多功能洒水车</w:t>
            </w:r>
          </w:p>
        </w:tc>
        <w:tc>
          <w:tcPr>
            <w:tcW w:w="1343"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GH5090G</w:t>
            </w:r>
          </w:p>
        </w:tc>
        <w:tc>
          <w:tcPr>
            <w:tcW w:w="456"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2</w:t>
            </w:r>
          </w:p>
        </w:tc>
        <w:tc>
          <w:tcPr>
            <w:tcW w:w="722"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湖北</w:t>
            </w:r>
          </w:p>
        </w:tc>
        <w:tc>
          <w:tcPr>
            <w:tcW w:w="722"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2014</w:t>
            </w:r>
          </w:p>
        </w:tc>
        <w:tc>
          <w:tcPr>
            <w:tcW w:w="1085"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p>
        </w:tc>
        <w:tc>
          <w:tcPr>
            <w:tcW w:w="1445"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良好</w:t>
            </w:r>
          </w:p>
        </w:tc>
        <w:tc>
          <w:tcPr>
            <w:tcW w:w="941"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636"/>
          <w:jc w:val="center"/>
        </w:trPr>
        <w:tc>
          <w:tcPr>
            <w:tcW w:w="548"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15</w:t>
            </w:r>
          </w:p>
        </w:tc>
        <w:tc>
          <w:tcPr>
            <w:tcW w:w="144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发电机</w:t>
            </w:r>
          </w:p>
        </w:tc>
        <w:tc>
          <w:tcPr>
            <w:tcW w:w="1343"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3</w:t>
            </w:r>
            <w:r>
              <w:rPr>
                <w:rFonts w:ascii="仿宋" w:eastAsia="仿宋" w:hAnsi="仿宋" w:cs="宋体"/>
                <w:shadow w:val="0"/>
                <w:snapToGrid w:val="0"/>
                <w:color w:val="000000"/>
                <w:w w:val="100"/>
                <w:position w:val="0"/>
                <w:sz w:val="21"/>
                <w:szCs w:val="21"/>
                <w:vertAlign w:val="baseline"/>
              </w:rPr>
              <w:t>0kw</w:t>
            </w:r>
          </w:p>
        </w:tc>
        <w:tc>
          <w:tcPr>
            <w:tcW w:w="456"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重庆</w:t>
            </w:r>
          </w:p>
        </w:tc>
        <w:tc>
          <w:tcPr>
            <w:tcW w:w="722"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shadow w:val="0"/>
                <w:snapToGrid w:val="0"/>
                <w:color w:val="000000"/>
                <w:w w:val="100"/>
                <w:position w:val="0"/>
                <w:sz w:val="21"/>
                <w:szCs w:val="21"/>
                <w:vertAlign w:val="baseline"/>
              </w:rPr>
              <w:t>20</w:t>
            </w:r>
            <w:r>
              <w:rPr>
                <w:rFonts w:ascii="仿宋" w:eastAsia="仿宋" w:hAnsi="仿宋" w:cs="宋体" w:hint="eastAsia"/>
                <w:shadow w:val="0"/>
                <w:snapToGrid w:val="0"/>
                <w:color w:val="000000"/>
                <w:w w:val="100"/>
                <w:position w:val="0"/>
                <w:sz w:val="21"/>
                <w:szCs w:val="21"/>
                <w:vertAlign w:val="baseline"/>
              </w:rPr>
              <w:t>13</w:t>
            </w:r>
          </w:p>
        </w:tc>
        <w:tc>
          <w:tcPr>
            <w:tcW w:w="108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3</w:t>
            </w:r>
            <w:r>
              <w:rPr>
                <w:rFonts w:ascii="仿宋" w:eastAsia="仿宋" w:hAnsi="仿宋" w:cs="宋体"/>
                <w:shadow w:val="0"/>
                <w:snapToGrid w:val="0"/>
                <w:color w:val="000000"/>
                <w:w w:val="100"/>
                <w:position w:val="0"/>
                <w:sz w:val="21"/>
                <w:szCs w:val="21"/>
                <w:vertAlign w:val="baseline"/>
              </w:rPr>
              <w:t>0kw</w:t>
            </w:r>
          </w:p>
        </w:tc>
        <w:tc>
          <w:tcPr>
            <w:tcW w:w="1445"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良好</w:t>
            </w:r>
          </w:p>
        </w:tc>
        <w:tc>
          <w:tcPr>
            <w:tcW w:w="941"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636"/>
          <w:jc w:val="center"/>
        </w:trPr>
        <w:tc>
          <w:tcPr>
            <w:tcW w:w="548"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cs="宋体" w:hint="eastAsia"/>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16</w:t>
            </w:r>
          </w:p>
        </w:tc>
        <w:tc>
          <w:tcPr>
            <w:tcW w:w="1449" w:type="dxa"/>
            <w:vAlign w:val="center"/>
          </w:tcPr>
          <w:p>
            <w:pPr>
              <w:keepNext w:val="0"/>
              <w:keepLines w:val="0"/>
              <w:pageBreakBefore w:val="0"/>
              <w:widowControl w:val="0"/>
              <w:kinsoku/>
              <w:wordWrap/>
              <w:overflowPunct/>
              <w:topLinePunct w:val="0"/>
              <w:autoSpaceDE/>
              <w:autoSpaceDN/>
              <w:bidi w:val="0"/>
              <w:snapToGrid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shadow w:val="0"/>
                <w:color w:val="000000"/>
                <w:w w:val="100"/>
                <w:position w:val="0"/>
                <w:sz w:val="21"/>
                <w:szCs w:val="21"/>
                <w:vertAlign w:val="baseline"/>
              </w:rPr>
              <w:t>压路机</w:t>
            </w:r>
          </w:p>
        </w:tc>
        <w:tc>
          <w:tcPr>
            <w:tcW w:w="1343" w:type="dxa"/>
            <w:vAlign w:val="center"/>
          </w:tcPr>
          <w:p>
            <w:pPr>
              <w:keepNext w:val="0"/>
              <w:keepLines w:val="0"/>
              <w:pageBreakBefore w:val="0"/>
              <w:widowControl w:val="0"/>
              <w:kinsoku/>
              <w:wordWrap/>
              <w:overflowPunct/>
              <w:topLinePunct w:val="0"/>
              <w:autoSpaceDE/>
              <w:autoSpaceDN/>
              <w:bidi w:val="0"/>
              <w:snapToGrid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shadow w:val="0"/>
                <w:color w:val="000000"/>
                <w:w w:val="100"/>
                <w:position w:val="0"/>
                <w:sz w:val="21"/>
                <w:szCs w:val="21"/>
                <w:vertAlign w:val="baseline"/>
              </w:rPr>
              <w:t>ZS6005</w:t>
            </w:r>
          </w:p>
        </w:tc>
        <w:tc>
          <w:tcPr>
            <w:tcW w:w="456" w:type="dxa"/>
            <w:vAlign w:val="center"/>
          </w:tcPr>
          <w:p>
            <w:pPr>
              <w:keepNext w:val="0"/>
              <w:keepLines w:val="0"/>
              <w:pageBreakBefore w:val="0"/>
              <w:widowControl w:val="0"/>
              <w:kinsoku/>
              <w:wordWrap/>
              <w:overflowPunct/>
              <w:topLinePunct w:val="0"/>
              <w:autoSpaceDE/>
              <w:autoSpaceDN/>
              <w:bidi w:val="0"/>
              <w:snapToGrid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4</w:t>
            </w:r>
          </w:p>
        </w:tc>
        <w:tc>
          <w:tcPr>
            <w:tcW w:w="722" w:type="dxa"/>
            <w:vAlign w:val="center"/>
          </w:tcPr>
          <w:p>
            <w:pPr>
              <w:keepNext w:val="0"/>
              <w:keepLines w:val="0"/>
              <w:pageBreakBefore w:val="0"/>
              <w:widowControl w:val="0"/>
              <w:kinsoku/>
              <w:wordWrap/>
              <w:overflowPunct/>
              <w:topLinePunct w:val="0"/>
              <w:autoSpaceDE/>
              <w:autoSpaceDN/>
              <w:bidi w:val="0"/>
              <w:snapToGrid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成都</w:t>
            </w:r>
          </w:p>
        </w:tc>
        <w:tc>
          <w:tcPr>
            <w:tcW w:w="722" w:type="dxa"/>
            <w:vAlign w:val="center"/>
          </w:tcPr>
          <w:p>
            <w:pPr>
              <w:keepNext w:val="0"/>
              <w:keepLines w:val="0"/>
              <w:pageBreakBefore w:val="0"/>
              <w:widowControl w:val="0"/>
              <w:kinsoku/>
              <w:wordWrap/>
              <w:overflowPunct/>
              <w:topLinePunct w:val="0"/>
              <w:autoSpaceDE/>
              <w:autoSpaceDN/>
              <w:bidi w:val="0"/>
              <w:snapToGrid w:val="0"/>
              <w:spacing w:line="320" w:lineRule="atLeast"/>
              <w:ind w:left="0" w:leftChars="0"/>
              <w:jc w:val="center"/>
              <w:textAlignment w:val="auto"/>
              <w:outlineLvl w:val="9"/>
              <w:rPr>
                <w:rFonts w:ascii="仿宋" w:eastAsia="仿宋" w:hAnsi="仿宋" w:hint="eastAsia"/>
                <w:shadow w:val="0"/>
                <w:color w:val="000000"/>
                <w:w w:val="100"/>
                <w:position w:val="0"/>
                <w:szCs w:val="21"/>
                <w:vertAlign w:val="baseline"/>
              </w:rPr>
            </w:pPr>
            <w:r>
              <w:rPr>
                <w:rFonts w:ascii="仿宋" w:eastAsia="仿宋" w:hAnsi="仿宋" w:hint="eastAsia"/>
                <w:shadow w:val="0"/>
                <w:color w:val="000000"/>
                <w:w w:val="100"/>
                <w:position w:val="0"/>
                <w:sz w:val="21"/>
                <w:szCs w:val="21"/>
                <w:vertAlign w:val="baseline"/>
              </w:rPr>
              <w:t>2014</w:t>
            </w:r>
          </w:p>
        </w:tc>
        <w:tc>
          <w:tcPr>
            <w:tcW w:w="1085"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p>
        </w:tc>
        <w:tc>
          <w:tcPr>
            <w:tcW w:w="1445" w:type="dxa"/>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良好</w:t>
            </w:r>
          </w:p>
        </w:tc>
        <w:tc>
          <w:tcPr>
            <w:tcW w:w="941"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vAlign w:val="center"/>
          </w:tcPr>
          <w:p>
            <w:pPr>
              <w:keepNext w:val="0"/>
              <w:keepLines w:val="0"/>
              <w:pageBreakBefore w:val="0"/>
              <w:widowControl w:val="0"/>
              <w:kinsoku/>
              <w:wordWrap/>
              <w:overflowPunct/>
              <w:topLinePunct w:val="0"/>
              <w:autoSpaceDE/>
              <w:autoSpaceDN/>
              <w:bidi w:val="0"/>
              <w:adjustRightInd w:val="0"/>
              <w:snapToGrid w:val="0"/>
              <w:spacing w:line="320" w:lineRule="atLeast"/>
              <w:ind w:left="0" w:leftChars="0"/>
              <w:jc w:val="center"/>
              <w:textAlignment w:val="auto"/>
              <w:outlineLvl w:val="9"/>
              <w:rPr>
                <w:rFonts w:ascii="仿宋" w:eastAsia="仿宋" w:hAnsi="仿宋" w:hint="eastAsia"/>
                <w:shadow w:val="0"/>
                <w:snapToGrid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636"/>
          <w:jc w:val="center"/>
        </w:trPr>
        <w:tc>
          <w:tcPr>
            <w:tcW w:w="548"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17</w:t>
            </w:r>
          </w:p>
        </w:tc>
        <w:tc>
          <w:tcPr>
            <w:tcW w:w="1449"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钢筋弯曲机</w:t>
            </w:r>
          </w:p>
        </w:tc>
        <w:tc>
          <w:tcPr>
            <w:tcW w:w="1343"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WJ－40</w:t>
            </w:r>
          </w:p>
        </w:tc>
        <w:tc>
          <w:tcPr>
            <w:tcW w:w="456"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w:t>
            </w:r>
          </w:p>
        </w:tc>
        <w:tc>
          <w:tcPr>
            <w:tcW w:w="722"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山西</w:t>
            </w:r>
          </w:p>
        </w:tc>
        <w:tc>
          <w:tcPr>
            <w:tcW w:w="722"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2014</w:t>
            </w:r>
          </w:p>
        </w:tc>
        <w:tc>
          <w:tcPr>
            <w:tcW w:w="1085"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3KW/台</w:t>
            </w:r>
          </w:p>
        </w:tc>
        <w:tc>
          <w:tcPr>
            <w:tcW w:w="1445"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良好</w:t>
            </w:r>
          </w:p>
        </w:tc>
        <w:tc>
          <w:tcPr>
            <w:tcW w:w="941"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636"/>
          <w:jc w:val="center"/>
        </w:trPr>
        <w:tc>
          <w:tcPr>
            <w:tcW w:w="548"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18</w:t>
            </w:r>
          </w:p>
        </w:tc>
        <w:tc>
          <w:tcPr>
            <w:tcW w:w="1449"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钢筋切断机</w:t>
            </w:r>
          </w:p>
        </w:tc>
        <w:tc>
          <w:tcPr>
            <w:tcW w:w="1343"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GQ－50</w:t>
            </w:r>
          </w:p>
        </w:tc>
        <w:tc>
          <w:tcPr>
            <w:tcW w:w="456"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w:t>
            </w:r>
          </w:p>
        </w:tc>
        <w:tc>
          <w:tcPr>
            <w:tcW w:w="722"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山西</w:t>
            </w:r>
          </w:p>
        </w:tc>
        <w:tc>
          <w:tcPr>
            <w:tcW w:w="722"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2014</w:t>
            </w:r>
          </w:p>
        </w:tc>
        <w:tc>
          <w:tcPr>
            <w:tcW w:w="1085"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5.5KW/台</w:t>
            </w:r>
          </w:p>
        </w:tc>
        <w:tc>
          <w:tcPr>
            <w:tcW w:w="1445"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良好</w:t>
            </w:r>
          </w:p>
        </w:tc>
        <w:tc>
          <w:tcPr>
            <w:tcW w:w="941"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657"/>
          <w:jc w:val="center"/>
        </w:trPr>
        <w:tc>
          <w:tcPr>
            <w:tcW w:w="548"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19</w:t>
            </w:r>
          </w:p>
        </w:tc>
        <w:tc>
          <w:tcPr>
            <w:tcW w:w="1449"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钢筋调直机</w:t>
            </w:r>
          </w:p>
        </w:tc>
        <w:tc>
          <w:tcPr>
            <w:tcW w:w="1343"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GT6/12</w:t>
            </w:r>
          </w:p>
        </w:tc>
        <w:tc>
          <w:tcPr>
            <w:tcW w:w="456"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w:t>
            </w:r>
          </w:p>
        </w:tc>
        <w:tc>
          <w:tcPr>
            <w:tcW w:w="722"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shadow w:val="0"/>
                <w:snapToGrid w:val="0"/>
                <w:color w:val="000000"/>
                <w:w w:val="100"/>
                <w:position w:val="0"/>
                <w:sz w:val="21"/>
                <w:szCs w:val="21"/>
                <w:vertAlign w:val="baseline"/>
              </w:rPr>
              <w:t>山西</w:t>
            </w:r>
          </w:p>
        </w:tc>
        <w:tc>
          <w:tcPr>
            <w:tcW w:w="722"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2014</w:t>
            </w:r>
          </w:p>
        </w:tc>
        <w:tc>
          <w:tcPr>
            <w:tcW w:w="1085"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cs="宋体" w:hint="eastAsia"/>
                <w:shadow w:val="0"/>
                <w:snapToGrid w:val="0"/>
                <w:color w:val="000000"/>
                <w:w w:val="100"/>
                <w:position w:val="0"/>
                <w:sz w:val="21"/>
                <w:szCs w:val="21"/>
                <w:vertAlign w:val="baseline"/>
              </w:rPr>
              <w:t>5.5KW/台</w:t>
            </w:r>
          </w:p>
        </w:tc>
        <w:tc>
          <w:tcPr>
            <w:tcW w:w="1445"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rPr>
              <w:t>良好</w:t>
            </w:r>
          </w:p>
        </w:tc>
        <w:tc>
          <w:tcPr>
            <w:tcW w:w="941"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cs="宋体"/>
                <w:shadow w:val="0"/>
                <w:snapToGrid w:val="0"/>
                <w:color w:val="000000"/>
                <w:w w:val="100"/>
                <w:position w:val="0"/>
                <w:szCs w:val="21"/>
                <w:vertAlign w:val="baseline"/>
              </w:rPr>
            </w:pPr>
            <w:r>
              <w:rPr>
                <w:rFonts w:ascii="仿宋" w:eastAsia="仿宋" w:hAnsi="仿宋" w:hint="eastAsia"/>
                <w:shadow w:val="0"/>
                <w:snapToGrid w:val="0"/>
                <w:color w:val="000000"/>
                <w:w w:val="100"/>
                <w:position w:val="0"/>
                <w:sz w:val="21"/>
                <w:szCs w:val="21"/>
                <w:vertAlign w:val="baseline"/>
                <w:lang w:eastAsia="zh-CN"/>
              </w:rPr>
              <w:t>本工程</w:t>
            </w:r>
          </w:p>
        </w:tc>
        <w:tc>
          <w:tcPr>
            <w:tcW w:w="329"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widowControl w:val="0"/>
              <w:kinsoku/>
              <w:wordWrap/>
              <w:overflowPunct/>
              <w:topLinePunct w:val="0"/>
              <w:autoSpaceDE/>
              <w:autoSpaceDN/>
              <w:bidi w:val="0"/>
              <w:spacing w:line="320" w:lineRule="atLeast"/>
              <w:ind w:left="0" w:leftChars="0"/>
              <w:jc w:val="center"/>
              <w:textAlignment w:val="auto"/>
              <w:outlineLvl w:val="9"/>
              <w:rPr>
                <w:rFonts w:ascii="仿宋" w:eastAsia="仿宋" w:hAnsi="仿宋"/>
                <w:shadow w:val="0"/>
                <w:color w:val="000000"/>
                <w:w w:val="100"/>
                <w:position w:val="0"/>
                <w:szCs w:val="21"/>
                <w:vertAlign w:val="baseline"/>
              </w:rPr>
            </w:pPr>
          </w:p>
        </w:tc>
      </w:tr>
    </w:tbl>
    <w:p>
      <w:pPr>
        <w:pStyle w:val="BodyTextFirstIndent2"/>
        <w:ind w:left="0" w:firstLine="0" w:leftChars="0" w:firstLineChars="0"/>
        <w:rPr>
          <w:color w:val="000000"/>
        </w:rPr>
      </w:pPr>
    </w:p>
    <w:p>
      <w:pPr>
        <w:pStyle w:val="BodyTextFirstIndent2"/>
        <w:ind w:left="0" w:firstLine="0" w:leftChars="0" w:firstLineChars="0"/>
        <w:rPr>
          <w:color w:val="000000"/>
        </w:rPr>
      </w:pPr>
    </w:p>
    <w:p>
      <w:pPr>
        <w:pStyle w:val="BodyTextFirstIndent2"/>
        <w:ind w:left="0" w:firstLine="0" w:leftChars="0" w:firstLineChars="0"/>
        <w:rPr>
          <w:color w:val="000000"/>
        </w:rPr>
      </w:pPr>
    </w:p>
    <w:p>
      <w:pPr>
        <w:pStyle w:val="BodyTextFirstIndent2"/>
        <w:ind w:left="0" w:firstLine="0" w:leftChars="0" w:firstLineChars="0"/>
        <w:rPr>
          <w:color w:val="000000"/>
        </w:rPr>
      </w:pPr>
    </w:p>
    <w:p>
      <w:pPr>
        <w:pStyle w:val="BodyTextFirstIndent2"/>
        <w:ind w:left="0" w:firstLine="0" w:leftChars="0" w:firstLineChars="0"/>
        <w:rPr>
          <w:color w:val="000000"/>
        </w:rPr>
      </w:pPr>
    </w:p>
    <w:p>
      <w:pPr>
        <w:pStyle w:val="BodyTextFirstIndent2"/>
        <w:ind w:left="0" w:firstLine="0" w:leftChars="0" w:firstLineChars="0"/>
        <w:rPr>
          <w:color w:val="000000"/>
        </w:rPr>
      </w:pPr>
    </w:p>
    <w:p>
      <w:pPr>
        <w:pStyle w:val="BodyTextFirstIndent2"/>
        <w:ind w:left="0" w:firstLine="0" w:leftChars="0" w:firstLineChars="0"/>
        <w:rPr>
          <w:color w:val="000000"/>
        </w:rPr>
      </w:pPr>
    </w:p>
    <w:p>
      <w:pPr>
        <w:pStyle w:val="BodyTextFirstIndent2"/>
        <w:ind w:left="0" w:firstLine="0" w:leftChars="0" w:firstLineChars="0"/>
        <w:rPr>
          <w:color w:val="000000"/>
        </w:rPr>
      </w:pPr>
    </w:p>
    <w:p>
      <w:pPr>
        <w:pStyle w:val="BodyTextFirstIndent2"/>
        <w:ind w:left="0" w:firstLine="0" w:leftChars="0" w:firstLineChars="0"/>
        <w:rPr>
          <w:color w:val="000000"/>
        </w:rPr>
      </w:pPr>
    </w:p>
    <w:p>
      <w:pPr>
        <w:pStyle w:val="BodyTextFirstIndent2"/>
        <w:ind w:left="0" w:firstLine="0" w:leftChars="0" w:firstLineChars="0"/>
        <w:rPr>
          <w:color w:val="000000"/>
        </w:rPr>
      </w:pPr>
    </w:p>
    <w:p>
      <w:pPr>
        <w:pStyle w:val="BodyTextFirstIndent2"/>
        <w:ind w:left="0" w:firstLine="0" w:leftChars="0" w:firstLineChars="0"/>
        <w:rPr>
          <w:color w:val="000000"/>
        </w:rPr>
      </w:pPr>
    </w:p>
    <w:p>
      <w:pPr>
        <w:pStyle w:val="BodyTextFirstIndent2"/>
        <w:ind w:left="0" w:firstLine="0" w:leftChars="0" w:firstLineChars="0"/>
        <w:rPr>
          <w:color w:val="000000"/>
        </w:rPr>
      </w:pPr>
    </w:p>
    <w:p>
      <w:pPr>
        <w:pStyle w:val="BodyTextFirstIndent2"/>
        <w:ind w:left="0" w:firstLine="0" w:leftChars="0" w:firstLineChars="0"/>
        <w:rPr>
          <w:color w:val="000000"/>
        </w:rPr>
        <w:sectPr>
          <w:type w:val="nextPage"/>
          <w:pgSz w:w="11906" w:h="16838"/>
          <w:pgMar w:top="1440" w:right="1800" w:bottom="1440" w:left="1800" w:header="851" w:footer="992" w:gutter="0"/>
          <w:pgNumType w:start="4"/>
          <w:cols w:space="708"/>
          <w:titlePg w:val="0"/>
          <w:docGrid w:type="lines" w:linePitch="312" w:charSpace="0"/>
        </w:sectPr>
      </w:pPr>
    </w:p>
    <w:p>
      <w:pPr>
        <w:keepNext w:val="0"/>
        <w:keepLines w:val="0"/>
        <w:pageBreakBefore w:val="0"/>
        <w:widowControl w:val="0"/>
        <w:numPr>
          <w:ilvl w:val="0"/>
          <w:numId w:val="0"/>
        </w:numPr>
        <w:tabs>
          <w:tab w:val="left" w:pos="2205"/>
        </w:tabs>
        <w:kinsoku/>
        <w:wordWrap/>
        <w:overflowPunct/>
        <w:topLinePunct w:val="0"/>
        <w:autoSpaceDE/>
        <w:autoSpaceDN/>
        <w:bidi w:val="0"/>
        <w:adjustRightInd/>
        <w:snapToGrid/>
        <w:spacing w:line="500" w:lineRule="exact"/>
        <w:ind w:left="0" w:leftChars="0"/>
        <w:jc w:val="center"/>
        <w:textAlignment w:val="auto"/>
        <w:outlineLvl w:val="9"/>
        <w:rPr>
          <w:rFonts w:ascii="仿宋" w:eastAsia="仿宋" w:hAnsi="仿宋" w:cs="仿宋" w:hint="eastAsia"/>
          <w:b/>
          <w:bCs/>
          <w:color w:val="000000"/>
          <w:sz w:val="32"/>
          <w:szCs w:val="28"/>
        </w:rPr>
      </w:pPr>
      <w:r>
        <w:rPr>
          <w:rFonts w:ascii="仿宋" w:eastAsia="仿宋" w:hAnsi="仿宋" w:cs="仿宋" w:hint="eastAsia"/>
          <w:b/>
          <w:bCs/>
          <w:color w:val="000000"/>
          <w:sz w:val="32"/>
          <w:szCs w:val="28"/>
          <w:lang w:val="en-US" w:eastAsia="zh-CN"/>
        </w:rPr>
        <w:t>第四章  施工方案</w:t>
      </w:r>
    </w:p>
    <w:p>
      <w:pPr>
        <w:pStyle w:val="10880"/>
        <w:keepNext w:val="0"/>
        <w:keepLines w:val="0"/>
        <w:pageBreakBefore w:val="0"/>
        <w:widowControl w:val="0"/>
        <w:kinsoku/>
        <w:wordWrap/>
        <w:overflowPunct/>
        <w:topLinePunct w:val="0"/>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color w:val="000000"/>
          <w:sz w:val="32"/>
          <w:szCs w:val="32"/>
          <w:lang w:eastAsia="zh-CN"/>
        </w:rPr>
      </w:pPr>
      <w:r>
        <w:rPr>
          <w:rFonts w:ascii="仿宋" w:eastAsia="仿宋" w:hAnsi="仿宋" w:cs="仿宋" w:hint="eastAsia"/>
          <w:color w:val="000000"/>
          <w:kern w:val="2"/>
          <w:sz w:val="32"/>
          <w:szCs w:val="32"/>
          <w:lang w:val="en-US" w:eastAsia="zh-CN" w:bidi="ar-SA"/>
        </w:rPr>
        <w:t>4.1</w:t>
      </w:r>
      <w:r>
        <w:rPr>
          <w:rFonts w:ascii="仿宋" w:eastAsia="仿宋" w:hAnsi="仿宋" w:cs="仿宋" w:hint="eastAsia"/>
          <w:color w:val="000000"/>
          <w:sz w:val="32"/>
          <w:szCs w:val="32"/>
        </w:rPr>
        <w:t>混凝土管道</w:t>
      </w:r>
      <w:r>
        <w:rPr>
          <w:rFonts w:ascii="仿宋" w:eastAsia="仿宋" w:hAnsi="仿宋" w:cs="仿宋" w:hint="eastAsia"/>
          <w:color w:val="000000"/>
          <w:sz w:val="32"/>
          <w:szCs w:val="32"/>
          <w:lang w:eastAsia="zh-CN"/>
        </w:rPr>
        <w:t>安装</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4.1.1管道线路测量定位</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1</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测量前先复核水准点，符合规范要求。</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2</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在测量过程中，沿管道线路应设临时水准点，水准点间距不大于100m并与原水准点相闭合。施工水准点应按顺序编号，并测定相应高程。</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3</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若管道线路与地下原有构筑物交叉，必须在地面上用标志标明位置。</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4</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定线测量过程应</w:t>
      </w:r>
      <w:r>
        <w:rPr>
          <w:rFonts w:ascii="仿宋" w:eastAsia="仿宋" w:hAnsi="仿宋" w:cs="仿宋" w:hint="eastAsia"/>
          <w:b w:val="0"/>
          <w:bCs/>
          <w:shadow w:val="0"/>
          <w:color w:val="000000"/>
          <w:w w:val="100"/>
          <w:kern w:val="0"/>
          <w:position w:val="0"/>
          <w:sz w:val="32"/>
          <w:szCs w:val="32"/>
          <w:highlight w:val="none"/>
          <w:vertAlign w:val="baseline"/>
          <w:lang w:val="en-US" w:eastAsia="zh-CN"/>
        </w:rPr>
        <w:t>做好</w:t>
      </w:r>
      <w:r>
        <w:rPr>
          <w:rFonts w:ascii="仿宋" w:eastAsia="仿宋" w:hAnsi="仿宋" w:cs="仿宋" w:hint="eastAsia"/>
          <w:b w:val="0"/>
          <w:bCs/>
          <w:shadow w:val="0"/>
          <w:color w:val="000000"/>
          <w:w w:val="100"/>
          <w:kern w:val="0"/>
          <w:position w:val="0"/>
          <w:sz w:val="32"/>
          <w:szCs w:val="32"/>
          <w:vertAlign w:val="baseline"/>
          <w:lang w:val="en-US" w:eastAsia="zh-CN"/>
        </w:rPr>
        <w:t>准确记录，并标明全部水准点和连接线。</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5</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根据图纸和现场交底的控制点，进行管道和井位的复测，做好中心桩、方向桩固定井位桩的验桩、拴点工作，测量高程闭合差要满足规范要求。</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6</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施工过程中发现桩钉错位或丢失及时校正或补桩。</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bookmarkStart w:id="46" w:name="_Toc261088168"/>
      <w:bookmarkStart w:id="47" w:name="_Toc261088169"/>
      <w:r>
        <w:rPr>
          <w:rFonts w:ascii="仿宋" w:eastAsia="仿宋" w:hAnsi="仿宋" w:cs="仿宋" w:hint="eastAsia"/>
          <w:b w:val="0"/>
          <w:bCs/>
          <w:shadow w:val="0"/>
          <w:color w:val="000000"/>
          <w:w w:val="100"/>
          <w:kern w:val="0"/>
          <w:position w:val="0"/>
          <w:sz w:val="32"/>
          <w:szCs w:val="32"/>
          <w:vertAlign w:val="baseline"/>
          <w:lang w:val="en-US" w:eastAsia="zh-CN"/>
        </w:rPr>
        <w:t>4.1.2开槽埋管施工</w:t>
      </w:r>
      <w:bookmarkEnd w:id="46"/>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4.1.2.1埋管工艺综述</w:t>
      </w:r>
      <w:bookmarkEnd w:id="47"/>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根据技术设计和规范要求和我公司下水道工程施工的实践经验，开槽埋管采取以下技术措施：</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（1）本标段的排水管道采用横列板支护和钢板桩支护的施工技术措施，其中开挖深度小于3m的根据现场地质条件全部使用横列板支护或直接放坡开挖，大于3m的全部采用钢板桩支护。</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（2）根据地质资料情况，对沟</w:t>
      </w:r>
      <w:r>
        <w:rPr>
          <w:rFonts w:ascii="仿宋" w:eastAsia="仿宋" w:hAnsi="仿宋" w:cs="仿宋" w:hint="eastAsia"/>
          <w:b w:val="0"/>
          <w:bCs/>
          <w:shadow w:val="0"/>
          <w:color w:val="000000"/>
          <w:w w:val="100"/>
          <w:kern w:val="0"/>
          <w:position w:val="0"/>
          <w:sz w:val="32"/>
          <w:szCs w:val="32"/>
          <w:highlight w:val="none"/>
          <w:vertAlign w:val="baseline"/>
          <w:lang w:val="en-US" w:eastAsia="zh-CN"/>
        </w:rPr>
        <w:t>槽槽</w:t>
      </w:r>
      <w:r>
        <w:rPr>
          <w:rFonts w:ascii="仿宋" w:eastAsia="仿宋" w:hAnsi="仿宋" w:cs="仿宋" w:hint="eastAsia"/>
          <w:b w:val="0"/>
          <w:bCs/>
          <w:shadow w:val="0"/>
          <w:color w:val="000000"/>
          <w:w w:val="100"/>
          <w:kern w:val="0"/>
          <w:position w:val="0"/>
          <w:sz w:val="32"/>
          <w:szCs w:val="32"/>
          <w:vertAlign w:val="baseline"/>
          <w:lang w:val="en-US" w:eastAsia="zh-CN"/>
        </w:rPr>
        <w:t>底深度大于原地面标高以下2米的管道，采取轻型井点降低地下水位的施工技术措施，其余的采用明排水措施。</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5"/>
          <w:cols w:space="708"/>
          <w:titlePg w:val="0"/>
          <w:docGrid w:type="lines" w:linePitch="312" w:charSpace="0"/>
        </w:sectPr>
      </w:pPr>
      <w:bookmarkStart w:id="48" w:name="_Toc261088170"/>
      <w:r>
        <w:rPr>
          <w:rFonts w:ascii="仿宋" w:eastAsia="仿宋" w:hAnsi="仿宋" w:cs="仿宋" w:hint="eastAsia"/>
          <w:b w:val="0"/>
          <w:bCs/>
          <w:shadow w:val="0"/>
          <w:color w:val="000000"/>
          <w:w w:val="100"/>
          <w:kern w:val="0"/>
          <w:position w:val="0"/>
          <w:sz w:val="32"/>
          <w:szCs w:val="32"/>
          <w:vertAlign w:val="baseline"/>
          <w:lang w:val="en-US" w:eastAsia="zh-CN"/>
        </w:rPr>
        <w:t>4.1.2.2开槽埋管主要施工方法</w:t>
      </w:r>
      <w:bookmarkEnd w:id="48"/>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（1）测量放样</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根据设计图纸及现场交桩得到的相关材料资料进行现场施工放样和。临时桩的设置，全部放样资料上报监理对轴线和标高进行复测无误后才能进行下一道工序的施工。</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沟槽平面放样应根据管道中心控制桩和沟槽宽度放出的沟槽开挖边线，测定管道标高应设置高程样板控制。高程样板必须通过复核后才能使用。</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在沟槽开挖、基础施工及管道铺设过程中应经常进行复核，发现偏差应及时纠正，所有现场原始测量资料必须仔细整理归档，需要上报监理审核的应及时上报监理工程师进行审核。</w:t>
      </w:r>
    </w:p>
    <w:p>
      <w:pPr>
        <w:keepNext w:val="0"/>
        <w:keepLines w:val="0"/>
        <w:pageBreakBefore w:val="0"/>
        <w:widowControl w:val="0"/>
        <w:kinsoku/>
        <w:wordWrap/>
        <w:overflowPunct/>
        <w:topLinePunct w:val="0"/>
        <w:autoSpaceDE/>
        <w:autoSpaceDN/>
        <w:bidi w:val="0"/>
        <w:adjustRightInd w:val="0"/>
        <w:snapToGrid w:val="0"/>
        <w:spacing w:line="500" w:lineRule="exact"/>
        <w:ind w:left="638" w:firstLine="0" w:leftChars="304" w:firstLineChars="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4.1.3沟槽开挖</w:t>
      </w:r>
    </w:p>
    <w:p>
      <w:pPr>
        <w:keepNext w:val="0"/>
        <w:keepLines w:val="0"/>
        <w:pageBreakBefore w:val="0"/>
        <w:widowControl w:val="0"/>
        <w:kinsoku/>
        <w:wordWrap/>
        <w:overflowPunct/>
        <w:topLinePunct w:val="0"/>
        <w:autoSpaceDE/>
        <w:autoSpaceDN/>
        <w:bidi w:val="0"/>
        <w:adjustRightInd w:val="0"/>
        <w:snapToGrid w:val="0"/>
        <w:spacing w:line="500" w:lineRule="exact"/>
        <w:ind w:firstLine="64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1</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根据现场实际情况，开槽以机械开挖人工配合的方式进行。</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638" w:firstLine="0" w:leftChars="304" w:firstLineChars="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管道槽底部的开挖宽度为：</w:t>
      </w:r>
      <w:r>
        <w:rPr>
          <w:rFonts w:ascii="仿宋" w:eastAsia="仿宋" w:hAnsi="仿宋" w:cs="仿宋" w:hint="eastAsia"/>
          <w:b w:val="0"/>
          <w:bCs/>
          <w:shadow w:val="0"/>
          <w:color w:val="000000"/>
          <w:w w:val="100"/>
          <w:kern w:val="0"/>
          <w:position w:val="0"/>
          <w:sz w:val="32"/>
          <w:szCs w:val="32"/>
          <w:vertAlign w:val="baseline"/>
          <w:lang w:val="en-US" w:eastAsia="zh-CN"/>
        </w:rPr>
        <w:br/>
      </w:r>
      <w:r>
        <w:rPr>
          <w:rFonts w:ascii="仿宋" w:eastAsia="仿宋" w:hAnsi="仿宋" w:cs="仿宋" w:hint="eastAsia"/>
          <w:b w:val="0"/>
          <w:bCs/>
          <w:shadow w:val="0"/>
          <w:color w:val="000000"/>
          <w:w w:val="100"/>
          <w:kern w:val="0"/>
          <w:position w:val="0"/>
          <w:sz w:val="32"/>
          <w:szCs w:val="32"/>
          <w:vertAlign w:val="baseline"/>
          <w:lang w:val="en-US" w:eastAsia="zh-CN"/>
        </w:rPr>
        <w:t>B=D1+2b1</w:t>
      </w:r>
      <w:r>
        <w:rPr>
          <w:rFonts w:ascii="仿宋" w:eastAsia="仿宋" w:hAnsi="仿宋" w:cs="仿宋" w:hint="eastAsia"/>
          <w:b w:val="0"/>
          <w:bCs/>
          <w:shadow w:val="0"/>
          <w:color w:val="000000"/>
          <w:w w:val="100"/>
          <w:kern w:val="0"/>
          <w:position w:val="0"/>
          <w:sz w:val="32"/>
          <w:szCs w:val="32"/>
          <w:vertAlign w:val="baseline"/>
          <w:lang w:val="en-US" w:eastAsia="zh-CN"/>
        </w:rPr>
        <w:br/>
      </w:r>
      <w:r>
        <w:rPr>
          <w:rFonts w:ascii="仿宋" w:eastAsia="仿宋" w:hAnsi="仿宋" w:cs="仿宋" w:hint="eastAsia"/>
          <w:b w:val="0"/>
          <w:bCs/>
          <w:shadow w:val="0"/>
          <w:color w:val="000000"/>
          <w:w w:val="100"/>
          <w:kern w:val="0"/>
          <w:position w:val="0"/>
          <w:sz w:val="32"/>
          <w:szCs w:val="32"/>
          <w:vertAlign w:val="baseline"/>
          <w:lang w:val="en-US" w:eastAsia="zh-CN"/>
        </w:rPr>
        <w:t>式中B</w:t>
      </w:r>
      <w:r>
        <w:rPr>
          <w:rFonts w:ascii="仿宋" w:eastAsia="仿宋" w:hAnsi="仿宋" w:cs="仿宋" w:hint="eastAsia"/>
          <w:b w:val="0"/>
          <w:bCs/>
          <w:shadow w:val="0"/>
          <w:color w:val="000000"/>
          <w:w w:val="100"/>
          <w:kern w:val="0"/>
          <w:position w:val="0"/>
          <w:sz w:val="32"/>
          <w:szCs w:val="32"/>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管道槽底部的开槽宽度（㎜）；</w:t>
      </w:r>
      <w:r>
        <w:rPr>
          <w:rFonts w:ascii="仿宋" w:eastAsia="仿宋" w:hAnsi="仿宋" w:cs="仿宋" w:hint="eastAsia"/>
          <w:b w:val="0"/>
          <w:bCs/>
          <w:shadow w:val="0"/>
          <w:color w:val="000000"/>
          <w:w w:val="100"/>
          <w:kern w:val="0"/>
          <w:position w:val="0"/>
          <w:sz w:val="32"/>
          <w:szCs w:val="32"/>
          <w:vertAlign w:val="baseline"/>
          <w:lang w:val="en-US" w:eastAsia="zh-CN"/>
        </w:rPr>
        <w:br/>
      </w:r>
      <w:r>
        <w:rPr>
          <w:rFonts w:ascii="仿宋" w:eastAsia="仿宋" w:hAnsi="仿宋" w:cs="仿宋" w:hint="eastAsia"/>
          <w:b w:val="0"/>
          <w:bCs/>
          <w:shadow w:val="0"/>
          <w:color w:val="000000"/>
          <w:w w:val="100"/>
          <w:kern w:val="0"/>
          <w:position w:val="0"/>
          <w:sz w:val="32"/>
          <w:szCs w:val="32"/>
          <w:vertAlign w:val="baseline"/>
          <w:lang w:val="en-US" w:eastAsia="zh-CN"/>
        </w:rPr>
        <w:t>D1</w:t>
      </w:r>
      <w:r>
        <w:rPr>
          <w:rFonts w:ascii="仿宋" w:eastAsia="仿宋" w:hAnsi="仿宋" w:cs="仿宋" w:hint="eastAsia"/>
          <w:b w:val="0"/>
          <w:bCs/>
          <w:shadow w:val="0"/>
          <w:color w:val="000000"/>
          <w:w w:val="100"/>
          <w:kern w:val="0"/>
          <w:position w:val="0"/>
          <w:sz w:val="32"/>
          <w:szCs w:val="32"/>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管道结构的外缘宽度（㎜）；</w:t>
      </w:r>
      <w:r>
        <w:rPr>
          <w:rFonts w:ascii="仿宋" w:eastAsia="仿宋" w:hAnsi="仿宋" w:cs="仿宋" w:hint="eastAsia"/>
          <w:b w:val="0"/>
          <w:bCs/>
          <w:shadow w:val="0"/>
          <w:color w:val="000000"/>
          <w:w w:val="100"/>
          <w:kern w:val="0"/>
          <w:position w:val="0"/>
          <w:sz w:val="32"/>
          <w:szCs w:val="32"/>
          <w:vertAlign w:val="baseline"/>
          <w:lang w:val="en-US" w:eastAsia="zh-CN"/>
        </w:rPr>
        <w:br/>
      </w:r>
      <w:r>
        <w:rPr>
          <w:rFonts w:ascii="仿宋" w:eastAsia="仿宋" w:hAnsi="仿宋" w:cs="仿宋" w:hint="eastAsia"/>
          <w:b w:val="0"/>
          <w:bCs/>
          <w:shadow w:val="0"/>
          <w:color w:val="000000"/>
          <w:w w:val="100"/>
          <w:kern w:val="0"/>
          <w:position w:val="0"/>
          <w:sz w:val="32"/>
          <w:szCs w:val="32"/>
          <w:vertAlign w:val="baseline"/>
          <w:lang w:val="en-US" w:eastAsia="zh-CN"/>
        </w:rPr>
        <w:t>b1</w:t>
      </w:r>
      <w:r>
        <w:rPr>
          <w:rFonts w:ascii="仿宋" w:eastAsia="仿宋" w:hAnsi="仿宋" w:cs="仿宋" w:hint="eastAsia"/>
          <w:b w:val="0"/>
          <w:bCs/>
          <w:shadow w:val="0"/>
          <w:color w:val="000000"/>
          <w:w w:val="100"/>
          <w:kern w:val="0"/>
          <w:position w:val="0"/>
          <w:sz w:val="32"/>
          <w:szCs w:val="32"/>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管道一侧的工作面宽度（㎜）；</w:t>
      </w:r>
      <w:r>
        <w:rPr>
          <w:rFonts w:ascii="仿宋" w:eastAsia="仿宋" w:hAnsi="仿宋" w:cs="仿宋" w:hint="eastAsia"/>
          <w:b w:val="0"/>
          <w:bCs/>
          <w:shadow w:val="0"/>
          <w:color w:val="000000"/>
          <w:w w:val="100"/>
          <w:kern w:val="0"/>
          <w:position w:val="0"/>
          <w:sz w:val="32"/>
          <w:szCs w:val="32"/>
          <w:vertAlign w:val="baseline"/>
          <w:lang w:val="en-US" w:eastAsia="zh-CN"/>
        </w:rPr>
        <w:br/>
      </w:r>
      <w:r>
        <w:rPr>
          <w:rFonts w:ascii="仿宋" w:eastAsia="仿宋" w:hAnsi="仿宋" w:cs="仿宋" w:hint="eastAsia"/>
          <w:b w:val="0"/>
          <w:bCs/>
          <w:shadow w:val="0"/>
          <w:color w:val="000000"/>
          <w:w w:val="100"/>
          <w:kern w:val="0"/>
          <w:position w:val="0"/>
          <w:sz w:val="32"/>
          <w:szCs w:val="32"/>
          <w:vertAlign w:val="baseline"/>
          <w:lang w:val="en-US" w:eastAsia="zh-CN"/>
        </w:rPr>
        <w:t>槽下有地下水时管道一侧应加宽400㎜；</w:t>
      </w:r>
      <w:r>
        <w:rPr>
          <w:rFonts w:ascii="仿宋" w:eastAsia="仿宋" w:hAnsi="仿宋" w:cs="仿宋" w:hint="eastAsia"/>
          <w:b w:val="0"/>
          <w:bCs/>
          <w:shadow w:val="0"/>
          <w:color w:val="000000"/>
          <w:w w:val="100"/>
          <w:kern w:val="0"/>
          <w:position w:val="0"/>
          <w:sz w:val="32"/>
          <w:szCs w:val="32"/>
          <w:vertAlign w:val="baseline"/>
          <w:lang w:val="en-US" w:eastAsia="zh-CN"/>
        </w:rPr>
        <w:br/>
      </w:r>
      <w:r>
        <w:rPr>
          <w:rFonts w:ascii="仿宋" w:eastAsia="仿宋" w:hAnsi="仿宋" w:cs="仿宋" w:hint="eastAsia"/>
          <w:b w:val="0"/>
          <w:bCs/>
          <w:shadow w:val="0"/>
          <w:color w:val="000000"/>
          <w:w w:val="100"/>
          <w:kern w:val="0"/>
          <w:position w:val="0"/>
          <w:sz w:val="32"/>
          <w:szCs w:val="32"/>
          <w:vertAlign w:val="baseline"/>
          <w:lang w:val="en-US" w:eastAsia="zh-CN"/>
        </w:rPr>
        <w:t>各种管径的开挖宽度根据上式计算得出。</w:t>
      </w:r>
    </w:p>
    <w:p>
      <w:pPr>
        <w:keepNext w:val="0"/>
        <w:keepLines w:val="0"/>
        <w:pageBreakBefore w:val="0"/>
        <w:widowControl w:val="0"/>
        <w:numPr>
          <w:ilvl w:val="0"/>
          <w:numId w:val="4"/>
        </w:numPr>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按设计图纸要求和测量定位的中心线，依据沟槽开挖尺寸，撒好灰线。</w:t>
      </w:r>
    </w:p>
    <w:p>
      <w:pPr>
        <w:keepNext w:val="0"/>
        <w:keepLines w:val="0"/>
        <w:pageBreakBefore w:val="0"/>
        <w:widowControl w:val="0"/>
        <w:numPr>
          <w:ilvl w:val="0"/>
          <w:numId w:val="4"/>
        </w:numPr>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6"/>
          <w:cols w:space="708"/>
          <w:titlePg w:val="0"/>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0" w:firstLine="64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采用机械挖槽时，应向机械司机详细交底，交底内容一般包括挖槽断面、堆土位置，现有地下构筑物情况及施工技术、安全要求等，并应指定专人与司机配合，其配合人员应熟悉机械挖土有关安全操作规程，并与测量人员配合，及时量测槽底高程和宽度及放坡，防止超挖及放陡坡。</w:t>
      </w:r>
    </w:p>
    <w:p>
      <w:pPr>
        <w:keepNext w:val="0"/>
        <w:keepLines w:val="0"/>
        <w:pageBreakBefore w:val="0"/>
        <w:widowControl w:val="0"/>
        <w:numPr>
          <w:ilvl w:val="0"/>
          <w:numId w:val="1"/>
        </w:numPr>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机械挖槽，应确保槽底土壤结构不被扰动和破坏，开挖时应在设计槽底高程以上保留20㎝左右一层不挖，用人工清底（</w:t>
      </w:r>
      <w:r>
        <w:rPr>
          <w:rFonts w:ascii="仿宋" w:eastAsia="仿宋" w:hAnsi="仿宋" w:cs="仿宋" w:hint="eastAsia"/>
          <w:b w:val="0"/>
          <w:bCs/>
          <w:shadow w:val="0"/>
          <w:color w:val="000000"/>
          <w:w w:val="100"/>
          <w:kern w:val="0"/>
          <w:position w:val="0"/>
          <w:sz w:val="32"/>
          <w:szCs w:val="32"/>
          <w:highlight w:val="none"/>
          <w:vertAlign w:val="baseline"/>
          <w:lang w:val="en-US" w:eastAsia="zh-CN"/>
        </w:rPr>
        <w:t>机挖人清</w:t>
      </w:r>
      <w:r>
        <w:rPr>
          <w:rFonts w:ascii="仿宋" w:eastAsia="仿宋" w:hAnsi="仿宋" w:cs="仿宋" w:hint="eastAsia"/>
          <w:b w:val="0"/>
          <w:bCs/>
          <w:shadow w:val="0"/>
          <w:color w:val="000000"/>
          <w:w w:val="100"/>
          <w:kern w:val="0"/>
          <w:position w:val="0"/>
          <w:sz w:val="32"/>
          <w:szCs w:val="32"/>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64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5、人工清挖槽时，应认真控制高程和宽度，并保护槽底土壤结构不受破坏。</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堆土边缘至槽边的距离应根据运输工具而定。</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3</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沟槽支护</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根据本标段现场实际地质情况并结合我公司常年施工经验，拟对开挖深度在原地面以下1.5米以内的沟槽直接放坡开挖，放坡坡度应控制在不陡于1：1.5，开挖至槽底后应根据现场情况设置排水沟及集水井并防止水泵及时抽水，以确保沟槽内不积水及沟槽稳定。开挖过程中应及时对边坡进行修整，以防止发生滑坡及坍方，并对现场管线进行有效的保护。</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开挖深度大于1.5米时采用横列板支护形式，横列板支护时，挖土深度至1.2m需要及时撑头挡板，以后每次撑板的高度一般控制在0.6m～0.8m。</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横列板采用组合钢撑板(钢围檩)，其尺寸为长4m，宽20cm，厚6cm～6.4cm。采用铁板与角铁焊接而成或用特殊型钢制作而成。</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横列板要水平放置，板缝严密，板头齐正，深度要到碎石基础面。</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7"/>
          <w:cols w:space="708"/>
          <w:titlePg w:val="0"/>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沟槽支撑采用铁撑柱，铁撑柱二头要求水平，每层高度一致，每块竖列板上支撑不少于二只铁撑柱，铁撑柱的水平间距不大于3m，垂直间距不大于1.5m，头档铁撑柱距地面一般为0.6m～0.8m。铁撑柱在施工时其钢管套筒不得弯曲，支撑要充分绞紧。</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沟槽挖土采用机械和人工相结合的施工方法，采用履带液压挖掘机挖土。机械挖土时采用人工修边。为防止扰动槽底土层或超挖，机械挖土控制在距槽底土基标高30cm处，采用人工挖土，修整槽底，两侧开挖排水明沟。根据沟槽长度布设集水井和抽水泵，确保在施工期间沟槽内不积水。</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2</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钢板桩支护的沟槽</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针对开挖深度大于3米的开槽埋管，拟采用钢板桩围护。钢板桩采用槽钢，根据现场支护条件和技术规范及实际经验，选用钢板桩长度的计算公式为：</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L=H+(T/H)</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L</w:t>
      </w:r>
      <w:r>
        <w:rPr>
          <w:rFonts w:ascii="仿宋" w:eastAsia="仿宋" w:hAnsi="仿宋" w:cs="仿宋" w:hint="eastAsia"/>
          <w:b w:val="0"/>
          <w:bCs/>
          <w:shadow w:val="0"/>
          <w:color w:val="000000"/>
          <w:w w:val="100"/>
          <w:kern w:val="0"/>
          <w:position w:val="0"/>
          <w:sz w:val="32"/>
          <w:szCs w:val="32"/>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钢板桩的长度</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H</w:t>
      </w:r>
      <w:r>
        <w:rPr>
          <w:rFonts w:ascii="仿宋" w:eastAsia="仿宋" w:hAnsi="仿宋" w:cs="仿宋" w:hint="eastAsia"/>
          <w:b w:val="0"/>
          <w:bCs/>
          <w:shadow w:val="0"/>
          <w:color w:val="000000"/>
          <w:w w:val="100"/>
          <w:kern w:val="0"/>
          <w:position w:val="0"/>
          <w:sz w:val="32"/>
          <w:szCs w:val="32"/>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沟槽的深度</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T</w:t>
      </w:r>
      <w:r>
        <w:rPr>
          <w:rFonts w:ascii="仿宋" w:eastAsia="仿宋" w:hAnsi="仿宋" w:cs="仿宋" w:hint="eastAsia"/>
          <w:b w:val="0"/>
          <w:bCs/>
          <w:shadow w:val="0"/>
          <w:color w:val="000000"/>
          <w:w w:val="100"/>
          <w:kern w:val="0"/>
          <w:position w:val="0"/>
          <w:sz w:val="32"/>
          <w:szCs w:val="32"/>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根据沟槽深度和土层物理力学性质选取的钢板桩入土深度。</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钢板</w:t>
      </w:r>
      <w:r>
        <w:rPr>
          <w:rFonts w:ascii="仿宋" w:eastAsia="仿宋" w:hAnsi="仿宋" w:cs="仿宋" w:hint="eastAsia"/>
          <w:b w:val="0"/>
          <w:bCs/>
          <w:shadow w:val="0"/>
          <w:color w:val="000000"/>
          <w:w w:val="100"/>
          <w:kern w:val="0"/>
          <w:position w:val="0"/>
          <w:sz w:val="32"/>
          <w:szCs w:val="32"/>
          <w:highlight w:val="none"/>
          <w:vertAlign w:val="baseline"/>
          <w:lang w:val="en-US" w:eastAsia="zh-CN"/>
        </w:rPr>
        <w:t>桩施打</w:t>
      </w:r>
      <w:r>
        <w:rPr>
          <w:rFonts w:ascii="仿宋" w:eastAsia="仿宋" w:hAnsi="仿宋" w:cs="仿宋" w:hint="eastAsia"/>
          <w:b w:val="0"/>
          <w:bCs/>
          <w:shadow w:val="0"/>
          <w:color w:val="000000"/>
          <w:w w:val="100"/>
          <w:kern w:val="0"/>
          <w:position w:val="0"/>
          <w:sz w:val="32"/>
          <w:szCs w:val="32"/>
          <w:vertAlign w:val="baseline"/>
          <w:lang w:val="en-US" w:eastAsia="zh-CN"/>
        </w:rPr>
        <w:t>的方法为：</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根据沟槽边线先开挖钢板桩槽，宽度为0.6m，深度挖到土层，并要暴露地下管线和障碍物，然后采用打桩机施打钢板桩。打设钢板桩时，若遇地下管线应请公用管线的监护人到现场进行监护，并采用适当的保护措施。钢板桩打设完毕后，可进行轻型井点施工，当井点降水至沟槽底0.5m时可进行沟槽挖土。</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8"/>
          <w:cols w:space="708"/>
          <w:titlePg w:val="0"/>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钢板桩支护的沟槽挖土，采用人工与机械相结合的方法进行施工，头层土采用挖掘机至2m，然后进行头道支撑，以后采用机械挖土，人工配合修边，支撑采用铁撑柱，支撑的水平间距不大于3m，垂直距离不大于2.0m，在管顶净距离0.2m处设置最后一道支撑。为确保沟槽稳定，在挖至沟槽底时，距离沟底30cm处设置一道临时支撑，待基础完成后，在排管前拆除。</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机械挖土要严格控制挖土标高，挖土至槽底标高30cm时，应停止机械挖土，采用人工挖土，然后修整槽底，清除淤泥和碎土。若有超挖和遇障碍物清除后，采用砾石砂填实，不得用土回填。</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机械挖土时设专人指挥，并维护施工现场安全和机械运转范围的</w:t>
      </w:r>
      <w:r>
        <w:rPr>
          <w:rFonts w:ascii="仿宋" w:eastAsia="仿宋" w:hAnsi="仿宋" w:cs="仿宋" w:hint="eastAsia"/>
          <w:b w:val="0"/>
          <w:bCs/>
          <w:shadow w:val="0"/>
          <w:color w:val="000000"/>
          <w:w w:val="100"/>
          <w:kern w:val="0"/>
          <w:position w:val="0"/>
          <w:sz w:val="32"/>
          <w:szCs w:val="32"/>
          <w:highlight w:val="none"/>
          <w:vertAlign w:val="baseline"/>
          <w:lang w:val="en-US" w:eastAsia="zh-CN"/>
        </w:rPr>
        <w:t>围</w:t>
      </w:r>
      <w:r>
        <w:rPr>
          <w:rFonts w:ascii="仿宋" w:eastAsia="仿宋" w:hAnsi="仿宋" w:cs="仿宋" w:hint="eastAsia"/>
          <w:b w:val="0"/>
          <w:bCs/>
          <w:shadow w:val="0"/>
          <w:color w:val="000000"/>
          <w:w w:val="100"/>
          <w:kern w:val="0"/>
          <w:position w:val="0"/>
          <w:sz w:val="32"/>
          <w:szCs w:val="32"/>
          <w:vertAlign w:val="baseline"/>
          <w:lang w:val="en-US" w:eastAsia="zh-CN"/>
        </w:rPr>
        <w:t>护标志。</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所有开挖出的土方必须运至指定地点堆放。临时堆土时，高度不得大于1.5m，离沟槽边的距离不得小于1.2m。在消防栓、管线阀门、混凝土检查井、测量标志等周围不能临时堆土。</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沟槽开挖端头处纵向坡度不应陡于1：3，以防止滑坡等。</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沟槽开挖必须随挖随撑、先撑后挖，严禁超挖，并经常检查支撑情况。</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沟槽开挖完成后应立即通知监理进行验槽，验收合格后及时进行管道基础施工，尽量减少槽底暴露时间。</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4.1.4管道安装工程</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钢筋混凝土</w:t>
      </w:r>
      <w:r>
        <w:rPr>
          <w:rFonts w:ascii="仿宋" w:eastAsia="仿宋" w:hAnsi="仿宋" w:cs="仿宋" w:hint="eastAsia"/>
          <w:b w:val="0"/>
          <w:bCs/>
          <w:shadow w:val="0"/>
          <w:color w:val="000000"/>
          <w:w w:val="100"/>
          <w:kern w:val="0"/>
          <w:position w:val="0"/>
          <w:sz w:val="32"/>
          <w:szCs w:val="32"/>
          <w:vertAlign w:val="baseline"/>
          <w:lang w:val="en-US" w:eastAsia="zh-CN"/>
        </w:rPr>
        <w:t>承插口管道安装：</w:t>
      </w:r>
    </w:p>
    <w:p>
      <w:pPr>
        <w:keepNext w:val="0"/>
        <w:keepLines w:val="0"/>
        <w:pageBreakBefore w:val="0"/>
        <w:widowControl w:val="0"/>
        <w:kinsoku/>
        <w:wordWrap/>
        <w:overflowPunct/>
        <w:topLinePunct w:val="0"/>
        <w:autoSpaceDE/>
        <w:autoSpaceDN/>
        <w:bidi w:val="0"/>
        <w:adjustRightInd w:val="0"/>
        <w:snapToGrid w:val="0"/>
        <w:spacing w:line="500" w:lineRule="exact"/>
        <w:ind w:left="0" w:firstLine="640" w:leftChars="0" w:firstLineChars="200"/>
        <w:jc w:val="both"/>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砂砾基础：沟槽开挖边坡，施工可根据管道安装条件及土质情况自行调整。</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回填基础时，应根据砂石基础的厚度分层回填、夯实，整平砂石后用平板振捣</w:t>
      </w:r>
      <w:r>
        <w:rPr>
          <w:rFonts w:ascii="仿宋" w:eastAsia="仿宋" w:hAnsi="仿宋" w:cs="仿宋" w:hint="eastAsia"/>
          <w:b w:val="0"/>
          <w:bCs/>
          <w:shadow w:val="0"/>
          <w:color w:val="000000"/>
          <w:w w:val="100"/>
          <w:kern w:val="0"/>
          <w:position w:val="0"/>
          <w:sz w:val="32"/>
          <w:szCs w:val="32"/>
          <w:highlight w:val="none"/>
          <w:vertAlign w:val="baseline"/>
          <w:lang w:val="en-US" w:eastAsia="zh-CN"/>
        </w:rPr>
        <w:t>夯夯</w:t>
      </w:r>
      <w:r>
        <w:rPr>
          <w:rFonts w:ascii="仿宋" w:eastAsia="仿宋" w:hAnsi="仿宋" w:cs="仿宋" w:hint="eastAsia"/>
          <w:b w:val="0"/>
          <w:bCs/>
          <w:shadow w:val="0"/>
          <w:color w:val="000000"/>
          <w:w w:val="100"/>
          <w:kern w:val="0"/>
          <w:position w:val="0"/>
          <w:sz w:val="32"/>
          <w:szCs w:val="32"/>
          <w:vertAlign w:val="baseline"/>
          <w:lang w:val="en-US" w:eastAsia="zh-CN"/>
        </w:rPr>
        <w:t>实，夯实的密实应达到95%以上，应保持砂石的基础的含水量。</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承插口管道地基的原状土层不得扰动，其地基承载力不应低于0.06Mpa，否则应进行地基处理。</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9"/>
          <w:cols w:space="708"/>
          <w:titlePg w:val="0"/>
          <w:docGrid w:type="lines" w:linePitch="312" w:charSpace="0"/>
        </w:sectPr>
      </w:pPr>
      <w:r>
        <w:rPr>
          <w:rFonts w:ascii="仿宋" w:eastAsia="仿宋" w:hAnsi="仿宋" w:cs="仿宋" w:hint="eastAsia"/>
          <w:b w:val="0"/>
          <w:bCs/>
          <w:shadow w:val="0"/>
          <w:color w:val="000000"/>
          <w:w w:val="100"/>
          <w:kern w:val="0"/>
          <w:position w:val="0"/>
          <w:sz w:val="32"/>
          <w:szCs w:val="32"/>
          <w:vertAlign w:val="baseline"/>
          <w:lang w:val="en-US" w:eastAsia="zh-CN"/>
        </w:rPr>
        <w:t>管道铺设：</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下管前进行外观检查，发现管节存在裂缝、破损等缺陷，及时修补并经有关部门认定合格后方可下入槽内。</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管道铺设前的准备工作</w:t>
      </w:r>
    </w:p>
    <w:p>
      <w:pPr>
        <w:pageBreakBefore w:val="0"/>
        <w:numPr>
          <w:ilvl w:val="0"/>
          <w:numId w:val="2"/>
        </w:numPr>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准备好施工机具、工具、吊运设备、承插管、橡胶圈、润滑剂等材料。</w:t>
      </w:r>
    </w:p>
    <w:p>
      <w:pPr>
        <w:pageBreakBefore w:val="0"/>
        <w:numPr>
          <w:ilvl w:val="0"/>
          <w:numId w:val="2"/>
        </w:numPr>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复核沟槽中心线和基础标高。</w:t>
      </w:r>
    </w:p>
    <w:p>
      <w:pPr>
        <w:pageBreakBefore w:val="0"/>
        <w:numPr>
          <w:ilvl w:val="0"/>
          <w:numId w:val="2"/>
        </w:numPr>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清除承口内表面和插口外表面的油污、杂物。</w:t>
      </w:r>
    </w:p>
    <w:p>
      <w:pPr>
        <w:pageBreakBefore w:val="0"/>
        <w:numPr>
          <w:ilvl w:val="0"/>
          <w:numId w:val="2"/>
        </w:numPr>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按管径选用相应的橡胶圈，并检查橡胶圈外观应无气泡、裂缝及碰伤等缺陷。</w:t>
      </w:r>
    </w:p>
    <w:p>
      <w:pPr>
        <w:pageBreakBefore w:val="0"/>
        <w:numPr>
          <w:ilvl w:val="0"/>
          <w:numId w:val="2"/>
        </w:numPr>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准备好润滑剂，用刷子、布头沿插口涂刷一遍，然后将橡胶圈平滑套入，橡胶密封圈放置位置。</w:t>
      </w:r>
    </w:p>
    <w:p>
      <w:pPr>
        <w:pageBreakBefore w:val="0"/>
        <w:numPr>
          <w:ilvl w:val="0"/>
          <w:numId w:val="0"/>
        </w:numPr>
        <w:kinsoku/>
        <w:wordWrap/>
        <w:overflowPunct/>
        <w:autoSpaceDE/>
        <w:autoSpaceDN/>
        <w:bidi w:val="0"/>
        <w:adjustRightInd/>
        <w:snapToGrid/>
        <w:spacing w:line="500" w:lineRule="exact"/>
        <w:ind w:left="420" w:left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（2）安管顺序：</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1</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从下游排向上游，插口向下游，承口向上游。以吊车系下第一节管，将管头放在已弹好线的检查井井墙内壁处（承口放在来水方向，若是插口则放在出水方向），按照井中测桩（既是中心桩又是高程桩）找好中心线及两端高程后，才能</w:t>
      </w:r>
      <w:r>
        <w:rPr>
          <w:rFonts w:ascii="仿宋" w:eastAsia="仿宋" w:hAnsi="仿宋" w:cs="仿宋" w:hint="eastAsia"/>
          <w:b w:val="0"/>
          <w:bCs/>
          <w:shadow w:val="0"/>
          <w:color w:val="000000"/>
          <w:w w:val="100"/>
          <w:kern w:val="0"/>
          <w:position w:val="0"/>
          <w:sz w:val="32"/>
          <w:szCs w:val="32"/>
          <w:highlight w:val="none"/>
          <w:vertAlign w:val="baseline"/>
          <w:lang w:val="en-US" w:eastAsia="zh-CN"/>
        </w:rPr>
        <w:t>松吊回臂</w:t>
      </w:r>
      <w:r>
        <w:rPr>
          <w:rFonts w:ascii="仿宋" w:eastAsia="仿宋" w:hAnsi="仿宋" w:cs="仿宋" w:hint="eastAsia"/>
          <w:b w:val="0"/>
          <w:bCs/>
          <w:shadow w:val="0"/>
          <w:color w:val="000000"/>
          <w:w w:val="100"/>
          <w:kern w:val="0"/>
          <w:position w:val="0"/>
          <w:sz w:val="32"/>
          <w:szCs w:val="32"/>
          <w:vertAlign w:val="baseline"/>
          <w:lang w:val="en-US" w:eastAsia="zh-CN"/>
        </w:rPr>
        <w:t>。</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2</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继续系稳第二、第三节管并随稳随测后端中线和高程直到另一检查井。带承口的半节管排在检查井的进水方向，带插口的</w:t>
      </w:r>
      <w:r>
        <w:rPr>
          <w:rFonts w:ascii="仿宋" w:eastAsia="仿宋" w:hAnsi="仿宋" w:cs="仿宋" w:hint="eastAsia"/>
          <w:b w:val="0"/>
          <w:bCs/>
          <w:shadow w:val="0"/>
          <w:color w:val="000000"/>
          <w:w w:val="100"/>
          <w:kern w:val="0"/>
          <w:position w:val="0"/>
          <w:sz w:val="32"/>
          <w:szCs w:val="32"/>
          <w:highlight w:val="none"/>
          <w:vertAlign w:val="baseline"/>
          <w:lang w:val="en-US" w:eastAsia="zh-CN"/>
        </w:rPr>
        <w:t>半节管排</w:t>
      </w:r>
      <w:r>
        <w:rPr>
          <w:rFonts w:ascii="仿宋" w:eastAsia="仿宋" w:hAnsi="仿宋" w:cs="仿宋" w:hint="eastAsia"/>
          <w:b w:val="0"/>
          <w:bCs/>
          <w:shadow w:val="0"/>
          <w:color w:val="000000"/>
          <w:w w:val="100"/>
          <w:kern w:val="0"/>
          <w:position w:val="0"/>
          <w:sz w:val="32"/>
          <w:szCs w:val="32"/>
          <w:vertAlign w:val="baseline"/>
          <w:lang w:val="en-US" w:eastAsia="zh-CN"/>
        </w:rPr>
        <w:t>在检查井的出水方向。</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3</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为准确控制管位，须在第一节管的两端用支撑控制并固定。</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4</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并以此</w:t>
      </w:r>
      <w:r>
        <w:rPr>
          <w:rFonts w:ascii="仿宋" w:eastAsia="仿宋" w:hAnsi="仿宋" w:cs="仿宋" w:hint="eastAsia"/>
          <w:b w:val="0"/>
          <w:bCs/>
          <w:shadow w:val="0"/>
          <w:color w:val="000000"/>
          <w:w w:val="100"/>
          <w:kern w:val="0"/>
          <w:position w:val="0"/>
          <w:sz w:val="32"/>
          <w:szCs w:val="32"/>
          <w:highlight w:val="none"/>
          <w:vertAlign w:val="baseline"/>
          <w:lang w:val="en-US" w:eastAsia="zh-CN"/>
        </w:rPr>
        <w:t>做为调节</w:t>
      </w:r>
      <w:r>
        <w:rPr>
          <w:rFonts w:ascii="仿宋" w:eastAsia="仿宋" w:hAnsi="仿宋" w:cs="仿宋" w:hint="eastAsia"/>
          <w:b w:val="0"/>
          <w:bCs/>
          <w:shadow w:val="0"/>
          <w:color w:val="000000"/>
          <w:w w:val="100"/>
          <w:kern w:val="0"/>
          <w:position w:val="0"/>
          <w:sz w:val="32"/>
          <w:szCs w:val="32"/>
          <w:vertAlign w:val="baseline"/>
          <w:lang w:val="en-US" w:eastAsia="zh-CN"/>
        </w:rPr>
        <w:t>下一节管端头中线位置及调整后的管头固定方法。</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（3）管节合拢采用两只3t</w:t>
      </w:r>
      <w:r>
        <w:rPr>
          <w:rFonts w:ascii="仿宋" w:eastAsia="仿宋" w:hAnsi="仿宋" w:cs="仿宋" w:hint="eastAsia"/>
          <w:b w:val="0"/>
          <w:bCs/>
          <w:shadow w:val="0"/>
          <w:color w:val="000000"/>
          <w:w w:val="100"/>
          <w:kern w:val="0"/>
          <w:position w:val="0"/>
          <w:sz w:val="32"/>
          <w:szCs w:val="32"/>
          <w:highlight w:val="none"/>
          <w:vertAlign w:val="baseline"/>
          <w:lang w:val="en-US" w:eastAsia="zh-CN"/>
        </w:rPr>
        <w:t>手扳</w:t>
      </w:r>
      <w:r>
        <w:rPr>
          <w:rFonts w:ascii="仿宋" w:eastAsia="仿宋" w:hAnsi="仿宋" w:cs="仿宋" w:hint="eastAsia"/>
          <w:b w:val="0"/>
          <w:bCs/>
          <w:shadow w:val="0"/>
          <w:color w:val="000000"/>
          <w:w w:val="100"/>
          <w:kern w:val="0"/>
          <w:position w:val="0"/>
          <w:sz w:val="32"/>
          <w:szCs w:val="32"/>
          <w:vertAlign w:val="baseline"/>
          <w:lang w:val="en-US" w:eastAsia="zh-CN"/>
        </w:rPr>
        <w:t>葫芦方法：</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10"/>
          <w:cols w:space="708"/>
          <w:titlePg w:val="0"/>
          <w:docGrid w:type="lines" w:linePitch="312" w:charSpace="0"/>
        </w:sectPr>
      </w:pPr>
      <w:r>
        <w:rPr>
          <w:rFonts w:ascii="仿宋" w:eastAsia="仿宋" w:hAnsi="仿宋" w:cs="仿宋" w:hint="eastAsia"/>
          <w:b w:val="0"/>
          <w:bCs/>
          <w:shadow w:val="0"/>
          <w:color w:val="000000"/>
          <w:w w:val="100"/>
          <w:kern w:val="0"/>
          <w:position w:val="0"/>
          <w:sz w:val="32"/>
          <w:szCs w:val="32"/>
          <w:highlight w:val="none"/>
          <w:vertAlign w:val="baseline"/>
          <w:lang w:val="en-US" w:eastAsia="zh-CN"/>
        </w:rPr>
        <w:t>手扳</w:t>
      </w:r>
      <w:r>
        <w:rPr>
          <w:rFonts w:ascii="仿宋" w:eastAsia="仿宋" w:hAnsi="仿宋" w:cs="仿宋" w:hint="eastAsia"/>
          <w:b w:val="0"/>
          <w:bCs/>
          <w:shadow w:val="0"/>
          <w:color w:val="000000"/>
          <w:w w:val="100"/>
          <w:kern w:val="0"/>
          <w:position w:val="0"/>
          <w:sz w:val="32"/>
          <w:szCs w:val="32"/>
          <w:vertAlign w:val="baseline"/>
          <w:lang w:val="en-US" w:eastAsia="zh-CN"/>
        </w:rPr>
        <w:t>葫芦一端用钢丝绳与承口拉钩连接，另一端作为固定反力端，管节合拢时两只</w:t>
      </w:r>
      <w:r>
        <w:rPr>
          <w:rFonts w:ascii="仿宋" w:eastAsia="仿宋" w:hAnsi="仿宋" w:cs="仿宋" w:hint="eastAsia"/>
          <w:b w:val="0"/>
          <w:bCs/>
          <w:shadow w:val="0"/>
          <w:color w:val="000000"/>
          <w:w w:val="100"/>
          <w:kern w:val="0"/>
          <w:position w:val="0"/>
          <w:sz w:val="32"/>
          <w:szCs w:val="32"/>
          <w:highlight w:val="none"/>
          <w:vertAlign w:val="baseline"/>
          <w:lang w:val="en-US" w:eastAsia="zh-CN"/>
        </w:rPr>
        <w:t>手扳</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葫芦应放置在管节水平直径处，拉钩勾在被合拢管节的承口壁，</w:t>
      </w:r>
      <w:r>
        <w:rPr>
          <w:rFonts w:ascii="仿宋" w:eastAsia="仿宋" w:hAnsi="仿宋" w:cs="仿宋" w:hint="eastAsia"/>
          <w:b w:val="0"/>
          <w:bCs/>
          <w:shadow w:val="0"/>
          <w:color w:val="000000"/>
          <w:w w:val="100"/>
          <w:kern w:val="0"/>
          <w:position w:val="0"/>
          <w:sz w:val="32"/>
          <w:szCs w:val="32"/>
          <w:highlight w:val="none"/>
          <w:vertAlign w:val="baseline"/>
          <w:lang w:val="en-US" w:eastAsia="zh-CN"/>
        </w:rPr>
        <w:t>手扳</w:t>
      </w:r>
      <w:r>
        <w:rPr>
          <w:rFonts w:ascii="仿宋" w:eastAsia="仿宋" w:hAnsi="仿宋" w:cs="仿宋" w:hint="eastAsia"/>
          <w:b w:val="0"/>
          <w:bCs/>
          <w:shadow w:val="0"/>
          <w:color w:val="000000"/>
          <w:w w:val="100"/>
          <w:kern w:val="0"/>
          <w:position w:val="0"/>
          <w:sz w:val="32"/>
          <w:szCs w:val="32"/>
          <w:vertAlign w:val="baseline"/>
          <w:lang w:val="en-US" w:eastAsia="zh-CN"/>
        </w:rPr>
        <w:t>葫芦反力端可用钢丝绳，卡扣等固定于临时方木，合拢时两只</w:t>
      </w:r>
      <w:r>
        <w:rPr>
          <w:rFonts w:ascii="仿宋" w:eastAsia="仿宋" w:hAnsi="仿宋" w:cs="仿宋" w:hint="eastAsia"/>
          <w:b w:val="0"/>
          <w:bCs/>
          <w:shadow w:val="0"/>
          <w:color w:val="000000"/>
          <w:w w:val="100"/>
          <w:kern w:val="0"/>
          <w:position w:val="0"/>
          <w:sz w:val="32"/>
          <w:szCs w:val="32"/>
          <w:highlight w:val="none"/>
          <w:vertAlign w:val="baseline"/>
          <w:lang w:val="en-US" w:eastAsia="zh-CN"/>
        </w:rPr>
        <w:t>手扳</w:t>
      </w:r>
      <w:r>
        <w:rPr>
          <w:rFonts w:ascii="仿宋" w:eastAsia="仿宋" w:hAnsi="仿宋" w:cs="仿宋" w:hint="eastAsia"/>
          <w:b w:val="0"/>
          <w:bCs/>
          <w:shadow w:val="0"/>
          <w:color w:val="000000"/>
          <w:w w:val="100"/>
          <w:kern w:val="0"/>
          <w:position w:val="0"/>
          <w:sz w:val="32"/>
          <w:szCs w:val="32"/>
          <w:vertAlign w:val="baseline"/>
          <w:lang w:val="en-US" w:eastAsia="zh-CN"/>
        </w:rPr>
        <w:t>葫芦应同步拉动，使管节合拢。</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稳管时，先进入管内检查对口，减少错口现象。管内底高程偏差在+10mm内，中心偏差不超过10mm，相邻管内底错口不大于3mm。</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锁管：辅管后为防止前几节管子的管口移动，可用钢丝绳和吊链锁在后面管上。</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管道安装后进行两侧管基的回填。回填时管道两侧同时进行，每次厚度不大于200mm，以保证管道不发生位移和管基的密实。</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 xml:space="preserve">（4）管子承插就位，放松钢丝绳时应进行下列检查： </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highlight w:val="none"/>
          <w:vertAlign w:val="baseline"/>
          <w:lang w:val="en-US" w:eastAsia="zh-CN"/>
        </w:rPr>
        <w:t>复核管节</w:t>
      </w:r>
      <w:r>
        <w:rPr>
          <w:rFonts w:ascii="仿宋" w:eastAsia="仿宋" w:hAnsi="仿宋" w:cs="仿宋" w:hint="eastAsia"/>
          <w:b w:val="0"/>
          <w:bCs/>
          <w:shadow w:val="0"/>
          <w:color w:val="000000"/>
          <w:w w:val="100"/>
          <w:kern w:val="0"/>
          <w:position w:val="0"/>
          <w:sz w:val="32"/>
          <w:szCs w:val="32"/>
          <w:vertAlign w:val="baseline"/>
          <w:lang w:val="en-US" w:eastAsia="zh-CN"/>
        </w:rPr>
        <w:t>的高程（标高）和中心线。高程有误差时利用吊车</w:t>
      </w:r>
      <w:r>
        <w:rPr>
          <w:rFonts w:ascii="仿宋" w:eastAsia="仿宋" w:hAnsi="仿宋" w:cs="仿宋" w:hint="eastAsia"/>
          <w:b w:val="0"/>
          <w:bCs/>
          <w:shadow w:val="0"/>
          <w:color w:val="000000"/>
          <w:w w:val="100"/>
          <w:kern w:val="0"/>
          <w:position w:val="0"/>
          <w:sz w:val="32"/>
          <w:szCs w:val="32"/>
          <w:highlight w:val="none"/>
          <w:vertAlign w:val="baseline"/>
          <w:lang w:val="en-US" w:eastAsia="zh-CN"/>
        </w:rPr>
        <w:t>系管点动找准</w:t>
      </w:r>
      <w:r>
        <w:rPr>
          <w:rFonts w:ascii="仿宋" w:eastAsia="仿宋" w:hAnsi="仿宋" w:cs="仿宋" w:hint="eastAsia"/>
          <w:b w:val="0"/>
          <w:bCs/>
          <w:shadow w:val="0"/>
          <w:color w:val="000000"/>
          <w:w w:val="100"/>
          <w:kern w:val="0"/>
          <w:position w:val="0"/>
          <w:sz w:val="32"/>
          <w:szCs w:val="32"/>
          <w:vertAlign w:val="baseline"/>
          <w:lang w:val="en-US" w:eastAsia="zh-CN"/>
        </w:rPr>
        <w:t>；高时用特别小铲除去砂层，低时塞入砂料并用小锺击实。就位稳好后，可用2组4个楔形混凝土块以90</w:t>
      </w:r>
      <w:r>
        <w:rPr>
          <w:rFonts w:ascii="仿宋" w:eastAsia="仿宋" w:hAnsi="仿宋" w:cs="仿宋" w:hint="eastAsia"/>
          <w:b w:val="0"/>
          <w:bCs/>
          <w:shadow w:val="0"/>
          <w:color w:val="000000"/>
          <w:w w:val="100"/>
          <w:kern w:val="0"/>
          <w:position w:val="0"/>
          <w:sz w:val="32"/>
          <w:szCs w:val="32"/>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支承角,置于管道两侧底角处楔紧，其纵向位置每组距离管端1/5处。检查承插口之间的间隙为9mm-15mm。</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11"/>
          <w:cols w:space="708"/>
          <w:titlePg w:val="0"/>
          <w:docGrid w:type="lines" w:linePitch="312" w:charSpace="0"/>
        </w:sectPr>
      </w:pPr>
      <w:r>
        <w:rPr>
          <w:rFonts w:ascii="仿宋" w:eastAsia="仿宋" w:hAnsi="仿宋" w:cs="仿宋" w:hint="eastAsia"/>
          <w:b w:val="0"/>
          <w:bCs/>
          <w:shadow w:val="0"/>
          <w:color w:val="000000"/>
          <w:w w:val="100"/>
          <w:kern w:val="0"/>
          <w:position w:val="0"/>
          <w:sz w:val="32"/>
          <w:szCs w:val="32"/>
          <w:vertAlign w:val="baseline"/>
          <w:lang w:val="en-US" w:eastAsia="zh-CN"/>
        </w:rPr>
        <w:t>基础施工前，必须复核高程样板的标高。一般在沟槽底部4m左右钉一只样桩，并用样尺检查桩顶标高，以控制挖土面和垫层面、基础面。基础的底层土应人工挖除，修整槽底，清除淤泥和碎土。如有超挖，应用砾石砂或旧料填实，不得用土回填。槽底土基经验收后方可进行基础施工。UPVC管及HDPE管采用15cm碎石或砾石砂基础+10cm粗砂找平层，碎石粒径为25～38mm，砾石砂粒径</w:t>
      </w:r>
      <w:r>
        <w:rPr>
          <w:rFonts w:ascii="仿宋" w:eastAsia="仿宋" w:hAnsi="仿宋" w:cs="仿宋" w:hint="eastAsia"/>
          <w:b w:val="0"/>
          <w:bCs/>
          <w:shadow w:val="0"/>
          <w:color w:val="000000"/>
          <w:w w:val="100"/>
          <w:kern w:val="0"/>
          <w:position w:val="0"/>
          <w:sz w:val="32"/>
          <w:szCs w:val="32"/>
          <w:highlight w:val="none"/>
          <w:vertAlign w:val="baseline"/>
          <w:lang w:val="en-US" w:eastAsia="zh-CN"/>
        </w:rPr>
        <w:t>&lt;</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60mm；碎石砾石砂垫层按规定的沟槽宽度满堂铺筑、摊平、拍实；钢筋混凝土管道采用C25现浇素砼基础，砼基础侧向模板安装应缝隙严密、支撑牢固，标高和轴线正确，并符合结构尺寸要求，砼下料采用料斗或滑槽，禁止从上往下直接倾倒，防止砼离析。砼浇筑需用拍板或平板振动器拍平、振实。砼基础浇筑完毕后，12小时内不</w:t>
      </w:r>
      <w:r>
        <w:rPr>
          <w:rFonts w:ascii="仿宋" w:eastAsia="仿宋" w:hAnsi="仿宋" w:cs="仿宋" w:hint="eastAsia"/>
          <w:b w:val="0"/>
          <w:bCs/>
          <w:shadow w:val="0"/>
          <w:color w:val="000000"/>
          <w:w w:val="100"/>
          <w:kern w:val="0"/>
          <w:position w:val="0"/>
          <w:sz w:val="32"/>
          <w:szCs w:val="32"/>
          <w:highlight w:val="none"/>
          <w:vertAlign w:val="baseline"/>
          <w:lang w:val="en-US" w:eastAsia="zh-CN"/>
        </w:rPr>
        <w:t>得浸</w:t>
      </w:r>
      <w:r>
        <w:rPr>
          <w:rFonts w:ascii="仿宋" w:eastAsia="仿宋" w:hAnsi="仿宋" w:cs="仿宋" w:hint="eastAsia"/>
          <w:b w:val="0"/>
          <w:bCs/>
          <w:shadow w:val="0"/>
          <w:color w:val="000000"/>
          <w:w w:val="100"/>
          <w:kern w:val="0"/>
          <w:position w:val="0"/>
          <w:sz w:val="32"/>
          <w:szCs w:val="32"/>
          <w:vertAlign w:val="baseline"/>
          <w:lang w:val="en-US" w:eastAsia="zh-CN"/>
        </w:rPr>
        <w:t>水，并进行养护。做好基础砼的试块工作，砼需达到强度75%后方可进行排管施工。</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管道基础施工实测项目允许偏差</w:t>
      </w:r>
    </w:p>
    <w:tbl>
      <w:tblPr>
        <w:tblStyle w:val="TableNormal"/>
        <w:jc w:val="center"/>
        <w:tblInd w:w="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89"/>
        <w:gridCol w:w="1766"/>
        <w:gridCol w:w="1766"/>
        <w:gridCol w:w="1766"/>
        <w:gridCol w:w="1768"/>
        <w:gridCol w:w="1016"/>
      </w:tblGrid>
      <w:tr>
        <w:tblPrEx>
          <w:jc w:val="center"/>
          <w:tblInd w:w="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jc w:val="center"/>
        </w:trPr>
        <w:tc>
          <w:tcPr>
            <w:tcW w:w="989"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项次</w:t>
            </w:r>
          </w:p>
        </w:tc>
        <w:tc>
          <w:tcPr>
            <w:tcW w:w="3532"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检查项目</w:t>
            </w:r>
          </w:p>
        </w:tc>
        <w:tc>
          <w:tcPr>
            <w:tcW w:w="176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规定值或允许偏差</w:t>
            </w:r>
          </w:p>
        </w:tc>
        <w:tc>
          <w:tcPr>
            <w:tcW w:w="1768"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检查方法和频率</w:t>
            </w:r>
          </w:p>
        </w:tc>
        <w:tc>
          <w:tcPr>
            <w:tcW w:w="101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权值</w:t>
            </w:r>
          </w:p>
        </w:tc>
      </w:tr>
      <w:tr>
        <w:tblPrEx>
          <w:jc w:val="center"/>
          <w:tblInd w:w="646" w:type="dxa"/>
          <w:tblLayout w:type="fixed"/>
          <w:tblCellMar>
            <w:top w:w="0" w:type="dxa"/>
            <w:left w:w="108" w:type="dxa"/>
            <w:bottom w:w="0" w:type="dxa"/>
            <w:right w:w="108" w:type="dxa"/>
          </w:tblCellMar>
          <w:tblLook w:val="0000"/>
        </w:tblPrEx>
        <w:trPr>
          <w:trHeight w:val="454"/>
          <w:jc w:val="center"/>
        </w:trPr>
        <w:tc>
          <w:tcPr>
            <w:tcW w:w="989"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1</w:t>
            </w:r>
          </w:p>
        </w:tc>
        <w:tc>
          <w:tcPr>
            <w:tcW w:w="3532"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混厚度凝土强度（Mpa）</w:t>
            </w:r>
          </w:p>
        </w:tc>
        <w:tc>
          <w:tcPr>
            <w:tcW w:w="176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符合设计要求</w:t>
            </w:r>
          </w:p>
        </w:tc>
        <w:tc>
          <w:tcPr>
            <w:tcW w:w="1768"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按附录D检查</w:t>
            </w:r>
          </w:p>
        </w:tc>
        <w:tc>
          <w:tcPr>
            <w:tcW w:w="101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3</w:t>
            </w:r>
          </w:p>
        </w:tc>
      </w:tr>
      <w:tr>
        <w:tblPrEx>
          <w:jc w:val="center"/>
          <w:tblInd w:w="646" w:type="dxa"/>
          <w:tblLayout w:type="fixed"/>
          <w:tblCellMar>
            <w:top w:w="0" w:type="dxa"/>
            <w:left w:w="108" w:type="dxa"/>
            <w:bottom w:w="0" w:type="dxa"/>
            <w:right w:w="108" w:type="dxa"/>
          </w:tblCellMar>
          <w:tblLook w:val="0000"/>
        </w:tblPrEx>
        <w:trPr>
          <w:trHeight w:val="454"/>
          <w:jc w:val="center"/>
        </w:trPr>
        <w:tc>
          <w:tcPr>
            <w:tcW w:w="989"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2</w:t>
            </w:r>
          </w:p>
        </w:tc>
        <w:tc>
          <w:tcPr>
            <w:tcW w:w="3532"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基础中线每侧宽度（mm）</w:t>
            </w:r>
          </w:p>
        </w:tc>
        <w:tc>
          <w:tcPr>
            <w:tcW w:w="176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+10,0</w:t>
            </w:r>
          </w:p>
        </w:tc>
        <w:tc>
          <w:tcPr>
            <w:tcW w:w="1768"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挂中线、钢卷尺、</w:t>
            </w:r>
            <w:r>
              <w:rPr>
                <w:rFonts w:ascii="仿宋" w:eastAsia="仿宋" w:hAnsi="仿宋" w:cs="仿宋" w:hint="eastAsia"/>
                <w:shadow w:val="0"/>
                <w:color w:val="000000"/>
                <w:w w:val="100"/>
                <w:position w:val="0"/>
                <w:sz w:val="21"/>
                <w:szCs w:val="21"/>
                <w:highlight w:val="none"/>
                <w:vertAlign w:val="baseline"/>
              </w:rPr>
              <w:t>每侧每</w:t>
            </w:r>
            <w:r>
              <w:rPr>
                <w:rFonts w:ascii="仿宋" w:eastAsia="仿宋" w:hAnsi="仿宋" w:cs="仿宋" w:hint="eastAsia"/>
                <w:shadow w:val="0"/>
                <w:color w:val="000000"/>
                <w:w w:val="100"/>
                <w:position w:val="0"/>
                <w:sz w:val="21"/>
                <w:szCs w:val="21"/>
                <w:vertAlign w:val="baseline"/>
              </w:rPr>
              <w:t>10米侧一点</w:t>
            </w:r>
          </w:p>
        </w:tc>
        <w:tc>
          <w:tcPr>
            <w:tcW w:w="101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1</w:t>
            </w:r>
          </w:p>
        </w:tc>
      </w:tr>
      <w:tr>
        <w:tblPrEx>
          <w:jc w:val="center"/>
          <w:tblInd w:w="646" w:type="dxa"/>
          <w:tblLayout w:type="fixed"/>
          <w:tblCellMar>
            <w:top w:w="0" w:type="dxa"/>
            <w:left w:w="108" w:type="dxa"/>
            <w:bottom w:w="0" w:type="dxa"/>
            <w:right w:w="108" w:type="dxa"/>
          </w:tblCellMar>
          <w:tblLook w:val="0000"/>
        </w:tblPrEx>
        <w:trPr>
          <w:trHeight w:val="454"/>
          <w:jc w:val="center"/>
        </w:trPr>
        <w:tc>
          <w:tcPr>
            <w:tcW w:w="989"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3</w:t>
            </w:r>
          </w:p>
        </w:tc>
        <w:tc>
          <w:tcPr>
            <w:tcW w:w="3532"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基础厚度（mm）</w:t>
            </w:r>
          </w:p>
        </w:tc>
        <w:tc>
          <w:tcPr>
            <w:tcW w:w="176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+10,0</w:t>
            </w:r>
          </w:p>
        </w:tc>
        <w:tc>
          <w:tcPr>
            <w:tcW w:w="1768"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挂中线、钢卷尺、</w:t>
            </w:r>
            <w:r>
              <w:rPr>
                <w:rFonts w:ascii="仿宋" w:eastAsia="仿宋" w:hAnsi="仿宋" w:cs="仿宋" w:hint="eastAsia"/>
                <w:shadow w:val="0"/>
                <w:color w:val="000000"/>
                <w:w w:val="100"/>
                <w:position w:val="0"/>
                <w:sz w:val="21"/>
                <w:szCs w:val="21"/>
                <w:highlight w:val="none"/>
                <w:vertAlign w:val="baseline"/>
              </w:rPr>
              <w:t>每侧每</w:t>
            </w:r>
            <w:r>
              <w:rPr>
                <w:rFonts w:ascii="仿宋" w:eastAsia="仿宋" w:hAnsi="仿宋" w:cs="仿宋" w:hint="eastAsia"/>
                <w:shadow w:val="0"/>
                <w:color w:val="000000"/>
                <w:w w:val="100"/>
                <w:position w:val="0"/>
                <w:sz w:val="21"/>
                <w:szCs w:val="21"/>
                <w:vertAlign w:val="baseline"/>
              </w:rPr>
              <w:t>10米侧一点</w:t>
            </w:r>
          </w:p>
        </w:tc>
        <w:tc>
          <w:tcPr>
            <w:tcW w:w="101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3</w:t>
            </w:r>
          </w:p>
        </w:tc>
      </w:tr>
      <w:tr>
        <w:tblPrEx>
          <w:jc w:val="center"/>
          <w:tblInd w:w="646" w:type="dxa"/>
          <w:tblLayout w:type="fixed"/>
          <w:tblCellMar>
            <w:top w:w="0" w:type="dxa"/>
            <w:left w:w="108" w:type="dxa"/>
            <w:bottom w:w="0" w:type="dxa"/>
            <w:right w:w="108" w:type="dxa"/>
          </w:tblCellMar>
          <w:tblLook w:val="0000"/>
        </w:tblPrEx>
        <w:trPr>
          <w:trHeight w:val="454"/>
          <w:jc w:val="center"/>
        </w:trPr>
        <w:tc>
          <w:tcPr>
            <w:tcW w:w="989"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4</w:t>
            </w:r>
          </w:p>
        </w:tc>
        <w:tc>
          <w:tcPr>
            <w:tcW w:w="176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基础高程（mm）</w:t>
            </w:r>
          </w:p>
        </w:tc>
        <w:tc>
          <w:tcPr>
            <w:tcW w:w="176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刚性基础</w:t>
            </w:r>
          </w:p>
        </w:tc>
        <w:tc>
          <w:tcPr>
            <w:tcW w:w="176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0，20</w:t>
            </w:r>
          </w:p>
        </w:tc>
        <w:tc>
          <w:tcPr>
            <w:tcW w:w="1768"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水准仪、每10米测一点</w:t>
            </w:r>
          </w:p>
        </w:tc>
        <w:tc>
          <w:tcPr>
            <w:tcW w:w="101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lef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1</w:t>
            </w:r>
          </w:p>
        </w:tc>
      </w:tr>
    </w:tbl>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管节安装施工实测项目允许偏差</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48"/>
        <w:gridCol w:w="1408"/>
        <w:gridCol w:w="1408"/>
        <w:gridCol w:w="2237"/>
        <w:gridCol w:w="3170"/>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jc w:val="center"/>
        </w:trPr>
        <w:tc>
          <w:tcPr>
            <w:tcW w:w="848"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项次</w:t>
            </w:r>
          </w:p>
        </w:tc>
        <w:tc>
          <w:tcPr>
            <w:tcW w:w="2816" w:type="dxa"/>
            <w:gridSpan w:val="2"/>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检查项目</w:t>
            </w:r>
          </w:p>
        </w:tc>
        <w:tc>
          <w:tcPr>
            <w:tcW w:w="2237"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规定值或允许偏差</w:t>
            </w:r>
          </w:p>
        </w:tc>
        <w:tc>
          <w:tcPr>
            <w:tcW w:w="3170"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检查方法和频率</w:t>
            </w:r>
          </w:p>
        </w:tc>
      </w:tr>
      <w:tr>
        <w:tblPrEx>
          <w:jc w:val="center"/>
          <w:tblLayout w:type="fixed"/>
          <w:tblCellMar>
            <w:top w:w="0" w:type="dxa"/>
            <w:left w:w="108" w:type="dxa"/>
            <w:bottom w:w="0" w:type="dxa"/>
            <w:right w:w="108" w:type="dxa"/>
          </w:tblCellMar>
          <w:tblLook w:val="0000"/>
        </w:tblPrEx>
        <w:trPr>
          <w:trHeight w:val="454"/>
          <w:jc w:val="center"/>
        </w:trPr>
        <w:tc>
          <w:tcPr>
            <w:tcW w:w="848"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1</w:t>
            </w:r>
          </w:p>
        </w:tc>
        <w:tc>
          <w:tcPr>
            <w:tcW w:w="2816" w:type="dxa"/>
            <w:gridSpan w:val="2"/>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中线位移（mm）</w:t>
            </w:r>
          </w:p>
        </w:tc>
        <w:tc>
          <w:tcPr>
            <w:tcW w:w="2237"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20</w:t>
            </w:r>
          </w:p>
        </w:tc>
        <w:tc>
          <w:tcPr>
            <w:tcW w:w="3170"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挂中线、钢卷尺：两井之间</w:t>
            </w:r>
          </w:p>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测2点，取最大值</w:t>
            </w:r>
          </w:p>
        </w:tc>
      </w:tr>
      <w:tr>
        <w:tblPrEx>
          <w:jc w:val="center"/>
          <w:tblLayout w:type="fixed"/>
          <w:tblCellMar>
            <w:top w:w="0" w:type="dxa"/>
            <w:left w:w="108" w:type="dxa"/>
            <w:bottom w:w="0" w:type="dxa"/>
            <w:right w:w="108" w:type="dxa"/>
          </w:tblCellMar>
          <w:tblLook w:val="0000"/>
        </w:tblPrEx>
        <w:trPr>
          <w:trHeight w:val="454"/>
          <w:jc w:val="center"/>
        </w:trPr>
        <w:tc>
          <w:tcPr>
            <w:tcW w:w="848" w:type="dxa"/>
            <w:vMerge w:val="restart"/>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2</w:t>
            </w:r>
            <w:r>
              <w:rPr>
                <w:rFonts w:ascii="仿宋" w:eastAsia="仿宋" w:hAnsi="仿宋" w:cs="仿宋" w:hint="eastAsia"/>
                <w:shadow w:val="0"/>
                <w:color w:val="000000"/>
                <w:w w:val="100"/>
                <w:kern w:val="2"/>
                <w:position w:val="0"/>
                <w:sz w:val="21"/>
                <w:szCs w:val="21"/>
                <w:vertAlign w:val="baseline"/>
              </w:rPr>
              <w:t>△</w:t>
            </w:r>
          </w:p>
        </w:tc>
        <w:tc>
          <w:tcPr>
            <w:tcW w:w="1408" w:type="dxa"/>
            <w:vMerge w:val="restart"/>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管内底高程（mm）</w:t>
            </w:r>
          </w:p>
        </w:tc>
        <w:tc>
          <w:tcPr>
            <w:tcW w:w="1408"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刚性管材</w:t>
            </w:r>
          </w:p>
        </w:tc>
        <w:tc>
          <w:tcPr>
            <w:tcW w:w="2237"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+20，-10</w:t>
            </w:r>
          </w:p>
        </w:tc>
        <w:tc>
          <w:tcPr>
            <w:tcW w:w="3170" w:type="dxa"/>
            <w:vMerge w:val="restart"/>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水准仪：两井之间测2点</w:t>
            </w:r>
          </w:p>
        </w:tc>
      </w:tr>
      <w:tr>
        <w:tblPrEx>
          <w:jc w:val="center"/>
          <w:tblLayout w:type="fixed"/>
          <w:tblCellMar>
            <w:top w:w="0" w:type="dxa"/>
            <w:left w:w="108" w:type="dxa"/>
            <w:bottom w:w="0" w:type="dxa"/>
            <w:right w:w="108" w:type="dxa"/>
          </w:tblCellMar>
          <w:tblLook w:val="0000"/>
        </w:tblPrEx>
        <w:trPr>
          <w:trHeight w:val="454"/>
          <w:jc w:val="center"/>
        </w:trPr>
        <w:tc>
          <w:tcPr>
            <w:tcW w:w="848" w:type="dxa"/>
            <w:vMerge/>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p>
        </w:tc>
        <w:tc>
          <w:tcPr>
            <w:tcW w:w="1408" w:type="dxa"/>
            <w:vMerge/>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p>
        </w:tc>
        <w:tc>
          <w:tcPr>
            <w:tcW w:w="1408"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柔性管材</w:t>
            </w:r>
          </w:p>
        </w:tc>
        <w:tc>
          <w:tcPr>
            <w:tcW w:w="2237"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+10，-30</w:t>
            </w:r>
          </w:p>
        </w:tc>
        <w:tc>
          <w:tcPr>
            <w:tcW w:w="3170" w:type="dxa"/>
            <w:vMerge/>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p>
        </w:tc>
      </w:tr>
      <w:tr>
        <w:tblPrEx>
          <w:jc w:val="center"/>
          <w:tblLayout w:type="fixed"/>
          <w:tblCellMar>
            <w:top w:w="0" w:type="dxa"/>
            <w:left w:w="108" w:type="dxa"/>
            <w:bottom w:w="0" w:type="dxa"/>
            <w:right w:w="108" w:type="dxa"/>
          </w:tblCellMar>
          <w:tblLook w:val="0000"/>
        </w:tblPrEx>
        <w:trPr>
          <w:trHeight w:val="454"/>
          <w:jc w:val="center"/>
        </w:trPr>
        <w:tc>
          <w:tcPr>
            <w:tcW w:w="848"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3</w:t>
            </w:r>
          </w:p>
        </w:tc>
        <w:tc>
          <w:tcPr>
            <w:tcW w:w="2816" w:type="dxa"/>
            <w:gridSpan w:val="2"/>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承插口之间间隙量（mm）</w:t>
            </w:r>
          </w:p>
        </w:tc>
        <w:tc>
          <w:tcPr>
            <w:tcW w:w="2237"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highlight w:val="none"/>
                <w:vertAlign w:val="baseline"/>
              </w:rPr>
              <w:t>&lt;</w:t>
            </w:r>
            <w:r>
              <w:rPr>
                <w:rFonts w:ascii="仿宋" w:eastAsia="仿宋" w:hAnsi="仿宋" w:cs="仿宋" w:hint="eastAsia"/>
                <w:shadow w:val="0"/>
                <w:color w:val="000000"/>
                <w:w w:val="100"/>
                <w:kern w:val="2"/>
                <w:position w:val="0"/>
                <w:sz w:val="21"/>
                <w:szCs w:val="21"/>
                <w:vertAlign w:val="baseline"/>
              </w:rPr>
              <w:t>9</w:t>
            </w:r>
          </w:p>
        </w:tc>
        <w:tc>
          <w:tcPr>
            <w:tcW w:w="3170"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钢尺：每节测2点</w:t>
            </w:r>
          </w:p>
        </w:tc>
      </w:tr>
    </w:tbl>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（7）雨水进水口</w:t>
      </w:r>
      <w:r>
        <w:rPr>
          <w:rFonts w:ascii="仿宋" w:eastAsia="仿宋" w:hAnsi="仿宋" w:cs="仿宋" w:hint="eastAsia"/>
          <w:b w:val="0"/>
          <w:bCs/>
          <w:shadow w:val="0"/>
          <w:color w:val="000000"/>
          <w:w w:val="100"/>
          <w:kern w:val="0"/>
          <w:position w:val="0"/>
          <w:sz w:val="32"/>
          <w:szCs w:val="32"/>
          <w:highlight w:val="none"/>
          <w:vertAlign w:val="baseline"/>
          <w:lang w:val="en-US" w:eastAsia="zh-CN"/>
        </w:rPr>
        <w:t>及连管</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1</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雨水进水口应按设计图纸和</w:t>
      </w:r>
      <w:r>
        <w:rPr>
          <w:rFonts w:ascii="仿宋" w:eastAsia="仿宋" w:hAnsi="仿宋" w:cs="仿宋" w:hint="eastAsia"/>
          <w:b w:val="0"/>
          <w:bCs/>
          <w:shadow w:val="0"/>
          <w:color w:val="000000"/>
          <w:w w:val="100"/>
          <w:kern w:val="0"/>
          <w:position w:val="0"/>
          <w:sz w:val="32"/>
          <w:szCs w:val="32"/>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上海市排水管道通用图</w:t>
      </w:r>
      <w:r>
        <w:rPr>
          <w:rFonts w:ascii="仿宋" w:eastAsia="仿宋" w:hAnsi="仿宋" w:cs="仿宋" w:hint="eastAsia"/>
          <w:b w:val="0"/>
          <w:bCs/>
          <w:shadow w:val="0"/>
          <w:color w:val="000000"/>
          <w:w w:val="100"/>
          <w:kern w:val="0"/>
          <w:position w:val="0"/>
          <w:sz w:val="32"/>
          <w:szCs w:val="32"/>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施工，雨水进水口应按道路设计要求，正确放样定位。雨水进水口砖墙砌筑和粉刷等施工操作要求按</w:t>
      </w:r>
      <w:r>
        <w:rPr>
          <w:rFonts w:ascii="仿宋" w:eastAsia="仿宋" w:hAnsi="仿宋" w:cs="仿宋" w:hint="eastAsia"/>
          <w:b w:val="0"/>
          <w:bCs/>
          <w:shadow w:val="0"/>
          <w:color w:val="000000"/>
          <w:w w:val="100"/>
          <w:kern w:val="0"/>
          <w:position w:val="0"/>
          <w:sz w:val="32"/>
          <w:szCs w:val="32"/>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混凝土检查井</w:t>
      </w:r>
      <w:r>
        <w:rPr>
          <w:rFonts w:ascii="仿宋" w:eastAsia="仿宋" w:hAnsi="仿宋" w:cs="仿宋" w:hint="eastAsia"/>
          <w:b w:val="0"/>
          <w:bCs/>
          <w:shadow w:val="0"/>
          <w:color w:val="000000"/>
          <w:w w:val="100"/>
          <w:kern w:val="0"/>
          <w:position w:val="0"/>
          <w:sz w:val="32"/>
          <w:szCs w:val="32"/>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lang w:val="en-US" w:eastAsia="zh-CN"/>
        </w:rPr>
        <w:t>有关规定执行。</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2</w:t>
      </w:r>
      <w:r>
        <w:rPr>
          <w:rFonts w:ascii="仿宋" w:eastAsia="仿宋" w:hAnsi="仿宋" w:cs="仿宋" w:hint="eastAsia"/>
          <w:b w:val="0"/>
          <w:bCs/>
          <w:shadow w:val="0"/>
          <w:color w:val="000000"/>
          <w:w w:val="100"/>
          <w:kern w:val="0"/>
          <w:position w:val="0"/>
          <w:sz w:val="32"/>
          <w:szCs w:val="32"/>
          <w:highlight w:val="none"/>
          <w:vertAlign w:val="baseline"/>
          <w:lang w:val="en-US" w:eastAsia="zh-CN"/>
        </w:rPr>
        <w:t>）进管</w:t>
      </w:r>
      <w:r>
        <w:rPr>
          <w:rFonts w:ascii="仿宋" w:eastAsia="仿宋" w:hAnsi="仿宋" w:cs="仿宋" w:hint="eastAsia"/>
          <w:b w:val="0"/>
          <w:bCs/>
          <w:shadow w:val="0"/>
          <w:color w:val="000000"/>
          <w:w w:val="100"/>
          <w:kern w:val="0"/>
          <w:position w:val="0"/>
          <w:sz w:val="32"/>
          <w:szCs w:val="32"/>
          <w:vertAlign w:val="baseline"/>
          <w:lang w:val="en-US" w:eastAsia="zh-CN"/>
        </w:rPr>
        <w:t>必须顺直，采用DN300 UPVC管材，坡度一般为3%，道路进水口连管均应放坡开挖，沟槽</w:t>
      </w:r>
      <w:r>
        <w:rPr>
          <w:rFonts w:ascii="仿宋" w:eastAsia="仿宋" w:hAnsi="仿宋" w:cs="仿宋" w:hint="eastAsia"/>
          <w:b w:val="0"/>
          <w:bCs/>
          <w:shadow w:val="0"/>
          <w:color w:val="000000"/>
          <w:w w:val="100"/>
          <w:kern w:val="0"/>
          <w:position w:val="0"/>
          <w:sz w:val="32"/>
          <w:szCs w:val="32"/>
          <w:highlight w:val="none"/>
          <w:vertAlign w:val="baseline"/>
          <w:lang w:val="en-US" w:eastAsia="zh-CN"/>
        </w:rPr>
        <w:t>支护排管</w:t>
      </w:r>
      <w:r>
        <w:rPr>
          <w:rFonts w:ascii="仿宋" w:eastAsia="仿宋" w:hAnsi="仿宋" w:cs="仿宋" w:hint="eastAsia"/>
          <w:b w:val="0"/>
          <w:bCs/>
          <w:shadow w:val="0"/>
          <w:color w:val="000000"/>
          <w:w w:val="100"/>
          <w:kern w:val="0"/>
          <w:position w:val="0"/>
          <w:sz w:val="32"/>
          <w:szCs w:val="32"/>
          <w:vertAlign w:val="baseline"/>
          <w:lang w:val="en-US" w:eastAsia="zh-CN"/>
        </w:rPr>
        <w:t>的施工。</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雨水进水口及</w:t>
      </w:r>
      <w:r>
        <w:rPr>
          <w:rFonts w:ascii="仿宋" w:eastAsia="仿宋" w:hAnsi="仿宋" w:cs="仿宋" w:hint="eastAsia"/>
          <w:b w:val="0"/>
          <w:bCs/>
          <w:shadow w:val="0"/>
          <w:color w:val="000000"/>
          <w:w w:val="100"/>
          <w:kern w:val="0"/>
          <w:position w:val="0"/>
          <w:sz w:val="32"/>
          <w:szCs w:val="32"/>
          <w:highlight w:val="none"/>
          <w:vertAlign w:val="baseline"/>
          <w:lang w:val="en-US" w:eastAsia="zh-CN"/>
        </w:rPr>
        <w:t>连管</w:t>
      </w:r>
      <w:r>
        <w:rPr>
          <w:rFonts w:ascii="仿宋" w:eastAsia="仿宋" w:hAnsi="仿宋" w:cs="仿宋" w:hint="eastAsia"/>
          <w:b w:val="0"/>
          <w:bCs/>
          <w:shadow w:val="0"/>
          <w:color w:val="000000"/>
          <w:w w:val="100"/>
          <w:kern w:val="0"/>
          <w:position w:val="0"/>
          <w:sz w:val="32"/>
          <w:szCs w:val="32"/>
          <w:vertAlign w:val="baseline"/>
          <w:lang w:val="en-US" w:eastAsia="zh-CN"/>
        </w:rPr>
        <w:t>施工实测项目允许偏差</w:t>
      </w:r>
    </w:p>
    <w:tbl>
      <w:tblPr>
        <w:tblStyle w:val="0"/>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84"/>
        <w:gridCol w:w="2837"/>
        <w:gridCol w:w="1908"/>
        <w:gridCol w:w="2886"/>
        <w:gridCol w:w="756"/>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jc w:val="center"/>
        </w:trPr>
        <w:tc>
          <w:tcPr>
            <w:tcW w:w="684"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eastAsia="zh-CN"/>
              </w:rPr>
              <w:t>项次</w:t>
            </w:r>
          </w:p>
        </w:tc>
        <w:tc>
          <w:tcPr>
            <w:tcW w:w="2837"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eastAsia="zh-CN"/>
              </w:rPr>
              <w:t>检查项目</w:t>
            </w:r>
          </w:p>
        </w:tc>
        <w:tc>
          <w:tcPr>
            <w:tcW w:w="1908"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eastAsia="zh-CN"/>
              </w:rPr>
              <w:t>规定值或允许偏差</w:t>
            </w:r>
          </w:p>
        </w:tc>
        <w:tc>
          <w:tcPr>
            <w:tcW w:w="288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eastAsia="zh-CN"/>
              </w:rPr>
              <w:t>检查方法和频率</w:t>
            </w:r>
          </w:p>
        </w:tc>
        <w:tc>
          <w:tcPr>
            <w:tcW w:w="75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eastAsia="zh-CN"/>
              </w:rPr>
              <w:t>权值</w:t>
            </w:r>
          </w:p>
        </w:tc>
      </w:tr>
    </w:tbl>
    <w:p>
      <w:pPr>
        <w:sectPr>
          <w:type w:val="nextPage"/>
          <w:pgSz w:w="11906" w:h="16838"/>
          <w:pgMar w:top="1440" w:right="1800" w:bottom="1440" w:left="1800" w:header="851" w:footer="992" w:gutter="0"/>
          <w:pgNumType w:start="12"/>
          <w:cols w:space="708"/>
          <w:titlePg w:val="0"/>
          <w:docGrid w:type="lines" w:linePitch="312" w:charSpace="0"/>
        </w:sectPr>
      </w:pPr>
    </w:p>
    <w:tbl>
      <w:tblPr>
        <w:tblStyl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84"/>
        <w:gridCol w:w="2837"/>
        <w:gridCol w:w="1908"/>
        <w:gridCol w:w="2886"/>
        <w:gridCol w:w="756"/>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jc w:val="center"/>
        </w:trPr>
        <w:tc>
          <w:tcPr>
            <w:tcW w:w="684"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val="en-US" w:eastAsia="zh-CN"/>
              </w:rPr>
              <w:t>1</w:t>
            </w:r>
          </w:p>
        </w:tc>
        <w:tc>
          <w:tcPr>
            <w:tcW w:w="2837"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eastAsia="zh-CN"/>
              </w:rPr>
              <w:t>砂浆强度（</w:t>
            </w:r>
            <w:r>
              <w:rPr>
                <w:rFonts w:ascii="仿宋" w:eastAsia="仿宋" w:hAnsi="仿宋" w:cs="仿宋" w:hint="eastAsia"/>
                <w:shadow w:val="0"/>
                <w:color w:val="000000"/>
                <w:w w:val="100"/>
                <w:position w:val="0"/>
                <w:sz w:val="21"/>
                <w:szCs w:val="21"/>
                <w:vertAlign w:val="baseline"/>
                <w:lang w:val="en-US" w:eastAsia="zh-CN"/>
              </w:rPr>
              <w:t>Mpa)</w:t>
            </w:r>
          </w:p>
        </w:tc>
        <w:tc>
          <w:tcPr>
            <w:tcW w:w="1908"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eastAsia="zh-CN"/>
              </w:rPr>
              <w:t>符合设计要求</w:t>
            </w:r>
          </w:p>
        </w:tc>
        <w:tc>
          <w:tcPr>
            <w:tcW w:w="288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eastAsia="zh-CN"/>
              </w:rPr>
              <w:t>按附录</w:t>
            </w:r>
            <w:r>
              <w:rPr>
                <w:rFonts w:ascii="仿宋" w:eastAsia="仿宋" w:hAnsi="仿宋" w:cs="仿宋" w:hint="eastAsia"/>
                <w:shadow w:val="0"/>
                <w:color w:val="000000"/>
                <w:w w:val="100"/>
                <w:position w:val="0"/>
                <w:sz w:val="21"/>
                <w:szCs w:val="21"/>
                <w:vertAlign w:val="baseline"/>
                <w:lang w:val="en-US" w:eastAsia="zh-CN"/>
              </w:rPr>
              <w:t>F检查</w:t>
            </w:r>
          </w:p>
        </w:tc>
        <w:tc>
          <w:tcPr>
            <w:tcW w:w="75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val="en-US" w:eastAsia="zh-CN"/>
              </w:rPr>
              <w:t>3</w:t>
            </w:r>
          </w:p>
        </w:tc>
      </w:tr>
      <w:tr>
        <w:tblPrEx>
          <w:jc w:val="center"/>
          <w:tblLayout w:type="fixed"/>
          <w:tblCellMar>
            <w:top w:w="0" w:type="dxa"/>
            <w:left w:w="108" w:type="dxa"/>
            <w:bottom w:w="0" w:type="dxa"/>
            <w:right w:w="108" w:type="dxa"/>
          </w:tblCellMar>
          <w:tblLook w:val="0000"/>
        </w:tblPrEx>
        <w:trPr>
          <w:trHeight w:val="454"/>
          <w:jc w:val="center"/>
        </w:trPr>
        <w:tc>
          <w:tcPr>
            <w:tcW w:w="684"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val="en-US" w:eastAsia="zh-CN"/>
              </w:rPr>
              <w:t>2</w:t>
            </w:r>
          </w:p>
        </w:tc>
        <w:tc>
          <w:tcPr>
            <w:tcW w:w="2837"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val="en-US" w:eastAsia="zh-CN"/>
              </w:rPr>
              <w:t>井框与路面的高差（mm）</w:t>
            </w:r>
          </w:p>
        </w:tc>
        <w:tc>
          <w:tcPr>
            <w:tcW w:w="1908"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val="en-US" w:eastAsia="zh-CN"/>
              </w:rPr>
              <w:t>0，-5</w:t>
            </w:r>
          </w:p>
        </w:tc>
        <w:tc>
          <w:tcPr>
            <w:tcW w:w="288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eastAsia="zh-CN"/>
              </w:rPr>
              <w:t>钢尺、塞尺：每座井测</w:t>
            </w:r>
            <w:r>
              <w:rPr>
                <w:rFonts w:ascii="仿宋" w:eastAsia="仿宋" w:hAnsi="仿宋" w:cs="仿宋" w:hint="eastAsia"/>
                <w:shadow w:val="0"/>
                <w:color w:val="000000"/>
                <w:w w:val="100"/>
                <w:position w:val="0"/>
                <w:sz w:val="21"/>
                <w:szCs w:val="21"/>
                <w:vertAlign w:val="baseline"/>
                <w:lang w:val="en-US" w:eastAsia="zh-CN"/>
              </w:rPr>
              <w:t>1点</w:t>
            </w:r>
          </w:p>
        </w:tc>
        <w:tc>
          <w:tcPr>
            <w:tcW w:w="75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val="en-US" w:eastAsia="zh-CN"/>
              </w:rPr>
              <w:t>1</w:t>
            </w:r>
          </w:p>
        </w:tc>
      </w:tr>
      <w:tr>
        <w:tblPrEx>
          <w:jc w:val="center"/>
          <w:tblLayout w:type="fixed"/>
          <w:tblCellMar>
            <w:top w:w="0" w:type="dxa"/>
            <w:left w:w="108" w:type="dxa"/>
            <w:bottom w:w="0" w:type="dxa"/>
            <w:right w:w="108" w:type="dxa"/>
          </w:tblCellMar>
          <w:tblLook w:val="0000"/>
        </w:tblPrEx>
        <w:trPr>
          <w:trHeight w:val="454"/>
          <w:jc w:val="center"/>
        </w:trPr>
        <w:tc>
          <w:tcPr>
            <w:tcW w:w="684"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val="en-US" w:eastAsia="zh-CN"/>
              </w:rPr>
              <w:t>3</w:t>
            </w:r>
          </w:p>
        </w:tc>
        <w:tc>
          <w:tcPr>
            <w:tcW w:w="2837"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eastAsia="zh-CN"/>
              </w:rPr>
              <w:t>井内尺寸（</w:t>
            </w:r>
            <w:r>
              <w:rPr>
                <w:rFonts w:ascii="仿宋" w:eastAsia="仿宋" w:hAnsi="仿宋" w:cs="仿宋" w:hint="eastAsia"/>
                <w:shadow w:val="0"/>
                <w:color w:val="000000"/>
                <w:w w:val="100"/>
                <w:position w:val="0"/>
                <w:sz w:val="21"/>
                <w:szCs w:val="21"/>
                <w:vertAlign w:val="baseline"/>
                <w:lang w:val="en-US" w:eastAsia="zh-CN"/>
              </w:rPr>
              <w:t>mm）</w:t>
            </w:r>
          </w:p>
        </w:tc>
        <w:tc>
          <w:tcPr>
            <w:tcW w:w="1908"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val="en-US" w:eastAsia="zh-CN"/>
              </w:rPr>
              <w:t>+20,0</w:t>
            </w:r>
          </w:p>
        </w:tc>
        <w:tc>
          <w:tcPr>
            <w:tcW w:w="288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eastAsia="zh-CN"/>
              </w:rPr>
              <w:t>钢卷尺：每座井长宽各测</w:t>
            </w:r>
            <w:r>
              <w:rPr>
                <w:rFonts w:ascii="仿宋" w:eastAsia="仿宋" w:hAnsi="仿宋" w:cs="仿宋" w:hint="eastAsia"/>
                <w:shadow w:val="0"/>
                <w:color w:val="000000"/>
                <w:w w:val="100"/>
                <w:position w:val="0"/>
                <w:sz w:val="21"/>
                <w:szCs w:val="21"/>
                <w:vertAlign w:val="baseline"/>
                <w:lang w:val="en-US" w:eastAsia="zh-CN"/>
              </w:rPr>
              <w:t>1</w:t>
            </w:r>
            <w:r>
              <w:rPr>
                <w:rFonts w:ascii="仿宋" w:eastAsia="仿宋" w:hAnsi="仿宋" w:cs="仿宋" w:hint="eastAsia"/>
                <w:shadow w:val="0"/>
                <w:color w:val="000000"/>
                <w:w w:val="100"/>
                <w:position w:val="0"/>
                <w:sz w:val="21"/>
                <w:szCs w:val="21"/>
                <w:vertAlign w:val="baseline"/>
                <w:lang w:eastAsia="zh-CN"/>
              </w:rPr>
              <w:t>点</w:t>
            </w:r>
          </w:p>
        </w:tc>
        <w:tc>
          <w:tcPr>
            <w:tcW w:w="75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val="en-US" w:eastAsia="zh-CN"/>
              </w:rPr>
              <w:t>1</w:t>
            </w:r>
          </w:p>
        </w:tc>
      </w:tr>
      <w:tr>
        <w:tblPrEx>
          <w:jc w:val="center"/>
          <w:tblLayout w:type="fixed"/>
          <w:tblCellMar>
            <w:top w:w="0" w:type="dxa"/>
            <w:left w:w="108" w:type="dxa"/>
            <w:bottom w:w="0" w:type="dxa"/>
            <w:right w:w="108" w:type="dxa"/>
          </w:tblCellMar>
          <w:tblLook w:val="0000"/>
        </w:tblPrEx>
        <w:trPr>
          <w:trHeight w:val="454"/>
          <w:jc w:val="center"/>
        </w:trPr>
        <w:tc>
          <w:tcPr>
            <w:tcW w:w="684"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val="en-US" w:eastAsia="zh-CN"/>
              </w:rPr>
              <w:t>4</w:t>
            </w:r>
          </w:p>
        </w:tc>
        <w:tc>
          <w:tcPr>
            <w:tcW w:w="2837"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highlight w:val="none"/>
                <w:vertAlign w:val="baseline"/>
                <w:lang w:eastAsia="zh-CN"/>
              </w:rPr>
              <w:t>井位与路边线</w:t>
            </w:r>
            <w:r>
              <w:rPr>
                <w:rFonts w:ascii="仿宋" w:eastAsia="仿宋" w:hAnsi="仿宋" w:cs="仿宋" w:hint="eastAsia"/>
                <w:shadow w:val="0"/>
                <w:color w:val="000000"/>
                <w:w w:val="100"/>
                <w:position w:val="0"/>
                <w:sz w:val="21"/>
                <w:szCs w:val="21"/>
                <w:vertAlign w:val="baseline"/>
                <w:lang w:eastAsia="zh-CN"/>
              </w:rPr>
              <w:t>平行位置（</w:t>
            </w:r>
            <w:r>
              <w:rPr>
                <w:rFonts w:ascii="仿宋" w:eastAsia="仿宋" w:hAnsi="仿宋" w:cs="仿宋" w:hint="eastAsia"/>
                <w:shadow w:val="0"/>
                <w:color w:val="000000"/>
                <w:w w:val="100"/>
                <w:position w:val="0"/>
                <w:sz w:val="21"/>
                <w:szCs w:val="21"/>
                <w:vertAlign w:val="baseline"/>
                <w:lang w:val="en-US" w:eastAsia="zh-CN"/>
              </w:rPr>
              <w:t>mm)</w:t>
            </w:r>
          </w:p>
        </w:tc>
        <w:tc>
          <w:tcPr>
            <w:tcW w:w="1908"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val="en-US" w:eastAsia="zh-CN"/>
              </w:rPr>
              <w:t>30</w:t>
            </w:r>
          </w:p>
        </w:tc>
        <w:tc>
          <w:tcPr>
            <w:tcW w:w="288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eastAsia="zh-CN"/>
              </w:rPr>
              <w:t>钢卷尺：每座井测</w:t>
            </w:r>
            <w:r>
              <w:rPr>
                <w:rFonts w:ascii="仿宋" w:eastAsia="仿宋" w:hAnsi="仿宋" w:cs="仿宋" w:hint="eastAsia"/>
                <w:shadow w:val="0"/>
                <w:color w:val="000000"/>
                <w:w w:val="100"/>
                <w:position w:val="0"/>
                <w:sz w:val="21"/>
                <w:szCs w:val="21"/>
                <w:vertAlign w:val="baseline"/>
                <w:lang w:val="en-US" w:eastAsia="zh-CN"/>
              </w:rPr>
              <w:t>2处</w:t>
            </w:r>
          </w:p>
        </w:tc>
        <w:tc>
          <w:tcPr>
            <w:tcW w:w="75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val="en-US" w:eastAsia="zh-CN"/>
              </w:rPr>
              <w:t>1</w:t>
            </w:r>
          </w:p>
        </w:tc>
      </w:tr>
      <w:tr>
        <w:tblPrEx>
          <w:jc w:val="center"/>
          <w:tblLayout w:type="fixed"/>
          <w:tblCellMar>
            <w:top w:w="0" w:type="dxa"/>
            <w:left w:w="108" w:type="dxa"/>
            <w:bottom w:w="0" w:type="dxa"/>
            <w:right w:w="108" w:type="dxa"/>
          </w:tblCellMar>
          <w:tblLook w:val="0000"/>
        </w:tblPrEx>
        <w:trPr>
          <w:trHeight w:val="454"/>
          <w:jc w:val="center"/>
        </w:trPr>
        <w:tc>
          <w:tcPr>
            <w:tcW w:w="684"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val="en-US" w:eastAsia="zh-CN"/>
              </w:rPr>
              <w:t>5</w:t>
            </w:r>
          </w:p>
        </w:tc>
        <w:tc>
          <w:tcPr>
            <w:tcW w:w="2837"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val="en-US" w:eastAsia="zh-CN"/>
              </w:rPr>
              <w:t>井底高程</w:t>
            </w:r>
            <w:r>
              <w:rPr>
                <w:rFonts w:ascii="仿宋" w:eastAsia="仿宋" w:hAnsi="仿宋" w:cs="仿宋" w:hint="eastAsia"/>
                <w:shadow w:val="0"/>
                <w:color w:val="000000"/>
                <w:w w:val="100"/>
                <w:position w:val="0"/>
                <w:sz w:val="21"/>
                <w:szCs w:val="21"/>
                <w:vertAlign w:val="baseline"/>
                <w:lang w:eastAsia="zh-CN"/>
              </w:rPr>
              <w:t>（</w:t>
            </w:r>
            <w:r>
              <w:rPr>
                <w:rFonts w:ascii="仿宋" w:eastAsia="仿宋" w:hAnsi="仿宋" w:cs="仿宋" w:hint="eastAsia"/>
                <w:shadow w:val="0"/>
                <w:color w:val="000000"/>
                <w:w w:val="100"/>
                <w:position w:val="0"/>
                <w:sz w:val="21"/>
                <w:szCs w:val="21"/>
                <w:vertAlign w:val="baseline"/>
                <w:lang w:val="en-US" w:eastAsia="zh-CN"/>
              </w:rPr>
              <w:t>mm)</w:t>
            </w:r>
          </w:p>
        </w:tc>
        <w:tc>
          <w:tcPr>
            <w:tcW w:w="1908"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val="en-US" w:eastAsia="zh-CN"/>
              </w:rPr>
              <w:t>+10，-20</w:t>
            </w:r>
          </w:p>
        </w:tc>
        <w:tc>
          <w:tcPr>
            <w:tcW w:w="288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eastAsia="zh-CN"/>
              </w:rPr>
              <w:t>水准仪：逐个测量</w:t>
            </w:r>
          </w:p>
        </w:tc>
        <w:tc>
          <w:tcPr>
            <w:tcW w:w="756"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lang w:val="en-US" w:eastAsia="zh-CN"/>
              </w:rPr>
              <w:t>1</w:t>
            </w:r>
          </w:p>
        </w:tc>
      </w:tr>
    </w:tbl>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磅水检验</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钢筋混凝土管：污水管需要每节进行</w:t>
      </w:r>
      <w:r>
        <w:rPr>
          <w:rFonts w:ascii="仿宋" w:eastAsia="仿宋" w:hAnsi="仿宋" w:cs="仿宋" w:hint="eastAsia"/>
          <w:b w:val="0"/>
          <w:bCs/>
          <w:shadow w:val="0"/>
          <w:color w:val="000000"/>
          <w:w w:val="100"/>
          <w:kern w:val="0"/>
          <w:position w:val="0"/>
          <w:sz w:val="32"/>
          <w:szCs w:val="32"/>
          <w:highlight w:val="none"/>
          <w:vertAlign w:val="baseline"/>
          <w:lang w:val="en-US" w:eastAsia="zh-CN"/>
        </w:rPr>
        <w:t>磅水抽验</w:t>
      </w:r>
      <w:r>
        <w:rPr>
          <w:rFonts w:ascii="仿宋" w:eastAsia="仿宋" w:hAnsi="仿宋" w:cs="仿宋" w:hint="eastAsia"/>
          <w:b w:val="0"/>
          <w:bCs/>
          <w:shadow w:val="0"/>
          <w:color w:val="000000"/>
          <w:w w:val="100"/>
          <w:kern w:val="0"/>
          <w:position w:val="0"/>
          <w:sz w:val="32"/>
          <w:szCs w:val="32"/>
          <w:vertAlign w:val="baseline"/>
          <w:lang w:val="en-US" w:eastAsia="zh-CN"/>
        </w:rPr>
        <w:t>，雨水管道至少必须每四节磅一节。对于直径等于或小于800mm的管道，采用磅筒磅水；对等于或大于1000mm的管道，采用混凝土检查井磅水。</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磅水前，管道内应先灌水24小时，使管道充分浸透，先加水试磅20分钟，等水位下降稳定以后再进行正式磅水。加水至标准高度，观察水位下降值，计算30分钟水位下降平均值。磅</w:t>
      </w:r>
      <w:r>
        <w:rPr>
          <w:rFonts w:ascii="仿宋" w:eastAsia="仿宋" w:hAnsi="仿宋" w:cs="仿宋" w:hint="eastAsia"/>
          <w:b w:val="0"/>
          <w:bCs/>
          <w:shadow w:val="0"/>
          <w:color w:val="000000"/>
          <w:w w:val="100"/>
          <w:kern w:val="0"/>
          <w:position w:val="0"/>
          <w:sz w:val="32"/>
          <w:szCs w:val="32"/>
          <w:highlight w:val="none"/>
          <w:vertAlign w:val="baseline"/>
          <w:lang w:val="en-US" w:eastAsia="zh-CN"/>
        </w:rPr>
        <w:t>水水</w:t>
      </w:r>
      <w:r>
        <w:rPr>
          <w:rFonts w:ascii="仿宋" w:eastAsia="仿宋" w:hAnsi="仿宋" w:cs="仿宋" w:hint="eastAsia"/>
          <w:b w:val="0"/>
          <w:bCs/>
          <w:shadow w:val="0"/>
          <w:color w:val="000000"/>
          <w:w w:val="100"/>
          <w:kern w:val="0"/>
          <w:position w:val="0"/>
          <w:sz w:val="32"/>
          <w:szCs w:val="32"/>
          <w:vertAlign w:val="baseline"/>
          <w:lang w:val="en-US" w:eastAsia="zh-CN"/>
        </w:rPr>
        <w:t>头应为检验段上游管道内顶以上2m，正式磅水时，仔细检查每个接缝和沟管的渗漏情况，并做好记录，若磅水合格后，方可拆除封墙。</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管道磅水试验实测项目允许偏差</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81"/>
        <w:gridCol w:w="3259"/>
        <w:gridCol w:w="2491"/>
        <w:gridCol w:w="244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trPr>
        <w:tc>
          <w:tcPr>
            <w:tcW w:w="881"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项次</w:t>
            </w:r>
          </w:p>
        </w:tc>
        <w:tc>
          <w:tcPr>
            <w:tcW w:w="3259"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检查项目</w:t>
            </w:r>
          </w:p>
        </w:tc>
        <w:tc>
          <w:tcPr>
            <w:tcW w:w="2491"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规定值或允许偏差</w:t>
            </w:r>
          </w:p>
        </w:tc>
        <w:tc>
          <w:tcPr>
            <w:tcW w:w="2440"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检查方法和频率</w:t>
            </w:r>
          </w:p>
        </w:tc>
      </w:tr>
      <w:tr>
        <w:tblPrEx>
          <w:tblLayout w:type="fixed"/>
          <w:tblCellMar>
            <w:top w:w="0" w:type="dxa"/>
            <w:left w:w="108" w:type="dxa"/>
            <w:bottom w:w="0" w:type="dxa"/>
            <w:right w:w="108" w:type="dxa"/>
          </w:tblCellMar>
          <w:tblLook w:val="0000"/>
        </w:tblPrEx>
        <w:trPr>
          <w:trHeight w:val="454"/>
        </w:trPr>
        <w:tc>
          <w:tcPr>
            <w:tcW w:w="881"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1</w:t>
            </w:r>
            <w:r>
              <w:rPr>
                <w:rFonts w:ascii="仿宋" w:eastAsia="仿宋" w:hAnsi="仿宋" w:cs="仿宋" w:hint="eastAsia"/>
                <w:shadow w:val="0"/>
                <w:color w:val="000000"/>
                <w:w w:val="100"/>
                <w:kern w:val="2"/>
                <w:position w:val="0"/>
                <w:sz w:val="21"/>
                <w:szCs w:val="21"/>
                <w:vertAlign w:val="baseline"/>
              </w:rPr>
              <w:t>△</w:t>
            </w:r>
          </w:p>
        </w:tc>
        <w:tc>
          <w:tcPr>
            <w:tcW w:w="3259"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管筒磅水</w:t>
            </w:r>
          </w:p>
        </w:tc>
        <w:tc>
          <w:tcPr>
            <w:tcW w:w="2491"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小于允许渗水量</w:t>
            </w:r>
          </w:p>
        </w:tc>
        <w:tc>
          <w:tcPr>
            <w:tcW w:w="2440" w:type="dxa"/>
            <w:vAlign w:val="center"/>
          </w:tcPr>
          <w:p>
            <w:pPr>
              <w:keepNext w:val="0"/>
              <w:keepLines w:val="0"/>
              <w:pageBreakBefore w:val="0"/>
              <w:widowControl w:val="0"/>
              <w:kinsoku/>
              <w:wordWrap/>
              <w:overflowPunct/>
              <w:topLinePunct w:val="0"/>
              <w:autoSpaceDE/>
              <w:autoSpaceDN/>
              <w:bidi w:val="0"/>
              <w:adjustRightInd w:val="0"/>
              <w:snapToGrid/>
              <w:spacing w:line="320" w:lineRule="exact"/>
              <w:ind w:left="0" w:firstLine="0" w:leftChars="0" w:firstLine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kern w:val="2"/>
                <w:position w:val="0"/>
                <w:sz w:val="21"/>
                <w:szCs w:val="21"/>
                <w:vertAlign w:val="baseline"/>
              </w:rPr>
              <w:t>检查井</w:t>
            </w:r>
            <w:r>
              <w:rPr>
                <w:rFonts w:ascii="仿宋" w:eastAsia="仿宋" w:hAnsi="仿宋" w:cs="仿宋" w:hint="eastAsia"/>
                <w:shadow w:val="0"/>
                <w:color w:val="000000"/>
                <w:w w:val="100"/>
                <w:kern w:val="2"/>
                <w:position w:val="0"/>
                <w:sz w:val="21"/>
                <w:szCs w:val="21"/>
                <w:highlight w:val="none"/>
                <w:vertAlign w:val="baseline"/>
              </w:rPr>
              <w:t>或磅筒磅水</w:t>
            </w:r>
            <w:r>
              <w:rPr>
                <w:rFonts w:ascii="仿宋" w:eastAsia="仿宋" w:hAnsi="仿宋" w:cs="仿宋" w:hint="eastAsia"/>
                <w:shadow w:val="0"/>
                <w:color w:val="000000"/>
                <w:w w:val="100"/>
                <w:kern w:val="2"/>
                <w:position w:val="0"/>
                <w:sz w:val="21"/>
                <w:szCs w:val="21"/>
                <w:vertAlign w:val="baseline"/>
              </w:rPr>
              <w:t>，逐节磅水或每4节磅1节</w:t>
            </w:r>
          </w:p>
        </w:tc>
      </w:tr>
    </w:tbl>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管道回填及覆土</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13"/>
          <w:cols w:space="708"/>
          <w:titlePg w:val="0"/>
          <w:docGrid w:type="lines" w:linePitch="312" w:charSpace="0"/>
        </w:sectPr>
      </w:pPr>
      <w:r>
        <w:rPr>
          <w:rFonts w:ascii="仿宋" w:eastAsia="仿宋" w:hAnsi="仿宋" w:cs="仿宋" w:hint="eastAsia"/>
          <w:b w:val="0"/>
          <w:bCs/>
          <w:shadow w:val="0"/>
          <w:color w:val="000000"/>
          <w:w w:val="100"/>
          <w:kern w:val="0"/>
          <w:position w:val="0"/>
          <w:sz w:val="32"/>
          <w:szCs w:val="32"/>
          <w:vertAlign w:val="baseline"/>
          <w:lang w:val="en-US" w:eastAsia="zh-CN"/>
        </w:rPr>
        <w:t>柔性接缝管道采用粗砂进行回填，回填高度至管顶以上50cm。回填时在管道两侧同时均匀卸砂回填并分层(每层不超过20cm)洒水振实拍平，干容重达到16kN/m3。回填完成后应及时会同监理对回填质量进行检测。前期施工时，必须每层黄砂回填压实后进行压实度检测，待施工质量稳定后，可采用钢筋贯入法控制，根据规范要求，采用1250mm长的</w:t>
      </w:r>
      <w:r>
        <w:rPr>
          <w:rFonts w:ascii="仿宋" w:eastAsia="仿宋" w:hAnsi="仿宋" w:cs="仿宋" w:hint="eastAsia"/>
          <w:b w:val="0"/>
          <w:bCs/>
          <w:shadow w:val="0"/>
          <w:color w:val="000000"/>
          <w:w w:val="100"/>
          <w:kern w:val="0"/>
          <w:position w:val="0"/>
          <w:sz w:val="32"/>
          <w:szCs w:val="32"/>
          <w:vertAlign w:val="baseline"/>
          <w:lang w:val="en-US" w:eastAsia="zh-CN"/>
        </w:rPr>
        <w:t>φ</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20圆钢距离回填黄砂顶面70cm处垂直自由落体插入深度不大于8.6cm的标准进行检测（由第三方检测单位现场试验得到）。</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沟槽覆土应在管道回填完成及全部隐蔽工程验收合格后进行，凡具备覆土条件，均应及时覆土，覆土前必须将槽底杂物清理干净，覆土沟槽内不得有积水，严禁带水覆土，不得回填淤泥、腐蚀土及有机物质，大于10公分的石料等硬块应剔除，大的泥块应敲碎。用小型夯实机夯实，在覆土时应注意以下事项：</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1）黄砂回填达到标高密实后，用素土分层夯实回填，分层压实厚度为20公分，回填至所需标高。质量标准参照路基施工压实度标准。</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2）横撑列板拆板和覆土应按自下而上的顺序逐层进行，每次拆板块数一般不得超过三块，若遇土质较差或支撑易走动，则不得超过二块。拆板与覆土应交替进行，当天拆板应做到当天覆土，当天夯实，接近地面两块撑板，应留一段时间，以免过早拆除而造成路面开裂。</w:t>
      </w:r>
    </w:p>
    <w:p>
      <w:pPr>
        <w:pStyle w:val="10880"/>
        <w:keepNext w:val="0"/>
        <w:keepLines w:val="0"/>
        <w:pageBreakBefore w:val="0"/>
        <w:widowControl w:val="0"/>
        <w:kinsoku/>
        <w:wordWrap/>
        <w:overflowPunct/>
        <w:topLinePunct w:val="0"/>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color w:val="000000"/>
          <w:kern w:val="2"/>
          <w:sz w:val="32"/>
          <w:szCs w:val="32"/>
          <w:lang w:val="en-US" w:eastAsia="zh-CN" w:bidi="ar-SA"/>
        </w:rPr>
      </w:pPr>
      <w:r>
        <w:rPr>
          <w:rFonts w:ascii="仿宋" w:eastAsia="仿宋" w:hAnsi="仿宋" w:cs="仿宋" w:hint="eastAsia"/>
          <w:color w:val="000000"/>
          <w:kern w:val="2"/>
          <w:sz w:val="32"/>
          <w:szCs w:val="32"/>
          <w:lang w:val="en-US" w:eastAsia="zh-CN" w:bidi="ar-SA"/>
        </w:rPr>
        <w:t>4.2混凝土井浇筑</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4.2.1混凝土检查井</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井底底板混凝土浇筑前要对底板中线桩、高程线进行复核。采用平板振捣器振捣。用溜槽下混凝土时要避免骨料分离，要控制好混凝土塌落度。浇筑完成后，及时采取保温、养护措施。</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1）</w:t>
      </w:r>
      <w:r>
        <w:rPr>
          <w:rFonts w:ascii="仿宋" w:eastAsia="仿宋" w:hAnsi="仿宋" w:cs="仿宋" w:hint="eastAsia"/>
          <w:b w:val="0"/>
          <w:bCs/>
          <w:shadow w:val="0"/>
          <w:color w:val="000000"/>
          <w:w w:val="100"/>
          <w:kern w:val="0"/>
          <w:position w:val="0"/>
          <w:sz w:val="32"/>
          <w:szCs w:val="32"/>
          <w:vertAlign w:val="baseline"/>
        </w:rPr>
        <w:t>施工工序：</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钢筋混凝土检查井：测量定位</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基坑土方开挖</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混凝土垫层</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管道安装后</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绑筋、支模、现浇混凝土井壁（井筒）</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井盖板安装</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土方回</w:t>
      </w:r>
      <w:r>
        <w:rPr>
          <w:rFonts w:ascii="仿宋" w:eastAsia="仿宋" w:hAnsi="仿宋" w:cs="仿宋" w:hint="eastAsia"/>
          <w:b w:val="0"/>
          <w:bCs/>
          <w:shadow w:val="0"/>
          <w:color w:val="000000"/>
          <w:w w:val="100"/>
          <w:kern w:val="0"/>
          <w:position w:val="0"/>
          <w:sz w:val="32"/>
          <w:szCs w:val="32"/>
          <w:vertAlign w:val="baseline"/>
          <w:lang w:eastAsia="zh-CN"/>
        </w:rPr>
        <w:t>填。</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2</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rPr>
        <w:t>施工方法：</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14"/>
          <w:cols w:space="708"/>
          <w:titlePg w:val="0"/>
          <w:docGrid w:type="lines" w:linePitch="312" w:charSpace="0"/>
        </w:sectPr>
      </w:pP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（1）场地的定位控制线、引桩、标准水平桩及开槽的灰线尺寸，必须经过监理复验合格，并办理完预检手续。</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（2）按规定要求的顺序进行挖土，预留200</w:t>
      </w:r>
      <w:r>
        <w:rPr>
          <w:rFonts w:ascii="仿宋" w:eastAsia="仿宋" w:hAnsi="仿宋" w:cs="仿宋" w:hint="eastAsia"/>
          <w:b w:val="0"/>
          <w:bCs/>
          <w:shadow w:val="0"/>
          <w:color w:val="000000"/>
          <w:w w:val="100"/>
          <w:kern w:val="0"/>
          <w:position w:val="0"/>
          <w:sz w:val="32"/>
          <w:szCs w:val="32"/>
          <w:vertAlign w:val="baseline"/>
          <w:lang w:val="en-US" w:eastAsia="zh-CN"/>
        </w:rPr>
        <w:t>mm</w:t>
      </w:r>
      <w:r>
        <w:rPr>
          <w:rFonts w:ascii="仿宋" w:eastAsia="仿宋" w:hAnsi="仿宋" w:cs="仿宋" w:hint="eastAsia"/>
          <w:b w:val="0"/>
          <w:bCs/>
          <w:shadow w:val="0"/>
          <w:color w:val="000000"/>
          <w:w w:val="100"/>
          <w:kern w:val="0"/>
          <w:position w:val="0"/>
          <w:sz w:val="32"/>
          <w:szCs w:val="32"/>
          <w:vertAlign w:val="baseline"/>
        </w:rPr>
        <w:t>厚土层人工挖至槽底，不得超挖。施工所用的主要机具：小型0.6m3反铲式挖土机、自卸汽车、铁锹、打夯机、手推车等。</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（3）混凝土检查井模板安装</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①</w:t>
      </w:r>
      <w:r>
        <w:rPr>
          <w:rFonts w:ascii="仿宋" w:eastAsia="仿宋" w:hAnsi="仿宋" w:cs="仿宋" w:hint="eastAsia"/>
          <w:b w:val="0"/>
          <w:bCs/>
          <w:shadow w:val="0"/>
          <w:color w:val="000000"/>
          <w:w w:val="100"/>
          <w:kern w:val="0"/>
          <w:position w:val="0"/>
          <w:sz w:val="32"/>
          <w:szCs w:val="32"/>
          <w:vertAlign w:val="baseline"/>
        </w:rPr>
        <w:t>模板</w:t>
      </w:r>
      <w:r>
        <w:rPr>
          <w:rFonts w:ascii="仿宋" w:eastAsia="仿宋" w:hAnsi="仿宋" w:cs="仿宋" w:hint="eastAsia"/>
          <w:b w:val="0"/>
          <w:bCs/>
          <w:shadow w:val="0"/>
          <w:color w:val="000000"/>
          <w:w w:val="100"/>
          <w:kern w:val="0"/>
          <w:position w:val="0"/>
          <w:sz w:val="32"/>
          <w:szCs w:val="32"/>
          <w:highlight w:val="none"/>
          <w:vertAlign w:val="baseline"/>
        </w:rPr>
        <w:t>配制在路基回</w:t>
      </w:r>
      <w:r>
        <w:rPr>
          <w:rFonts w:ascii="仿宋" w:eastAsia="仿宋" w:hAnsi="仿宋" w:cs="仿宋" w:hint="eastAsia"/>
          <w:b w:val="0"/>
          <w:bCs/>
          <w:shadow w:val="0"/>
          <w:color w:val="000000"/>
          <w:w w:val="100"/>
          <w:kern w:val="0"/>
          <w:position w:val="0"/>
          <w:sz w:val="32"/>
          <w:szCs w:val="32"/>
          <w:vertAlign w:val="baseline"/>
        </w:rPr>
        <w:t>填压实后挖检查井，基础垫层侧模采用木方，检查井挖坑见底放线后，用</w:t>
      </w:r>
      <w:r>
        <w:rPr>
          <w:rFonts w:ascii="仿宋" w:eastAsia="仿宋" w:hAnsi="仿宋" w:cs="仿宋" w:hint="eastAsia"/>
          <w:b w:val="0"/>
          <w:bCs/>
          <w:shadow w:val="0"/>
          <w:color w:val="000000"/>
          <w:w w:val="100"/>
          <w:kern w:val="0"/>
          <w:position w:val="0"/>
          <w:sz w:val="32"/>
          <w:szCs w:val="32"/>
          <w:vertAlign w:val="baseline"/>
          <w:lang w:val="en-US" w:eastAsia="zh-CN"/>
        </w:rPr>
        <w:t>5</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10㎝方木枝模，底板采用竹胶合板。</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井壁（井筒）模板安装支搭，内模板采用组合式定型钢模板，特殊地段需用配置外模板采用竹胶合板，局部配木模支搭。支搭时，严格控制结构外缘尺寸，以井中心返数，</w:t>
      </w:r>
      <w:r>
        <w:rPr>
          <w:rFonts w:ascii="仿宋" w:eastAsia="仿宋" w:hAnsi="仿宋" w:cs="仿宋" w:hint="eastAsia"/>
          <w:b w:val="0"/>
          <w:bCs/>
          <w:shadow w:val="0"/>
          <w:color w:val="000000"/>
          <w:w w:val="100"/>
          <w:kern w:val="0"/>
          <w:position w:val="0"/>
          <w:sz w:val="32"/>
          <w:szCs w:val="32"/>
          <w:highlight w:val="none"/>
          <w:vertAlign w:val="baseline"/>
        </w:rPr>
        <w:t>格方</w:t>
      </w:r>
      <w:r>
        <w:rPr>
          <w:rFonts w:ascii="仿宋" w:eastAsia="仿宋" w:hAnsi="仿宋" w:cs="仿宋" w:hint="eastAsia"/>
          <w:b w:val="0"/>
          <w:bCs/>
          <w:shadow w:val="0"/>
          <w:color w:val="000000"/>
          <w:w w:val="100"/>
          <w:kern w:val="0"/>
          <w:position w:val="0"/>
          <w:sz w:val="32"/>
          <w:szCs w:val="32"/>
          <w:vertAlign w:val="baseline"/>
        </w:rPr>
        <w:t>，并用水准仪监测调整模板顶面高程。模板必须尺寸准确，板面平整；具有足够的强度、刚度、承载力和稳定性，能可靠地承受新浇筑的混凝土的自重和侧压力，以及在施工中所产生的荷载；构造简单，拆装简单，并便于钢筋的绑扎、安装和混凝土的浇筑、养护等要求。</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②</w:t>
      </w:r>
      <w:r>
        <w:rPr>
          <w:rFonts w:ascii="仿宋" w:eastAsia="仿宋" w:hAnsi="仿宋" w:cs="仿宋" w:hint="eastAsia"/>
          <w:b w:val="0"/>
          <w:bCs/>
          <w:shadow w:val="0"/>
          <w:color w:val="000000"/>
          <w:w w:val="100"/>
          <w:kern w:val="0"/>
          <w:position w:val="0"/>
          <w:sz w:val="32"/>
          <w:szCs w:val="32"/>
          <w:vertAlign w:val="baseline"/>
        </w:rPr>
        <w:t>模板的验收</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模板安装完毕后，工长组织班组长、操作者进行自检，自检合格后由工长报质量检查员专检，合格后，报监理验收。</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自检、专检和交接检均执行质量标准进行验收。</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（4）检查井钢筋绑扎</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①</w:t>
      </w:r>
      <w:r>
        <w:rPr>
          <w:rFonts w:ascii="仿宋" w:eastAsia="仿宋" w:hAnsi="仿宋" w:cs="仿宋" w:hint="eastAsia"/>
          <w:b w:val="0"/>
          <w:bCs/>
          <w:shadow w:val="0"/>
          <w:color w:val="000000"/>
          <w:w w:val="100"/>
          <w:kern w:val="0"/>
          <w:position w:val="0"/>
          <w:sz w:val="32"/>
          <w:szCs w:val="32"/>
          <w:vertAlign w:val="baseline"/>
        </w:rPr>
        <w:t>检查井钢筋骨绑扎前，由测量人员将检查井控制线投放在底板混凝土上，并在底板上弹线、布筋。对于有油渍、铁锈、泥土等的钢筋，清除干净后使用；</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15"/>
          <w:cols w:space="708"/>
          <w:titlePg w:val="0"/>
          <w:docGrid w:type="lines" w:linePitch="312" w:charSpace="0"/>
        </w:sectPr>
      </w:pPr>
      <w:r>
        <w:rPr>
          <w:rFonts w:ascii="仿宋" w:eastAsia="仿宋" w:hAnsi="仿宋" w:cs="仿宋" w:hint="eastAsia"/>
          <w:b w:val="0"/>
          <w:bCs/>
          <w:shadow w:val="0"/>
          <w:color w:val="000000"/>
          <w:w w:val="100"/>
          <w:kern w:val="0"/>
          <w:position w:val="0"/>
          <w:sz w:val="32"/>
          <w:szCs w:val="32"/>
          <w:vertAlign w:val="baseline"/>
        </w:rPr>
        <w:t>②</w:t>
      </w:r>
      <w:r>
        <w:rPr>
          <w:rFonts w:ascii="仿宋" w:eastAsia="仿宋" w:hAnsi="仿宋" w:cs="仿宋" w:hint="eastAsia"/>
          <w:b w:val="0"/>
          <w:bCs/>
          <w:shadow w:val="0"/>
          <w:color w:val="000000"/>
          <w:w w:val="100"/>
          <w:kern w:val="0"/>
          <w:position w:val="0"/>
          <w:sz w:val="32"/>
          <w:szCs w:val="32"/>
          <w:vertAlign w:val="baseline"/>
        </w:rPr>
        <w:t>钢筋交叉点应用20-22#金属丝扎牢，中间部分可隔一绑一，四周三根筋及板筋相接处钢筋要逐根绑牢，接头绑扎应在中心和两端三处扎牢。</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③</w:t>
      </w:r>
      <w:r>
        <w:rPr>
          <w:rFonts w:ascii="仿宋" w:eastAsia="仿宋" w:hAnsi="仿宋" w:cs="仿宋" w:hint="eastAsia"/>
          <w:b w:val="0"/>
          <w:bCs/>
          <w:shadow w:val="0"/>
          <w:color w:val="000000"/>
          <w:w w:val="100"/>
          <w:kern w:val="0"/>
          <w:position w:val="0"/>
          <w:sz w:val="32"/>
          <w:szCs w:val="32"/>
          <w:vertAlign w:val="baseline"/>
        </w:rPr>
        <w:t>绑扎底板筋的同时绑扎墙壁预留插筋，预留插筋按照井室深一次到位，并要做到位置准确且</w:t>
      </w:r>
      <w:r>
        <w:rPr>
          <w:rFonts w:ascii="仿宋" w:eastAsia="仿宋" w:hAnsi="仿宋" w:cs="仿宋" w:hint="eastAsia"/>
          <w:b w:val="0"/>
          <w:bCs/>
          <w:shadow w:val="0"/>
          <w:color w:val="000000"/>
          <w:w w:val="100"/>
          <w:kern w:val="0"/>
          <w:position w:val="0"/>
          <w:sz w:val="32"/>
          <w:szCs w:val="32"/>
          <w:highlight w:val="none"/>
          <w:vertAlign w:val="baseline"/>
        </w:rPr>
        <w:t>与底筋</w:t>
      </w:r>
      <w:r>
        <w:rPr>
          <w:rFonts w:ascii="仿宋" w:eastAsia="仿宋" w:hAnsi="仿宋" w:cs="仿宋" w:hint="eastAsia"/>
          <w:b w:val="0"/>
          <w:bCs/>
          <w:shadow w:val="0"/>
          <w:color w:val="000000"/>
          <w:w w:val="100"/>
          <w:kern w:val="0"/>
          <w:position w:val="0"/>
          <w:sz w:val="32"/>
          <w:szCs w:val="32"/>
          <w:vertAlign w:val="baseline"/>
        </w:rPr>
        <w:t>连接牢固。底板上、下层筋间距使用钢筋排架控制。预留插筋必须</w:t>
      </w:r>
      <w:bookmarkStart w:id="49" w:name="page2"/>
      <w:bookmarkEnd w:id="49"/>
      <w:r>
        <w:rPr>
          <w:rFonts w:ascii="仿宋" w:eastAsia="仿宋" w:hAnsi="仿宋" w:cs="仿宋" w:hint="eastAsia"/>
          <w:b w:val="0"/>
          <w:bCs/>
          <w:shadow w:val="0"/>
          <w:color w:val="000000"/>
          <w:w w:val="100"/>
          <w:kern w:val="0"/>
          <w:position w:val="0"/>
          <w:sz w:val="32"/>
          <w:szCs w:val="32"/>
          <w:vertAlign w:val="baseline"/>
        </w:rPr>
        <w:t>绑扎不少于三道水平筋，内外层筋之间加绑一道排架，确保其稳定。</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④</w:t>
      </w:r>
      <w:r>
        <w:rPr>
          <w:rFonts w:ascii="仿宋" w:eastAsia="仿宋" w:hAnsi="仿宋" w:cs="仿宋" w:hint="eastAsia"/>
          <w:b w:val="0"/>
          <w:bCs/>
          <w:shadow w:val="0"/>
          <w:color w:val="000000"/>
          <w:w w:val="100"/>
          <w:kern w:val="0"/>
          <w:position w:val="0"/>
          <w:sz w:val="32"/>
          <w:szCs w:val="32"/>
          <w:vertAlign w:val="baseline"/>
        </w:rPr>
        <w:t>控制保护层所用垫块要提前加工，保证使用时强度符合要求，布设垫块纵横向间距不大于80㎝。</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（5）底板混凝土浇筑：垫层混凝土为C15，厚10㎝，严格控制垫层标高在0-5㎜内，养护、拆模。</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①</w:t>
      </w:r>
      <w:r>
        <w:rPr>
          <w:rFonts w:ascii="仿宋" w:eastAsia="仿宋" w:hAnsi="仿宋" w:cs="仿宋" w:hint="eastAsia"/>
          <w:b w:val="0"/>
          <w:bCs/>
          <w:shadow w:val="0"/>
          <w:color w:val="000000"/>
          <w:w w:val="100"/>
          <w:kern w:val="0"/>
          <w:position w:val="0"/>
          <w:sz w:val="32"/>
          <w:szCs w:val="32"/>
          <w:vertAlign w:val="baseline"/>
        </w:rPr>
        <w:t>浇筑井壁（井筒）混凝土工作需在模板、钢筋和预埋件验收合格后并清理吹仓完毕后开始进行。</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②</w:t>
      </w:r>
      <w:r>
        <w:rPr>
          <w:rFonts w:ascii="仿宋" w:eastAsia="仿宋" w:hAnsi="仿宋" w:cs="仿宋" w:hint="eastAsia"/>
          <w:b w:val="0"/>
          <w:bCs/>
          <w:shadow w:val="0"/>
          <w:color w:val="000000"/>
          <w:w w:val="100"/>
          <w:kern w:val="0"/>
          <w:position w:val="0"/>
          <w:sz w:val="32"/>
          <w:szCs w:val="32"/>
          <w:vertAlign w:val="baseline"/>
        </w:rPr>
        <w:t>混凝土拌和采用集中厂拌混凝土，现浇混凝土强度等级为C25（抗渗等级S6），针对本工程结构要满足长期与污水接触的环境要求，要确保其耐久性。混凝土拌制要采用优质低碱普通硅酸盐水泥，并使用非碱活性集料拌制，混凝土含碱量要控制在3Kg/m</w:t>
      </w:r>
      <w:r>
        <w:rPr>
          <w:rFonts w:ascii="仿宋" w:eastAsia="仿宋" w:hAnsi="仿宋" w:cs="仿宋" w:hint="eastAsia"/>
          <w:b w:val="0"/>
          <w:bCs/>
          <w:shadow w:val="0"/>
          <w:color w:val="000000"/>
          <w:w w:val="100"/>
          <w:kern w:val="0"/>
          <w:position w:val="0"/>
          <w:sz w:val="32"/>
          <w:szCs w:val="32"/>
          <w:vertAlign w:val="superscript"/>
        </w:rPr>
        <w:t>3</w:t>
      </w:r>
      <w:r>
        <w:rPr>
          <w:rFonts w:ascii="仿宋" w:eastAsia="仿宋" w:hAnsi="仿宋" w:cs="仿宋" w:hint="eastAsia"/>
          <w:b w:val="0"/>
          <w:bCs/>
          <w:shadow w:val="0"/>
          <w:color w:val="000000"/>
          <w:w w:val="100"/>
          <w:kern w:val="0"/>
          <w:position w:val="0"/>
          <w:sz w:val="32"/>
          <w:szCs w:val="32"/>
          <w:vertAlign w:val="baseline"/>
        </w:rPr>
        <w:t>以内，混凝土要按照设计要求和各项指标提前进行</w:t>
      </w:r>
      <w:r>
        <w:rPr>
          <w:rFonts w:ascii="仿宋" w:eastAsia="仿宋" w:hAnsi="仿宋" w:cs="仿宋" w:hint="eastAsia"/>
          <w:b w:val="0"/>
          <w:bCs/>
          <w:shadow w:val="0"/>
          <w:color w:val="000000"/>
          <w:w w:val="100"/>
          <w:kern w:val="0"/>
          <w:position w:val="0"/>
          <w:sz w:val="32"/>
          <w:szCs w:val="32"/>
          <w:highlight w:val="none"/>
          <w:vertAlign w:val="baseline"/>
        </w:rPr>
        <w:t>试配</w:t>
      </w:r>
      <w:r>
        <w:rPr>
          <w:rFonts w:ascii="仿宋" w:eastAsia="仿宋" w:hAnsi="仿宋" w:cs="仿宋" w:hint="eastAsia"/>
          <w:b w:val="0"/>
          <w:bCs/>
          <w:shadow w:val="0"/>
          <w:color w:val="000000"/>
          <w:w w:val="100"/>
          <w:kern w:val="0"/>
          <w:position w:val="0"/>
          <w:sz w:val="32"/>
          <w:szCs w:val="32"/>
          <w:vertAlign w:val="baseline"/>
        </w:rPr>
        <w:t>。</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③</w:t>
      </w:r>
      <w:r>
        <w:rPr>
          <w:rFonts w:ascii="仿宋" w:eastAsia="仿宋" w:hAnsi="仿宋" w:cs="仿宋" w:hint="eastAsia"/>
          <w:b w:val="0"/>
          <w:bCs/>
          <w:shadow w:val="0"/>
          <w:color w:val="000000"/>
          <w:w w:val="100"/>
          <w:kern w:val="0"/>
          <w:position w:val="0"/>
          <w:sz w:val="32"/>
          <w:szCs w:val="32"/>
          <w:vertAlign w:val="baseline"/>
        </w:rPr>
        <w:t>厂拌混凝土采用汽车输送混凝土到施工现场，浇注时用人工配手推车直接送到浇筑点。检查井浇筑混凝土用溜槽的方式下混凝土，采用插入式振捣器振捣，要做到紧插慢拨，</w:t>
      </w:r>
      <w:r>
        <w:rPr>
          <w:rFonts w:ascii="仿宋" w:eastAsia="仿宋" w:hAnsi="仿宋" w:cs="仿宋" w:hint="eastAsia"/>
          <w:b w:val="0"/>
          <w:bCs/>
          <w:shadow w:val="0"/>
          <w:color w:val="000000"/>
          <w:w w:val="100"/>
          <w:kern w:val="0"/>
          <w:position w:val="0"/>
          <w:sz w:val="32"/>
          <w:szCs w:val="32"/>
          <w:highlight w:val="none"/>
          <w:vertAlign w:val="baseline"/>
        </w:rPr>
        <w:t>插捣点</w:t>
      </w:r>
      <w:r>
        <w:rPr>
          <w:rFonts w:ascii="仿宋" w:eastAsia="仿宋" w:hAnsi="仿宋" w:cs="仿宋" w:hint="eastAsia"/>
          <w:b w:val="0"/>
          <w:bCs/>
          <w:shadow w:val="0"/>
          <w:color w:val="000000"/>
          <w:w w:val="100"/>
          <w:kern w:val="0"/>
          <w:position w:val="0"/>
          <w:sz w:val="32"/>
          <w:szCs w:val="32"/>
          <w:vertAlign w:val="baseline"/>
        </w:rPr>
        <w:t>间距</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40㎝；底板项面用木抹子压平。井壁预留台混凝土浇筑时，要与底板混凝土浇筑有40-60min的间隔时间，以防插捣不实。</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④</w:t>
      </w:r>
      <w:r>
        <w:rPr>
          <w:rFonts w:ascii="仿宋" w:eastAsia="仿宋" w:hAnsi="仿宋" w:cs="仿宋" w:hint="eastAsia"/>
          <w:b w:val="0"/>
          <w:bCs/>
          <w:shadow w:val="0"/>
          <w:color w:val="000000"/>
          <w:w w:val="100"/>
          <w:kern w:val="0"/>
          <w:position w:val="0"/>
          <w:sz w:val="32"/>
          <w:szCs w:val="32"/>
          <w:vertAlign w:val="baseline"/>
        </w:rPr>
        <w:t>浇筑混凝土时应设专门看筋、看模人员，并经常观察模板、钢筋、预埋孔洞、预埋管和插筋有无移动、变形或堵塞情况，发现问题及时处理。</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16"/>
          <w:cols w:space="708"/>
          <w:titlePg w:val="0"/>
          <w:docGrid w:type="lines" w:linePitch="312" w:charSpace="0"/>
        </w:sectPr>
      </w:pPr>
      <w:r>
        <w:rPr>
          <w:rFonts w:ascii="仿宋" w:eastAsia="仿宋" w:hAnsi="仿宋" w:cs="仿宋" w:hint="eastAsia"/>
          <w:b w:val="0"/>
          <w:bCs/>
          <w:shadow w:val="0"/>
          <w:color w:val="000000"/>
          <w:w w:val="100"/>
          <w:kern w:val="0"/>
          <w:position w:val="0"/>
          <w:sz w:val="32"/>
          <w:szCs w:val="32"/>
          <w:vertAlign w:val="baseline"/>
        </w:rPr>
        <w:t>⑤</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混凝土浇筑应连续进行，如必须间歇，其间歇时间应尽量缩短，浇筑墙体时应分层浇筑，并应在前层混凝土初凝之前，将次层混凝土浇筑完毕。</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⑥</w:t>
      </w:r>
      <w:r>
        <w:rPr>
          <w:rFonts w:ascii="仿宋" w:eastAsia="仿宋" w:hAnsi="仿宋" w:cs="仿宋" w:hint="eastAsia"/>
          <w:b w:val="0"/>
          <w:bCs/>
          <w:shadow w:val="0"/>
          <w:color w:val="000000"/>
          <w:w w:val="100"/>
          <w:kern w:val="0"/>
          <w:position w:val="0"/>
          <w:sz w:val="32"/>
          <w:szCs w:val="32"/>
          <w:vertAlign w:val="baseline"/>
        </w:rPr>
        <w:t>井壁（井筒）结构模拆除后，应及时对混凝土进行养护，经常浇水保证混凝土表面湿润，养护时间不少于14天。为避免混凝土表面裂缝，混凝土在终凝前，对表面应进行2</w:t>
      </w:r>
      <w:r>
        <w:rPr>
          <w:rFonts w:ascii="仿宋" w:eastAsia="仿宋" w:hAnsi="仿宋" w:cs="仿宋" w:hint="eastAsia"/>
          <w:b w:val="0"/>
          <w:bCs/>
          <w:shadow w:val="0"/>
          <w:color w:val="000000"/>
          <w:w w:val="100"/>
          <w:kern w:val="0"/>
          <w:position w:val="0"/>
          <w:sz w:val="32"/>
          <w:szCs w:val="32"/>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rPr>
        <w:t>3遍搓压处理，然后用塑料布覆盖。</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3</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rPr>
        <w:t>模板的拆除：</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模板拆除实行混凝土模板拆除申请制度，工长填写《混凝土拆模申请表》，得到质检员及主任工程师批准后，方可组织施工人员拆模。</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模板的拆除在混凝土强度能保证其表面棱角不因拆除模板而受损坏后，方可拆除。</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拆除时注意对混凝土的保护，严防猛砸、硬撬。</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4</w:t>
      </w:r>
      <w:r>
        <w:rPr>
          <w:rFonts w:ascii="仿宋" w:eastAsia="仿宋" w:hAnsi="仿宋" w:cs="仿宋" w:hint="eastAsia"/>
          <w:b w:val="0"/>
          <w:bCs/>
          <w:shadow w:val="0"/>
          <w:color w:val="000000"/>
          <w:w w:val="100"/>
          <w:kern w:val="0"/>
          <w:position w:val="0"/>
          <w:sz w:val="32"/>
          <w:szCs w:val="32"/>
          <w:highlight w:val="none"/>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rPr>
        <w:t>检查井质量标准：</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钢筋混凝土检查井施工方法：检查井应在管道安装后，及时安排完成，检查井结构</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为现浇钢筋混凝土底板、现浇井壁（井筒）定型钢模板、安装</w:t>
      </w:r>
      <w:r>
        <w:rPr>
          <w:rFonts w:ascii="仿宋" w:eastAsia="仿宋" w:hAnsi="仿宋" w:cs="仿宋" w:hint="eastAsia"/>
          <w:b w:val="0"/>
          <w:bCs/>
          <w:shadow w:val="0"/>
          <w:color w:val="000000"/>
          <w:w w:val="100"/>
          <w:kern w:val="0"/>
          <w:position w:val="0"/>
          <w:sz w:val="32"/>
          <w:szCs w:val="32"/>
          <w:highlight w:val="none"/>
          <w:vertAlign w:val="baseline"/>
          <w:lang w:eastAsia="zh-CN"/>
        </w:rPr>
        <w:t>预</w:t>
      </w:r>
      <w:r>
        <w:rPr>
          <w:rFonts w:ascii="仿宋" w:eastAsia="仿宋" w:hAnsi="仿宋" w:cs="仿宋" w:hint="eastAsia"/>
          <w:b w:val="0"/>
          <w:bCs/>
          <w:shadow w:val="0"/>
          <w:color w:val="000000"/>
          <w:w w:val="100"/>
          <w:kern w:val="0"/>
          <w:position w:val="0"/>
          <w:sz w:val="32"/>
          <w:szCs w:val="32"/>
          <w:highlight w:val="none"/>
          <w:vertAlign w:val="baseline"/>
        </w:rPr>
        <w:t>制井盖</w:t>
      </w:r>
      <w:r>
        <w:rPr>
          <w:rFonts w:ascii="仿宋" w:eastAsia="仿宋" w:hAnsi="仿宋" w:cs="仿宋" w:hint="eastAsia"/>
          <w:b w:val="0"/>
          <w:bCs/>
          <w:shadow w:val="0"/>
          <w:color w:val="000000"/>
          <w:w w:val="100"/>
          <w:kern w:val="0"/>
          <w:position w:val="0"/>
          <w:sz w:val="32"/>
          <w:szCs w:val="32"/>
          <w:vertAlign w:val="baseline"/>
        </w:rPr>
        <w:t>板。一般检查井按先底板、井壁（井筒）的顺序进行。</w:t>
      </w:r>
      <w:bookmarkStart w:id="50" w:name="page3"/>
      <w:bookmarkEnd w:id="50"/>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①</w:t>
      </w:r>
      <w:r>
        <w:rPr>
          <w:rFonts w:ascii="仿宋" w:eastAsia="仿宋" w:hAnsi="仿宋" w:cs="仿宋" w:hint="eastAsia"/>
          <w:b w:val="0"/>
          <w:bCs/>
          <w:shadow w:val="0"/>
          <w:color w:val="000000"/>
          <w:w w:val="100"/>
          <w:kern w:val="0"/>
          <w:position w:val="0"/>
          <w:sz w:val="32"/>
          <w:szCs w:val="32"/>
          <w:vertAlign w:val="baseline"/>
        </w:rPr>
        <w:t>井底、</w:t>
      </w:r>
      <w:r>
        <w:rPr>
          <w:rFonts w:ascii="仿宋" w:eastAsia="仿宋" w:hAnsi="仿宋" w:cs="仿宋" w:hint="eastAsia"/>
          <w:b w:val="0"/>
          <w:bCs/>
          <w:shadow w:val="0"/>
          <w:color w:val="000000"/>
          <w:w w:val="100"/>
          <w:kern w:val="0"/>
          <w:position w:val="0"/>
          <w:sz w:val="32"/>
          <w:szCs w:val="32"/>
          <w:highlight w:val="none"/>
          <w:vertAlign w:val="baseline"/>
        </w:rPr>
        <w:t>井面</w:t>
      </w:r>
      <w:r>
        <w:rPr>
          <w:rFonts w:ascii="仿宋" w:eastAsia="仿宋" w:hAnsi="仿宋" w:cs="仿宋" w:hint="eastAsia"/>
          <w:b w:val="0"/>
          <w:bCs/>
          <w:shadow w:val="0"/>
          <w:color w:val="000000"/>
          <w:w w:val="100"/>
          <w:kern w:val="0"/>
          <w:position w:val="0"/>
          <w:sz w:val="32"/>
          <w:szCs w:val="32"/>
          <w:vertAlign w:val="baseline"/>
        </w:rPr>
        <w:t>的标高要准确，井身尺寸要符合设计要求。长方形</w:t>
      </w:r>
      <w:r>
        <w:rPr>
          <w:rFonts w:ascii="仿宋" w:eastAsia="仿宋" w:hAnsi="仿宋" w:cs="仿宋" w:hint="eastAsia"/>
          <w:b w:val="0"/>
          <w:bCs/>
          <w:shadow w:val="0"/>
          <w:color w:val="000000"/>
          <w:w w:val="100"/>
          <w:kern w:val="0"/>
          <w:position w:val="0"/>
          <w:sz w:val="32"/>
          <w:szCs w:val="32"/>
          <w:highlight w:val="none"/>
          <w:vertAlign w:val="baseline"/>
        </w:rPr>
        <w:t>井井</w:t>
      </w:r>
      <w:r>
        <w:rPr>
          <w:rFonts w:ascii="仿宋" w:eastAsia="仿宋" w:hAnsi="仿宋" w:cs="仿宋" w:hint="eastAsia"/>
          <w:b w:val="0"/>
          <w:bCs/>
          <w:shadow w:val="0"/>
          <w:color w:val="000000"/>
          <w:w w:val="100"/>
          <w:kern w:val="0"/>
          <w:position w:val="0"/>
          <w:sz w:val="32"/>
          <w:szCs w:val="32"/>
          <w:vertAlign w:val="baseline"/>
        </w:rPr>
        <w:t>壁必须互相垂直，井形方正，并且井身的长轴线应与侧平石平行；如是圆井，应挂中心线校核井内径及圆度，井壁混凝土必须平顺密实，不得有空鼓、裂缝等现象，井壁混凝土强度应满足设计要求。</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②</w:t>
      </w:r>
      <w:r>
        <w:rPr>
          <w:rFonts w:ascii="仿宋" w:eastAsia="仿宋" w:hAnsi="仿宋" w:cs="仿宋" w:hint="eastAsia"/>
          <w:b w:val="0"/>
          <w:bCs/>
          <w:shadow w:val="0"/>
          <w:color w:val="000000"/>
          <w:w w:val="100"/>
          <w:kern w:val="0"/>
          <w:position w:val="0"/>
          <w:sz w:val="32"/>
          <w:szCs w:val="32"/>
          <w:vertAlign w:val="baseline"/>
        </w:rPr>
        <w:t>检查井允许偏差及检验方法见下表</w:t>
      </w:r>
    </w:p>
    <w:tbl>
      <w:tblPr>
        <w:tblStyle w:val="TableNormal"/>
        <w:jc w:val="center"/>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521"/>
        <w:gridCol w:w="3140"/>
        <w:gridCol w:w="1194"/>
        <w:gridCol w:w="837"/>
        <w:gridCol w:w="759"/>
        <w:gridCol w:w="2620"/>
      </w:tblGrid>
      <w:tr>
        <w:tblPrEx>
          <w:jc w:val="center"/>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val="454"/>
          <w:jc w:val="center"/>
        </w:trPr>
        <w:tc>
          <w:tcPr>
            <w:tcW w:w="521" w:type="dxa"/>
            <w:vMerge w:val="restart"/>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序号</w:t>
            </w:r>
          </w:p>
        </w:tc>
        <w:tc>
          <w:tcPr>
            <w:tcW w:w="3140" w:type="dxa"/>
            <w:vMerge w:val="restart"/>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项目</w:t>
            </w:r>
          </w:p>
        </w:tc>
        <w:tc>
          <w:tcPr>
            <w:tcW w:w="1194"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允许偏差</w:t>
            </w:r>
          </w:p>
        </w:tc>
        <w:tc>
          <w:tcPr>
            <w:tcW w:w="1596" w:type="dxa"/>
            <w:gridSpan w:val="2"/>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检验频率</w:t>
            </w:r>
          </w:p>
        </w:tc>
        <w:tc>
          <w:tcPr>
            <w:tcW w:w="2620" w:type="dxa"/>
            <w:vMerge w:val="restart"/>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检验方法</w:t>
            </w:r>
          </w:p>
        </w:tc>
      </w:tr>
      <w:tr>
        <w:tblPrEx>
          <w:jc w:val="center"/>
          <w:tblInd w:w="130" w:type="dxa"/>
          <w:tblLayout w:type="fixed"/>
          <w:tblCellMar>
            <w:top w:w="0" w:type="dxa"/>
            <w:left w:w="0" w:type="dxa"/>
            <w:bottom w:w="0" w:type="dxa"/>
            <w:right w:w="0" w:type="dxa"/>
          </w:tblCellMar>
          <w:tblLook w:val="0000"/>
        </w:tblPrEx>
        <w:trPr>
          <w:trHeight w:val="454"/>
          <w:jc w:val="center"/>
        </w:trPr>
        <w:tc>
          <w:tcPr>
            <w:tcW w:w="521" w:type="dxa"/>
            <w:vMerge/>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3140" w:type="dxa"/>
            <w:vMerge/>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1194"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(mm)</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范围</w:t>
            </w:r>
          </w:p>
        </w:tc>
        <w:tc>
          <w:tcPr>
            <w:tcW w:w="759"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点数</w:t>
            </w:r>
          </w:p>
        </w:tc>
        <w:tc>
          <w:tcPr>
            <w:tcW w:w="2620" w:type="dxa"/>
            <w:vMerge/>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r>
      <w:tr>
        <w:tblPrEx>
          <w:jc w:val="center"/>
          <w:tblInd w:w="130" w:type="dxa"/>
          <w:tblLayout w:type="fixed"/>
          <w:tblCellMar>
            <w:top w:w="0" w:type="dxa"/>
            <w:left w:w="0" w:type="dxa"/>
            <w:bottom w:w="0" w:type="dxa"/>
            <w:right w:w="0" w:type="dxa"/>
          </w:tblCellMar>
          <w:tblLook w:val="0000"/>
        </w:tblPrEx>
        <w:trPr>
          <w:trHeight w:val="454"/>
          <w:jc w:val="center"/>
        </w:trPr>
        <w:tc>
          <w:tcPr>
            <w:tcW w:w="521" w:type="dxa"/>
            <w:vMerge w:val="restart"/>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1</w:t>
            </w:r>
          </w:p>
        </w:tc>
        <w:tc>
          <w:tcPr>
            <w:tcW w:w="314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长、宽</w:t>
            </w:r>
          </w:p>
        </w:tc>
        <w:tc>
          <w:tcPr>
            <w:tcW w:w="1194"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w:t>
            </w:r>
            <w:r>
              <w:rPr>
                <w:rFonts w:ascii="仿宋" w:eastAsia="仿宋" w:hAnsi="仿宋" w:cs="仿宋" w:hint="eastAsia"/>
                <w:shadow w:val="0"/>
                <w:color w:val="000000"/>
                <w:w w:val="100"/>
                <w:position w:val="0"/>
                <w:sz w:val="21"/>
                <w:szCs w:val="21"/>
                <w:vertAlign w:val="baseline"/>
              </w:rPr>
              <w:t>20</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每座</w:t>
            </w:r>
          </w:p>
        </w:tc>
        <w:tc>
          <w:tcPr>
            <w:tcW w:w="759"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2</w:t>
            </w:r>
          </w:p>
        </w:tc>
        <w:tc>
          <w:tcPr>
            <w:tcW w:w="262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用尺量，长、宽各计一点</w:t>
            </w:r>
          </w:p>
        </w:tc>
      </w:tr>
      <w:tr>
        <w:tblPrEx>
          <w:jc w:val="center"/>
          <w:tblInd w:w="130" w:type="dxa"/>
          <w:tblLayout w:type="fixed"/>
          <w:tblCellMar>
            <w:top w:w="0" w:type="dxa"/>
            <w:left w:w="0" w:type="dxa"/>
            <w:bottom w:w="0" w:type="dxa"/>
            <w:right w:w="0" w:type="dxa"/>
          </w:tblCellMar>
          <w:tblLook w:val="0000"/>
        </w:tblPrEx>
        <w:trPr>
          <w:trHeight w:val="454"/>
          <w:jc w:val="center"/>
        </w:trPr>
        <w:tc>
          <w:tcPr>
            <w:tcW w:w="521" w:type="dxa"/>
            <w:vMerge/>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314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井身尺寸</w:t>
            </w:r>
          </w:p>
        </w:tc>
        <w:tc>
          <w:tcPr>
            <w:tcW w:w="1194"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w:t>
            </w:r>
            <w:r>
              <w:rPr>
                <w:rFonts w:ascii="仿宋" w:eastAsia="仿宋" w:hAnsi="仿宋" w:cs="仿宋" w:hint="eastAsia"/>
                <w:shadow w:val="0"/>
                <w:color w:val="000000"/>
                <w:w w:val="100"/>
                <w:position w:val="0"/>
                <w:sz w:val="21"/>
                <w:szCs w:val="21"/>
                <w:vertAlign w:val="baseline"/>
              </w:rPr>
              <w:t>20</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每座</w:t>
            </w:r>
          </w:p>
        </w:tc>
        <w:tc>
          <w:tcPr>
            <w:tcW w:w="759"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2</w:t>
            </w:r>
          </w:p>
        </w:tc>
        <w:tc>
          <w:tcPr>
            <w:tcW w:w="262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用尺量</w:t>
            </w:r>
          </w:p>
        </w:tc>
      </w:tr>
    </w:tbl>
    <w:p>
      <w:pPr>
        <w:sectPr>
          <w:type w:val="nextPage"/>
          <w:pgSz w:w="11906" w:h="16838"/>
          <w:pgMar w:top="1440" w:right="1800" w:bottom="1440" w:left="1800" w:header="851" w:footer="992" w:gutter="0"/>
          <w:pgNumType w:start="17"/>
          <w:cols w:space="708"/>
          <w:titlePg w:val="0"/>
          <w:docGrid w:type="lines" w:linePitch="312" w:charSpace="0"/>
        </w:sectPr>
      </w:pPr>
    </w:p>
    <w:tbl>
      <w:tblPr>
        <w:tblStyle w:val="TableNormal"/>
        <w:jc w:val="center"/>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521"/>
        <w:gridCol w:w="3140"/>
        <w:gridCol w:w="1194"/>
        <w:gridCol w:w="837"/>
        <w:gridCol w:w="759"/>
        <w:gridCol w:w="2620"/>
      </w:tblGrid>
      <w:tr>
        <w:tblPrEx>
          <w:jc w:val="center"/>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val="454"/>
          <w:jc w:val="center"/>
        </w:trPr>
        <w:tc>
          <w:tcPr>
            <w:tcW w:w="521" w:type="dxa"/>
            <w:vMerge w:val="restart"/>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314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直径</w:t>
            </w:r>
          </w:p>
        </w:tc>
        <w:tc>
          <w:tcPr>
            <w:tcW w:w="1194"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759"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262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r>
      <w:tr>
        <w:tblPrEx>
          <w:jc w:val="center"/>
          <w:tblInd w:w="130" w:type="dxa"/>
          <w:tblLayout w:type="fixed"/>
          <w:tblCellMar>
            <w:top w:w="0" w:type="dxa"/>
            <w:left w:w="0" w:type="dxa"/>
            <w:bottom w:w="0" w:type="dxa"/>
            <w:right w:w="0" w:type="dxa"/>
          </w:tblCellMar>
          <w:tblLook w:val="0000"/>
        </w:tblPrEx>
        <w:trPr>
          <w:trHeight w:val="454"/>
          <w:jc w:val="center"/>
        </w:trPr>
        <w:tc>
          <w:tcPr>
            <w:tcW w:w="521" w:type="dxa"/>
            <w:vMerge w:val="restart"/>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2</w:t>
            </w:r>
          </w:p>
        </w:tc>
        <w:tc>
          <w:tcPr>
            <w:tcW w:w="314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非路面</w:t>
            </w:r>
          </w:p>
        </w:tc>
        <w:tc>
          <w:tcPr>
            <w:tcW w:w="1194"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w:t>
            </w:r>
            <w:r>
              <w:rPr>
                <w:rFonts w:ascii="仿宋" w:eastAsia="仿宋" w:hAnsi="仿宋" w:cs="仿宋" w:hint="eastAsia"/>
                <w:shadow w:val="0"/>
                <w:color w:val="000000"/>
                <w:w w:val="100"/>
                <w:position w:val="0"/>
                <w:sz w:val="21"/>
                <w:szCs w:val="21"/>
                <w:vertAlign w:val="baseline"/>
              </w:rPr>
              <w:t>20</w:t>
            </w: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每座</w:t>
            </w:r>
          </w:p>
        </w:tc>
        <w:tc>
          <w:tcPr>
            <w:tcW w:w="759"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1</w:t>
            </w:r>
          </w:p>
        </w:tc>
        <w:tc>
          <w:tcPr>
            <w:tcW w:w="262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用水准仪测量</w:t>
            </w:r>
          </w:p>
        </w:tc>
      </w:tr>
      <w:tr>
        <w:tblPrEx>
          <w:jc w:val="center"/>
          <w:tblInd w:w="130" w:type="dxa"/>
          <w:tblLayout w:type="fixed"/>
          <w:tblCellMar>
            <w:top w:w="0" w:type="dxa"/>
            <w:left w:w="0" w:type="dxa"/>
            <w:bottom w:w="0" w:type="dxa"/>
            <w:right w:w="0" w:type="dxa"/>
          </w:tblCellMar>
          <w:tblLook w:val="0000"/>
        </w:tblPrEx>
        <w:trPr>
          <w:trHeight w:val="454"/>
          <w:jc w:val="center"/>
        </w:trPr>
        <w:tc>
          <w:tcPr>
            <w:tcW w:w="521" w:type="dxa"/>
            <w:vMerge/>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314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b w:val="0"/>
                <w:bCs/>
                <w:shadow w:val="0"/>
                <w:color w:val="000000"/>
                <w:w w:val="100"/>
                <w:kern w:val="0"/>
                <w:position w:val="0"/>
                <w:sz w:val="21"/>
                <w:szCs w:val="21"/>
                <w:vertAlign w:val="baseline"/>
                <w:lang w:val="en-US" w:eastAsia="zh-CN"/>
              </w:rPr>
              <w:t>井盖高</w:t>
            </w:r>
          </w:p>
        </w:tc>
        <w:tc>
          <w:tcPr>
            <w:tcW w:w="1194"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837" w:type="dxa"/>
            <w:vMerge w:val="restart"/>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每座</w:t>
            </w:r>
          </w:p>
        </w:tc>
        <w:tc>
          <w:tcPr>
            <w:tcW w:w="759" w:type="dxa"/>
            <w:vMerge w:val="restart"/>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1</w:t>
            </w:r>
          </w:p>
        </w:tc>
        <w:tc>
          <w:tcPr>
            <w:tcW w:w="2620" w:type="dxa"/>
            <w:vMerge w:val="restart"/>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用水准仪测量</w:t>
            </w:r>
          </w:p>
        </w:tc>
      </w:tr>
      <w:tr>
        <w:tblPrEx>
          <w:jc w:val="center"/>
          <w:tblInd w:w="130" w:type="dxa"/>
          <w:tblLayout w:type="fixed"/>
          <w:tblCellMar>
            <w:top w:w="0" w:type="dxa"/>
            <w:left w:w="0" w:type="dxa"/>
            <w:bottom w:w="0" w:type="dxa"/>
            <w:right w:w="0" w:type="dxa"/>
          </w:tblCellMar>
          <w:tblLook w:val="0000"/>
        </w:tblPrEx>
        <w:trPr>
          <w:trHeight w:val="454"/>
          <w:jc w:val="center"/>
        </w:trPr>
        <w:tc>
          <w:tcPr>
            <w:tcW w:w="521" w:type="dxa"/>
            <w:vMerge/>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314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路面</w:t>
            </w:r>
          </w:p>
        </w:tc>
        <w:tc>
          <w:tcPr>
            <w:tcW w:w="1194"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837" w:type="dxa"/>
            <w:vMerge/>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759" w:type="dxa"/>
            <w:vMerge/>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2620" w:type="dxa"/>
            <w:vMerge/>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r>
      <w:tr>
        <w:tblPrEx>
          <w:jc w:val="center"/>
          <w:tblInd w:w="130" w:type="dxa"/>
          <w:tblLayout w:type="fixed"/>
          <w:tblCellMar>
            <w:top w:w="0" w:type="dxa"/>
            <w:left w:w="0" w:type="dxa"/>
            <w:bottom w:w="0" w:type="dxa"/>
            <w:right w:w="0" w:type="dxa"/>
          </w:tblCellMar>
          <w:tblLook w:val="0000"/>
        </w:tblPrEx>
        <w:trPr>
          <w:trHeight w:val="454"/>
          <w:jc w:val="center"/>
        </w:trPr>
        <w:tc>
          <w:tcPr>
            <w:tcW w:w="521" w:type="dxa"/>
            <w:vMerge w:val="restart"/>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3</w:t>
            </w:r>
          </w:p>
        </w:tc>
        <w:tc>
          <w:tcPr>
            <w:tcW w:w="314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D</w:t>
            </w:r>
            <w:r>
              <w:rPr>
                <w:rFonts w:ascii="仿宋" w:eastAsia="仿宋" w:hAnsi="仿宋" w:cs="仿宋" w:hint="eastAsia"/>
                <w:shadow w:val="0"/>
                <w:color w:val="000000"/>
                <w:w w:val="100"/>
                <w:position w:val="0"/>
                <w:sz w:val="21"/>
                <w:szCs w:val="21"/>
                <w:vertAlign w:val="baseline"/>
              </w:rPr>
              <w:t>≤</w:t>
            </w:r>
            <w:r>
              <w:rPr>
                <w:rFonts w:ascii="仿宋" w:eastAsia="仿宋" w:hAnsi="仿宋" w:cs="仿宋" w:hint="eastAsia"/>
                <w:shadow w:val="0"/>
                <w:color w:val="000000"/>
                <w:w w:val="100"/>
                <w:position w:val="0"/>
                <w:sz w:val="21"/>
                <w:szCs w:val="21"/>
                <w:vertAlign w:val="baseline"/>
              </w:rPr>
              <w:t>1000mm</w:t>
            </w:r>
          </w:p>
        </w:tc>
        <w:tc>
          <w:tcPr>
            <w:tcW w:w="1194"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w:t>
            </w:r>
            <w:r>
              <w:rPr>
                <w:rFonts w:ascii="仿宋" w:eastAsia="仿宋" w:hAnsi="仿宋" w:cs="仿宋" w:hint="eastAsia"/>
                <w:shadow w:val="0"/>
                <w:color w:val="000000"/>
                <w:w w:val="100"/>
                <w:position w:val="0"/>
                <w:sz w:val="21"/>
                <w:szCs w:val="21"/>
                <w:vertAlign w:val="baseline"/>
              </w:rPr>
              <w:t>10</w:t>
            </w:r>
          </w:p>
        </w:tc>
        <w:tc>
          <w:tcPr>
            <w:tcW w:w="837" w:type="dxa"/>
            <w:vMerge w:val="restart"/>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每座</w:t>
            </w:r>
          </w:p>
        </w:tc>
        <w:tc>
          <w:tcPr>
            <w:tcW w:w="759" w:type="dxa"/>
            <w:vMerge w:val="restart"/>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1</w:t>
            </w:r>
          </w:p>
        </w:tc>
        <w:tc>
          <w:tcPr>
            <w:tcW w:w="2620" w:type="dxa"/>
            <w:vMerge w:val="restart"/>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用水准仪测量</w:t>
            </w:r>
          </w:p>
        </w:tc>
      </w:tr>
      <w:tr>
        <w:tblPrEx>
          <w:jc w:val="center"/>
          <w:tblInd w:w="130" w:type="dxa"/>
          <w:tblLayout w:type="fixed"/>
          <w:tblCellMar>
            <w:top w:w="0" w:type="dxa"/>
            <w:left w:w="0" w:type="dxa"/>
            <w:bottom w:w="0" w:type="dxa"/>
            <w:right w:w="0" w:type="dxa"/>
          </w:tblCellMar>
          <w:tblLook w:val="0000"/>
        </w:tblPrEx>
        <w:trPr>
          <w:trHeight w:val="454"/>
          <w:jc w:val="center"/>
        </w:trPr>
        <w:tc>
          <w:tcPr>
            <w:tcW w:w="521" w:type="dxa"/>
            <w:vMerge/>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314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井底高程</w:t>
            </w:r>
          </w:p>
        </w:tc>
        <w:tc>
          <w:tcPr>
            <w:tcW w:w="1194" w:type="dxa"/>
            <w:vMerge w:val="restart"/>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w:t>
            </w:r>
            <w:r>
              <w:rPr>
                <w:rFonts w:ascii="仿宋" w:eastAsia="仿宋" w:hAnsi="仿宋" w:cs="仿宋" w:hint="eastAsia"/>
                <w:shadow w:val="0"/>
                <w:color w:val="000000"/>
                <w:w w:val="100"/>
                <w:position w:val="0"/>
                <w:sz w:val="21"/>
                <w:szCs w:val="21"/>
                <w:vertAlign w:val="baseline"/>
              </w:rPr>
              <w:t>15</w:t>
            </w:r>
          </w:p>
        </w:tc>
        <w:tc>
          <w:tcPr>
            <w:tcW w:w="837" w:type="dxa"/>
            <w:vMerge/>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759" w:type="dxa"/>
            <w:vMerge/>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2620" w:type="dxa"/>
            <w:vMerge/>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r>
      <w:tr>
        <w:tblPrEx>
          <w:jc w:val="center"/>
          <w:tblInd w:w="130" w:type="dxa"/>
          <w:tblLayout w:type="fixed"/>
          <w:tblCellMar>
            <w:top w:w="0" w:type="dxa"/>
            <w:left w:w="0" w:type="dxa"/>
            <w:bottom w:w="0" w:type="dxa"/>
            <w:right w:w="0" w:type="dxa"/>
          </w:tblCellMar>
          <w:tblLook w:val="0000"/>
        </w:tblPrEx>
        <w:trPr>
          <w:trHeight w:val="454"/>
          <w:jc w:val="center"/>
        </w:trPr>
        <w:tc>
          <w:tcPr>
            <w:tcW w:w="521" w:type="dxa"/>
            <w:vMerge/>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314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r>
              <w:rPr>
                <w:rFonts w:ascii="仿宋" w:eastAsia="仿宋" w:hAnsi="仿宋" w:cs="仿宋" w:hint="eastAsia"/>
                <w:shadow w:val="0"/>
                <w:color w:val="000000"/>
                <w:w w:val="100"/>
                <w:position w:val="0"/>
                <w:sz w:val="21"/>
                <w:szCs w:val="21"/>
                <w:vertAlign w:val="baseline"/>
              </w:rPr>
              <w:t>D</w:t>
            </w:r>
            <w:r>
              <w:rPr>
                <w:rFonts w:ascii="仿宋" w:eastAsia="仿宋" w:hAnsi="仿宋" w:cs="仿宋" w:hint="eastAsia"/>
                <w:shadow w:val="0"/>
                <w:color w:val="000000"/>
                <w:w w:val="100"/>
                <w:position w:val="0"/>
                <w:sz w:val="21"/>
                <w:szCs w:val="21"/>
                <w:highlight w:val="none"/>
                <w:vertAlign w:val="baseline"/>
              </w:rPr>
              <w:t>&gt;</w:t>
            </w:r>
            <w:r>
              <w:rPr>
                <w:rFonts w:ascii="仿宋" w:eastAsia="仿宋" w:hAnsi="仿宋" w:cs="仿宋" w:hint="eastAsia"/>
                <w:shadow w:val="0"/>
                <w:color w:val="000000"/>
                <w:w w:val="100"/>
                <w:position w:val="0"/>
                <w:sz w:val="21"/>
                <w:szCs w:val="21"/>
                <w:vertAlign w:val="baseline"/>
              </w:rPr>
              <w:t>1000mm</w:t>
            </w:r>
          </w:p>
        </w:tc>
        <w:tc>
          <w:tcPr>
            <w:tcW w:w="1194" w:type="dxa"/>
            <w:vMerge/>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837"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759"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c>
          <w:tcPr>
            <w:tcW w:w="2620" w:type="dxa"/>
            <w:vAlign w:val="center"/>
          </w:tcPr>
          <w:p>
            <w:pPr>
              <w:keepNext w:val="0"/>
              <w:keepLines w:val="0"/>
              <w:pageBreakBefore w:val="0"/>
              <w:widowControl w:val="0"/>
              <w:kinsoku/>
              <w:wordWrap/>
              <w:overflowPunct/>
              <w:topLinePunct w:val="0"/>
              <w:autoSpaceDE/>
              <w:autoSpaceDN/>
              <w:bidi w:val="0"/>
              <w:adjustRightInd/>
              <w:snapToGrid/>
              <w:spacing w:line="320" w:lineRule="exact"/>
              <w:ind w:left="0" w:right="0" w:leftChars="0"/>
              <w:jc w:val="center"/>
              <w:textAlignment w:val="auto"/>
              <w:outlineLvl w:val="9"/>
              <w:rPr>
                <w:rFonts w:ascii="仿宋" w:eastAsia="仿宋" w:hAnsi="仿宋" w:cs="仿宋" w:hint="eastAsia"/>
                <w:shadow w:val="0"/>
                <w:color w:val="000000"/>
                <w:w w:val="100"/>
                <w:position w:val="0"/>
                <w:szCs w:val="21"/>
                <w:vertAlign w:val="baseline"/>
              </w:rPr>
            </w:pPr>
          </w:p>
        </w:tc>
      </w:tr>
    </w:tbl>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注：表中D为管径</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③</w:t>
      </w:r>
      <w:r>
        <w:rPr>
          <w:rFonts w:ascii="仿宋" w:eastAsia="仿宋" w:hAnsi="仿宋" w:cs="仿宋" w:hint="eastAsia"/>
          <w:b w:val="0"/>
          <w:bCs/>
          <w:shadow w:val="0"/>
          <w:color w:val="000000"/>
          <w:w w:val="100"/>
          <w:kern w:val="0"/>
          <w:position w:val="0"/>
          <w:sz w:val="32"/>
          <w:szCs w:val="32"/>
          <w:vertAlign w:val="baseline"/>
          <w:lang w:val="en-US" w:eastAsia="zh-CN"/>
        </w:rPr>
        <w:t>应注意的质量问题</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井面、井底高程误差超标，测量监控工作不严格；排水井、进水井砌筑尺寸误差超标，井筒收口不均匀，砖层不符、进水口与路面高程不匹配，未严格按标准图集的要求施工；井环开裂，井盖安装不平稳，车辆通车时跳动；砂浆强度不足</w:t>
      </w:r>
      <w:r>
        <w:rPr>
          <w:rFonts w:ascii="仿宋" w:eastAsia="仿宋" w:hAnsi="仿宋" w:cs="仿宋" w:hint="eastAsia"/>
          <w:b w:val="0"/>
          <w:bCs/>
          <w:shadow w:val="0"/>
          <w:color w:val="000000"/>
          <w:w w:val="100"/>
          <w:kern w:val="0"/>
          <w:position w:val="0"/>
          <w:sz w:val="32"/>
          <w:szCs w:val="32"/>
          <w:vertAlign w:val="baseline"/>
          <w:lang w:val="en-US" w:eastAsia="zh-CN"/>
        </w:rPr>
        <w:t>，未严格按配比调配砂浆。</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color w:val="000000"/>
          <w:kern w:val="2"/>
          <w:sz w:val="32"/>
          <w:szCs w:val="32"/>
          <w:lang w:val="en-US" w:eastAsia="zh-CN" w:bidi="ar-SA"/>
        </w:rPr>
        <w:t>4.3</w:t>
      </w:r>
      <w:r>
        <w:rPr>
          <w:rFonts w:ascii="仿宋" w:eastAsia="仿宋" w:hAnsi="仿宋" w:cs="仿宋" w:hint="eastAsia"/>
          <w:color w:val="000000"/>
          <w:sz w:val="32"/>
          <w:szCs w:val="32"/>
        </w:rPr>
        <w:t>球墨铸铁给水</w:t>
      </w:r>
      <w:r>
        <w:rPr>
          <w:rFonts w:ascii="仿宋" w:eastAsia="仿宋" w:hAnsi="仿宋" w:cs="仿宋" w:hint="eastAsia"/>
          <w:b w:val="0"/>
          <w:bCs/>
          <w:shadow w:val="0"/>
          <w:color w:val="000000"/>
          <w:w w:val="100"/>
          <w:kern w:val="0"/>
          <w:position w:val="0"/>
          <w:sz w:val="32"/>
          <w:szCs w:val="32"/>
          <w:vertAlign w:val="baseline"/>
        </w:rPr>
        <w:t>管</w:t>
      </w:r>
      <w:r>
        <w:rPr>
          <w:rFonts w:ascii="仿宋" w:eastAsia="仿宋" w:hAnsi="仿宋" w:cs="仿宋" w:hint="eastAsia"/>
          <w:b w:val="0"/>
          <w:bCs/>
          <w:shadow w:val="0"/>
          <w:color w:val="000000"/>
          <w:w w:val="100"/>
          <w:kern w:val="0"/>
          <w:position w:val="0"/>
          <w:sz w:val="32"/>
          <w:szCs w:val="32"/>
          <w:vertAlign w:val="baseline"/>
          <w:lang w:eastAsia="zh-CN"/>
        </w:rPr>
        <w:t>道安装</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当管道基础强度达到规范要求后，经监理工程师签证同意后立即进入管道铺设。管道的直管外壁应喷锌，质量应符合</w:t>
      </w:r>
      <w:r>
        <w:rPr>
          <w:rFonts w:ascii="仿宋" w:eastAsia="仿宋" w:hAnsi="仿宋" w:cs="仿宋" w:hint="eastAsia"/>
          <w:b w:val="0"/>
          <w:bCs/>
          <w:shadow w:val="0"/>
          <w:color w:val="000000"/>
          <w:w w:val="100"/>
          <w:kern w:val="0"/>
          <w:position w:val="0"/>
          <w:sz w:val="32"/>
          <w:szCs w:val="32"/>
          <w:highlight w:val="none"/>
          <w:vertAlign w:val="baseline"/>
        </w:rPr>
        <w:t>《</w:t>
      </w:r>
      <w:r>
        <w:rPr>
          <w:rFonts w:ascii="仿宋" w:eastAsia="仿宋" w:hAnsi="仿宋" w:cs="仿宋" w:hint="eastAsia"/>
          <w:b w:val="0"/>
          <w:bCs/>
          <w:shadow w:val="0"/>
          <w:color w:val="000000"/>
          <w:w w:val="100"/>
          <w:kern w:val="0"/>
          <w:position w:val="0"/>
          <w:sz w:val="32"/>
          <w:szCs w:val="32"/>
          <w:vertAlign w:val="baseline"/>
        </w:rPr>
        <w:t>球墨铸铁管-外表面锌涂层（第一部分带终饰层的金属锌层）的喷锌要求。</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1、运输及堆放及管道现场检查</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成品管道运至施工现场</w:t>
      </w:r>
      <w:r>
        <w:rPr>
          <w:rFonts w:ascii="仿宋" w:eastAsia="仿宋" w:hAnsi="仿宋" w:cs="仿宋" w:hint="eastAsia"/>
          <w:b w:val="0"/>
          <w:bCs/>
          <w:shadow w:val="0"/>
          <w:color w:val="000000"/>
          <w:w w:val="100"/>
          <w:kern w:val="0"/>
          <w:position w:val="0"/>
          <w:sz w:val="32"/>
          <w:szCs w:val="32"/>
          <w:vertAlign w:val="baseline"/>
          <w:lang w:eastAsia="zh-CN"/>
        </w:rPr>
        <w:t>，</w:t>
      </w:r>
      <w:r>
        <w:rPr>
          <w:rFonts w:ascii="仿宋" w:eastAsia="仿宋" w:hAnsi="仿宋" w:cs="仿宋" w:hint="eastAsia"/>
          <w:b w:val="0"/>
          <w:bCs/>
          <w:shadow w:val="0"/>
          <w:color w:val="000000"/>
          <w:w w:val="100"/>
          <w:kern w:val="0"/>
          <w:position w:val="0"/>
          <w:sz w:val="32"/>
          <w:szCs w:val="32"/>
          <w:vertAlign w:val="baseline"/>
        </w:rPr>
        <w:t>应按照产品标准进行逐节检验，不符合标准的不得使用并做好标志及时处理。在碎石垫层施工完毕后即可进行管道安装。在安装过程中要小心轻放，避免摔跌、碰撞管道。</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2.装前准备</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检验槽底宽度、高程是否符合设计要求，是否满足规范允许偏差。</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18"/>
          <w:cols w:space="708"/>
          <w:titlePg w:val="0"/>
          <w:docGrid w:type="lines" w:linePitch="312" w:charSpace="0"/>
        </w:sectPr>
      </w:pPr>
      <w:r>
        <w:rPr>
          <w:rFonts w:ascii="仿宋" w:eastAsia="仿宋" w:hAnsi="仿宋" w:cs="仿宋" w:hint="eastAsia"/>
          <w:b w:val="0"/>
          <w:bCs/>
          <w:shadow w:val="0"/>
          <w:color w:val="000000"/>
          <w:w w:val="100"/>
          <w:kern w:val="0"/>
          <w:position w:val="0"/>
          <w:sz w:val="32"/>
          <w:szCs w:val="32"/>
          <w:vertAlign w:val="baseline"/>
        </w:rPr>
        <w:t>b.检查球墨铸铁管及管件有无破损。</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c.将管口的毛刺和杂物清除干净。管道安装施工前，应用钢丝刷、棉纱布等仔细将承口内腔和插口端外边面的泥沙及其它异物清理干净，不得含有泥沙、油污等异物。</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d.橡胶圈应形体完整，表面光滑，无变形扭曲、裂纹现象。</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e.检查安装机具是否配套齐全，工作状态是否良好。</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3．安装程序与要求</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①</w:t>
      </w:r>
      <w:r>
        <w:rPr>
          <w:rFonts w:ascii="仿宋" w:eastAsia="仿宋" w:hAnsi="仿宋" w:cs="仿宋" w:hint="eastAsia"/>
          <w:b w:val="0"/>
          <w:bCs/>
          <w:shadow w:val="0"/>
          <w:color w:val="000000"/>
          <w:w w:val="100"/>
          <w:kern w:val="0"/>
          <w:position w:val="0"/>
          <w:sz w:val="32"/>
          <w:szCs w:val="32"/>
          <w:vertAlign w:val="baseline"/>
        </w:rPr>
        <w:t>球墨铸铁管为</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T</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型承插接口，安装程序为：清理承插接口</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清理胶圈</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上胶圈</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下管</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安装机具设备</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插口外表面和胶圈上刷润滑剂</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 xml:space="preserve"> 顶推管子使之插入承口</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检查</w:t>
      </w:r>
      <w:r>
        <w:rPr>
          <w:rFonts w:ascii="仿宋" w:eastAsia="仿宋" w:hAnsi="仿宋" w:cs="仿宋" w:hint="eastAsia"/>
          <w:b w:val="0"/>
          <w:bCs/>
          <w:shadow w:val="0"/>
          <w:color w:val="000000"/>
          <w:w w:val="100"/>
          <w:kern w:val="0"/>
          <w:position w:val="0"/>
          <w:sz w:val="32"/>
          <w:szCs w:val="32"/>
          <w:vertAlign w:val="baseline"/>
          <w:lang w:eastAsia="zh-CN"/>
        </w:rPr>
        <w:t>。</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②</w:t>
      </w:r>
      <w:r>
        <w:rPr>
          <w:rFonts w:ascii="仿宋" w:eastAsia="仿宋" w:hAnsi="仿宋" w:cs="仿宋" w:hint="eastAsia"/>
          <w:b w:val="0"/>
          <w:bCs/>
          <w:shadow w:val="0"/>
          <w:color w:val="000000"/>
          <w:w w:val="100"/>
          <w:kern w:val="0"/>
          <w:position w:val="0"/>
          <w:sz w:val="32"/>
          <w:szCs w:val="32"/>
          <w:vertAlign w:val="baseline"/>
        </w:rPr>
        <w:t>安装要求：</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⑴</w:t>
      </w:r>
      <w:r>
        <w:rPr>
          <w:rFonts w:ascii="仿宋" w:eastAsia="仿宋" w:hAnsi="仿宋" w:cs="仿宋" w:hint="eastAsia"/>
          <w:b w:val="0"/>
          <w:bCs/>
          <w:shadow w:val="0"/>
          <w:color w:val="000000"/>
          <w:w w:val="100"/>
          <w:kern w:val="0"/>
          <w:position w:val="0"/>
          <w:sz w:val="32"/>
          <w:szCs w:val="32"/>
          <w:vertAlign w:val="baseline"/>
        </w:rPr>
        <w:t>下管：应按下管的技术要求将管子下到槽底，可采用人工或机械下管法。</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⑵</w:t>
      </w:r>
      <w:r>
        <w:rPr>
          <w:rFonts w:ascii="仿宋" w:eastAsia="仿宋" w:hAnsi="仿宋" w:cs="仿宋" w:hint="eastAsia"/>
          <w:b w:val="0"/>
          <w:bCs/>
          <w:shadow w:val="0"/>
          <w:color w:val="000000"/>
          <w:w w:val="100"/>
          <w:kern w:val="0"/>
          <w:position w:val="0"/>
          <w:sz w:val="32"/>
          <w:szCs w:val="32"/>
          <w:highlight w:val="none"/>
          <w:vertAlign w:val="baseline"/>
        </w:rPr>
        <w:t>清理管口</w:t>
      </w:r>
      <w:r>
        <w:rPr>
          <w:rFonts w:ascii="仿宋" w:eastAsia="仿宋" w:hAnsi="仿宋" w:cs="仿宋" w:hint="eastAsia"/>
          <w:b w:val="0"/>
          <w:bCs/>
          <w:shadow w:val="0"/>
          <w:color w:val="000000"/>
          <w:w w:val="100"/>
          <w:kern w:val="0"/>
          <w:position w:val="0"/>
          <w:sz w:val="32"/>
          <w:szCs w:val="32"/>
          <w:vertAlign w:val="baseline"/>
        </w:rPr>
        <w:t>：应将承口内的所有杂物予以清除，并擦洗干净，因为任何附着物</w:t>
      </w:r>
      <w:r>
        <w:rPr>
          <w:rFonts w:ascii="仿宋" w:eastAsia="仿宋" w:hAnsi="仿宋" w:cs="仿宋" w:hint="eastAsia"/>
          <w:b w:val="0"/>
          <w:bCs/>
          <w:shadow w:val="0"/>
          <w:color w:val="000000"/>
          <w:w w:val="100"/>
          <w:kern w:val="0"/>
          <w:position w:val="0"/>
          <w:sz w:val="32"/>
          <w:szCs w:val="32"/>
          <w:highlight w:val="none"/>
          <w:vertAlign w:val="baseline"/>
        </w:rPr>
        <w:t>都右能</w:t>
      </w:r>
      <w:r>
        <w:rPr>
          <w:rFonts w:ascii="仿宋" w:eastAsia="仿宋" w:hAnsi="仿宋" w:cs="仿宋" w:hint="eastAsia"/>
          <w:b w:val="0"/>
          <w:bCs/>
          <w:shadow w:val="0"/>
          <w:color w:val="000000"/>
          <w:w w:val="100"/>
          <w:kern w:val="0"/>
          <w:position w:val="0"/>
          <w:sz w:val="32"/>
          <w:szCs w:val="32"/>
          <w:vertAlign w:val="baseline"/>
        </w:rPr>
        <w:t>造成接口漏水。</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⑶</w:t>
      </w:r>
      <w:r>
        <w:rPr>
          <w:rFonts w:ascii="仿宋" w:eastAsia="仿宋" w:hAnsi="仿宋" w:cs="仿宋" w:hint="eastAsia"/>
          <w:b w:val="0"/>
          <w:bCs/>
          <w:shadow w:val="0"/>
          <w:color w:val="000000"/>
          <w:w w:val="100"/>
          <w:kern w:val="0"/>
          <w:position w:val="0"/>
          <w:sz w:val="32"/>
          <w:szCs w:val="32"/>
          <w:vertAlign w:val="baseline"/>
        </w:rPr>
        <w:t>清理胶圈、上胶圈：应将胶圈上的粘着物清擦干净，</w:t>
      </w:r>
      <w:r>
        <w:rPr>
          <w:rFonts w:ascii="仿宋" w:eastAsia="仿宋" w:hAnsi="仿宋" w:cs="仿宋" w:hint="eastAsia"/>
          <w:b w:val="0"/>
          <w:bCs/>
          <w:shadow w:val="0"/>
          <w:color w:val="000000"/>
          <w:w w:val="100"/>
          <w:kern w:val="0"/>
          <w:position w:val="0"/>
          <w:sz w:val="32"/>
          <w:szCs w:val="32"/>
          <w:highlight w:val="none"/>
          <w:vertAlign w:val="baseline"/>
        </w:rPr>
        <w:t>把胶圈弯成</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梅花形</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或</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8</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字形装入承口槽内，并用手沿整个胶圈探险压一遍，或用木锤、橡皮锤砸实，确保胶圈各个部分</w:t>
      </w:r>
      <w:r>
        <w:rPr>
          <w:rFonts w:ascii="仿宋" w:eastAsia="仿宋" w:hAnsi="仿宋" w:cs="仿宋" w:hint="eastAsia"/>
          <w:b w:val="0"/>
          <w:bCs/>
          <w:shadow w:val="0"/>
          <w:color w:val="000000"/>
          <w:w w:val="100"/>
          <w:kern w:val="0"/>
          <w:position w:val="0"/>
          <w:sz w:val="32"/>
          <w:szCs w:val="32"/>
          <w:highlight w:val="none"/>
          <w:vertAlign w:val="baseline"/>
        </w:rPr>
        <w:t>不翘不扭</w:t>
      </w:r>
      <w:r>
        <w:rPr>
          <w:rFonts w:ascii="仿宋" w:eastAsia="仿宋" w:hAnsi="仿宋" w:cs="仿宋" w:hint="eastAsia"/>
          <w:b w:val="0"/>
          <w:bCs/>
          <w:shadow w:val="0"/>
          <w:color w:val="000000"/>
          <w:w w:val="100"/>
          <w:kern w:val="0"/>
          <w:position w:val="0"/>
          <w:sz w:val="32"/>
          <w:szCs w:val="32"/>
          <w:vertAlign w:val="baseline"/>
        </w:rPr>
        <w:t>，均匀一致地卡在槽内。</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⑷</w:t>
      </w:r>
      <w:r>
        <w:rPr>
          <w:rFonts w:ascii="仿宋" w:eastAsia="仿宋" w:hAnsi="仿宋" w:cs="仿宋" w:hint="eastAsia"/>
          <w:b w:val="0"/>
          <w:bCs/>
          <w:shadow w:val="0"/>
          <w:color w:val="000000"/>
          <w:w w:val="100"/>
          <w:kern w:val="0"/>
          <w:position w:val="0"/>
          <w:sz w:val="32"/>
          <w:szCs w:val="32"/>
          <w:vertAlign w:val="baseline"/>
        </w:rPr>
        <w:t>在插口外表面和胶圈上涂刷润滑剂：润滑剂右作杆物油，也可用肥皂水，将润滑剂均匀地涂刷在承口安装好的胶圈内表面、在插口外表面涂刷润滑剂时要将插口线以外的插口部位全部刷匀。</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19"/>
          <w:cols w:space="708"/>
          <w:titlePg w:val="0"/>
          <w:docGrid w:type="lines" w:linePitch="312" w:charSpace="0"/>
        </w:sectPr>
      </w:pPr>
      <w:r>
        <w:rPr>
          <w:rFonts w:ascii="仿宋" w:eastAsia="仿宋" w:hAnsi="仿宋" w:cs="仿宋" w:hint="eastAsia"/>
          <w:b w:val="0"/>
          <w:bCs/>
          <w:shadow w:val="0"/>
          <w:color w:val="000000"/>
          <w:w w:val="100"/>
          <w:kern w:val="0"/>
          <w:position w:val="0"/>
          <w:sz w:val="32"/>
          <w:szCs w:val="32"/>
          <w:vertAlign w:val="baseline"/>
        </w:rPr>
        <w:t>⑸</w:t>
      </w:r>
      <w:r>
        <w:rPr>
          <w:rFonts w:ascii="仿宋" w:eastAsia="仿宋" w:hAnsi="仿宋" w:cs="仿宋" w:hint="eastAsia"/>
          <w:b w:val="0"/>
          <w:bCs/>
          <w:shadow w:val="0"/>
          <w:color w:val="000000"/>
          <w:w w:val="100"/>
          <w:kern w:val="0"/>
          <w:position w:val="0"/>
          <w:sz w:val="32"/>
          <w:szCs w:val="32"/>
          <w:vertAlign w:val="baseline"/>
        </w:rPr>
        <w:t>顶推管子使之插入承口：在安装时，首先将插口放入承口内且插口压到承口内胶圈上</w:t>
      </w:r>
      <w:r>
        <w:rPr>
          <w:rFonts w:ascii="仿宋" w:eastAsia="仿宋" w:hAnsi="仿宋" w:cs="仿宋" w:hint="eastAsia"/>
          <w:b w:val="0"/>
          <w:bCs/>
          <w:shadow w:val="0"/>
          <w:color w:val="000000"/>
          <w:w w:val="100"/>
          <w:kern w:val="0"/>
          <w:position w:val="0"/>
          <w:sz w:val="32"/>
          <w:szCs w:val="32"/>
          <w:vertAlign w:val="baseline"/>
          <w:lang w:eastAsia="zh-CN"/>
        </w:rPr>
        <w:t>，</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接好钢丝绳和倒链，拉紧倒链，与此同时，在管承口端用力左右摇晃管子，直到插口插入承口内全部到位（以插口线为标志，第一道插口线进入承口内，第二道插口线几近到底）</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⑹</w:t>
      </w:r>
      <w:r>
        <w:rPr>
          <w:rFonts w:ascii="仿宋" w:eastAsia="仿宋" w:hAnsi="仿宋" w:cs="仿宋" w:hint="eastAsia"/>
          <w:b w:val="0"/>
          <w:bCs/>
          <w:shadow w:val="0"/>
          <w:color w:val="000000"/>
          <w:w w:val="100"/>
          <w:kern w:val="0"/>
          <w:position w:val="0"/>
          <w:sz w:val="32"/>
          <w:szCs w:val="32"/>
          <w:vertAlign w:val="baseline"/>
        </w:rPr>
        <w:t>安装时轴心线要在一条起直线上，避免胶圈顶出，影响安装。</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⑺</w:t>
      </w:r>
      <w:r>
        <w:rPr>
          <w:rFonts w:ascii="仿宋" w:eastAsia="仿宋" w:hAnsi="仿宋" w:cs="仿宋" w:hint="eastAsia"/>
          <w:b w:val="0"/>
          <w:bCs/>
          <w:shadow w:val="0"/>
          <w:color w:val="000000"/>
          <w:w w:val="100"/>
          <w:kern w:val="0"/>
          <w:position w:val="0"/>
          <w:sz w:val="32"/>
          <w:szCs w:val="32"/>
          <w:vertAlign w:val="baseline"/>
        </w:rPr>
        <w:t>管道安装要平，管子之间应</w:t>
      </w:r>
      <w:r>
        <w:rPr>
          <w:rFonts w:ascii="仿宋" w:eastAsia="仿宋" w:hAnsi="仿宋" w:cs="仿宋" w:hint="eastAsia"/>
          <w:b w:val="0"/>
          <w:bCs/>
          <w:shadow w:val="0"/>
          <w:color w:val="000000"/>
          <w:w w:val="100"/>
          <w:kern w:val="0"/>
          <w:position w:val="0"/>
          <w:sz w:val="32"/>
          <w:szCs w:val="32"/>
          <w:vertAlign w:val="baseline"/>
          <w:lang w:eastAsia="zh-CN"/>
        </w:rPr>
        <w:t>平面</w:t>
      </w:r>
      <w:r>
        <w:rPr>
          <w:rFonts w:ascii="仿宋" w:eastAsia="仿宋" w:hAnsi="仿宋" w:cs="仿宋" w:hint="eastAsia"/>
          <w:b w:val="0"/>
          <w:bCs/>
          <w:shadow w:val="0"/>
          <w:color w:val="000000"/>
          <w:w w:val="100"/>
          <w:kern w:val="0"/>
          <w:position w:val="0"/>
          <w:sz w:val="32"/>
          <w:szCs w:val="32"/>
          <w:vertAlign w:val="baseline"/>
        </w:rPr>
        <w:t>直线，有倾斜时，从低处向高处铺设，将承口向着高的方向。</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⑻</w:t>
      </w:r>
      <w:r>
        <w:rPr>
          <w:rFonts w:ascii="仿宋" w:eastAsia="仿宋" w:hAnsi="仿宋" w:cs="仿宋" w:hint="eastAsia"/>
          <w:b w:val="0"/>
          <w:bCs/>
          <w:shadow w:val="0"/>
          <w:color w:val="000000"/>
          <w:w w:val="100"/>
          <w:kern w:val="0"/>
          <w:position w:val="0"/>
          <w:sz w:val="32"/>
          <w:szCs w:val="32"/>
          <w:vertAlign w:val="baseline"/>
        </w:rPr>
        <w:t>在弯曲段利用管道接口的借转角安装时，先将管子沿直线安装，然后在转至要求的角度。</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⑼</w:t>
      </w:r>
      <w:r>
        <w:rPr>
          <w:rFonts w:ascii="仿宋" w:eastAsia="仿宋" w:hAnsi="仿宋" w:cs="仿宋" w:hint="eastAsia"/>
          <w:b w:val="0"/>
          <w:bCs/>
          <w:shadow w:val="0"/>
          <w:color w:val="000000"/>
          <w:w w:val="100"/>
          <w:kern w:val="0"/>
          <w:position w:val="0"/>
          <w:sz w:val="32"/>
          <w:szCs w:val="32"/>
          <w:vertAlign w:val="baseline"/>
        </w:rPr>
        <w:t>当管子需要</w:t>
      </w:r>
      <w:r>
        <w:rPr>
          <w:rFonts w:ascii="仿宋" w:eastAsia="仿宋" w:hAnsi="仿宋" w:cs="仿宋" w:hint="eastAsia"/>
          <w:b w:val="0"/>
          <w:bCs/>
          <w:shadow w:val="0"/>
          <w:color w:val="000000"/>
          <w:w w:val="100"/>
          <w:kern w:val="0"/>
          <w:position w:val="0"/>
          <w:sz w:val="32"/>
          <w:szCs w:val="32"/>
          <w:highlight w:val="none"/>
          <w:vertAlign w:val="baseline"/>
        </w:rPr>
        <w:t>截短后再</w:t>
      </w:r>
      <w:r>
        <w:rPr>
          <w:rFonts w:ascii="仿宋" w:eastAsia="仿宋" w:hAnsi="仿宋" w:cs="仿宋" w:hint="eastAsia"/>
          <w:b w:val="0"/>
          <w:bCs/>
          <w:shadow w:val="0"/>
          <w:color w:val="000000"/>
          <w:w w:val="100"/>
          <w:kern w:val="0"/>
          <w:position w:val="0"/>
          <w:sz w:val="32"/>
          <w:szCs w:val="32"/>
          <w:highlight w:val="none"/>
          <w:vertAlign w:val="baseline"/>
          <w:lang w:eastAsia="zh-CN"/>
        </w:rPr>
        <w:t>组</w:t>
      </w:r>
      <w:r>
        <w:rPr>
          <w:rFonts w:ascii="仿宋" w:eastAsia="仿宋" w:hAnsi="仿宋" w:cs="仿宋" w:hint="eastAsia"/>
          <w:b w:val="0"/>
          <w:bCs/>
          <w:shadow w:val="0"/>
          <w:color w:val="000000"/>
          <w:w w:val="100"/>
          <w:kern w:val="0"/>
          <w:position w:val="0"/>
          <w:sz w:val="32"/>
          <w:szCs w:val="32"/>
          <w:highlight w:val="none"/>
          <w:vertAlign w:val="baseline"/>
        </w:rPr>
        <w:t>装</w:t>
      </w:r>
      <w:r>
        <w:rPr>
          <w:rFonts w:ascii="仿宋" w:eastAsia="仿宋" w:hAnsi="仿宋" w:cs="仿宋" w:hint="eastAsia"/>
          <w:b w:val="0"/>
          <w:bCs/>
          <w:shadow w:val="0"/>
          <w:color w:val="000000"/>
          <w:w w:val="100"/>
          <w:kern w:val="0"/>
          <w:position w:val="0"/>
          <w:sz w:val="32"/>
          <w:szCs w:val="32"/>
          <w:vertAlign w:val="baseline"/>
        </w:rPr>
        <w:t>时，插口端应加工成坡口形式。</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⑽</w:t>
      </w:r>
      <w:r>
        <w:rPr>
          <w:rFonts w:ascii="仿宋" w:eastAsia="仿宋" w:hAnsi="仿宋" w:cs="仿宋" w:hint="eastAsia"/>
          <w:b w:val="0"/>
          <w:bCs/>
          <w:shadow w:val="0"/>
          <w:color w:val="000000"/>
          <w:w w:val="100"/>
          <w:kern w:val="0"/>
          <w:position w:val="0"/>
          <w:sz w:val="32"/>
          <w:szCs w:val="32"/>
          <w:vertAlign w:val="baseline"/>
        </w:rPr>
        <w:t>管件的安装：采用双倒链平行用力的方法，使管件平行安装。</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⑾</w:t>
      </w:r>
      <w:r>
        <w:rPr>
          <w:rFonts w:ascii="仿宋" w:eastAsia="仿宋" w:hAnsi="仿宋" w:cs="仿宋" w:hint="eastAsia"/>
          <w:b w:val="0"/>
          <w:bCs/>
          <w:shadow w:val="0"/>
          <w:color w:val="000000"/>
          <w:w w:val="100"/>
          <w:kern w:val="0"/>
          <w:position w:val="0"/>
          <w:sz w:val="32"/>
          <w:szCs w:val="32"/>
          <w:vertAlign w:val="baseline"/>
        </w:rPr>
        <w:t>铺设施工时，一天的操作结束后要将末端的管子装上临时端板，注意防止土砂流入管道内。</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(12)接口作业完面后，在回填土之前，避免管沟内积水，防止管体漂浮。</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(13)检查：检查插口承口的位置是否符合要求：用探尺（或钢板尺）伸入承插口间隙中检查胶圈位置是否正确。</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③</w:t>
      </w:r>
      <w:r>
        <w:rPr>
          <w:rFonts w:ascii="仿宋" w:eastAsia="仿宋" w:hAnsi="仿宋" w:cs="仿宋" w:hint="eastAsia"/>
          <w:b w:val="0"/>
          <w:bCs/>
          <w:shadow w:val="0"/>
          <w:color w:val="000000"/>
          <w:w w:val="100"/>
          <w:kern w:val="0"/>
          <w:position w:val="0"/>
          <w:sz w:val="32"/>
          <w:szCs w:val="32"/>
          <w:vertAlign w:val="baseline"/>
        </w:rPr>
        <w:t>切割要求</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施工现场可采用砂轮切割（或无齿锯等）、氧乙炔</w:t>
      </w:r>
      <w:r>
        <w:rPr>
          <w:rFonts w:ascii="仿宋" w:eastAsia="仿宋" w:hAnsi="仿宋" w:cs="仿宋" w:hint="eastAsia"/>
          <w:b w:val="0"/>
          <w:bCs/>
          <w:shadow w:val="0"/>
          <w:color w:val="000000"/>
          <w:w w:val="100"/>
          <w:kern w:val="0"/>
          <w:position w:val="0"/>
          <w:sz w:val="32"/>
          <w:szCs w:val="32"/>
          <w:highlight w:val="none"/>
          <w:vertAlign w:val="baseline"/>
        </w:rPr>
        <w:t>切割切割</w:t>
      </w:r>
      <w:r>
        <w:rPr>
          <w:rFonts w:ascii="仿宋" w:eastAsia="仿宋" w:hAnsi="仿宋" w:cs="仿宋" w:hint="eastAsia"/>
          <w:b w:val="0"/>
          <w:bCs/>
          <w:shadow w:val="0"/>
          <w:color w:val="000000"/>
          <w:w w:val="100"/>
          <w:kern w:val="0"/>
          <w:position w:val="0"/>
          <w:sz w:val="32"/>
          <w:szCs w:val="32"/>
          <w:vertAlign w:val="baseline"/>
        </w:rPr>
        <w:t>。</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(1)切管部预先划线，如果划线不准确，切口就会产生凹凸或就弯曲，要特别注意。</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(2)嘴的角度与管子垂直或跟垂直线面10</w:t>
      </w:r>
      <w:r>
        <w:rPr>
          <w:rFonts w:ascii="仿宋" w:eastAsia="仿宋" w:hAnsi="仿宋" w:cs="仿宋" w:hint="eastAsia"/>
          <w:b w:val="0"/>
          <w:bCs/>
          <w:shadow w:val="0"/>
          <w:color w:val="000000"/>
          <w:w w:val="100"/>
          <w:kern w:val="0"/>
          <w:position w:val="0"/>
          <w:sz w:val="32"/>
          <w:szCs w:val="32"/>
          <w:vertAlign w:val="baseline"/>
          <w:lang w:eastAsia="zh-CN"/>
        </w:rPr>
        <w:t>度</w:t>
      </w:r>
      <w:r>
        <w:rPr>
          <w:rFonts w:ascii="仿宋" w:eastAsia="仿宋" w:hAnsi="仿宋" w:cs="仿宋" w:hint="eastAsia"/>
          <w:b w:val="0"/>
          <w:bCs/>
          <w:shadow w:val="0"/>
          <w:color w:val="000000"/>
          <w:w w:val="100"/>
          <w:kern w:val="0"/>
          <w:position w:val="0"/>
          <w:sz w:val="32"/>
          <w:szCs w:val="32"/>
          <w:vertAlign w:val="baseline"/>
        </w:rPr>
        <w:t>倾斜角度较好。管子里面如果有水泥砂浆内衬，角度可稍大一些，最好为10</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20</w:t>
      </w:r>
      <w:r>
        <w:rPr>
          <w:rFonts w:ascii="仿宋" w:eastAsia="仿宋" w:hAnsi="仿宋" w:cs="仿宋" w:hint="eastAsia"/>
          <w:b w:val="0"/>
          <w:bCs/>
          <w:shadow w:val="0"/>
          <w:color w:val="000000"/>
          <w:w w:val="100"/>
          <w:kern w:val="0"/>
          <w:position w:val="0"/>
          <w:sz w:val="32"/>
          <w:szCs w:val="32"/>
          <w:vertAlign w:val="baseline"/>
          <w:lang w:eastAsia="zh-CN"/>
        </w:rPr>
        <w:t>度</w:t>
      </w:r>
      <w:r>
        <w:rPr>
          <w:rFonts w:ascii="仿宋" w:eastAsia="仿宋" w:hAnsi="仿宋" w:cs="仿宋" w:hint="eastAsia"/>
          <w:b w:val="0"/>
          <w:bCs/>
          <w:shadow w:val="0"/>
          <w:color w:val="000000"/>
          <w:w w:val="100"/>
          <w:kern w:val="0"/>
          <w:position w:val="0"/>
          <w:sz w:val="32"/>
          <w:szCs w:val="32"/>
          <w:vertAlign w:val="baseline"/>
        </w:rPr>
        <w:t>的程度。</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20"/>
          <w:cols w:space="708"/>
          <w:titlePg w:val="0"/>
          <w:docGrid w:type="lines" w:linePitch="312" w:charSpace="0"/>
        </w:sectPr>
      </w:pP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(3)管子外表面与火嘴间的距离切割进行中火嘴的角度、与管子表面的距离均应保持一定。</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为了使要割断面尽量美观平滑，使火嘴的位置保持一定</w:t>
      </w:r>
      <w:r>
        <w:rPr>
          <w:rFonts w:ascii="仿宋" w:eastAsia="仿宋" w:hAnsi="仿宋" w:cs="仿宋" w:hint="eastAsia"/>
          <w:b w:val="0"/>
          <w:bCs/>
          <w:shadow w:val="0"/>
          <w:color w:val="000000"/>
          <w:w w:val="100"/>
          <w:kern w:val="0"/>
          <w:position w:val="0"/>
          <w:sz w:val="32"/>
          <w:szCs w:val="32"/>
          <w:vertAlign w:val="baseline"/>
          <w:lang w:eastAsia="zh-CN"/>
        </w:rPr>
        <w:t>是</w:t>
      </w:r>
      <w:r>
        <w:rPr>
          <w:rFonts w:ascii="仿宋" w:eastAsia="仿宋" w:hAnsi="仿宋" w:cs="仿宋" w:hint="eastAsia"/>
          <w:b w:val="0"/>
          <w:bCs/>
          <w:shadow w:val="0"/>
          <w:color w:val="000000"/>
          <w:w w:val="100"/>
          <w:kern w:val="0"/>
          <w:position w:val="0"/>
          <w:sz w:val="32"/>
          <w:szCs w:val="32"/>
          <w:vertAlign w:val="baseline"/>
        </w:rPr>
        <w:t>很必要的。通常管外表面</w:t>
      </w:r>
      <w:r>
        <w:rPr>
          <w:rFonts w:ascii="仿宋" w:eastAsia="仿宋" w:hAnsi="仿宋" w:cs="仿宋" w:hint="eastAsia"/>
          <w:b w:val="0"/>
          <w:bCs/>
          <w:shadow w:val="0"/>
          <w:color w:val="000000"/>
          <w:w w:val="100"/>
          <w:kern w:val="0"/>
          <w:position w:val="0"/>
          <w:sz w:val="32"/>
          <w:szCs w:val="32"/>
          <w:highlight w:val="none"/>
          <w:vertAlign w:val="baseline"/>
        </w:rPr>
        <w:t>与火嘴间</w:t>
      </w:r>
      <w:r>
        <w:rPr>
          <w:rFonts w:ascii="仿宋" w:eastAsia="仿宋" w:hAnsi="仿宋" w:cs="仿宋" w:hint="eastAsia"/>
          <w:b w:val="0"/>
          <w:bCs/>
          <w:shadow w:val="0"/>
          <w:color w:val="000000"/>
          <w:w w:val="100"/>
          <w:kern w:val="0"/>
          <w:position w:val="0"/>
          <w:sz w:val="32"/>
          <w:szCs w:val="32"/>
          <w:vertAlign w:val="baseline"/>
        </w:rPr>
        <w:t>距离为10</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20mm。</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(4)切割方向</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从管子下方切起。如果从上方切割，则融化的铁水流向切口，而且铁被氧化妨碍切割的进行，同时熔融的铁飞散对操作者也有危险。另外，对于有水泥砂浆内衬的管，要想使溶融的铁水不掉落管的内侧使困难的，所以利用火焰的压力将熔融铁水吹散。</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(5)切断面的状况</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为了使橡胶圈套入插口时</w:t>
      </w:r>
      <w:r>
        <w:rPr>
          <w:rFonts w:ascii="仿宋" w:eastAsia="仿宋" w:hAnsi="仿宋" w:cs="仿宋" w:hint="eastAsia"/>
          <w:b w:val="0"/>
          <w:bCs/>
          <w:shadow w:val="0"/>
          <w:color w:val="000000"/>
          <w:w w:val="100"/>
          <w:kern w:val="0"/>
          <w:position w:val="0"/>
          <w:sz w:val="32"/>
          <w:szCs w:val="32"/>
          <w:vertAlign w:val="baseline"/>
          <w:lang w:eastAsia="zh-CN"/>
        </w:rPr>
        <w:t>，</w:t>
      </w:r>
      <w:r>
        <w:rPr>
          <w:rFonts w:ascii="仿宋" w:eastAsia="仿宋" w:hAnsi="仿宋" w:cs="仿宋" w:hint="eastAsia"/>
          <w:b w:val="0"/>
          <w:bCs/>
          <w:shadow w:val="0"/>
          <w:color w:val="000000"/>
          <w:w w:val="100"/>
          <w:kern w:val="0"/>
          <w:position w:val="0"/>
          <w:sz w:val="32"/>
          <w:szCs w:val="32"/>
          <w:vertAlign w:val="baseline"/>
        </w:rPr>
        <w:t>不致造成橡胶圈的损伤</w:t>
      </w:r>
      <w:r>
        <w:rPr>
          <w:rFonts w:ascii="仿宋" w:eastAsia="仿宋" w:hAnsi="仿宋" w:cs="仿宋" w:hint="eastAsia"/>
          <w:b w:val="0"/>
          <w:bCs/>
          <w:shadow w:val="0"/>
          <w:color w:val="000000"/>
          <w:w w:val="100"/>
          <w:kern w:val="0"/>
          <w:position w:val="0"/>
          <w:sz w:val="32"/>
          <w:szCs w:val="32"/>
          <w:vertAlign w:val="baseline"/>
          <w:lang w:eastAsia="zh-CN"/>
        </w:rPr>
        <w:t>，</w:t>
      </w:r>
      <w:r>
        <w:rPr>
          <w:rFonts w:ascii="仿宋" w:eastAsia="仿宋" w:hAnsi="仿宋" w:cs="仿宋" w:hint="eastAsia"/>
          <w:b w:val="0"/>
          <w:bCs/>
          <w:shadow w:val="0"/>
          <w:color w:val="000000"/>
          <w:w w:val="100"/>
          <w:kern w:val="0"/>
          <w:position w:val="0"/>
          <w:sz w:val="32"/>
          <w:szCs w:val="32"/>
          <w:vertAlign w:val="baseline"/>
        </w:rPr>
        <w:t>要将管子外面附着的</w:t>
      </w:r>
      <w:r>
        <w:rPr>
          <w:rFonts w:ascii="仿宋" w:eastAsia="仿宋" w:hAnsi="仿宋" w:cs="仿宋" w:hint="eastAsia"/>
          <w:b w:val="0"/>
          <w:bCs/>
          <w:shadow w:val="0"/>
          <w:color w:val="000000"/>
          <w:w w:val="100"/>
          <w:kern w:val="0"/>
          <w:position w:val="0"/>
          <w:sz w:val="32"/>
          <w:szCs w:val="32"/>
          <w:highlight w:val="none"/>
          <w:vertAlign w:val="baseline"/>
        </w:rPr>
        <w:t>溶渣</w:t>
      </w:r>
      <w:r>
        <w:rPr>
          <w:rFonts w:ascii="仿宋" w:eastAsia="仿宋" w:hAnsi="仿宋" w:cs="仿宋" w:hint="eastAsia"/>
          <w:b w:val="0"/>
          <w:bCs/>
          <w:shadow w:val="0"/>
          <w:color w:val="000000"/>
          <w:w w:val="100"/>
          <w:kern w:val="0"/>
          <w:position w:val="0"/>
          <w:sz w:val="32"/>
          <w:szCs w:val="32"/>
          <w:vertAlign w:val="baseline"/>
        </w:rPr>
        <w:t>完全清除，并用砂轮倒角，以便安装时不致将胶圈损坏。机械切割的球铁管一定要打</w:t>
      </w:r>
      <w:r>
        <w:rPr>
          <w:rFonts w:ascii="仿宋" w:eastAsia="仿宋" w:hAnsi="仿宋" w:cs="仿宋" w:hint="eastAsia"/>
          <w:b w:val="0"/>
          <w:bCs/>
          <w:shadow w:val="0"/>
          <w:color w:val="000000"/>
          <w:w w:val="100"/>
          <w:kern w:val="0"/>
          <w:position w:val="0"/>
          <w:sz w:val="32"/>
          <w:szCs w:val="32"/>
          <w:highlight w:val="none"/>
          <w:vertAlign w:val="baseline"/>
        </w:rPr>
        <w:t>坡口</w:t>
      </w:r>
      <w:r>
        <w:rPr>
          <w:rFonts w:ascii="仿宋" w:eastAsia="仿宋" w:hAnsi="仿宋" w:cs="仿宋" w:hint="eastAsia"/>
          <w:b w:val="0"/>
          <w:bCs/>
          <w:shadow w:val="0"/>
          <w:color w:val="000000"/>
          <w:w w:val="100"/>
          <w:kern w:val="0"/>
          <w:position w:val="0"/>
          <w:sz w:val="32"/>
          <w:szCs w:val="32"/>
          <w:vertAlign w:val="baseline"/>
        </w:rPr>
        <w:t>，否则影响安装。</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阀门及管件安装</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（1）安装前检查</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A、安装前应根据各阀件型号和出厂说明书检查是否满足工程上的使用要求，并按规定进行水压试验。</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B、检查阀件是否灵活，有无卡住或歪斜现象，对严密性试验不合格者应进行研磨修理，必要时进生解体检查。</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（2）安装注意事项</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A、安装时一定要根据设计位置认真安装。</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B、认真阅读出厂说明书，保证安装的准确性，达到阀件的良好性能。</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C、各阀件及管件之间</w:t>
      </w:r>
      <w:r>
        <w:rPr>
          <w:rFonts w:ascii="仿宋" w:eastAsia="仿宋" w:hAnsi="仿宋" w:cs="仿宋" w:hint="eastAsia"/>
          <w:b w:val="0"/>
          <w:bCs/>
          <w:shadow w:val="0"/>
          <w:color w:val="000000"/>
          <w:w w:val="100"/>
          <w:kern w:val="0"/>
          <w:position w:val="0"/>
          <w:sz w:val="32"/>
          <w:szCs w:val="32"/>
          <w:highlight w:val="none"/>
          <w:vertAlign w:val="baseline"/>
        </w:rPr>
        <w:t>边结紧</w:t>
      </w:r>
      <w:r>
        <w:rPr>
          <w:rFonts w:ascii="仿宋" w:eastAsia="仿宋" w:hAnsi="仿宋" w:cs="仿宋" w:hint="eastAsia"/>
          <w:b w:val="0"/>
          <w:bCs/>
          <w:shadow w:val="0"/>
          <w:color w:val="000000"/>
          <w:w w:val="100"/>
          <w:kern w:val="0"/>
          <w:position w:val="0"/>
          <w:sz w:val="32"/>
          <w:szCs w:val="32"/>
          <w:vertAlign w:val="baseline"/>
        </w:rPr>
        <w:t>密，不渗水，不漏水。</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5、接口</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21"/>
          <w:cols w:space="708"/>
          <w:titlePg w:val="0"/>
          <w:docGrid w:type="lines" w:linePitch="312" w:charSpace="0"/>
        </w:sectPr>
      </w:pPr>
      <w:r>
        <w:rPr>
          <w:rFonts w:ascii="仿宋" w:eastAsia="仿宋" w:hAnsi="仿宋" w:cs="仿宋" w:hint="eastAsia"/>
          <w:b w:val="0"/>
          <w:bCs/>
          <w:shadow w:val="0"/>
          <w:color w:val="000000"/>
          <w:w w:val="100"/>
          <w:kern w:val="0"/>
          <w:position w:val="0"/>
          <w:sz w:val="32"/>
          <w:szCs w:val="32"/>
          <w:vertAlign w:val="baseline"/>
        </w:rPr>
        <w:t>接口采用胶圈嵌缝接口</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（1）胶圈的检验和保管</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A、胶圈的密封误码符合设计及规范要求。</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B、胶圈施工温度要求-100</w:t>
      </w:r>
      <w:r>
        <w:rPr>
          <w:rFonts w:ascii="宋体" w:eastAsia="宋体" w:hAnsi="宋体" w:cs="宋体"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时不准施工。由于施工正处于冬期施工，为保证胶圈的使用性能。胶圈保管放在屋内，温度控制在150</w:t>
      </w:r>
      <w:r>
        <w:rPr>
          <w:rFonts w:ascii="宋体" w:eastAsia="宋体" w:hAnsi="宋体" w:cs="宋体"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左右。胶圈接口嵌缝时，现场采用典钨灯电烤法保证接口胶圈性能。</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C、做接口前，先将管子口预热，然后将胶圈套在承口要求位置线上，胶圈内涂刷食用油润滑。在撞插口前，必须保证两边管的水平及环形间隙均匀。然后用导链推进插口入承口内至插口边缘规定位置线。</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（2）接口的质量要求</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①</w:t>
      </w:r>
      <w:r>
        <w:rPr>
          <w:rFonts w:ascii="仿宋" w:eastAsia="仿宋" w:hAnsi="仿宋" w:cs="仿宋" w:hint="eastAsia"/>
          <w:b w:val="0"/>
          <w:bCs/>
          <w:shadow w:val="0"/>
          <w:color w:val="000000"/>
          <w:w w:val="100"/>
          <w:kern w:val="0"/>
          <w:position w:val="0"/>
          <w:sz w:val="32"/>
          <w:szCs w:val="32"/>
          <w:vertAlign w:val="baseline"/>
        </w:rPr>
        <w:t>胶圈要均匀滚入承口，不得扭曲或里出外进。</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②</w:t>
      </w:r>
      <w:r>
        <w:rPr>
          <w:rFonts w:ascii="仿宋" w:eastAsia="仿宋" w:hAnsi="仿宋" w:cs="仿宋" w:hint="eastAsia"/>
          <w:b w:val="0"/>
          <w:bCs/>
          <w:shadow w:val="0"/>
          <w:color w:val="000000"/>
          <w:w w:val="100"/>
          <w:kern w:val="0"/>
          <w:position w:val="0"/>
          <w:sz w:val="32"/>
          <w:szCs w:val="32"/>
          <w:vertAlign w:val="baseline"/>
        </w:rPr>
        <w:t>安装完后，承口与插口的安装界线误差不超过</w:t>
      </w:r>
      <w:r>
        <w:rPr>
          <w:rFonts w:ascii="仿宋" w:eastAsia="仿宋" w:hAnsi="仿宋" w:cs="仿宋" w:hint="eastAsia"/>
          <w:b w:val="0"/>
          <w:bCs/>
          <w:shadow w:val="0"/>
          <w:color w:val="000000"/>
          <w:w w:val="100"/>
          <w:kern w:val="0"/>
          <w:position w:val="0"/>
          <w:sz w:val="32"/>
          <w:szCs w:val="32"/>
          <w:vertAlign w:val="baseline"/>
        </w:rPr>
        <w:t>±</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③</w:t>
      </w:r>
      <w:r>
        <w:rPr>
          <w:rFonts w:ascii="仿宋" w:eastAsia="仿宋" w:hAnsi="仿宋" w:cs="仿宋" w:hint="eastAsia"/>
          <w:b w:val="0"/>
          <w:bCs/>
          <w:shadow w:val="0"/>
          <w:color w:val="000000"/>
          <w:w w:val="100"/>
          <w:kern w:val="0"/>
          <w:position w:val="0"/>
          <w:sz w:val="32"/>
          <w:szCs w:val="32"/>
          <w:vertAlign w:val="baseline"/>
        </w:rPr>
        <w:t>橡胶圈不能与油类、苯酸碱等对橡胶害物质的接触，不能使其长期受挤压。</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6、水压试验</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给水管道完成后，根据有关技术应进行水压实验，水压实验前应清除管道内杂物，注满水后应浸泡24小时以上。球墨铸铁管强度试验标准</w:t>
      </w:r>
      <w:r>
        <w:rPr>
          <w:rFonts w:ascii="仿宋" w:eastAsia="仿宋" w:hAnsi="仿宋" w:cs="仿宋" w:hint="eastAsia"/>
          <w:b w:val="0"/>
          <w:bCs/>
          <w:shadow w:val="0"/>
          <w:color w:val="000000"/>
          <w:w w:val="100"/>
          <w:kern w:val="0"/>
          <w:position w:val="0"/>
          <w:sz w:val="32"/>
          <w:szCs w:val="32"/>
          <w:highlight w:val="none"/>
          <w:vertAlign w:val="baseline"/>
        </w:rPr>
        <w:t>以试压</w:t>
      </w:r>
      <w:r>
        <w:rPr>
          <w:rFonts w:ascii="仿宋" w:eastAsia="仿宋" w:hAnsi="仿宋" w:cs="仿宋" w:hint="eastAsia"/>
          <w:b w:val="0"/>
          <w:bCs/>
          <w:shadow w:val="0"/>
          <w:color w:val="000000"/>
          <w:w w:val="100"/>
          <w:kern w:val="0"/>
          <w:position w:val="0"/>
          <w:sz w:val="32"/>
          <w:szCs w:val="32"/>
          <w:vertAlign w:val="baseline"/>
        </w:rPr>
        <w:t>1.0MPa，15分钟降压不大于0.03MPa为合格。钢管管道强度试验标准</w:t>
      </w:r>
      <w:r>
        <w:rPr>
          <w:rFonts w:ascii="仿宋" w:eastAsia="仿宋" w:hAnsi="仿宋" w:cs="仿宋" w:hint="eastAsia"/>
          <w:b w:val="0"/>
          <w:bCs/>
          <w:shadow w:val="0"/>
          <w:color w:val="000000"/>
          <w:w w:val="100"/>
          <w:kern w:val="0"/>
          <w:position w:val="0"/>
          <w:sz w:val="32"/>
          <w:szCs w:val="32"/>
          <w:highlight w:val="none"/>
          <w:vertAlign w:val="baseline"/>
        </w:rPr>
        <w:t>以试压</w:t>
      </w:r>
      <w:r>
        <w:rPr>
          <w:rFonts w:ascii="仿宋" w:eastAsia="仿宋" w:hAnsi="仿宋" w:cs="仿宋" w:hint="eastAsia"/>
          <w:b w:val="0"/>
          <w:bCs/>
          <w:shadow w:val="0"/>
          <w:color w:val="000000"/>
          <w:w w:val="100"/>
          <w:kern w:val="0"/>
          <w:position w:val="0"/>
          <w:sz w:val="32"/>
          <w:szCs w:val="32"/>
          <w:vertAlign w:val="baseline"/>
        </w:rPr>
        <w:t>1.0MPa，15分钟无降压、不损漏为合格。水压试验采用管线全线一次进行水压试验。</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根据管径用管接口形式，</w:t>
      </w:r>
      <w:r>
        <w:rPr>
          <w:rFonts w:ascii="仿宋" w:eastAsia="仿宋" w:hAnsi="仿宋" w:cs="仿宋" w:hint="eastAsia"/>
          <w:b w:val="0"/>
          <w:bCs/>
          <w:shadow w:val="0"/>
          <w:color w:val="000000"/>
          <w:w w:val="100"/>
          <w:kern w:val="0"/>
          <w:position w:val="0"/>
          <w:sz w:val="32"/>
          <w:szCs w:val="32"/>
          <w:highlight w:val="none"/>
          <w:vertAlign w:val="baseline"/>
        </w:rPr>
        <w:t>试压盖堵</w:t>
      </w:r>
      <w:r>
        <w:rPr>
          <w:rFonts w:ascii="仿宋" w:eastAsia="仿宋" w:hAnsi="仿宋" w:cs="仿宋" w:hint="eastAsia"/>
          <w:b w:val="0"/>
          <w:bCs/>
          <w:shadow w:val="0"/>
          <w:color w:val="000000"/>
          <w:w w:val="100"/>
          <w:kern w:val="0"/>
          <w:position w:val="0"/>
          <w:sz w:val="32"/>
          <w:szCs w:val="32"/>
          <w:vertAlign w:val="baseline"/>
        </w:rPr>
        <w:t>采用柔性胶圈接口连接。后背计算（休用天然土壁作管道试压后背）根据试验压力，查表求得盖堵承受水压力，即盖堵传给后背的总压力</w:t>
      </w:r>
      <w:r>
        <w:rPr>
          <w:rFonts w:ascii="仿宋" w:eastAsia="仿宋" w:hAnsi="仿宋" w:cs="仿宋" w:hint="eastAsia"/>
          <w:b w:val="0"/>
          <w:bCs/>
          <w:shadow w:val="0"/>
          <w:color w:val="000000"/>
          <w:w w:val="100"/>
          <w:kern w:val="0"/>
          <w:position w:val="0"/>
          <w:sz w:val="32"/>
          <w:szCs w:val="32"/>
          <w:vertAlign w:val="baseline"/>
          <w:lang w:eastAsia="zh-CN"/>
        </w:rPr>
        <w:t>，</w:t>
      </w:r>
      <w:r>
        <w:rPr>
          <w:rFonts w:ascii="仿宋" w:eastAsia="仿宋" w:hAnsi="仿宋" w:cs="仿宋" w:hint="eastAsia"/>
          <w:b w:val="0"/>
          <w:bCs/>
          <w:shadow w:val="0"/>
          <w:color w:val="000000"/>
          <w:w w:val="100"/>
          <w:kern w:val="0"/>
          <w:position w:val="0"/>
          <w:sz w:val="32"/>
          <w:szCs w:val="32"/>
          <w:vertAlign w:val="baseline"/>
        </w:rPr>
        <w:t>依据下式求得后背承受面积：</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22"/>
          <w:cols w:space="708"/>
          <w:titlePg w:val="0"/>
          <w:docGrid w:type="lines" w:linePitch="312" w:charSpace="0"/>
        </w:sectPr>
      </w:pPr>
      <w:r>
        <w:rPr>
          <w:rFonts w:ascii="仿宋" w:eastAsia="仿宋" w:hAnsi="仿宋" w:cs="仿宋" w:hint="eastAsia"/>
          <w:b w:val="0"/>
          <w:bCs/>
          <w:shadow w:val="0"/>
          <w:color w:val="000000"/>
          <w:w w:val="100"/>
          <w:kern w:val="0"/>
          <w:position w:val="0"/>
          <w:sz w:val="32"/>
          <w:szCs w:val="32"/>
          <w:vertAlign w:val="baseline"/>
        </w:rPr>
        <w:t>F</w:t>
      </w:r>
      <w:r>
        <w:rPr>
          <w:rFonts w:ascii="仿宋" w:eastAsia="仿宋" w:hAnsi="仿宋" w:cs="仿宋" w:hint="eastAsia"/>
          <w:b w:val="0"/>
          <w:bCs/>
          <w:shadow w:val="0"/>
          <w:color w:val="000000"/>
          <w:w w:val="100"/>
          <w:kern w:val="0"/>
          <w:position w:val="0"/>
          <w:sz w:val="32"/>
          <w:szCs w:val="32"/>
          <w:highlight w:val="none"/>
          <w:vertAlign w:val="baseline"/>
        </w:rPr>
        <w:t>&gt;</w:t>
      </w:r>
      <w:r>
        <w:rPr>
          <w:rFonts w:ascii="仿宋" w:eastAsia="仿宋" w:hAnsi="仿宋" w:cs="仿宋" w:hint="eastAsia"/>
          <w:b w:val="0"/>
          <w:bCs/>
          <w:shadow w:val="0"/>
          <w:color w:val="000000"/>
          <w:w w:val="100"/>
          <w:kern w:val="0"/>
          <w:position w:val="0"/>
          <w:sz w:val="32"/>
          <w:szCs w:val="32"/>
          <w:vertAlign w:val="baseline"/>
        </w:rPr>
        <w:t>P/[</w:t>
      </w:r>
      <w:r>
        <w:rPr>
          <w:rFonts w:ascii="仿宋" w:eastAsia="仿宋" w:hAnsi="仿宋" w:cs="仿宋" w:hint="eastAsia"/>
          <w:b w:val="0"/>
          <w:bCs/>
          <w:shadow w:val="0"/>
          <w:color w:val="000000"/>
          <w:w w:val="100"/>
          <w:kern w:val="0"/>
          <w:position w:val="0"/>
          <w:sz w:val="32"/>
          <w:szCs w:val="32"/>
          <w:vertAlign w:val="baseline"/>
        </w:rPr>
        <w:t>δ</w:t>
      </w:r>
      <w:r>
        <w:rPr>
          <w:rFonts w:ascii="仿宋" w:eastAsia="仿宋" w:hAnsi="仿宋" w:cs="仿宋" w:hint="eastAsia"/>
          <w:b w:val="0"/>
          <w:bCs/>
          <w:shadow w:val="0"/>
          <w:color w:val="000000"/>
          <w:w w:val="100"/>
          <w:kern w:val="0"/>
          <w:position w:val="0"/>
          <w:sz w:val="32"/>
          <w:szCs w:val="32"/>
          <w:vertAlign w:val="baseline"/>
        </w:rPr>
        <w:t>]</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superscript"/>
        </w:rPr>
      </w:pPr>
      <w:r>
        <w:rPr>
          <w:rFonts w:ascii="仿宋" w:eastAsia="仿宋" w:hAnsi="仿宋" w:cs="仿宋" w:hint="eastAsia"/>
          <w:b w:val="0"/>
          <w:bCs/>
          <w:shadow w:val="0"/>
          <w:color w:val="000000"/>
          <w:w w:val="100"/>
          <w:kern w:val="0"/>
          <w:position w:val="0"/>
          <w:sz w:val="32"/>
          <w:szCs w:val="32"/>
          <w:vertAlign w:val="baseline"/>
        </w:rPr>
        <w:t>F</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横排方木的面积（m</w:t>
      </w:r>
      <w:r>
        <w:rPr>
          <w:rFonts w:ascii="仿宋" w:eastAsia="仿宋" w:hAnsi="仿宋" w:cs="仿宋" w:hint="eastAsia"/>
          <w:b w:val="0"/>
          <w:bCs/>
          <w:shadow w:val="0"/>
          <w:color w:val="000000"/>
          <w:w w:val="100"/>
          <w:kern w:val="0"/>
          <w:position w:val="0"/>
          <w:sz w:val="32"/>
          <w:szCs w:val="32"/>
          <w:vertAlign w:val="superscript"/>
        </w:rPr>
        <w:t>2</w:t>
      </w:r>
      <w:r>
        <w:rPr>
          <w:rFonts w:ascii="仿宋" w:eastAsia="仿宋" w:hAnsi="仿宋" w:cs="仿宋" w:hint="eastAsia"/>
          <w:b w:val="0"/>
          <w:bCs/>
          <w:shadow w:val="0"/>
          <w:color w:val="000000"/>
          <w:w w:val="100"/>
          <w:kern w:val="0"/>
          <w:position w:val="0"/>
          <w:sz w:val="32"/>
          <w:szCs w:val="32"/>
          <w:vertAlign w:val="baseline"/>
        </w:rPr>
        <w:t>）P</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计算顶力（KN/m</w:t>
      </w:r>
      <w:r>
        <w:rPr>
          <w:rFonts w:ascii="仿宋" w:eastAsia="仿宋" w:hAnsi="仿宋" w:cs="仿宋" w:hint="eastAsia"/>
          <w:b w:val="0"/>
          <w:bCs/>
          <w:shadow w:val="0"/>
          <w:color w:val="000000"/>
          <w:w w:val="100"/>
          <w:kern w:val="0"/>
          <w:position w:val="0"/>
          <w:sz w:val="32"/>
          <w:szCs w:val="32"/>
          <w:vertAlign w:val="superscript"/>
        </w:rPr>
        <w:t>2</w:t>
      </w:r>
      <w:r>
        <w:rPr>
          <w:rFonts w:ascii="仿宋" w:eastAsia="仿宋" w:hAnsi="仿宋" w:cs="仿宋" w:hint="eastAsia"/>
          <w:b w:val="0"/>
          <w:bCs/>
          <w:shadow w:val="0"/>
          <w:color w:val="000000"/>
          <w:w w:val="100"/>
          <w:kern w:val="0"/>
          <w:position w:val="0"/>
          <w:sz w:val="32"/>
          <w:szCs w:val="32"/>
          <w:vertAlign w:val="baseline"/>
        </w:rPr>
        <w:t>）取150KN/m</w:t>
      </w:r>
      <w:r>
        <w:rPr>
          <w:rFonts w:ascii="仿宋" w:eastAsia="仿宋" w:hAnsi="仿宋" w:cs="仿宋" w:hint="eastAsia"/>
          <w:b w:val="0"/>
          <w:bCs/>
          <w:shadow w:val="0"/>
          <w:color w:val="000000"/>
          <w:w w:val="100"/>
          <w:kern w:val="0"/>
          <w:position w:val="0"/>
          <w:sz w:val="32"/>
          <w:szCs w:val="32"/>
          <w:vertAlign w:val="superscript"/>
        </w:rPr>
        <w:t>2</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不着试压堵板的支顶</w:t>
      </w:r>
      <w:r>
        <w:rPr>
          <w:rFonts w:ascii="仿宋" w:eastAsia="仿宋" w:hAnsi="仿宋" w:cs="仿宋" w:hint="eastAsia"/>
          <w:b w:val="0"/>
          <w:bCs/>
          <w:shadow w:val="0"/>
          <w:color w:val="000000"/>
          <w:w w:val="100"/>
          <w:kern w:val="0"/>
          <w:position w:val="0"/>
          <w:sz w:val="32"/>
          <w:szCs w:val="32"/>
          <w:vertAlign w:val="baseline"/>
        </w:rPr>
        <w:tab/>
      </w:r>
      <w:r>
        <w:rPr>
          <w:rFonts w:ascii="仿宋" w:eastAsia="仿宋" w:hAnsi="仿宋" w:cs="仿宋" w:hint="eastAsia"/>
          <w:b w:val="0"/>
          <w:bCs/>
          <w:shadow w:val="0"/>
          <w:color w:val="000000"/>
          <w:w w:val="100"/>
          <w:kern w:val="0"/>
          <w:position w:val="0"/>
          <w:sz w:val="32"/>
          <w:szCs w:val="32"/>
          <w:vertAlign w:val="baseline"/>
        </w:rPr>
        <w:t>,因为管道盖堵向后传力大，为防止用圆木或顶铁支顶后背产生的压缩使接口有踊坏的危险，须用螺旋千斤顶支顶，于横枋</w:t>
      </w:r>
      <w:r>
        <w:rPr>
          <w:rFonts w:ascii="仿宋" w:eastAsia="仿宋" w:hAnsi="仿宋" w:cs="仿宋" w:hint="eastAsia"/>
          <w:b w:val="0"/>
          <w:bCs/>
          <w:shadow w:val="0"/>
          <w:color w:val="000000"/>
          <w:w w:val="100"/>
          <w:kern w:val="0"/>
          <w:position w:val="0"/>
          <w:sz w:val="32"/>
          <w:szCs w:val="32"/>
          <w:highlight w:val="none"/>
          <w:vertAlign w:val="baseline"/>
        </w:rPr>
        <w:t>木前</w:t>
      </w:r>
      <w:r>
        <w:rPr>
          <w:rFonts w:ascii="仿宋" w:eastAsia="仿宋" w:hAnsi="仿宋" w:cs="仿宋" w:hint="eastAsia"/>
          <w:b w:val="0"/>
          <w:bCs/>
          <w:shadow w:val="0"/>
          <w:color w:val="000000"/>
          <w:w w:val="100"/>
          <w:kern w:val="0"/>
          <w:position w:val="0"/>
          <w:sz w:val="32"/>
          <w:szCs w:val="32"/>
          <w:vertAlign w:val="baseline"/>
        </w:rPr>
        <w:t>，立放3根较大的方木或顶铁。试压前，在中间的立木（可顶铁）与管堵之间用千斤顶（</w:t>
      </w:r>
      <w:r>
        <w:rPr>
          <w:rFonts w:ascii="仿宋" w:eastAsia="仿宋" w:hAnsi="仿宋" w:cs="仿宋" w:hint="eastAsia"/>
          <w:b w:val="0"/>
          <w:bCs/>
          <w:shadow w:val="0"/>
          <w:color w:val="000000"/>
          <w:w w:val="100"/>
          <w:kern w:val="0"/>
          <w:position w:val="0"/>
          <w:sz w:val="32"/>
          <w:szCs w:val="32"/>
          <w:highlight w:val="none"/>
          <w:vertAlign w:val="baseline"/>
        </w:rPr>
        <w:t>顶镐</w:t>
      </w:r>
      <w:r>
        <w:rPr>
          <w:rFonts w:ascii="仿宋" w:eastAsia="仿宋" w:hAnsi="仿宋" w:cs="仿宋" w:hint="eastAsia"/>
          <w:b w:val="0"/>
          <w:bCs/>
          <w:shadow w:val="0"/>
          <w:color w:val="000000"/>
          <w:w w:val="100"/>
          <w:kern w:val="0"/>
          <w:position w:val="0"/>
          <w:sz w:val="32"/>
          <w:szCs w:val="32"/>
          <w:vertAlign w:val="baseline"/>
        </w:rPr>
        <w:t>）顶开，即对后背施加预压力，</w:t>
      </w:r>
      <w:r>
        <w:rPr>
          <w:rFonts w:ascii="仿宋" w:eastAsia="仿宋" w:hAnsi="仿宋" w:cs="仿宋" w:hint="eastAsia"/>
          <w:b w:val="0"/>
          <w:bCs/>
          <w:shadow w:val="0"/>
          <w:color w:val="000000"/>
          <w:w w:val="100"/>
          <w:kern w:val="0"/>
          <w:position w:val="0"/>
          <w:sz w:val="32"/>
          <w:szCs w:val="32"/>
          <w:highlight w:val="none"/>
          <w:vertAlign w:val="baseline"/>
        </w:rPr>
        <w:t>使后背</w:t>
      </w:r>
      <w:r>
        <w:rPr>
          <w:rFonts w:ascii="仿宋" w:eastAsia="仿宋" w:hAnsi="仿宋" w:cs="仿宋" w:hint="eastAsia"/>
          <w:b w:val="0"/>
          <w:bCs/>
          <w:shadow w:val="0"/>
          <w:color w:val="000000"/>
          <w:w w:val="100"/>
          <w:kern w:val="0"/>
          <w:position w:val="0"/>
          <w:sz w:val="32"/>
          <w:szCs w:val="32"/>
          <w:vertAlign w:val="baseline"/>
        </w:rPr>
        <w:t>产生一定的压缩变形，（注意不使用权接口破坏）。然后在两侧立木</w:t>
      </w:r>
      <w:r>
        <w:rPr>
          <w:rFonts w:ascii="仿宋" w:eastAsia="仿宋" w:hAnsi="仿宋" w:cs="仿宋" w:hint="eastAsia"/>
          <w:b w:val="0"/>
          <w:bCs/>
          <w:shadow w:val="0"/>
          <w:color w:val="000000"/>
          <w:w w:val="100"/>
          <w:kern w:val="0"/>
          <w:position w:val="0"/>
          <w:sz w:val="32"/>
          <w:szCs w:val="32"/>
          <w:highlight w:val="none"/>
          <w:vertAlign w:val="baseline"/>
        </w:rPr>
        <w:t>与盖堵</w:t>
      </w:r>
      <w:r>
        <w:rPr>
          <w:rFonts w:ascii="仿宋" w:eastAsia="仿宋" w:hAnsi="仿宋" w:cs="仿宋" w:hint="eastAsia"/>
          <w:b w:val="0"/>
          <w:bCs/>
          <w:shadow w:val="0"/>
          <w:color w:val="000000"/>
          <w:w w:val="100"/>
          <w:kern w:val="0"/>
          <w:position w:val="0"/>
          <w:sz w:val="32"/>
          <w:szCs w:val="32"/>
          <w:vertAlign w:val="baseline"/>
        </w:rPr>
        <w:t>之间打入4根撑木，要求上下左右对称，并用小方木将4 根撑木钉面一体，以防受力时掉落。串水试压（打泵）设备弹簧压力表,压力表的表壳直径应不小150mm，表盘刻度上限值约为试验压力的1.3</w:t>
      </w:r>
      <w:r>
        <w:rPr>
          <w:rFonts w:ascii="仿宋" w:eastAsia="仿宋" w:hAnsi="仿宋" w:cs="仿宋" w:hint="eastAsia"/>
          <w:b w:val="0"/>
          <w:bCs/>
          <w:shadow w:val="0"/>
          <w:color w:val="000000"/>
          <w:w w:val="100"/>
          <w:kern w:val="0"/>
          <w:position w:val="0"/>
          <w:sz w:val="32"/>
          <w:szCs w:val="32"/>
          <w:vertAlign w:val="baseline"/>
        </w:rPr>
        <w:t>—</w:t>
      </w:r>
      <w:r>
        <w:rPr>
          <w:rFonts w:ascii="仿宋" w:eastAsia="仿宋" w:hAnsi="仿宋" w:cs="仿宋" w:hint="eastAsia"/>
          <w:b w:val="0"/>
          <w:bCs/>
          <w:shadow w:val="0"/>
          <w:color w:val="000000"/>
          <w:w w:val="100"/>
          <w:kern w:val="0"/>
          <w:position w:val="0"/>
          <w:sz w:val="32"/>
          <w:szCs w:val="32"/>
          <w:vertAlign w:val="baseline"/>
        </w:rPr>
        <w:t>1.5倍，表的精度不低于一级半。数量不少于两块。</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试压泵：泵的扬程和流量应满足试压管段压力和渗水量的需要。泵采用电动柱塞式组合泵（泵车）或多级离心泵。</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排气阀：应启闭灵活，严密性好。</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管路：串水管路</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串水管路连接时，必须安装止回阀，为了防止管网压力下降时，水倒灌污染管网水源水质。打泵试压管路操作规程：</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从自来水管向试验管道通水时，开放单号截门，关闭双号截门，同时打开管路上的排气阀；用水泵加压时，开放单号截门，关闭双号截门；不用量水槽测渗水量时，开放单号截门，关闭双号截门；安装注意事项：</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A.试压泵宜放在试压管道高程较低一端，应放在盖堵侧面，不要放在正前方，并应提前进行启动检查。</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sectPr>
          <w:type w:val="nextPage"/>
          <w:pgSz w:w="11906" w:h="16838"/>
          <w:pgMar w:top="1440" w:right="1800" w:bottom="1440" w:left="1800" w:header="851" w:footer="992" w:gutter="0"/>
          <w:pgNumType w:start="23"/>
          <w:cols w:space="708"/>
          <w:titlePg w:val="0"/>
          <w:docGrid w:type="lines" w:linePitch="312" w:charSpace="0"/>
        </w:sectPr>
      </w:pP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B.压力表安装前应进行检查和校正，不合格者不准使用，靠近表处的截门应紧密，关闭后表针不随管段水压波动；连接管件与表把的丝扣，装表时，应把接表支管内空气排干净再装。</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C.管路所有接头应严密而不漏水。</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D 泵注意事项：</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E.进行水压试验应统一指挥，分工明确，对后背、支墩、接口、排气阀等都应规定专人负责检查，并明确规定发现问题的联络信号。</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F</w:t>
      </w:r>
      <w:r>
        <w:rPr>
          <w:rFonts w:ascii="仿宋" w:eastAsia="仿宋" w:hAnsi="仿宋" w:cs="仿宋" w:hint="eastAsia"/>
          <w:b w:val="0"/>
          <w:bCs/>
          <w:shadow w:val="0"/>
          <w:color w:val="000000"/>
          <w:w w:val="100"/>
          <w:kern w:val="0"/>
          <w:position w:val="0"/>
          <w:sz w:val="32"/>
          <w:szCs w:val="32"/>
          <w:vertAlign w:val="baseline"/>
          <w:lang w:val="en-US" w:eastAsia="zh-CN"/>
        </w:rPr>
        <w:t>.</w:t>
      </w:r>
      <w:r>
        <w:rPr>
          <w:rFonts w:ascii="仿宋" w:eastAsia="仿宋" w:hAnsi="仿宋" w:cs="仿宋" w:hint="eastAsia"/>
          <w:b w:val="0"/>
          <w:bCs/>
          <w:shadow w:val="0"/>
          <w:color w:val="000000"/>
          <w:w w:val="100"/>
          <w:kern w:val="0"/>
          <w:position w:val="0"/>
          <w:sz w:val="32"/>
          <w:szCs w:val="32"/>
          <w:vertAlign w:val="baseline"/>
        </w:rPr>
        <w:t>开始升压时对两端盖堵及后背应特别注意，以便发现问题及时停泵处理。</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D.水压试验应逐步升压，每次升压</w:t>
      </w:r>
      <w:r>
        <w:rPr>
          <w:rFonts w:ascii="仿宋" w:eastAsia="仿宋" w:hAnsi="仿宋" w:cs="仿宋" w:hint="eastAsia"/>
          <w:b w:val="0"/>
          <w:bCs/>
          <w:shadow w:val="0"/>
          <w:color w:val="000000"/>
          <w:w w:val="100"/>
          <w:kern w:val="0"/>
          <w:position w:val="0"/>
          <w:sz w:val="32"/>
          <w:szCs w:val="32"/>
          <w:vertAlign w:val="baseline"/>
        </w:rPr>
        <w:tab/>
      </w:r>
      <w:r>
        <w:rPr>
          <w:rFonts w:ascii="仿宋" w:eastAsia="仿宋" w:hAnsi="仿宋" w:cs="仿宋" w:hint="eastAsia"/>
          <w:b w:val="0"/>
          <w:bCs/>
          <w:shadow w:val="0"/>
          <w:color w:val="000000"/>
          <w:w w:val="100"/>
          <w:kern w:val="0"/>
          <w:position w:val="0"/>
          <w:sz w:val="32"/>
          <w:szCs w:val="32"/>
          <w:vertAlign w:val="baseline"/>
        </w:rPr>
        <w:t>0.2MPa为宜，每次升压后稳定检查没有问题时再继续升压。</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H.水压试验</w:t>
      </w:r>
      <w:r>
        <w:rPr>
          <w:rFonts w:ascii="仿宋" w:eastAsia="仿宋" w:hAnsi="仿宋" w:cs="仿宋" w:hint="eastAsia"/>
          <w:b w:val="0"/>
          <w:bCs/>
          <w:shadow w:val="0"/>
          <w:color w:val="000000"/>
          <w:w w:val="100"/>
          <w:kern w:val="0"/>
          <w:position w:val="0"/>
          <w:sz w:val="32"/>
          <w:szCs w:val="32"/>
          <w:highlight w:val="none"/>
          <w:vertAlign w:val="baseline"/>
        </w:rPr>
        <w:t>时后背</w:t>
      </w:r>
      <w:r>
        <w:rPr>
          <w:rFonts w:ascii="仿宋" w:eastAsia="仿宋" w:hAnsi="仿宋" w:cs="仿宋" w:hint="eastAsia"/>
          <w:b w:val="0"/>
          <w:bCs/>
          <w:shadow w:val="0"/>
          <w:color w:val="000000"/>
          <w:w w:val="100"/>
          <w:kern w:val="0"/>
          <w:position w:val="0"/>
          <w:sz w:val="32"/>
          <w:szCs w:val="32"/>
          <w:vertAlign w:val="baseline"/>
        </w:rPr>
        <w:t>、支撑、管端等附近均不得站人，检查应在停止升压时进行。</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lang w:val="en-US" w:eastAsia="zh-CN"/>
        </w:rPr>
        <w:t>7</w:t>
      </w:r>
      <w:r>
        <w:rPr>
          <w:rFonts w:ascii="仿宋" w:eastAsia="仿宋" w:hAnsi="仿宋" w:cs="仿宋" w:hint="eastAsia"/>
          <w:b w:val="0"/>
          <w:bCs/>
          <w:shadow w:val="0"/>
          <w:color w:val="000000"/>
          <w:w w:val="100"/>
          <w:kern w:val="0"/>
          <w:position w:val="0"/>
          <w:sz w:val="32"/>
          <w:szCs w:val="32"/>
          <w:vertAlign w:val="baseline"/>
        </w:rPr>
        <w:t>、管道的冲洗与消毒</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管道水压试验以后，竣工验收前应对管道进行冲洗和消毒</w:t>
      </w:r>
      <w:r>
        <w:rPr>
          <w:rFonts w:ascii="仿宋" w:eastAsia="仿宋" w:hAnsi="仿宋" w:cs="仿宋" w:hint="eastAsia"/>
          <w:b w:val="0"/>
          <w:bCs/>
          <w:shadow w:val="0"/>
          <w:color w:val="000000"/>
          <w:w w:val="100"/>
          <w:kern w:val="0"/>
          <w:position w:val="0"/>
          <w:sz w:val="32"/>
          <w:szCs w:val="32"/>
          <w:vertAlign w:val="baseline"/>
          <w:lang w:eastAsia="zh-CN"/>
        </w:rPr>
        <w:t>。</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（1）管道冲洗</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消毒前后均应对管道进行冲洗。冲洗水的流速一般不小于1.0m/s，否则不易将管内的杂物冲洗掉。冲洗时应连续冲洗；直至出水口处浊度、冲洗掉。冲洗时应连续冲洗；直至出水口处浊度、色度与入水口处冲洗水浓度、色度相同为止。管道冲洗应安排在管网用水量较小，水压偏高的夜间进行，水压偏高的夜间进行，并在冲洗过程中严格控制水压变化冲洗前应检查排水口，下水道或河道能否正常排泄冲洗的水量，冲洗水量是否会影响下水道，河床等的安全，再冲洗过程中应派专人进行安全监护。</w:t>
      </w:r>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r>
        <w:rPr>
          <w:rFonts w:ascii="仿宋" w:eastAsia="仿宋" w:hAnsi="仿宋" w:cs="仿宋" w:hint="eastAsia"/>
          <w:b w:val="0"/>
          <w:bCs/>
          <w:shadow w:val="0"/>
          <w:color w:val="000000"/>
          <w:w w:val="100"/>
          <w:kern w:val="0"/>
          <w:position w:val="0"/>
          <w:sz w:val="32"/>
          <w:szCs w:val="32"/>
          <w:vertAlign w:val="baseline"/>
        </w:rPr>
        <w:t>（2）管道消毒</w:t>
      </w:r>
      <w:r>
        <w:rPr>
          <w:rFonts w:ascii="仿宋" w:eastAsia="仿宋" w:hAnsi="仿宋" w:cs="仿宋" w:hint="eastAsia"/>
          <w:b w:val="0"/>
          <w:bCs/>
          <w:shadow w:val="0"/>
          <w:color w:val="000000"/>
          <w:w w:val="100"/>
          <w:kern w:val="0"/>
          <w:position w:val="0"/>
          <w:sz w:val="32"/>
          <w:szCs w:val="32"/>
          <w:vertAlign w:val="baseline"/>
        </w:rPr>
        <w:br/>
      </w:r>
      <w:r>
        <w:rPr>
          <w:rFonts w:ascii="仿宋" w:eastAsia="仿宋" w:hAnsi="仿宋" w:cs="仿宋" w:hint="eastAsia"/>
          <w:b w:val="0"/>
          <w:bCs/>
          <w:shadow w:val="0"/>
          <w:color w:val="000000"/>
          <w:w w:val="100"/>
          <w:kern w:val="0"/>
          <w:position w:val="0"/>
          <w:sz w:val="32"/>
          <w:szCs w:val="32"/>
          <w:vertAlign w:val="baseline"/>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https://d.book118.com/768107102076006032</w:t>
        </w:r>
      </w:hyperlink>
    </w:p>
    <w:p>
      <w:pPr>
        <w:pageBreakBefore w:val="0"/>
        <w:kinsoku/>
        <w:wordWrap/>
        <w:overflowPunct/>
        <w:autoSpaceDE/>
        <w:autoSpaceDN/>
        <w:bidi w:val="0"/>
        <w:adjustRightInd/>
        <w:snapToGrid/>
        <w:spacing w:line="500" w:lineRule="exact"/>
        <w:ind w:left="0" w:firstLine="640" w:leftChars="0" w:firstLineChars="200"/>
        <w:jc w:val="both"/>
        <w:textAlignment w:val="auto"/>
        <w:outlineLvl w:val="9"/>
        <w:rPr>
          <w:rFonts w:ascii="仿宋" w:eastAsia="仿宋" w:hAnsi="仿宋" w:cs="仿宋" w:hint="eastAsia"/>
          <w:b w:val="0"/>
          <w:bCs/>
          <w:shadow w:val="0"/>
          <w:color w:val="000000"/>
          <w:w w:val="100"/>
          <w:kern w:val="0"/>
          <w:position w:val="0"/>
          <w:sz w:val="32"/>
          <w:szCs w:val="32"/>
          <w:vertAlign w:val="baseline"/>
        </w:rPr>
      </w:pPr>
    </w:p>
    <w:sectPr>
      <w:type w:val="nextPage"/>
      <w:pgSz w:w="11906" w:h="16838"/>
      <w:pgMar w:top="1440" w:right="1800" w:bottom="1440" w:left="1800" w:header="851" w:footer="992" w:gutter="0"/>
      <w:pgNumType w:start="24"/>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AFF" w:usb1="C0007841" w:usb2="00000009" w:usb3="00000000" w:csb0="4004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86"/>
    <w:family w:val="swiss"/>
    <w:pitch w:val="default"/>
    <w:sig w:usb0="E00002FF" w:usb1="4000ACFF" w:usb2="00000001" w:usb3="00000000" w:csb0="2004019F"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733ED"/>
    <w:multiLevelType w:val="singleLevel"/>
    <w:tmpl w:val="0F1733ED"/>
    <w:lvl w:ilvl="0">
      <w:start w:val="1"/>
      <w:numFmt w:val="decimal"/>
      <w:suff w:val="nothing"/>
      <w:lvlText w:val="（%1）"/>
      <w:lvlJc w:val="left"/>
    </w:lvl>
  </w:abstractNum>
  <w:abstractNum w:abstractNumId="1">
    <w:nsid w:val="365E211C"/>
    <w:multiLevelType w:val="singleLevel"/>
    <w:tmpl w:val="365E211C"/>
    <w:lvl w:ilvl="0">
      <w:start w:val="1"/>
      <w:numFmt w:val="decimal"/>
      <w:suff w:val="nothing"/>
      <w:lvlText w:val="%1、"/>
      <w:lvlJc w:val="left"/>
    </w:lvl>
  </w:abstractNum>
  <w:abstractNum w:abstractNumId="2">
    <w:nsid w:val="43CE6AD1"/>
    <w:multiLevelType w:val="singleLevel"/>
    <w:tmpl w:val="365E211C"/>
    <w:lvl w:ilvl="0">
      <w:start w:val="1"/>
      <w:numFmt w:val="decimal"/>
      <w:suff w:val="nothing"/>
      <w:lvlText w:val="%1、"/>
      <w:lvlJc w:val="left"/>
    </w:lvl>
  </w:abstractNum>
  <w:abstractNum w:abstractNumId="3">
    <w:nsid w:val="547B39B5"/>
    <w:multiLevelType w:val="singleLevel"/>
    <w:tmpl w:val="547B39B5"/>
    <w:lvl w:ilvl="0">
      <w:start w:val="1"/>
      <w:numFmt w:val="decimal"/>
      <w:suff w:val="nothing"/>
      <w:lvlText w:val="%1）"/>
      <w:lvlJc w:val="left"/>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2"/>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1BBB5BAA"/>
    <w:rsid w:val="4B2E0DF4"/>
    <w:rsid w:val="727B6EB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qFormat="1"/>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Indent2"/>
    <w:pPr>
      <w:widowControl w:val="0"/>
      <w:jc w:val="both"/>
    </w:pPr>
    <w:rPr>
      <w:rFonts w:ascii="Times New Roman" w:eastAsia="宋体" w:hAnsi="Times New Roman" w:cs="Times New Roman"/>
      <w:kern w:val="2"/>
      <w:sz w:val="21"/>
      <w:lang w:val="en-US" w:eastAsia="zh-CN" w:bidi="ar-SA"/>
    </w:rPr>
  </w:style>
  <w:style w:type="paragraph" w:styleId="Heading2">
    <w:name w:val="heading 2"/>
    <w:basedOn w:val="Normal"/>
    <w:next w:val="Normal"/>
    <w:qFormat/>
    <w:pPr>
      <w:keepNext/>
      <w:keepLines/>
      <w:spacing w:before="260" w:after="260" w:line="416" w:lineRule="auto"/>
      <w:outlineLvl w:val="1"/>
    </w:pPr>
    <w:rPr>
      <w:rFonts w:ascii="Arial" w:eastAsia="黑体" w:hAnsi="Arial"/>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Indent2">
    <w:name w:val="Body Text Indent 2"/>
    <w:basedOn w:val="Normal"/>
    <w:pPr>
      <w:tabs>
        <w:tab w:val="left" w:pos="1155"/>
      </w:tabs>
      <w:ind w:firstLine="624"/>
    </w:pPr>
    <w:rPr>
      <w:sz w:val="32"/>
      <w:szCs w:val="20"/>
    </w:rPr>
  </w:style>
  <w:style w:type="paragraph" w:styleId="BodyTextIndent">
    <w:name w:val="Body Text Indent"/>
    <w:basedOn w:val="Normal"/>
    <w:pPr>
      <w:spacing w:after="120"/>
      <w:ind w:left="420" w:leftChars="200"/>
    </w:pPr>
  </w:style>
  <w:style w:type="paragraph" w:styleId="BodyTextFirstIndent2">
    <w:name w:val="Body Text First Indent 2"/>
    <w:basedOn w:val="BodyTextIndent"/>
    <w:uiPriority w:val="99"/>
    <w:unhideWhenUsed/>
    <w:qFormat/>
    <w:pPr>
      <w:ind w:firstLine="420"/>
    </w:pPr>
  </w:style>
  <w:style w:type="paragraph" w:styleId="NormalIndent">
    <w:name w:val="Normal Indent"/>
    <w:basedOn w:val="Normal"/>
    <w:qFormat/>
    <w:pPr>
      <w:ind w:firstLine="420"/>
    </w:pPr>
  </w:style>
  <w:style w:type="paragraph" w:styleId="PlainText">
    <w:name w:val="Plain Text"/>
    <w:basedOn w:val="Normal"/>
    <w:rPr>
      <w:rFonts w:ascii="宋体" w:hAnsi="Courier New"/>
      <w:szCs w:val="20"/>
    </w:rPr>
  </w:style>
  <w:style w:type="paragraph" w:styleId="ListParagraph">
    <w:name w:val="List Paragraph"/>
    <w:basedOn w:val="Normal"/>
    <w:uiPriority w:val="34"/>
    <w:qFormat/>
    <w:pPr>
      <w:ind w:firstLine="420" w:firstLineChars="200"/>
    </w:pPr>
    <w:rPr>
      <w:rFonts w:ascii="Calibri" w:eastAsia="宋体" w:hAnsi="Calibri" w:cs="Times New Roman"/>
    </w:rPr>
  </w:style>
  <w:style w:type="paragraph" w:styleId="BodyText">
    <w:name w:val="Body Text"/>
    <w:basedOn w:val="Normal"/>
    <w:qFormat/>
    <w:pPr>
      <w:spacing w:after="120"/>
    </w:pPr>
  </w:style>
  <w:style w:type="paragraph" w:customStyle="1" w:styleId="10880">
    <w:name w:val="样式 正文文本缩进正文文字缩进1特点标题附图文字居中 + 宋体 首行缩进:  0.88 厘米 段后: 0 磅 行距:..."/>
    <w:basedOn w:val="BodyTextIndent"/>
    <w:pPr>
      <w:spacing w:after="0" w:line="360" w:lineRule="auto"/>
      <w:ind w:left="0" w:firstLine="499" w:leftChars="0"/>
    </w:pPr>
    <w:rPr>
      <w:rFonts w:ascii="宋体" w:hAnsi="宋体" w:cs="宋体"/>
      <w:sz w:val="24"/>
      <w:szCs w:val="20"/>
    </w:rPr>
  </w:style>
  <w:style w:type="paragraph" w:customStyle="1" w:styleId="xl27">
    <w:name w:val="xl27"/>
    <w:basedOn w:val="Normal"/>
    <w:qFormat/>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
    <w:name w:val="自定义正文"/>
    <w:basedOn w:val="Normal"/>
    <w:qFormat/>
    <w:pPr>
      <w:spacing w:line="480" w:lineRule="auto"/>
    </w:pPr>
    <w:rPr>
      <w:rFonts w:eastAsia="仿宋_GB2312"/>
      <w:sz w:val="24"/>
    </w:rPr>
  </w:style>
  <w:style w:type="paragraph" w:customStyle="1" w:styleId="623">
    <w:name w:val="样式 小四 段后: 6 磅 行距: 固定值 23 磅"/>
    <w:basedOn w:val="Normal"/>
    <w:uiPriority w:val="99"/>
    <w:qFormat/>
    <w:pPr>
      <w:spacing w:after="120" w:line="460" w:lineRule="exact"/>
      <w:ind w:firstLine="480"/>
    </w:pPr>
    <w:rPr>
      <w:rFonts w:ascii="宋体" w:hAnsi="宋体" w:cs="宋体"/>
      <w:sz w:val="24"/>
      <w:szCs w:val="20"/>
    </w:rPr>
  </w:style>
  <w:style w:type="paragraph" w:customStyle="1" w:styleId="a0">
    <w:name w:val="图标"/>
    <w:next w:val="Normal"/>
    <w:pPr>
      <w:widowControl w:val="0"/>
      <w:adjustRightInd w:val="0"/>
      <w:snapToGrid w:val="0"/>
      <w:spacing w:line="320" w:lineRule="exact"/>
      <w:jc w:val="center"/>
    </w:pPr>
    <w:rPr>
      <w:rFonts w:ascii="仿宋" w:eastAsia="仿宋" w:hAnsi="仿宋" w:cs="Times New Roman"/>
      <w:snapToGrid w:val="0"/>
      <w:sz w:val="21"/>
      <w:szCs w:val="21"/>
      <w:lang w:val="en-US" w:eastAsia="zh-CN" w:bidi="ar-SA"/>
    </w:rPr>
  </w:style>
  <w:style w:type="paragraph" w:customStyle="1" w:styleId="2">
    <w:name w:val="表格2"/>
    <w:basedOn w:val="Normal"/>
    <w:pPr>
      <w:spacing w:line="500" w:lineRule="exact"/>
    </w:pPr>
    <w:rPr>
      <w:rFonts w:ascii="Times New Roman" w:hAnsi="Times New Roman" w:cs="Times New Roman"/>
      <w:shadow w:val="0"/>
      <w:color w:val="auto"/>
      <w:kern w:val="2"/>
      <w:sz w:val="24"/>
      <w:szCs w:val="24"/>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0">
    <w:name w:val="网格型_0"/>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68107102076006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157269120</TotalTime>
  <Pages>32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天行健</cp:lastModifiedBy>
  <cp:revision>0</cp:revision>
  <dcterms:created xsi:type="dcterms:W3CDTF">2014-10-29T12:08:00Z</dcterms:created>
  <dcterms:modified xsi:type="dcterms:W3CDTF">2019-06-10T02:21:55Z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