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5" style="width:1263.1pt;height:893.05pt;margin-top:0;margin-left:0;mso-position-horizontal-relative:page;mso-position-vertical-relative:page;position:absolute;v-text-anchor:top;z-index:-251658240" fillcolor="#99cdff"/>
            </w:pict>
          </mc:Fallback>
        </mc:AlternateConten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广珠铁路珠海西站物流中心一期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32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（货场扩建一期工程）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51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真空联合堆载预压（卸载）</w:t>
        <w:br/>
      </w:r>
      <w:r>
        <w:rPr>
          <w:color w:val="000000"/>
          <w:spacing w:val="0"/>
          <w:w w:val="100"/>
          <w:position w:val="0"/>
        </w:rPr>
        <w:t>验收报告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  <w:rPr>
          <w:sz w:val="44"/>
          <w:szCs w:val="44"/>
        </w:rPr>
      </w:pPr>
      <w:r>
        <w:rPr>
          <w:b/>
          <w:bCs/>
          <w:color w:val="000000"/>
          <w:spacing w:val="0"/>
          <w:w w:val="100"/>
          <w:position w:val="0"/>
          <w:sz w:val="44"/>
          <w:szCs w:val="44"/>
        </w:rPr>
        <w:t>中铁二十五局集团有限公司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5464"/>
        </w:tabs>
        <w:bidi w:val="0"/>
        <w:spacing w:before="0" w:after="0" w:line="240" w:lineRule="auto"/>
        <w:ind w:left="3520" w:right="0" w:firstLine="0"/>
        <w:jc w:val="left"/>
        <w:rPr>
          <w:sz w:val="28"/>
          <w:szCs w:val="28"/>
        </w:rPr>
        <w:sectPr>
          <w:pgSz w:w="25262" w:h="17861" w:orient="landscape"/>
          <w:pgMar w:top="2924" w:right="9984" w:bottom="399" w:left="2683" w:header="0" w:footer="3" w:gutter="0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8"/>
          <w:szCs w:val="28"/>
        </w:rPr>
        <w:t>'A??_LIrr</w:t>
        <w:tab/>
        <w:t>r r ♦ —/k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40"/>
          <w:szCs w:val="40"/>
        </w:rPr>
        <w:t>一、工程概况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80"/>
        </w:tabs>
        <w:bidi w:val="0"/>
        <w:spacing w:before="0" w:after="140" w:line="240" w:lineRule="auto"/>
        <w:ind w:left="0" w:right="0" w:firstLine="0"/>
        <w:jc w:val="both"/>
        <w:rPr>
          <w:sz w:val="48"/>
          <w:szCs w:val="48"/>
        </w:rPr>
      </w:pPr>
      <w:r>
        <w:rPr>
          <w:color w:val="000000"/>
          <w:spacing w:val="0"/>
          <w:w w:val="100"/>
          <w:position w:val="0"/>
          <w:sz w:val="40"/>
          <w:szCs w:val="40"/>
        </w:rPr>
        <w:t>二验收内容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after="140" w:line="240" w:lineRule="auto"/>
        <w:ind w:left="0" w:right="0" w:firstLine="0"/>
        <w:jc w:val="both"/>
        <w:rPr>
          <w:sz w:val="48"/>
          <w:szCs w:val="48"/>
        </w:rPr>
      </w:pPr>
      <w:bookmarkStart w:id="0" w:name="bookmark0"/>
      <w:r>
        <w:rPr>
          <w:color w:val="000000"/>
          <w:spacing w:val="0"/>
          <w:w w:val="100"/>
          <w:position w:val="0"/>
          <w:sz w:val="40"/>
          <w:szCs w:val="40"/>
        </w:rPr>
        <w:t>三</w:t>
      </w:r>
      <w:bookmarkEnd w:id="0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设计要求及主要分项工程施工情况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</w:pPr>
      <w:bookmarkStart w:id="1" w:name="bookmark1"/>
      <w:r>
        <w:rPr>
          <w:color w:val="000000"/>
          <w:spacing w:val="0"/>
          <w:w w:val="100"/>
          <w:position w:val="0"/>
          <w:sz w:val="40"/>
          <w:szCs w:val="40"/>
        </w:rPr>
        <w:t>四</w:t>
      </w:r>
      <w:bookmarkEnd w:id="1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主要分项工程验收汇总表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</w:pPr>
      <w:bookmarkStart w:id="2" w:name="bookmark2"/>
      <w:r>
        <w:rPr>
          <w:color w:val="000000"/>
          <w:spacing w:val="0"/>
          <w:w w:val="100"/>
          <w:position w:val="0"/>
          <w:sz w:val="40"/>
          <w:szCs w:val="40"/>
        </w:rPr>
        <w:t>五</w:t>
      </w:r>
      <w:bookmarkEnd w:id="2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真空联合堆载预压施工节点表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6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</w:pPr>
      <w:bookmarkStart w:id="3" w:name="bookmark3"/>
      <w:r>
        <w:rPr>
          <w:color w:val="000000"/>
          <w:spacing w:val="0"/>
          <w:w w:val="100"/>
          <w:position w:val="0"/>
          <w:sz w:val="40"/>
          <w:szCs w:val="40"/>
        </w:rPr>
        <w:t>六</w:t>
      </w:r>
      <w:bookmarkEnd w:id="3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施工观测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8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28" w:tooltip="Current Document" w:history="1">
        <w:bookmarkStart w:id="4" w:name="bookmark4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1</w:t>
        </w:r>
        <w:bookmarkEnd w:id="4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沉降观测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32" w:tooltip="Current Document" w:history="1">
        <w:bookmarkStart w:id="5" w:name="bookmark5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2</w:t>
        </w:r>
        <w:bookmarkEnd w:id="5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分层沉降观测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36" w:tooltip="Current Document" w:history="1">
        <w:bookmarkStart w:id="6" w:name="bookmark6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3</w:t>
        </w:r>
        <w:bookmarkEnd w:id="6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水平位移观测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40" w:tooltip="Current Document" w:history="1">
        <w:bookmarkStart w:id="7" w:name="bookmark7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4</w:t>
        </w:r>
        <w:bookmarkEnd w:id="7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孔隙水压力监测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44" w:tooltip="Current Document" w:history="1">
        <w:bookmarkStart w:id="8" w:name="bookmark8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5</w:t>
        </w:r>
        <w:bookmarkEnd w:id="8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水位监测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48" w:tooltip="Current Document" w:history="1">
        <w:bookmarkStart w:id="9" w:name="bookmark9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6</w:t>
        </w:r>
        <w:bookmarkEnd w:id="9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深层水平位移（测斜）监测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</w:pPr>
      <w:hyperlink w:anchor="bookmark52" w:tooltip="Current Document" w:history="1">
        <w:bookmarkStart w:id="10" w:name="bookmark10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7</w:t>
        </w:r>
        <w:bookmarkEnd w:id="10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>监测资料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320"/>
        <w:jc w:val="both"/>
        <w:rPr>
          <w:sz w:val="48"/>
          <w:szCs w:val="48"/>
        </w:rPr>
        <w:sectPr>
          <w:type w:val="nextPage"/>
          <w:pgSz w:w="25262" w:h="17861" w:orient="landscape"/>
          <w:pgMar w:top="2924" w:right="9984" w:bottom="399" w:left="2683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hyperlink w:anchor="bookmark56" w:tooltip="Current Document" w:history="1">
        <w:bookmarkStart w:id="11" w:name="bookmark11"/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8</w:t>
        </w:r>
        <w:bookmarkEnd w:id="11"/>
        <w:r>
          <w:rPr>
            <w:color w:val="000000"/>
            <w:spacing w:val="0"/>
            <w:w w:val="100"/>
            <w:position w:val="0"/>
            <w:sz w:val="40"/>
            <w:szCs w:val="40"/>
          </w:rPr>
          <w:t>、</w:t>
          <w:tab/>
          <w:t xml:space="preserve">监测频率如下表进行： </w:t>
        </w:r>
        <w:r>
          <w:rPr>
            <w:color w:val="000000"/>
            <w:spacing w:val="0"/>
            <w:w w:val="100"/>
            <w:position w:val="0"/>
            <w:sz w:val="40"/>
            <w:szCs w:val="40"/>
          </w:rPr>
          <w:tab/>
        </w:r>
        <w:r>
          <w:rPr>
            <w:rFonts w:ascii="Calibri" w:eastAsia="Calibri" w:hAnsi="Calibri" w:cs="Calibri"/>
            <w:color w:val="000000"/>
            <w:spacing w:val="0"/>
            <w:w w:val="100"/>
            <w:position w:val="0"/>
            <w:sz w:val="48"/>
            <w:szCs w:val="48"/>
          </w:rPr>
          <w:t>9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</w:pPr>
      <w:bookmarkStart w:id="12" w:name="bookmark12"/>
      <w:r>
        <w:rPr>
          <w:color w:val="000000"/>
          <w:spacing w:val="0"/>
          <w:w w:val="100"/>
          <w:position w:val="0"/>
          <w:sz w:val="40"/>
          <w:szCs w:val="40"/>
        </w:rPr>
        <w:t>七</w:t>
      </w:r>
      <w:bookmarkEnd w:id="12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小'结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9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width:1263.1pt;height:893.05pt;margin-top:0;margin-left:0;mso-position-horizontal-relative:page;mso-position-vertical-relative:page;position:absolute;v-text-anchor:top;z-index:-251656192" fillcolor="#99cdff"/>
            </w:pict>
          </mc:Fallback>
        </mc:AlternateConten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4"/>
          <w:tab w:val="right" w:leader="dot" w:pos="12480"/>
        </w:tabs>
        <w:bidi w:val="0"/>
        <w:spacing w:before="0" w:line="240" w:lineRule="auto"/>
        <w:ind w:left="0" w:right="0" w:firstLine="0"/>
        <w:jc w:val="both"/>
        <w:rPr>
          <w:sz w:val="48"/>
          <w:szCs w:val="48"/>
        </w:rPr>
        <w:sectPr>
          <w:type w:val="nextPage"/>
          <w:pgSz w:w="25262" w:h="17861" w:orient="landscape"/>
          <w:pgMar w:top="2924" w:right="9984" w:bottom="399" w:left="2683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13" w:name="bookmark13"/>
      <w:r>
        <w:rPr>
          <w:color w:val="000000"/>
          <w:spacing w:val="0"/>
          <w:w w:val="100"/>
          <w:position w:val="0"/>
          <w:sz w:val="40"/>
          <w:szCs w:val="40"/>
        </w:rPr>
        <w:t>八</w:t>
      </w:r>
      <w:bookmarkEnd w:id="13"/>
      <w:r>
        <w:rPr>
          <w:color w:val="000000"/>
          <w:spacing w:val="0"/>
          <w:w w:val="100"/>
          <w:position w:val="0"/>
          <w:sz w:val="40"/>
          <w:szCs w:val="40"/>
        </w:rPr>
        <w:t>、</w:t>
        <w:tab/>
        <w:t>附件</w:t>
      </w:r>
      <w:r>
        <w:rPr>
          <w:color w:val="000000"/>
          <w:spacing w:val="0"/>
          <w:w w:val="100"/>
          <w:position w:val="0"/>
          <w:sz w:val="40"/>
          <w:szCs w:val="40"/>
        </w:rPr>
        <w:tab/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9</w:t>
      </w:r>
      <w:r>
        <w:fldChar w:fldCharType="end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7" style="width:1263.1pt;height:893.05pt;margin-top:0;margin-left:0;mso-position-horizontal-relative:page;mso-position-vertical-relative:page;position:absolute;v-text-anchor:top;z-index:-251654144" fillcolor="#99cdff"/>
            </w:pict>
          </mc:Fallback>
        </mc:AlternateContent>
      </w:r>
    </w:p>
    <w:p>
      <w:pPr>
        <w:pStyle w:val="10"/>
        <w:keepNext/>
        <w:keepLines/>
        <w:widowControl w:val="0"/>
        <w:shd w:val="clear" w:color="auto" w:fill="auto"/>
        <w:bidi w:val="0"/>
        <w:ind w:left="0" w:right="0" w:firstLine="0"/>
        <w:jc w:val="center"/>
      </w:pPr>
      <w:bookmarkStart w:id="14" w:name="bookmark14"/>
      <w:bookmarkStart w:id="15" w:name="bookmark15"/>
      <w:bookmarkStart w:id="16" w:name="bookmark16"/>
      <w:r>
        <w:rPr>
          <w:color w:val="000000"/>
          <w:spacing w:val="0"/>
          <w:w w:val="100"/>
          <w:position w:val="0"/>
        </w:rPr>
        <w:t>广珠铁路珠海西站物流中心一期（货场扩建一期工程）真空</w:t>
        <w:br/>
        <w:t>联合堆载预压（卸载）验收报告</w:t>
      </w:r>
      <w:bookmarkEnd w:id="14"/>
      <w:bookmarkEnd w:id="15"/>
      <w:bookmarkEnd w:id="16"/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739"/>
        </w:tabs>
        <w:bidi w:val="0"/>
        <w:spacing w:before="0" w:after="0" w:line="240" w:lineRule="auto"/>
        <w:ind w:left="0" w:right="0" w:firstLine="0"/>
        <w:jc w:val="left"/>
      </w:pPr>
      <w:bookmarkStart w:id="17" w:name="bookmark17"/>
      <w:r>
        <w:rPr>
          <w:color w:val="000000"/>
          <w:spacing w:val="0"/>
          <w:w w:val="100"/>
          <w:position w:val="0"/>
        </w:rPr>
        <w:t>一</w:t>
      </w:r>
      <w:bookmarkEnd w:id="17"/>
      <w:r>
        <w:rPr>
          <w:color w:val="000000"/>
          <w:spacing w:val="0"/>
          <w:w w:val="100"/>
          <w:position w:val="0"/>
        </w:rPr>
        <w:t>、</w:t>
        <w:tab/>
        <w:t>工程概况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739"/>
        </w:tabs>
        <w:bidi w:val="0"/>
        <w:spacing w:before="0" w:after="0" w:line="240" w:lineRule="auto"/>
        <w:ind w:left="0" w:right="0" w:firstLine="0"/>
        <w:jc w:val="left"/>
      </w:pPr>
      <w:bookmarkStart w:id="18" w:name="bookmark18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bookmarkEnd w:id="18"/>
      <w:r>
        <w:rPr>
          <w:color w:val="000000"/>
          <w:spacing w:val="0"/>
          <w:w w:val="100"/>
          <w:position w:val="0"/>
        </w:rPr>
        <w:t>、</w:t>
        <w:tab/>
        <w:t>工程概况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860" w:right="0" w:firstLine="0"/>
        <w:jc w:val="left"/>
      </w:pPr>
      <w:r>
        <w:rPr>
          <w:color w:val="000000"/>
          <w:spacing w:val="0"/>
          <w:w w:val="100"/>
          <w:position w:val="0"/>
        </w:rPr>
        <w:t>工程名称:广珠铁路珠海西站物流中心一期（货场扩建一期工程） 建设单位：广珠铁路物流开发有限公司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设计单位：铁道第三勘察设计院集团有限公司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监理单位：华铁工程咨询有限责任公司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施工单位：中铁二十五局集团有限公司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2880" w:right="0" w:firstLine="0"/>
        <w:jc w:val="left"/>
      </w:pPr>
      <w:r>
        <w:rPr>
          <w:color w:val="000000"/>
          <w:spacing w:val="0"/>
          <w:w w:val="100"/>
          <w:position w:val="0"/>
        </w:rPr>
        <w:t>深圳广铁土木工程有限公司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2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软基处理真空联合堆载预压面积为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251593m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0"/>
          <w:szCs w:val="30"/>
        </w:rPr>
        <w:t>2</w:t>
      </w:r>
      <w:r>
        <w:rPr>
          <w:color w:val="000000"/>
          <w:spacing w:val="0"/>
          <w:w w:val="100"/>
          <w:position w:val="0"/>
        </w:rPr>
        <w:t>。</w:t>
      </w:r>
      <w:r>
        <w:rPr>
          <w:color w:val="000000"/>
          <w:spacing w:val="0"/>
          <w:w w:val="100"/>
          <w:position w:val="0"/>
        </w:rPr>
        <w:t>其中，塑料排水 板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7450100m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；</w:t>
      </w:r>
      <w:r>
        <w:rPr>
          <w:color w:val="000000"/>
          <w:spacing w:val="0"/>
          <w:w w:val="100"/>
          <w:position w:val="0"/>
        </w:rPr>
        <w:t>砂垫层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128290m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0"/>
          <w:szCs w:val="30"/>
        </w:rPr>
        <w:t xml:space="preserve">s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；</w:t>
      </w:r>
      <w:r>
        <w:rPr>
          <w:color w:val="000000"/>
          <w:spacing w:val="0"/>
          <w:w w:val="100"/>
          <w:position w:val="0"/>
        </w:rPr>
        <w:t>黏土桩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143700m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；</w:t>
      </w:r>
      <w:r>
        <w:rPr>
          <w:color w:val="000000"/>
          <w:spacing w:val="0"/>
          <w:w w:val="100"/>
          <w:position w:val="0"/>
        </w:rPr>
        <w:t>预压回填石 屑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76736m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0"/>
          <w:szCs w:val="30"/>
        </w:rPr>
        <w:t xml:space="preserve">s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；</w:t>
      </w:r>
      <w:r>
        <w:rPr>
          <w:color w:val="000000"/>
          <w:spacing w:val="0"/>
          <w:w w:val="100"/>
          <w:position w:val="0"/>
        </w:rPr>
        <w:t>预压回填土方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449094m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0"/>
          <w:szCs w:val="30"/>
        </w:rPr>
        <w:t>s</w:t>
      </w:r>
      <w:r>
        <w:rPr>
          <w:color w:val="000000"/>
          <w:spacing w:val="0"/>
          <w:w w:val="100"/>
          <w:position w:val="0"/>
        </w:rPr>
        <w:t>。</w:t>
      </w:r>
      <w:r>
        <w:rPr>
          <w:color w:val="000000"/>
          <w:spacing w:val="0"/>
          <w:w w:val="100"/>
          <w:position w:val="0"/>
        </w:rPr>
        <w:t>软基处理按设计区域划分 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1~1</w:t>
      </w:r>
      <w:r>
        <w:rPr>
          <w:color w:val="000000"/>
          <w:spacing w:val="0"/>
          <w:w w:val="100"/>
          <w:position w:val="0"/>
        </w:rPr>
        <w:t>。区。按后期使用功能划分为铁路、站台、道路、房屋及空 地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</w:t>
      </w:r>
      <w:r>
        <w:rPr>
          <w:color w:val="000000"/>
          <w:spacing w:val="0"/>
          <w:w w:val="100"/>
          <w:position w:val="0"/>
        </w:rPr>
        <w:t>种区域。各项施工指标如下：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2-1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3-1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4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6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8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10-1 </w:t>
      </w:r>
      <w:r>
        <w:rPr>
          <w:color w:val="000000"/>
          <w:spacing w:val="0"/>
          <w:w w:val="100"/>
          <w:position w:val="0"/>
        </w:rPr>
        <w:t>区排水板打设深度为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22m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, 2-2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3-2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9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10-2</w:t>
      </w:r>
      <w:r>
        <w:rPr>
          <w:color w:val="000000"/>
          <w:spacing w:val="0"/>
          <w:w w:val="100"/>
          <w:position w:val="0"/>
        </w:rPr>
        <w:t>区排水板打 设深度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27m</w:t>
      </w:r>
      <w:r>
        <w:rPr>
          <w:color w:val="000000"/>
          <w:spacing w:val="0"/>
          <w:w w:val="100"/>
          <w:position w:val="0"/>
        </w:rPr>
        <w:t>堆载土平均厚度超过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2.2m</w:t>
      </w:r>
      <w:r>
        <w:rPr>
          <w:color w:val="000000"/>
          <w:spacing w:val="0"/>
          <w:w w:val="100"/>
          <w:position w:val="0"/>
        </w:rPr>
        <w:t>密封墙为双排直径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700mm </w:t>
      </w:r>
      <w:r>
        <w:rPr>
          <w:color w:val="000000"/>
          <w:spacing w:val="0"/>
          <w:w w:val="100"/>
          <w:position w:val="0"/>
        </w:rPr>
        <w:t>咬合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200mm</w:t>
      </w:r>
      <w:r>
        <w:rPr>
          <w:color w:val="000000"/>
          <w:spacing w:val="0"/>
          <w:w w:val="100"/>
          <w:position w:val="0"/>
        </w:rPr>
        <w:t>粘土搅拌桩，密封墙除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8</w:t>
      </w:r>
      <w:r>
        <w:rPr>
          <w:color w:val="000000"/>
          <w:spacing w:val="0"/>
          <w:w w:val="100"/>
          <w:position w:val="0"/>
        </w:rPr>
        <w:t>区与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</w:t>
      </w:r>
      <w:r>
        <w:rPr>
          <w:color w:val="000000"/>
          <w:spacing w:val="0"/>
          <w:w w:val="100"/>
          <w:position w:val="0"/>
        </w:rPr>
        <w:t>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50</w:t>
      </w:r>
      <w:r>
        <w:rPr>
          <w:color w:val="000000"/>
          <w:spacing w:val="0"/>
          <w:w w:val="100"/>
          <w:position w:val="0"/>
        </w:rPr>
        <w:t>米长度为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8.5m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, </w:t>
      </w:r>
      <w:r>
        <w:rPr>
          <w:color w:val="000000"/>
          <w:spacing w:val="0"/>
          <w:w w:val="100"/>
          <w:position w:val="0"/>
        </w:rPr>
        <w:t>其余长度为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7m 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739"/>
        </w:tabs>
        <w:bidi w:val="0"/>
        <w:spacing w:before="0" w:after="0" w:line="240" w:lineRule="auto"/>
        <w:ind w:left="0" w:right="0" w:firstLine="0"/>
        <w:jc w:val="left"/>
      </w:pPr>
      <w:bookmarkStart w:id="19" w:name="bookmark19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</w:t>
      </w:r>
      <w:bookmarkEnd w:id="19"/>
      <w:r>
        <w:rPr>
          <w:color w:val="000000"/>
          <w:spacing w:val="0"/>
          <w:w w:val="100"/>
          <w:position w:val="0"/>
        </w:rPr>
        <w:t>、</w:t>
        <w:tab/>
        <w:t>卸载标准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38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固结度达到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90%</w:t>
      </w:r>
      <w:r>
        <w:rPr>
          <w:color w:val="000000"/>
          <w:spacing w:val="0"/>
          <w:w w:val="100"/>
          <w:position w:val="0"/>
        </w:rPr>
        <w:t>。连续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</w:t>
      </w:r>
      <w:r>
        <w:rPr>
          <w:color w:val="000000"/>
          <w:spacing w:val="0"/>
          <w:w w:val="100"/>
          <w:position w:val="0"/>
        </w:rPr>
        <w:t>天沉降速率不大于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2mm/d</w:t>
      </w:r>
      <w:r>
        <w:rPr>
          <w:color w:val="000000"/>
          <w:spacing w:val="0"/>
          <w:w w:val="100"/>
          <w:position w:val="0"/>
        </w:rPr>
        <w:t>时，即可 卸载</w:t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742"/>
        </w:tabs>
        <w:bidi w:val="0"/>
        <w:spacing w:before="0" w:after="80" w:line="638" w:lineRule="exact"/>
        <w:ind w:left="0" w:right="0" w:firstLine="0"/>
        <w:jc w:val="left"/>
      </w:pPr>
      <w:bookmarkStart w:id="20" w:name="bookmark20"/>
      <w:r>
        <w:rPr>
          <w:color w:val="000000"/>
          <w:spacing w:val="0"/>
          <w:w w:val="100"/>
          <w:position w:val="0"/>
        </w:rPr>
        <w:t>二</w:t>
      </w:r>
      <w:bookmarkEnd w:id="20"/>
      <w:r>
        <w:rPr>
          <w:color w:val="000000"/>
          <w:spacing w:val="0"/>
          <w:w w:val="100"/>
          <w:position w:val="0"/>
        </w:rPr>
        <w:t>、</w:t>
        <w:tab/>
        <w:t>验收内容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</w:rPr>
        <w:t>广珠铁路珠海西站物流中心一期（货场扩建一期工程满载验收: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246"/>
          <w:tab w:val="left" w:leader="hyphen" w:pos="2616"/>
          <w:tab w:val="left" w:pos="5938"/>
          <w:tab w:val="left" w:pos="8616"/>
        </w:tabs>
        <w:bidi w:val="0"/>
        <w:spacing w:before="0" w:after="180" w:line="240" w:lineRule="auto"/>
        <w:ind w:left="0" w:right="0" w:firstLine="860"/>
        <w:jc w:val="both"/>
        <w:sectPr>
          <w:pgSz w:w="25262" w:h="17861" w:orient="landscape"/>
          <w:pgMar w:top="1480" w:right="9861" w:bottom="0" w:left="2599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>—1—</w:t>
      </w:r>
      <w:r>
        <w:rPr>
          <w:rFonts w:ascii="Times New Roman" w:eastAsia="Times New Roman" w:hAnsi="Times New Roman" w:cs="Times New Roman"/>
          <w:smallCaps/>
          <w:color w:val="000000"/>
          <w:spacing w:val="0"/>
          <w:w w:val="100"/>
          <w:position w:val="0"/>
          <w:sz w:val="15"/>
          <w:szCs w:val="15"/>
        </w:rPr>
        <w:t>All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ab/>
        <w:t>z ZJx. I r</w:t>
        <w:tab/>
        <w:t>—■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 xml:space="preserve">rr—i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、 </w:t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44"/>
          <w:szCs w:val="44"/>
        </w:rPr>
        <w:t xml:space="preserve">― </w:t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44"/>
          <w:szCs w:val="44"/>
        </w:rPr>
        <w:t>L_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</w:rPr>
        <w:t xml:space="preserve"> I -rm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246"/>
          <w:tab w:val="left" w:leader="hyphen" w:pos="2616"/>
          <w:tab w:val="left" w:pos="5938"/>
          <w:tab w:val="left" w:pos="8616"/>
        </w:tabs>
        <w:bidi w:val="0"/>
        <w:spacing w:before="0" w:after="180" w:line="240" w:lineRule="auto"/>
        <w:ind w:left="0" w:right="0" w:firstLine="860"/>
        <w:jc w:val="both"/>
      </w:pPr>
      <w:r>
        <w:rPr>
          <w:rStyle w:val="a1"/>
        </w:rPr>
        <w:t>无间断。真空泵安装后进行试抽气，查找膜上是否有漏洞，并及时修 补。当真空压力达到设计要求并稳定</w:t>
      </w:r>
      <w:r>
        <w:rPr>
          <w:rStyle w:val="a1"/>
          <w:rFonts w:ascii="Calibri" w:eastAsia="Calibri" w:hAnsi="Calibri" w:cs="Calibri"/>
          <w:sz w:val="48"/>
          <w:szCs w:val="48"/>
        </w:rPr>
        <w:t>15</w:t>
      </w:r>
      <w:r>
        <w:rPr>
          <w:rStyle w:val="a1"/>
        </w:rPr>
        <w:t>天后，再进行堆载，并继续 抽真空。预留真空设备配件，专人巡视维护，确保抽真空过程真空度 的稳定。在堆载过程中，真空度一直维持在</w:t>
      </w:r>
      <w:r>
        <w:rPr>
          <w:rStyle w:val="a1"/>
          <w:rFonts w:ascii="Calibri" w:eastAsia="Calibri" w:hAnsi="Calibri" w:cs="Calibri"/>
          <w:sz w:val="48"/>
          <w:szCs w:val="48"/>
        </w:rPr>
        <w:t>80KP</w:t>
      </w:r>
      <w:r>
        <w:rPr>
          <w:rStyle w:val="a1"/>
        </w:rPr>
        <w:t>以上，期间未出现 过长时间停电或大面积真空泵停泵现象。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8" style="width:1263.1pt;height:893.05pt;margin-top:0;margin-left:0;mso-position-horizontal-relative:page;mso-position-vertical-relative:page;position:absolute;v-text-anchor:top;z-index:-251652096" fillcolor="#99cdff"/>
            </w:pict>
          </mc:Fallback>
        </mc:AlternateConten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1" w:name="bookmark21"/>
      <w:r>
        <w:rPr>
          <w:color w:val="000000"/>
          <w:spacing w:val="0"/>
          <w:w w:val="100"/>
          <w:position w:val="0"/>
        </w:rPr>
        <w:t>三</w:t>
      </w:r>
      <w:bookmarkEnd w:id="21"/>
      <w:r>
        <w:rPr>
          <w:color w:val="000000"/>
          <w:spacing w:val="0"/>
          <w:w w:val="100"/>
          <w:position w:val="0"/>
        </w:rPr>
        <w:t>、设计要求及主要分项工程施工情况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line="593" w:lineRule="exact"/>
        <w:ind w:left="0" w:right="0" w:firstLine="840"/>
        <w:jc w:val="both"/>
      </w:pPr>
      <w:bookmarkStart w:id="22" w:name="bookmark22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bookmarkEnd w:id="22"/>
      <w:r>
        <w:rPr>
          <w:color w:val="000000"/>
          <w:spacing w:val="0"/>
          <w:w w:val="100"/>
          <w:position w:val="0"/>
        </w:rPr>
        <w:t>、膜下砂垫层：膜下砂垫层厚度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50cm</w:t>
      </w:r>
      <w:r>
        <w:rPr>
          <w:color w:val="000000"/>
          <w:spacing w:val="0"/>
          <w:w w:val="100"/>
          <w:position w:val="0"/>
        </w:rPr>
        <w:t>，经送检填筑砂含泥量 不大于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5%</w:t>
      </w:r>
      <w:r>
        <w:rPr>
          <w:color w:val="000000"/>
          <w:spacing w:val="0"/>
          <w:w w:val="100"/>
          <w:position w:val="0"/>
        </w:rPr>
        <w:t>，砂垫层的干密度不小于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15KN/m3</w:t>
      </w:r>
      <w:r>
        <w:rPr>
          <w:color w:val="000000"/>
          <w:spacing w:val="0"/>
          <w:w w:val="100"/>
          <w:position w:val="0"/>
        </w:rPr>
        <w:t xml:space="preserve">，渗透系数不小于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5X10-3cm/s</w:t>
      </w:r>
      <w:r>
        <w:rPr>
          <w:color w:val="000000"/>
          <w:spacing w:val="0"/>
          <w:w w:val="100"/>
          <w:position w:val="0"/>
        </w:rPr>
        <w:t>，以保证砂垫层的渗透性能，本路段完成时间为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2014 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</w:t>
      </w:r>
      <w:r>
        <w:rPr>
          <w:color w:val="000000"/>
          <w:spacing w:val="0"/>
          <w:w w:val="100"/>
          <w:position w:val="0"/>
        </w:rPr>
        <w:t>日。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09"/>
        </w:tabs>
        <w:bidi w:val="0"/>
        <w:spacing w:before="0" w:line="593" w:lineRule="exact"/>
        <w:ind w:left="0" w:right="0" w:firstLine="840"/>
        <w:jc w:val="both"/>
      </w:pPr>
      <w:bookmarkStart w:id="23" w:name="bookmark23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</w:t>
      </w:r>
      <w:bookmarkEnd w:id="23"/>
      <w:r>
        <w:rPr>
          <w:color w:val="000000"/>
          <w:spacing w:val="0"/>
          <w:w w:val="100"/>
          <w:position w:val="0"/>
        </w:rPr>
        <w:t>、</w:t>
        <w:tab/>
        <w:t>密封墙：采用深层搅拌机施工，单轴搅拌体直径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700m</w:t>
      </w:r>
      <w:r>
        <w:rPr>
          <w:color w:val="000000"/>
          <w:spacing w:val="0"/>
          <w:w w:val="100"/>
          <w:position w:val="0"/>
        </w:rPr>
        <w:t>，搭 接宽度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200m</w:t>
      </w:r>
      <w:r>
        <w:rPr>
          <w:color w:val="000000"/>
          <w:spacing w:val="0"/>
          <w:w w:val="100"/>
          <w:position w:val="0"/>
        </w:rPr>
        <w:t>，密封墙宽度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1.2m</w:t>
      </w:r>
      <w:r>
        <w:rPr>
          <w:color w:val="000000"/>
          <w:spacing w:val="0"/>
          <w:w w:val="100"/>
          <w:position w:val="0"/>
        </w:rPr>
        <w:t>，采用四喷四搅工艺，施工桩长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 </w:t>
      </w:r>
      <w:r>
        <w:rPr>
          <w:color w:val="000000"/>
          <w:spacing w:val="0"/>
          <w:w w:val="100"/>
          <w:position w:val="0"/>
        </w:rPr>
        <w:t>经送检密封墙渗透系数小于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1X10-5cm/s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渗透系数符合要求，密封 效果好，本路段完成时间为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2014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11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14</w:t>
      </w:r>
      <w:r>
        <w:rPr>
          <w:color w:val="000000"/>
          <w:spacing w:val="0"/>
          <w:w w:val="100"/>
          <w:position w:val="0"/>
        </w:rPr>
        <w:t>日。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09"/>
        </w:tabs>
        <w:bidi w:val="0"/>
        <w:spacing w:before="0" w:line="600" w:lineRule="exact"/>
        <w:ind w:left="0" w:right="0" w:firstLine="840"/>
        <w:jc w:val="both"/>
      </w:pPr>
      <w:bookmarkStart w:id="24" w:name="bookmark24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4</w:t>
      </w:r>
      <w:bookmarkEnd w:id="24"/>
      <w:r>
        <w:rPr>
          <w:color w:val="000000"/>
          <w:spacing w:val="0"/>
          <w:w w:val="100"/>
          <w:position w:val="0"/>
        </w:rPr>
        <w:t>、</w:t>
        <w:tab/>
        <w:t>塑料排水板：采用规格为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SPB100-C</w:t>
      </w:r>
      <w:r>
        <w:rPr>
          <w:color w:val="000000"/>
          <w:spacing w:val="0"/>
          <w:w w:val="100"/>
          <w:position w:val="0"/>
        </w:rPr>
        <w:t>型塑料排水板，正方形 布置，间距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1.0m,</w:t>
      </w:r>
      <w:r>
        <w:rPr>
          <w:color w:val="000000"/>
          <w:spacing w:val="0"/>
          <w:w w:val="100"/>
          <w:position w:val="0"/>
        </w:rPr>
        <w:t>打设深度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22 ~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27m</w:t>
      </w:r>
      <w:r>
        <w:rPr>
          <w:color w:val="000000"/>
          <w:spacing w:val="0"/>
          <w:w w:val="100"/>
          <w:position w:val="0"/>
        </w:rPr>
        <w:t xml:space="preserve">，排水板埋入砂垫层不小于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50cm</w:t>
      </w:r>
      <w:r>
        <w:rPr>
          <w:color w:val="000000"/>
          <w:spacing w:val="0"/>
          <w:w w:val="100"/>
          <w:position w:val="0"/>
        </w:rPr>
        <w:t>。满足设计要求。插板外露端头折弯进入砂垫层内，并用中粗 砂对埋孔进行填平；排水板进场后按要求进行送检合格，排水板施工 现场采用电子记录及人工检测联合把控插入深度，确保排水板材料及 施工符合设计要求，本路段完成时间为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2014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18</w:t>
      </w:r>
      <w:r>
        <w:rPr>
          <w:color w:val="000000"/>
          <w:spacing w:val="0"/>
          <w:w w:val="100"/>
          <w:position w:val="0"/>
        </w:rPr>
        <w:t>日。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09"/>
        </w:tabs>
        <w:bidi w:val="0"/>
        <w:spacing w:before="0" w:after="0" w:line="600" w:lineRule="exact"/>
        <w:ind w:left="0" w:right="0" w:firstLine="840"/>
        <w:jc w:val="both"/>
        <w:sectPr>
          <w:type w:val="nextPage"/>
          <w:pgSz w:w="25262" w:h="17861" w:orient="landscape"/>
          <w:pgMar w:top="1480" w:right="9861" w:bottom="0" w:left="2599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bookmarkStart w:id="25" w:name="bookmark25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</w:t>
      </w:r>
      <w:bookmarkEnd w:id="25"/>
      <w:r>
        <w:rPr>
          <w:color w:val="000000"/>
          <w:spacing w:val="0"/>
          <w:w w:val="100"/>
          <w:position w:val="0"/>
        </w:rPr>
        <w:t>、</w:t>
        <w:tab/>
        <w:t>抽真空系统：抽真空系统由抽真空设备、真空干、主管、滤 管组成。抽真空设备采用射流泵，其单机功率不低于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7.5KW</w:t>
      </w:r>
      <w:r>
        <w:rPr>
          <w:color w:val="000000"/>
          <w:spacing w:val="0"/>
          <w:w w:val="100"/>
          <w:position w:val="0"/>
        </w:rPr>
        <w:t>，主管 干管采用甲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75PVCmm</w:t>
      </w:r>
      <w:r>
        <w:rPr>
          <w:color w:val="000000"/>
          <w:spacing w:val="0"/>
          <w:w w:val="100"/>
          <w:position w:val="0"/>
        </w:rPr>
        <w:t>高强度塑料管，壁厚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3.5~4.0mm</w:t>
      </w:r>
      <w:r>
        <w:rPr>
          <w:color w:val="000000"/>
          <w:spacing w:val="0"/>
          <w:w w:val="100"/>
          <w:position w:val="0"/>
        </w:rPr>
        <w:t>，主管不打 孔；滤管为高强度柔性塑料管，直径叩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50</w:t>
      </w:r>
      <w:r>
        <w:rPr>
          <w:color w:val="000000"/>
          <w:spacing w:val="0"/>
          <w:w w:val="100"/>
          <w:position w:val="0"/>
        </w:rPr>
        <w:t>波纹滤管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mm,</w:t>
      </w:r>
      <w:r>
        <w:rPr>
          <w:color w:val="000000"/>
          <w:spacing w:val="0"/>
          <w:w w:val="100"/>
          <w:position w:val="0"/>
        </w:rPr>
        <w:t xml:space="preserve">壁厚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3.5~4.0mm</w:t>
      </w:r>
      <w:r>
        <w:rPr>
          <w:color w:val="000000"/>
          <w:spacing w:val="0"/>
          <w:w w:val="100"/>
          <w:position w:val="0"/>
        </w:rPr>
        <w:t>，滤管应均匀打孔后（叩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6mm</w:t>
      </w:r>
      <w:r>
        <w:rPr>
          <w:color w:val="000000"/>
          <w:spacing w:val="0"/>
          <w:w w:val="100"/>
          <w:position w:val="0"/>
        </w:rPr>
        <w:t>，间距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100mm</w:t>
      </w:r>
      <w:r>
        <w:rPr>
          <w:color w:val="000000"/>
          <w:spacing w:val="0"/>
          <w:w w:val="100"/>
          <w:position w:val="0"/>
        </w:rPr>
        <w:t>，交错打孔） 外包二层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 xml:space="preserve">200g/m3 </w:t>
      </w:r>
      <w:r>
        <w:rPr>
          <w:color w:val="000000"/>
          <w:spacing w:val="0"/>
          <w:w w:val="100"/>
          <w:position w:val="0"/>
        </w:rPr>
        <w:t>土工织物滤水层。按设计要求施工，滤管设计间 距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5m,</w:t>
      </w:r>
      <w:r>
        <w:rPr>
          <w:color w:val="000000"/>
          <w:spacing w:val="0"/>
          <w:w w:val="100"/>
          <w:position w:val="0"/>
        </w:rPr>
        <w:t>敷设留有富余长度，以防沉降变形导致滤管拉裂，本路段完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09"/>
        </w:tabs>
        <w:bidi w:val="0"/>
        <w:spacing w:before="0" w:after="0" w:line="60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筑前铺设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200g/m2</w:t>
      </w:r>
      <w:r>
        <w:rPr>
          <w:color w:val="000000"/>
          <w:spacing w:val="0"/>
          <w:w w:val="100"/>
          <w:position w:val="0"/>
        </w:rPr>
        <w:t>的土工编织布，确保密封膜安全。本路段完成时 间为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2015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4</w:t>
      </w:r>
      <w:r>
        <w:rPr>
          <w:color w:val="000000"/>
          <w:spacing w:val="0"/>
          <w:w w:val="100"/>
          <w:position w:val="0"/>
        </w:rPr>
        <w:t>日。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6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9" style="width:1263.1pt;height:893.05pt;margin-top:0;margin-left:0;mso-position-horizontal-relative:page;mso-position-vertical-relative:page;position:absolute;v-text-anchor:top;z-index:-251650048" fillcolor="#99cdff"/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 w:line="604" w:lineRule="exact"/>
        <w:ind w:left="0" w:right="0" w:firstLine="840"/>
        <w:jc w:val="both"/>
      </w:pP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8</w:t>
      </w:r>
      <w:r>
        <w:rPr>
          <w:color w:val="000000"/>
          <w:spacing w:val="0"/>
          <w:w w:val="100"/>
          <w:position w:val="0"/>
        </w:rPr>
        <w:t>、堆载土方填筑：按照《珠海交通集团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2013</w:t>
      </w:r>
      <w:r>
        <w:rPr>
          <w:color w:val="000000"/>
          <w:spacing w:val="0"/>
          <w:w w:val="100"/>
          <w:position w:val="0"/>
        </w:rPr>
        <w:t>样板标杆工艺工 法推广手册》要求，在填筑堆载土方时根据装土车装土量计算堆土间 距，采用方格网以便于卸车，控制分层填土厚度；按分层压实厚度小 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50cm</w:t>
      </w:r>
      <w:r>
        <w:rPr>
          <w:color w:val="000000"/>
          <w:spacing w:val="0"/>
          <w:w w:val="100"/>
          <w:position w:val="0"/>
        </w:rPr>
        <w:t>进行实施。施工现场用虚铺尺控制虚铺厚度；填筑过程中结 合观测数据变化趋势确定填筑速率，以确保填筑期路基稳定；施工时 间为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2015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</w:t>
      </w:r>
      <w:r>
        <w:rPr>
          <w:color w:val="000000"/>
          <w:spacing w:val="0"/>
          <w:w w:val="100"/>
          <w:position w:val="0"/>
        </w:rPr>
        <w:t>日~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2015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30</w:t>
      </w:r>
      <w:r>
        <w:rPr>
          <w:color w:val="000000"/>
          <w:spacing w:val="0"/>
          <w:w w:val="100"/>
          <w:position w:val="0"/>
        </w:rPr>
        <w:t>日。施工时间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26</w:t>
      </w:r>
      <w:r>
        <w:rPr>
          <w:color w:val="000000"/>
          <w:spacing w:val="0"/>
          <w:w w:val="100"/>
          <w:position w:val="0"/>
        </w:rPr>
        <w:t>天，实际 堆载高度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1.76m</w:t>
      </w:r>
      <w:r>
        <w:rPr>
          <w:color w:val="000000"/>
          <w:spacing w:val="0"/>
          <w:w w:val="100"/>
          <w:position w:val="0"/>
        </w:rPr>
        <w:t>满足设计要求，用于填方的土运到填方区后由推土 机推平，挖掘机配合进行修筑边坡，在平整过程中按地形设置纵横坡， 以利排水；平整后用压路机按先轻后重的要求进行碾压，达到首件工 程施工压实遍数后进行压实度检测，自检合格后报监理工程师验收通 过后再进行下一层填筑。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6" w:name="bookmark26"/>
      <w:r>
        <w:rPr>
          <w:color w:val="000000"/>
          <w:spacing w:val="0"/>
          <w:w w:val="100"/>
          <w:position w:val="0"/>
        </w:rPr>
        <w:t>四</w:t>
      </w:r>
      <w:bookmarkEnd w:id="26"/>
      <w:r>
        <w:rPr>
          <w:color w:val="000000"/>
          <w:spacing w:val="0"/>
          <w:w w:val="100"/>
          <w:position w:val="0"/>
        </w:rPr>
        <w:t>、主要分项工程验收汇总表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" w:line="606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 xml:space="preserve">各分项工程验收符合《城镇道路工程施工与质量验收规范》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CJJ1-2008</w:t>
      </w:r>
      <w:r>
        <w:rPr>
          <w:color w:val="000000"/>
          <w:spacing w:val="0"/>
          <w:w w:val="100"/>
          <w:position w:val="0"/>
        </w:rPr>
        <w:t>及《珠海交通集团关于加强项目工序交验和留存影像资料 的规定（修订版）》的要求，并按《广东省市政基础设施工程施工质 量技术资料统一用表》进行编辑整理，具体情况如下：</w:t>
      </w:r>
    </w:p>
    <w:p>
      <w:pPr>
        <w:widowControl w:val="0"/>
        <w:spacing w:line="1" w:lineRule="exact"/>
        <w:sectPr>
          <w:type w:val="nextPage"/>
          <w:pgSz w:w="25262" w:h="17861" w:orient="landscape"/>
          <w:pgMar w:top="1480" w:right="9861" w:bottom="0" w:left="2599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424180" distB="2593975" distL="0" distR="0" simplePos="0" relativeHeight="251669504" behindDoc="0" locked="0" layoutInCell="1" allowOverlap="1">
                <wp:simplePos x="0" y="0"/>
                <wp:positionH relativeFrom="page">
                  <wp:posOffset>1920240</wp:posOffset>
                </wp:positionH>
                <wp:positionV relativeFrom="paragraph">
                  <wp:posOffset>424180</wp:posOffset>
                </wp:positionV>
                <wp:extent cx="951230" cy="292735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1230" cy="29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预压分区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30" type="#_x0000_t202" style="width:74.9pt;height:23.05pt;margin-top:33.4pt;margin-left:151.2pt;mso-position-horizontal-relative:page;mso-wrap-distance-bottom:204.25pt;mso-wrap-distance-left:0;mso-wrap-distance-right:0;mso-wrap-distance-top:33.4pt;mso-wrap-style:none;position:absolute;v-text-anchor:top;z-index:251668480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预压分区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24180" distB="2593975" distL="0" distR="0" simplePos="0" relativeHeight="251671552" behindDoc="0" locked="0" layoutInCell="1" allowOverlap="1">
                <wp:simplePos x="0" y="0"/>
                <wp:positionH relativeFrom="page">
                  <wp:posOffset>3566160</wp:posOffset>
                </wp:positionH>
                <wp:positionV relativeFrom="paragraph">
                  <wp:posOffset>424180</wp:posOffset>
                </wp:positionV>
                <wp:extent cx="749935" cy="292735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9935" cy="29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分区面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31" type="#_x0000_t202" style="width:59.05pt;height:23.05pt;margin-top:33.4pt;margin-left:280.8pt;mso-position-horizontal-relative:page;mso-wrap-distance-bottom:204.25pt;mso-wrap-distance-left:0;mso-wrap-distance-right:0;mso-wrap-distance-top:33.4pt;mso-wrap-style:none;position:absolute;v-text-anchor:top;z-index:251670528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分区面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17500" distB="1841500" distL="0" distR="0" simplePos="0" relativeHeight="251673600" behindDoc="0" locked="0" layoutInCell="1" allowOverlap="1">
                <wp:simplePos x="0" y="0"/>
                <wp:positionH relativeFrom="page">
                  <wp:posOffset>5126990</wp:posOffset>
                </wp:positionH>
                <wp:positionV relativeFrom="paragraph">
                  <wp:posOffset>317500</wp:posOffset>
                </wp:positionV>
                <wp:extent cx="1155065" cy="115189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5065" cy="1151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14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分项工程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14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中粗砂垫层</w:t>
                              <w:br/>
                              <w:t>石粉垫层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32" type="#_x0000_t202" style="width:90.95pt;height:90.7pt;margin-top:25pt;margin-left:403.7pt;mso-position-horizontal-relative:page;mso-wrap-distance-bottom:145pt;mso-wrap-distance-left:0;mso-wrap-distance-right:0;mso-wrap-distance-top:25pt;position:absolute;v-text-anchor:top;z-index:251672576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614" w:lineRule="exact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分项工程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614" w:lineRule="exact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中粗砂垫层</w:t>
                        <w:br/>
                        <w:t>石粉垫层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604010" distB="1380490" distL="0" distR="0" simplePos="0" relativeHeight="251675648" behindDoc="0" locked="0" layoutInCell="1" allowOverlap="1">
                <wp:simplePos x="0" y="0"/>
                <wp:positionH relativeFrom="page">
                  <wp:posOffset>3706495</wp:posOffset>
                </wp:positionH>
                <wp:positionV relativeFrom="paragraph">
                  <wp:posOffset>1604010</wp:posOffset>
                </wp:positionV>
                <wp:extent cx="688975" cy="32639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20402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33" type="#_x0000_t202" style="width:54.25pt;height:25.7pt;margin-top:126.3pt;margin-left:291.85pt;mso-position-horizontal-relative:page;mso-wrap-distance-bottom:108.7pt;mso-wrap-distance-left:0;mso-wrap-distance-right:0;mso-wrap-distance-top:126.3pt;mso-wrap-style:none;position:absolute;v-text-anchor:top;z-index:25167462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20402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60830" distB="1463675" distL="0" distR="0" simplePos="0" relativeHeight="251677696" behindDoc="0" locked="0" layoutInCell="1" allowOverlap="1">
                <wp:simplePos x="0" y="0"/>
                <wp:positionH relativeFrom="page">
                  <wp:posOffset>5114290</wp:posOffset>
                </wp:positionH>
                <wp:positionV relativeFrom="paragraph">
                  <wp:posOffset>1560830</wp:posOffset>
                </wp:positionV>
                <wp:extent cx="1173480" cy="286385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3480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塑料排水板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34" type="#_x0000_t202" style="width:92.4pt;height:22.55pt;margin-top:122.9pt;margin-left:402.7pt;mso-position-horizontal-relative:page;mso-wrap-distance-bottom:115.25pt;mso-wrap-distance-left:0;mso-wrap-distance-right:0;mso-wrap-distance-top:122.9pt;mso-wrap-style:none;position:absolute;v-text-anchor:top;z-index:251676672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塑料排水板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39290" distB="0" distL="0" distR="0" simplePos="0" relativeHeight="251679744" behindDoc="0" locked="0" layoutInCell="1" allowOverlap="1">
                <wp:simplePos x="0" y="0"/>
                <wp:positionH relativeFrom="page">
                  <wp:posOffset>5108575</wp:posOffset>
                </wp:positionH>
                <wp:positionV relativeFrom="paragraph">
                  <wp:posOffset>1939290</wp:posOffset>
                </wp:positionV>
                <wp:extent cx="1176655" cy="137160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6655" cy="1371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黏土搅拌桩</w:t>
                              <w:br/>
                              <w:t>土工布铺设</w:t>
                              <w:br/>
                              <w:t>堆载土方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中粗砂垫层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5" type="#_x0000_t202" style="width:92.65pt;height:108pt;margin-top:152.7pt;margin-left:402.25pt;mso-position-horizontal-relative:page;mso-wrap-distance-bottom:0;mso-wrap-distance-left:0;mso-wrap-distance-right:0;mso-wrap-distance-top:152.7pt;position:absolute;v-text-anchor:top;z-index:251678720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黏土搅拌桩</w:t>
                        <w:br/>
                        <w:t>土工布铺设</w:t>
                        <w:br/>
                        <w:t>堆载土方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中粗砂垫层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24180" distB="0" distL="0" distR="0" simplePos="0" relativeHeight="251681792" behindDoc="0" locked="0" layoutInCell="1" allowOverlap="1">
                <wp:simplePos x="0" y="0"/>
                <wp:positionH relativeFrom="page">
                  <wp:posOffset>6976745</wp:posOffset>
                </wp:positionH>
                <wp:positionV relativeFrom="paragraph">
                  <wp:posOffset>424180</wp:posOffset>
                </wp:positionV>
                <wp:extent cx="829310" cy="288671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29310" cy="2886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&amp;收批次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80" w:line="240" w:lineRule="auto"/>
                              <w:ind w:left="0" w:right="0" w:firstLine="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~~2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~~3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~~3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 w:line="240" w:lineRule="auto"/>
                              <w:ind w:left="0" w:right="0" w:firstLine="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~~2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~~6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~~2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" o:spid="_x0000_s1036" type="#_x0000_t202" style="width:65.3pt;height:227.3pt;margin-top:33.4pt;margin-left:549.35pt;mso-position-horizontal-relative:page;mso-wrap-distance-bottom:0;mso-wrap-distance-left:0;mso-wrap-distance-right:0;mso-wrap-distance-top:33.4pt;position:absolute;v-text-anchor:top;z-index:25168076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SimSun" w:eastAsia="SimSun" w:hAnsi="SimSun" w:cs="SimSun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&amp;收批次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80" w:line="240" w:lineRule="auto"/>
                        <w:ind w:left="0" w:right="0" w:firstLine="0"/>
                        <w:jc w:val="both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~~2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both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~~3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both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~~3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both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~~2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~~6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both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~~2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643380" distB="1384300" distL="0" distR="0" simplePos="0" relativeHeight="251683840" behindDoc="0" locked="0" layoutInCell="1" allowOverlap="1">
                <wp:simplePos x="0" y="0"/>
                <wp:positionH relativeFrom="page">
                  <wp:posOffset>8677910</wp:posOffset>
                </wp:positionH>
                <wp:positionV relativeFrom="paragraph">
                  <wp:posOffset>1643380</wp:posOffset>
                </wp:positionV>
                <wp:extent cx="487680" cy="28321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7680" cy="283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合格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7" type="#_x0000_t202" style="width:38.4pt;height:22.3pt;margin-top:129.4pt;margin-left:683.3pt;mso-position-horizontal-relative:page;mso-wrap-distance-bottom:109pt;mso-wrap-distance-left:0;mso-wrap-distance-right:0;mso-wrap-distance-top:129.4pt;mso-wrap-style:none;position:absolute;v-text-anchor:top;z-index:251682816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合格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568"/>
        <w:gridCol w:w="2621"/>
        <w:gridCol w:w="2582"/>
        <w:gridCol w:w="2558"/>
        <w:gridCol w:w="247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0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9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57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top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4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19522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9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5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25576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19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8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6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55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2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0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</w:tbl>
    <w:p>
      <w:pPr>
        <w:widowControl w:val="0"/>
        <w:spacing w:line="1" w:lineRule="exact"/>
        <w:sectPr>
          <w:type w:val="nextPage"/>
          <w:pgSz w:w="25262" w:h="17861" w:orient="landscape"/>
          <w:pgMar w:top="1480" w:right="9861" w:bottom="0" w:left="2599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simplePos="0" relativeHeight="251685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38" style="width:1263.1pt;height:893.05pt;margin-top:0;margin-left:0;mso-position-horizontal-relative:page;mso-position-vertical-relative:page;position:absolute;v-text-anchor:top;z-index:-251631616" fillcolor="#99cdff"/>
            </w:pict>
          </mc:Fallback>
        </mc:AlternateConten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568"/>
        <w:gridCol w:w="2621"/>
        <w:gridCol w:w="2582"/>
        <w:gridCol w:w="2558"/>
        <w:gridCol w:w="247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6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8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21279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2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36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9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25596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22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堆载土方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10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区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29914.3477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中粗砂垫层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合格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36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石粉垫层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塑料排水板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黏土搅拌桩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07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36"/>
                <w:szCs w:val="3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36"/>
                <w:szCs w:val="36"/>
              </w:rPr>
              <w:t>土工布铺设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top"/>
          </w:tcPr>
          <w:p/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87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39" style="width:1263.1pt;height:893.05pt;margin-top:0;margin-left:0;mso-position-horizontal-relative:page;mso-position-vertical-relative:page;position:absolute;v-text-anchor:top;z-index:-251629568" fillcolor="#99cdff"/>
            </w:pict>
          </mc:Fallback>
        </mc:AlternateContent>
      </w:r>
    </w:p>
    <w:p>
      <w:pPr>
        <w:widowControl w:val="0"/>
        <w:spacing w:line="1" w:lineRule="exact"/>
        <w:sectPr>
          <w:type w:val="nextPage"/>
          <w:pgSz w:w="25262" w:h="17861" w:orient="landscape"/>
          <w:pgMar w:top="1480" w:right="9861" w:bottom="0" w:left="2599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89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0" style="width:1263.1pt;height:893.05pt;margin-top:0;margin-left:0;mso-position-horizontal-relative:page;mso-position-vertical-relative:page;position:absolute;v-text-anchor:top;z-index:-251627520" fillcolor="#99cdff"/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</w:rPr>
        <w:t>五、真空联合堆载预压施工节点表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190"/>
        <w:gridCol w:w="1402"/>
        <w:gridCol w:w="1661"/>
        <w:gridCol w:w="1560"/>
        <w:gridCol w:w="1718"/>
        <w:gridCol w:w="1718"/>
        <w:gridCol w:w="1718"/>
        <w:gridCol w:w="1723"/>
        <w:gridCol w:w="1718"/>
        <w:gridCol w:w="1718"/>
        <w:gridCol w:w="1642"/>
        <w:gridCol w:w="1618"/>
        <w:gridCol w:w="1781"/>
        <w:gridCol w:w="97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112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预压分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预压面积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0"/>
                <w:szCs w:val="20"/>
              </w:rPr>
              <w:t>员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40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场地平整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完成时间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12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膜下砂垫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层完成时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塑料排水板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完成时间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粘土密封墙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完成时间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试抽真空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时间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稳压日期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稳压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15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天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日期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40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膜上石粉层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完成时间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堆载土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完成时间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满载时间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申请卸载时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预压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期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（天）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3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20402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2015.2.11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2015.3.30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4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33013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2014.7.20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6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27802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2014.7.15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2014.11.17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4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4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19522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2014.7.10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2015.1.16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4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25576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2014.7.2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2014.12.31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7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6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21020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2014.6.18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2014.11.27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2015.1.18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</w:tbl>
    <w:p>
      <w:pPr>
        <w:sectPr>
          <w:pgSz w:w="25262" w:h="17861" w:orient="landscape"/>
          <w:pgMar w:top="2220" w:right="1508" w:bottom="2615" w:left="1618" w:header="0" w:footer="3" w:gutter="0"/>
          <w:pgNumType w:start="9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190"/>
        <w:gridCol w:w="1402"/>
        <w:gridCol w:w="1661"/>
        <w:gridCol w:w="1560"/>
        <w:gridCol w:w="1718"/>
        <w:gridCol w:w="1718"/>
        <w:gridCol w:w="1718"/>
        <w:gridCol w:w="1723"/>
        <w:gridCol w:w="1718"/>
        <w:gridCol w:w="1718"/>
        <w:gridCol w:w="1642"/>
        <w:gridCol w:w="1618"/>
        <w:gridCol w:w="1781"/>
        <w:gridCol w:w="97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4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25583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2014.6.20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2014.12. 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6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21279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2014.6.15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2014.10.18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2015.1.17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2015. 2.27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4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9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25596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2014.9.18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2014.12.1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55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10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Cambria" w:eastAsia="Cambria" w:hAnsi="Cambria" w:cs="Cambria"/>
                <w:color w:val="000000"/>
                <w:spacing w:val="0"/>
                <w:w w:val="100"/>
                <w:position w:val="0"/>
                <w:sz w:val="26"/>
                <w:szCs w:val="26"/>
              </w:rPr>
              <w:t>29914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2014.6.13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2014.8.29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2014.10.5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2014.12.2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2015.1.13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2015.1.29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2015.3.27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2015.4.24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2015.11.16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207</w:t>
            </w:r>
          </w:p>
        </w:tc>
      </w:tr>
    </w:tbl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92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41" style="width:1263.1pt;height:893.05pt;margin-top:0;margin-left:0;mso-position-horizontal-relative:page;mso-position-vertical-relative:page;position:absolute;v-text-anchor:top;z-index:-251625472" fillcolor="#99cdff"/>
            </w:pict>
          </mc:Fallback>
        </mc:AlternateContent>
      </w:r>
    </w:p>
    <w:p>
      <w:pPr>
        <w:widowControl w:val="0"/>
        <w:spacing w:line="1" w:lineRule="exact"/>
        <w:sectPr>
          <w:type w:val="nextPage"/>
          <w:pgSz w:w="25262" w:h="17861" w:orient="landscape"/>
          <w:pgMar w:top="2220" w:right="1508" w:bottom="2615" w:left="1618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9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42" style="width:1263.1pt;height:893.05pt;margin-top:0;margin-left:0;mso-position-horizontal-relative:page;mso-position-vertical-relative:page;position:absolute;v-text-anchor:top;z-index:-251623424" fillcolor="#99cdff"/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00" w:line="59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六、施工观测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/>
        <w:ind w:left="0" w:right="0" w:firstLine="0"/>
        <w:jc w:val="left"/>
      </w:pPr>
      <w:bookmarkStart w:id="27" w:name="bookmark27"/>
      <w:bookmarkStart w:id="28" w:name="bookmark28"/>
      <w:bookmarkStart w:id="29" w:name="bookmark29"/>
      <w:bookmarkStart w:id="30" w:name="bookmark30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1</w:t>
      </w:r>
      <w:bookmarkEnd w:id="29"/>
      <w:r>
        <w:rPr>
          <w:color w:val="000000"/>
          <w:spacing w:val="0"/>
          <w:w w:val="100"/>
          <w:position w:val="0"/>
        </w:rPr>
        <w:t>、</w:t>
        <w:tab/>
        <w:t>沉降观测</w:t>
      </w:r>
      <w:bookmarkEnd w:id="27"/>
      <w:bookmarkEnd w:id="28"/>
      <w:bookmarkEnd w:id="30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13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使用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leica250m</w:t>
      </w:r>
      <w:r>
        <w:rPr>
          <w:color w:val="000000"/>
          <w:spacing w:val="0"/>
          <w:w w:val="100"/>
          <w:position w:val="0"/>
        </w:rPr>
        <w:t>型数字水准仪按二级水准测量精度要求进行监 测。监测时根据工程进度情况采取闭合水准线路法进行测量。通过本 次测量的高程值与上次测量值进行对比，求得高程上的差值作为本次 沉降量。每次测量均按照固定仪器、固定人员、固定线路进行测量。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/>
        <w:ind w:left="0" w:right="0" w:firstLine="0"/>
        <w:jc w:val="left"/>
      </w:pPr>
      <w:bookmarkStart w:id="31" w:name="bookmark31"/>
      <w:bookmarkStart w:id="32" w:name="bookmark32"/>
      <w:bookmarkStart w:id="33" w:name="bookmark33"/>
      <w:bookmarkStart w:id="34" w:name="bookmark34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2</w:t>
      </w:r>
      <w:bookmarkEnd w:id="33"/>
      <w:r>
        <w:rPr>
          <w:color w:val="000000"/>
          <w:spacing w:val="0"/>
          <w:w w:val="100"/>
          <w:position w:val="0"/>
        </w:rPr>
        <w:t>、</w:t>
        <w:tab/>
        <w:t>分层沉降观测</w:t>
      </w:r>
      <w:bookmarkEnd w:id="31"/>
      <w:bookmarkEnd w:id="32"/>
      <w:bookmarkEnd w:id="34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38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使用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SJY-80</w:t>
      </w:r>
      <w:r>
        <w:rPr>
          <w:color w:val="000000"/>
          <w:spacing w:val="0"/>
          <w:w w:val="100"/>
          <w:position w:val="0"/>
        </w:rPr>
        <w:t>型电子分层沉降仪，固定仪器、固定人员、固定线 路进行施测，按一级沉降精度要求作业。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/>
        <w:ind w:left="0" w:right="0" w:firstLine="0"/>
        <w:jc w:val="left"/>
      </w:pPr>
      <w:bookmarkStart w:id="35" w:name="bookmark35"/>
      <w:bookmarkStart w:id="36" w:name="bookmark36"/>
      <w:bookmarkStart w:id="37" w:name="bookmark37"/>
      <w:bookmarkStart w:id="38" w:name="bookmark38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3</w:t>
      </w:r>
      <w:bookmarkEnd w:id="37"/>
      <w:r>
        <w:rPr>
          <w:color w:val="000000"/>
          <w:spacing w:val="0"/>
          <w:w w:val="100"/>
          <w:position w:val="0"/>
        </w:rPr>
        <w:t>、</w:t>
        <w:tab/>
        <w:t>水平位移观测</w:t>
      </w:r>
      <w:bookmarkEnd w:id="35"/>
      <w:bookmarkEnd w:id="36"/>
      <w:bookmarkEnd w:id="38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598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使用测角精度为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秒的拓普康全站仪按〃坐标法”进行，通过精 确测量观测点的坐标值，计算得到垂直道路方向的偏差值，每次将其 与上次的测量值进行对比计算出本次位移值。监测精度小于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5mm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 w:line="598" w:lineRule="exact"/>
        <w:ind w:left="0" w:right="0" w:firstLine="0"/>
        <w:jc w:val="left"/>
      </w:pPr>
      <w:bookmarkStart w:id="39" w:name="bookmark39"/>
      <w:bookmarkStart w:id="40" w:name="bookmark40"/>
      <w:bookmarkStart w:id="41" w:name="bookmark41"/>
      <w:bookmarkStart w:id="42" w:name="bookmark42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4</w:t>
      </w:r>
      <w:bookmarkEnd w:id="41"/>
      <w:r>
        <w:rPr>
          <w:color w:val="000000"/>
          <w:spacing w:val="0"/>
          <w:w w:val="100"/>
          <w:position w:val="0"/>
        </w:rPr>
        <w:t>、</w:t>
        <w:tab/>
        <w:t>孔隙水压力监测</w:t>
      </w:r>
      <w:bookmarkEnd w:id="39"/>
      <w:bookmarkEnd w:id="40"/>
      <w:bookmarkEnd w:id="42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600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利用振弦频率读数仪量测，并根据传感器的标定公式求得相应的 荷载。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 w:line="619" w:lineRule="exact"/>
        <w:ind w:left="0" w:right="0" w:firstLine="0"/>
        <w:jc w:val="left"/>
      </w:pPr>
      <w:bookmarkStart w:id="43" w:name="bookmark43"/>
      <w:bookmarkStart w:id="44" w:name="bookmark44"/>
      <w:bookmarkStart w:id="45" w:name="bookmark45"/>
      <w:bookmarkStart w:id="46" w:name="bookmark46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5</w:t>
      </w:r>
      <w:bookmarkEnd w:id="45"/>
      <w:r>
        <w:rPr>
          <w:color w:val="000000"/>
          <w:spacing w:val="0"/>
          <w:w w:val="100"/>
          <w:position w:val="0"/>
        </w:rPr>
        <w:t>、</w:t>
        <w:tab/>
        <w:t>水位监测</w:t>
      </w:r>
      <w:bookmarkEnd w:id="43"/>
      <w:bookmarkEnd w:id="44"/>
      <w:bookmarkEnd w:id="46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00" w:line="619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使用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SWJ-9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0</w:t>
      </w:r>
      <w:r>
        <w:rPr>
          <w:color w:val="000000"/>
          <w:spacing w:val="0"/>
          <w:w w:val="100"/>
          <w:position w:val="0"/>
        </w:rPr>
        <w:t>型水位计测量水位深度，并根据水位管口标高求得 相应水位标高。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/>
        <w:ind w:left="0" w:right="0" w:firstLine="0"/>
        <w:jc w:val="left"/>
      </w:pPr>
      <w:bookmarkStart w:id="47" w:name="bookmark47"/>
      <w:bookmarkStart w:id="48" w:name="bookmark48"/>
      <w:bookmarkStart w:id="49" w:name="bookmark49"/>
      <w:bookmarkStart w:id="50" w:name="bookmark50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6</w:t>
      </w:r>
      <w:bookmarkEnd w:id="49"/>
      <w:r>
        <w:rPr>
          <w:color w:val="000000"/>
          <w:spacing w:val="0"/>
          <w:w w:val="100"/>
          <w:position w:val="0"/>
        </w:rPr>
        <w:t>、</w:t>
        <w:tab/>
        <w:t>深层水平位移（测斜）监测</w:t>
      </w:r>
      <w:bookmarkEnd w:id="47"/>
      <w:bookmarkEnd w:id="48"/>
      <w:bookmarkEnd w:id="50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588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采用埋管测斜法，将测斜仪探头沿埋设于土层中的测斜管十字定 向槽放至测斜管底，从底至顶每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0.5</w:t>
      </w:r>
      <w:r>
        <w:rPr>
          <w:color w:val="000000"/>
          <w:spacing w:val="0"/>
          <w:w w:val="100"/>
          <w:position w:val="0"/>
        </w:rPr>
        <w:t xml:space="preserve">米测一次数值（正测），再旋转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180°</w:t>
      </w:r>
      <w:r>
        <w:rPr>
          <w:color w:val="000000"/>
          <w:spacing w:val="0"/>
          <w:w w:val="100"/>
          <w:position w:val="0"/>
        </w:rPr>
        <w:t>重复测一次（反测）。</w:t>
      </w:r>
    </w:p>
    <w:p>
      <w:pPr>
        <w:pStyle w:val="22"/>
        <w:keepNext/>
        <w:keepLines/>
        <w:widowControl w:val="0"/>
        <w:shd w:val="clear" w:color="auto" w:fill="auto"/>
        <w:tabs>
          <w:tab w:val="left" w:pos="660"/>
        </w:tabs>
        <w:bidi w:val="0"/>
        <w:spacing w:before="0" w:after="0" w:line="588" w:lineRule="exact"/>
        <w:ind w:left="0" w:right="0" w:firstLine="0"/>
        <w:jc w:val="left"/>
      </w:pPr>
      <w:bookmarkStart w:id="51" w:name="bookmark51"/>
      <w:bookmarkStart w:id="52" w:name="bookmark52"/>
      <w:bookmarkStart w:id="53" w:name="bookmark53"/>
      <w:bookmarkStart w:id="54" w:name="bookmark54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7</w:t>
      </w:r>
      <w:bookmarkEnd w:id="53"/>
      <w:r>
        <w:rPr>
          <w:color w:val="000000"/>
          <w:spacing w:val="0"/>
          <w:w w:val="100"/>
          <w:position w:val="0"/>
        </w:rPr>
        <w:t>、</w:t>
        <w:tab/>
        <w:t>监测资料</w:t>
      </w:r>
      <w:bookmarkEnd w:id="51"/>
      <w:bookmarkEnd w:id="52"/>
      <w:bookmarkEnd w:id="54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588" w:lineRule="exact"/>
        <w:ind w:left="0" w:right="0" w:firstLine="860"/>
        <w:jc w:val="both"/>
        <w:sectPr>
          <w:pgSz w:w="25262" w:h="17861" w:orient="landscape"/>
          <w:pgMar w:top="1490" w:right="9868" w:bottom="0" w:left="2555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第三方监测单位根据每次所测沉降资料对最终的沉降进行推算，</w:t>
      </w:r>
      <w:r>
        <w:rPr>
          <w:color w:val="000000"/>
          <w:spacing w:val="0"/>
          <w:w w:val="100"/>
          <w:position w:val="0"/>
        </w:rPr>
        <w:t xml:space="preserve"> 并和计算沉降量进行比较分析，最终确定路基预压后的稳定性。根据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588" w:lineRule="exact"/>
        <w:ind w:left="0" w:right="0" w:firstLine="860"/>
        <w:jc w:val="both"/>
        <w:sectPr>
          <w:type w:val="nextPage"/>
          <w:pgSz w:w="25262" w:h="17861" w:orient="landscape"/>
          <w:pgMar w:top="1490" w:right="9868" w:bottom="0" w:left="2555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 《真空预压加固软土地基技术规程》（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JTS147-2-2009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2"/>
          <w:szCs w:val="52"/>
        </w:rPr>
        <w:t>）</w:t>
      </w:r>
      <w:r>
        <w:rPr>
          <w:i/>
          <w:iCs/>
          <w:color w:val="000000"/>
          <w:spacing w:val="0"/>
          <w:w w:val="100"/>
          <w:position w:val="0"/>
          <w:sz w:val="44"/>
          <w:szCs w:val="44"/>
        </w:rPr>
        <w:t>，</w:t>
      </w:r>
      <w:r>
        <w:rPr>
          <w:color w:val="000000"/>
          <w:spacing w:val="0"/>
          <w:w w:val="100"/>
          <w:position w:val="0"/>
        </w:rPr>
        <w:t>由实测的成</w:t>
      </w:r>
    </w:p>
    <w:p>
      <w:pPr>
        <w:pStyle w:val="22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160"/>
        <w:jc w:val="both"/>
      </w:pPr>
      <w:bookmarkStart w:id="55" w:name="bookmark55"/>
      <w:bookmarkStart w:id="56" w:name="bookmark56"/>
      <w:bookmarkStart w:id="57" w:name="bookmark57"/>
      <w:r>
        <w:rPr>
          <w:rFonts w:ascii="Calibri" w:eastAsia="Calibri" w:hAnsi="Calibri" w:cs="Calibri"/>
          <w:color w:val="000000"/>
          <w:spacing w:val="0"/>
          <w:w w:val="100"/>
          <w:position w:val="0"/>
          <w:sz w:val="52"/>
          <w:szCs w:val="52"/>
        </w:rPr>
        <w:t>8</w:t>
      </w:r>
      <w:r>
        <w:rPr>
          <w:color w:val="000000"/>
          <w:spacing w:val="0"/>
          <w:w w:val="100"/>
          <w:position w:val="0"/>
        </w:rPr>
        <w:t>■监测频率如下表进行：</w:t>
      </w:r>
      <w:bookmarkEnd w:id="55"/>
      <w:bookmarkEnd w:id="56"/>
      <w:bookmarkEnd w:id="57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430"/>
        <w:gridCol w:w="1416"/>
        <w:gridCol w:w="1440"/>
        <w:gridCol w:w="1421"/>
        <w:gridCol w:w="1421"/>
        <w:gridCol w:w="1517"/>
        <w:gridCol w:w="1483"/>
        <w:gridCol w:w="1397"/>
        <w:gridCol w:w="1291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观测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项目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8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稳压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80KPa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8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稳压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80KPa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稳压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80KPa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前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个 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9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稳压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80KPa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个月 后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稳压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80KPa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前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个月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稳压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80KPa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6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个月后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满载前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满载后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19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3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膜面沉 降（沉 降板）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901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膜下真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空度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85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每天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2h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观测一 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每天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4-6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时观测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一次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1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负静孔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70" w:lineRule="exact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隙水压 力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1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/3d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41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水位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观测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1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/3d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60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侧斜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观测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55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深部分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层沉降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1 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次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0"/>
                <w:szCs w:val="30"/>
              </w:rPr>
              <w:t>/3d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/</w:t>
            </w:r>
          </w:p>
        </w:tc>
      </w:tr>
    </w:tbl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3" w:right="0" w:firstLine="0"/>
        <w:jc w:val="left"/>
      </w:pPr>
      <w:r>
        <w:rPr>
          <w:color w:val="000000"/>
          <w:spacing w:val="0"/>
          <w:w w:val="100"/>
          <w:position w:val="0"/>
        </w:rPr>
        <w:t>七、小结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20" w:line="601" w:lineRule="exact"/>
        <w:ind w:left="160" w:right="0" w:firstLine="840"/>
        <w:jc w:val="both"/>
      </w:pPr>
      <w:r>
        <w:rPr>
          <w:color w:val="000000"/>
          <w:spacing w:val="0"/>
          <w:w w:val="100"/>
          <w:position w:val="0"/>
        </w:rPr>
        <w:t>广珠铁路珠海西站物流中心一期（货场扩建一期工程）软基处理 经第三方检测单位陕西工程勘察研究院评估报告各区预压期沉降量 如下图。满载预压期为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207</w:t>
      </w:r>
      <w:r>
        <w:rPr>
          <w:color w:val="000000"/>
          <w:spacing w:val="0"/>
          <w:w w:val="100"/>
          <w:position w:val="0"/>
        </w:rPr>
        <w:t>天满足满载超过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200</w:t>
      </w:r>
      <w:r>
        <w:rPr>
          <w:color w:val="000000"/>
          <w:spacing w:val="0"/>
          <w:w w:val="100"/>
          <w:position w:val="0"/>
        </w:rPr>
        <w:t>天的设计要求，连 续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15</w:t>
      </w:r>
      <w:r>
        <w:rPr>
          <w:color w:val="000000"/>
          <w:spacing w:val="0"/>
          <w:w w:val="100"/>
          <w:position w:val="0"/>
        </w:rPr>
        <w:t>天平均每天沉降量小于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48"/>
          <w:szCs w:val="48"/>
        </w:rPr>
        <w:t>＜2mm</w:t>
      </w:r>
      <w:r>
        <w:rPr>
          <w:color w:val="000000"/>
          <w:spacing w:val="0"/>
          <w:w w:val="100"/>
          <w:position w:val="0"/>
        </w:rPr>
        <w:t>。经自检广珠铁路珠海西站物流 中心一期（货场扩建一期工程）软基处理各项指标均满足卸载要求， 内业资料已完整，经监理单位及建设单位见证合格，总体施工质量及 工程进度都处于受控状态，组织管理到位，控制措施有力，能确保施 工进度和质量，现申请组织卸载验收。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96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43" style="width:1263.1pt;height:893.05pt;margin-top:0;margin-left:0;mso-position-horizontal-relative:page;mso-position-vertical-relative:page;position:absolute;v-text-anchor:top;z-index:-251621376" fillcolor="#99cdff"/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160"/>
        <w:jc w:val="both"/>
        <w:rPr>
          <w:sz w:val="16"/>
          <w:szCs w:val="16"/>
        </w:rPr>
        <w:sectPr>
          <w:type w:val="nextPage"/>
          <w:pgSz w:w="25262" w:h="17861" w:orient="landscape"/>
          <w:pgMar w:top="1490" w:right="9868" w:bottom="0" w:left="2555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16"/>
          <w:szCs w:val="16"/>
        </w:rPr>
        <w:t>I I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698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44" style="width:1263.1pt;height:893.05pt;margin-top:0;margin-left:0;mso-position-horizontal-relative:page;mso-position-vertical-relative:page;position:absolute;v-text-anchor:top;z-index:-251619328" fillcolor="#99cdff"/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000"/>
        <w:jc w:val="left"/>
        <w:sectPr>
          <w:pgSz w:w="25262" w:h="17861" w:orient="landscape"/>
          <w:pgMar w:top="1814" w:right="2530" w:bottom="1814" w:left="2520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附件八：钻孔图柱状图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51700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041370" cy="11341735"/>
                <wp:wrapNone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6041370" cy="11341735"/>
                        </a:xfrm>
                        <a:prstGeom prst="rect">
                          <a:avLst/>
                        </a:prstGeom>
                        <a:solidFill>
                          <a:srgbClr val="99C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45" style="width:1263.1pt;height:893.05pt;margin-top:0;margin-left:0;mso-position-horizontal-relative:page;mso-position-vertical-relative:page;position:absolute;v-text-anchor:top;z-index:-251617280" fillcolor="#99cdff"/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160"/>
        <w:jc w:val="left"/>
      </w:pPr>
      <w:r>
        <w:rPr>
          <w:b/>
          <w:bCs/>
          <w:color w:val="000000"/>
          <w:spacing w:val="0"/>
          <w:w w:val="100"/>
          <w:position w:val="0"/>
        </w:rPr>
        <w:t>附件-,累计沉降量、路基面标高统计表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450"/>
        <w:gridCol w:w="1661"/>
        <w:gridCol w:w="677"/>
        <w:gridCol w:w="1699"/>
        <w:gridCol w:w="1920"/>
        <w:gridCol w:w="1920"/>
        <w:gridCol w:w="1560"/>
        <w:gridCol w:w="1541"/>
        <w:gridCol w:w="1560"/>
        <w:gridCol w:w="1560"/>
        <w:gridCol w:w="1560"/>
        <w:gridCol w:w="1536"/>
        <w:gridCol w:w="157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752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道路名称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重点观测断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面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14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实测路基顶面标高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（m）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累计沉降量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71" w:lineRule="exac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整平土方</w:t>
            </w:r>
            <w:r>
              <w:rPr>
                <w:rFonts w:ascii="Arial Unicode MS" w:eastAsia="Arial Unicode MS" w:hAnsi="Arial Unicode MS" w:cs="Arial Unicode MS"/>
                <w:color w:val="000000"/>
                <w:spacing w:val="0"/>
                <w:w w:val="100"/>
                <w:position w:val="0"/>
                <w:sz w:val="20"/>
                <w:szCs w:val="20"/>
              </w:rPr>
              <w:t>〜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填砂 期沉降量（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填砂</w:t>
            </w:r>
            <w:r>
              <w:rPr>
                <w:rFonts w:ascii="Arial Unicode MS" w:eastAsia="Arial Unicode MS" w:hAnsi="Arial Unicode MS" w:cs="Arial Unicode MS"/>
                <w:color w:val="000000"/>
                <w:spacing w:val="0"/>
                <w:w w:val="100"/>
                <w:position w:val="0"/>
                <w:sz w:val="20"/>
                <w:szCs w:val="20"/>
              </w:rPr>
              <w:t>〜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满载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期期沉降量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满载</w:t>
            </w:r>
            <w:r>
              <w:rPr>
                <w:rFonts w:ascii="Arial Unicode MS" w:eastAsia="Arial Unicode MS" w:hAnsi="Arial Unicode MS" w:cs="Arial Unicode MS"/>
                <w:color w:val="000000"/>
                <w:spacing w:val="0"/>
                <w:w w:val="100"/>
                <w:position w:val="0"/>
                <w:sz w:val="20"/>
                <w:szCs w:val="20"/>
              </w:rPr>
              <w:t>〜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卸载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期沉降量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该路累计平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均沉降量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设计总沉降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量（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预压期沉降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量（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工后沉降量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mm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）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设计交工面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标高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8"/>
                <w:szCs w:val="28"/>
              </w:rPr>
              <w:t>（m）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通站南路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AK0+120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541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988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1953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2270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1970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300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2.88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中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3.350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477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1024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584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935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AK0+200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1944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578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960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中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3.298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572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979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1943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562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987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AK0+280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1011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中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3.325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532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1011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537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995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AK0+360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2.904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1948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650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900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中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3.220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2030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745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894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0"/>
          <w:jc w:val="center"/>
        </w:trPr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32"/>
                <w:szCs w:val="32"/>
              </w:rPr>
              <w:t>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2.841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2012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651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D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958</w:t>
            </w:r>
          </w:p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9CD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DFF"/>
            <w:vAlign w:val="center"/>
          </w:tcPr>
          <w:p/>
        </w:tc>
      </w:tr>
    </w:tbl>
    <w:p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https://d.book118.com/768134033025006033</w:t>
        </w:r>
      </w:hyperlink>
    </w:p>
    <w:p/>
    <w:sectPr>
      <w:pgSz w:w="25262" w:h="17861" w:orient="landscape"/>
      <w:pgMar w:top="1958" w:right="2530" w:bottom="2289" w:left="2520" w:header="0" w:footer="3" w:gutter="0"/>
      <w:pgNumType w:start="15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正文文本 (4)_"/>
    <w:basedOn w:val="DefaultParagraphFont"/>
    <w:link w:val="40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1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">
    <w:name w:val="其他_"/>
    <w:basedOn w:val="DefaultParagraphFont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0">
    <w:name w:val="目录_"/>
    <w:basedOn w:val="DefaultParagraphFont"/>
    <w:link w:val="a4"/>
    <w:rPr>
      <w:rFonts w:ascii="SimHei" w:eastAsia="SimHei" w:hAnsi="SimHei" w:cs="SimHe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1">
    <w:name w:val="正文文本_"/>
    <w:basedOn w:val="DefaultParagraphFont"/>
    <w:link w:val="a5"/>
    <w:rPr>
      <w:rFonts w:ascii="SimHei" w:eastAsia="SimHei" w:hAnsi="SimHei" w:cs="SimHei"/>
      <w:bCs w:val="0"/>
      <w:smallCaps w:val="0"/>
      <w:sz w:val="40"/>
      <w:szCs w:val="40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Hei" w:eastAsia="SimHei" w:hAnsi="SimHei" w:cs="SimHei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6"/>
    <w:rPr>
      <w:rFonts w:ascii="SimHei" w:eastAsia="SimHei" w:hAnsi="SimHei" w:cs="SimHe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2160"/>
      <w:jc w:val="center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3">
    <w:name w:val="其他"/>
    <w:basedOn w:val="Normal"/>
    <w:link w:val="a"/>
    <w:pPr>
      <w:widowControl w:val="0"/>
      <w:shd w:val="clear" w:color="auto" w:fill="auto"/>
      <w:jc w:val="center"/>
    </w:pPr>
    <w:rPr>
      <w:rFonts w:ascii="Calibri" w:eastAsia="Calibri" w:hAnsi="Calibri" w:cs="Calibri"/>
      <w:bCs w:val="0"/>
      <w:smallCaps w:val="0"/>
      <w:sz w:val="40"/>
      <w:szCs w:val="40"/>
      <w:u w:val="none"/>
      <w:shd w:val="clear" w:color="auto" w:fill="auto"/>
    </w:rPr>
  </w:style>
  <w:style w:type="paragraph" w:customStyle="1" w:styleId="a4">
    <w:name w:val="目录"/>
    <w:basedOn w:val="Normal"/>
    <w:link w:val="a0"/>
    <w:pPr>
      <w:widowControl w:val="0"/>
      <w:shd w:val="clear" w:color="auto" w:fill="auto"/>
      <w:spacing w:after="80"/>
      <w:ind w:firstLine="16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line="605" w:lineRule="exact"/>
      <w:jc w:val="center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5">
    <w:name w:val="正文文本"/>
    <w:basedOn w:val="Normal"/>
    <w:link w:val="a1"/>
    <w:pPr>
      <w:widowControl w:val="0"/>
      <w:shd w:val="clear" w:color="auto" w:fill="auto"/>
      <w:spacing w:after="60" w:line="288" w:lineRule="auto"/>
      <w:ind w:firstLine="40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before="240" w:after="740" w:line="946" w:lineRule="exact"/>
      <w:jc w:val="center"/>
      <w:outlineLvl w:val="0"/>
    </w:pPr>
    <w:rPr>
      <w:rFonts w:ascii="SimHei" w:eastAsia="SimHei" w:hAnsi="SimHei" w:cs="SimHei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line="599" w:lineRule="exact"/>
      <w:outlineLvl w:val="1"/>
    </w:pPr>
    <w:rPr>
      <w:rFonts w:ascii="SimHei" w:eastAsia="SimHei" w:hAnsi="SimHei" w:cs="SimHei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a6">
    <w:name w:val="表格标题"/>
    <w:basedOn w:val="Normal"/>
    <w:link w:val="a2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6813403302500603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