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馏份油中压加氢改质催化剂项目规划设计纲要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83" w:history="1">
        <w:r>
          <w:rPr>
            <w:rFonts w:ascii="仿宋" w:eastAsia="仿宋" w:hAnsi="仿宋" w:cs="仿宋" w:hint="eastAsia"/>
            <w:lang w:eastAsia="zh-CN"/>
          </w:rPr>
          <w:t>序言</w:t>
        </w:r>
        <w:r>
          <w:tab/>
        </w:r>
        <w:r>
          <w:fldChar w:fldCharType="begin"/>
        </w:r>
        <w:r>
          <w:instrText xml:space="preserve"> PAGEREF _Toc10283 \h </w:instrText>
        </w:r>
        <w:r>
          <w:fldChar w:fldCharType="separate"/>
        </w:r>
        <w:r>
          <w:t>3</w:t>
        </w:r>
        <w:r>
          <w:fldChar w:fldCharType="end"/>
        </w:r>
      </w:hyperlink>
    </w:p>
    <w:p>
      <w:pPr>
        <w:pStyle w:val="TOC1"/>
        <w:tabs>
          <w:tab w:val="right" w:leader="dot" w:pos="8306"/>
        </w:tabs>
      </w:pPr>
      <w:hyperlink w:anchor="_Toc907" w:history="1">
        <w:r>
          <w:rPr>
            <w:rFonts w:ascii="仿宋" w:eastAsia="仿宋" w:hAnsi="仿宋" w:cs="仿宋" w:hint="eastAsia"/>
            <w:lang w:eastAsia="zh-CN"/>
          </w:rPr>
          <w:t>一、馏份油中压加氢改质催化剂项目建设背景及必要性分析</w:t>
        </w:r>
        <w:r>
          <w:tab/>
        </w:r>
        <w:r>
          <w:fldChar w:fldCharType="begin"/>
        </w:r>
        <w:r>
          <w:instrText xml:space="preserve"> PAGEREF _Toc907 \h </w:instrText>
        </w:r>
        <w:r>
          <w:fldChar w:fldCharType="separate"/>
        </w:r>
        <w:r>
          <w:t>3</w:t>
        </w:r>
        <w:r>
          <w:fldChar w:fldCharType="end"/>
        </w:r>
      </w:hyperlink>
    </w:p>
    <w:p>
      <w:pPr>
        <w:pStyle w:val="TOC2"/>
        <w:tabs>
          <w:tab w:val="right" w:leader="dot" w:pos="8306"/>
        </w:tabs>
      </w:pPr>
      <w:hyperlink w:anchor="_Toc21108" w:history="1">
        <w:r>
          <w:rPr>
            <w:rFonts w:ascii="仿宋" w:eastAsia="仿宋" w:hAnsi="仿宋" w:cs="仿宋" w:hint="eastAsia"/>
            <w:lang w:eastAsia="zh-CN"/>
          </w:rPr>
          <w:t>(一)、馏份油中压加氢改质催化剂项目背景分析</w:t>
        </w:r>
        <w:r>
          <w:tab/>
        </w:r>
        <w:r>
          <w:fldChar w:fldCharType="begin"/>
        </w:r>
        <w:r>
          <w:instrText xml:space="preserve"> PAGEREF _Toc21108 \h </w:instrText>
        </w:r>
        <w:r>
          <w:fldChar w:fldCharType="separate"/>
        </w:r>
        <w:r>
          <w:t>3</w:t>
        </w:r>
        <w:r>
          <w:fldChar w:fldCharType="end"/>
        </w:r>
      </w:hyperlink>
    </w:p>
    <w:p>
      <w:pPr>
        <w:pStyle w:val="TOC2"/>
        <w:tabs>
          <w:tab w:val="right" w:leader="dot" w:pos="8306"/>
        </w:tabs>
      </w:pPr>
      <w:hyperlink w:anchor="_Toc9228" w:history="1">
        <w:r>
          <w:rPr>
            <w:rFonts w:ascii="仿宋" w:eastAsia="仿宋" w:hAnsi="仿宋" w:cs="仿宋" w:hint="eastAsia"/>
            <w:lang w:eastAsia="zh-CN"/>
          </w:rPr>
          <w:t>(二)、馏份油中压加氢改质催化剂项目建设必要性分析</w:t>
        </w:r>
        <w:r>
          <w:tab/>
        </w:r>
        <w:r>
          <w:fldChar w:fldCharType="begin"/>
        </w:r>
        <w:r>
          <w:instrText xml:space="preserve"> PAGEREF _Toc9228 \h </w:instrText>
        </w:r>
        <w:r>
          <w:fldChar w:fldCharType="separate"/>
        </w:r>
        <w:r>
          <w:t>5</w:t>
        </w:r>
        <w:r>
          <w:fldChar w:fldCharType="end"/>
        </w:r>
      </w:hyperlink>
    </w:p>
    <w:p>
      <w:pPr>
        <w:pStyle w:val="TOC1"/>
        <w:tabs>
          <w:tab w:val="right" w:leader="dot" w:pos="8306"/>
        </w:tabs>
      </w:pPr>
      <w:hyperlink w:anchor="_Toc4092" w:history="1">
        <w:r>
          <w:rPr>
            <w:rFonts w:ascii="仿宋" w:eastAsia="仿宋" w:hAnsi="仿宋" w:cs="仿宋" w:hint="eastAsia"/>
            <w:lang w:eastAsia="zh-CN"/>
          </w:rPr>
          <w:t>二、馏份油中压加氢改质催化剂项目危机管理</w:t>
        </w:r>
        <w:r>
          <w:tab/>
        </w:r>
        <w:r>
          <w:fldChar w:fldCharType="begin"/>
        </w:r>
        <w:r>
          <w:instrText xml:space="preserve"> PAGEREF _Toc4092 \h </w:instrText>
        </w:r>
        <w:r>
          <w:fldChar w:fldCharType="separate"/>
        </w:r>
        <w:r>
          <w:t>6</w:t>
        </w:r>
        <w:r>
          <w:fldChar w:fldCharType="end"/>
        </w:r>
      </w:hyperlink>
    </w:p>
    <w:p>
      <w:pPr>
        <w:pStyle w:val="TOC2"/>
        <w:tabs>
          <w:tab w:val="right" w:leader="dot" w:pos="8306"/>
        </w:tabs>
      </w:pPr>
      <w:hyperlink w:anchor="_Toc5879" w:history="1">
        <w:r>
          <w:rPr>
            <w:rFonts w:ascii="仿宋" w:eastAsia="仿宋" w:hAnsi="仿宋" w:cs="仿宋" w:hint="eastAsia"/>
            <w:lang w:eastAsia="zh-CN"/>
          </w:rPr>
          <w:t>(一)、危机预警与识别</w:t>
        </w:r>
        <w:r>
          <w:tab/>
        </w:r>
        <w:r>
          <w:fldChar w:fldCharType="begin"/>
        </w:r>
        <w:r>
          <w:instrText xml:space="preserve"> PAGEREF _Toc5879 \h </w:instrText>
        </w:r>
        <w:r>
          <w:fldChar w:fldCharType="separate"/>
        </w:r>
        <w:r>
          <w:t>6</w:t>
        </w:r>
        <w:r>
          <w:fldChar w:fldCharType="end"/>
        </w:r>
      </w:hyperlink>
    </w:p>
    <w:p>
      <w:pPr>
        <w:pStyle w:val="TOC2"/>
        <w:tabs>
          <w:tab w:val="right" w:leader="dot" w:pos="8306"/>
        </w:tabs>
      </w:pPr>
      <w:hyperlink w:anchor="_Toc6863" w:history="1">
        <w:r>
          <w:rPr>
            <w:rFonts w:ascii="仿宋" w:eastAsia="仿宋" w:hAnsi="仿宋" w:cs="仿宋" w:hint="eastAsia"/>
            <w:lang w:eastAsia="zh-CN"/>
          </w:rPr>
          <w:t>(二)、危机应对与恢复</w:t>
        </w:r>
        <w:r>
          <w:tab/>
        </w:r>
        <w:r>
          <w:fldChar w:fldCharType="begin"/>
        </w:r>
        <w:r>
          <w:instrText xml:space="preserve"> PAGEREF _Toc6863 \h </w:instrText>
        </w:r>
        <w:r>
          <w:fldChar w:fldCharType="separate"/>
        </w:r>
        <w:r>
          <w:t>7</w:t>
        </w:r>
        <w:r>
          <w:fldChar w:fldCharType="end"/>
        </w:r>
      </w:hyperlink>
    </w:p>
    <w:p>
      <w:pPr>
        <w:pStyle w:val="TOC1"/>
        <w:tabs>
          <w:tab w:val="right" w:leader="dot" w:pos="8306"/>
        </w:tabs>
      </w:pPr>
      <w:hyperlink w:anchor="_Toc6489" w:history="1">
        <w:r>
          <w:rPr>
            <w:rFonts w:ascii="仿宋" w:eastAsia="仿宋" w:hAnsi="仿宋" w:cs="仿宋" w:hint="eastAsia"/>
            <w:lang w:eastAsia="zh-CN"/>
          </w:rPr>
          <w:t>三、馏份油中压加氢改质催化剂项目土建工程</w:t>
        </w:r>
        <w:r>
          <w:tab/>
        </w:r>
        <w:r>
          <w:fldChar w:fldCharType="begin"/>
        </w:r>
        <w:r>
          <w:instrText xml:space="preserve"> PAGEREF _Toc6489 \h </w:instrText>
        </w:r>
        <w:r>
          <w:fldChar w:fldCharType="separate"/>
        </w:r>
        <w:r>
          <w:t>9</w:t>
        </w:r>
        <w:r>
          <w:fldChar w:fldCharType="end"/>
        </w:r>
      </w:hyperlink>
    </w:p>
    <w:p>
      <w:pPr>
        <w:pStyle w:val="TOC2"/>
        <w:tabs>
          <w:tab w:val="right" w:leader="dot" w:pos="8306"/>
        </w:tabs>
      </w:pPr>
      <w:hyperlink w:anchor="_Toc16952" w:history="1">
        <w:r>
          <w:rPr>
            <w:rFonts w:ascii="仿宋" w:eastAsia="仿宋" w:hAnsi="仿宋" w:cs="仿宋" w:hint="eastAsia"/>
            <w:lang w:eastAsia="zh-CN"/>
          </w:rPr>
          <w:t>(一)、建筑工程设计原则</w:t>
        </w:r>
        <w:r>
          <w:tab/>
        </w:r>
        <w:r>
          <w:fldChar w:fldCharType="begin"/>
        </w:r>
        <w:r>
          <w:instrText xml:space="preserve"> PAGEREF _Toc16952 \h </w:instrText>
        </w:r>
        <w:r>
          <w:fldChar w:fldCharType="separate"/>
        </w:r>
        <w:r>
          <w:t>9</w:t>
        </w:r>
        <w:r>
          <w:fldChar w:fldCharType="end"/>
        </w:r>
      </w:hyperlink>
    </w:p>
    <w:p>
      <w:pPr>
        <w:pStyle w:val="TOC2"/>
        <w:tabs>
          <w:tab w:val="right" w:leader="dot" w:pos="8306"/>
        </w:tabs>
      </w:pPr>
      <w:hyperlink w:anchor="_Toc21012" w:history="1">
        <w:r>
          <w:rPr>
            <w:rFonts w:ascii="仿宋" w:eastAsia="仿宋" w:hAnsi="仿宋" w:cs="仿宋" w:hint="eastAsia"/>
            <w:lang w:eastAsia="zh-CN"/>
          </w:rPr>
          <w:t>(二)、土建工程设计年限及安全等级</w:t>
        </w:r>
        <w:r>
          <w:tab/>
        </w:r>
        <w:r>
          <w:fldChar w:fldCharType="begin"/>
        </w:r>
        <w:r>
          <w:instrText xml:space="preserve"> PAGEREF _Toc21012 \h </w:instrText>
        </w:r>
        <w:r>
          <w:fldChar w:fldCharType="separate"/>
        </w:r>
        <w:r>
          <w:t>10</w:t>
        </w:r>
        <w:r>
          <w:fldChar w:fldCharType="end"/>
        </w:r>
      </w:hyperlink>
    </w:p>
    <w:p>
      <w:pPr>
        <w:pStyle w:val="TOC2"/>
        <w:tabs>
          <w:tab w:val="right" w:leader="dot" w:pos="8306"/>
        </w:tabs>
      </w:pPr>
      <w:hyperlink w:anchor="_Toc23367" w:history="1">
        <w:r>
          <w:rPr>
            <w:rFonts w:ascii="仿宋" w:eastAsia="仿宋" w:hAnsi="仿宋" w:cs="仿宋" w:hint="eastAsia"/>
            <w:lang w:eastAsia="zh-CN"/>
          </w:rPr>
          <w:t>(三)、建筑工程设计总体要求</w:t>
        </w:r>
        <w:r>
          <w:tab/>
        </w:r>
        <w:r>
          <w:fldChar w:fldCharType="begin"/>
        </w:r>
        <w:r>
          <w:instrText xml:space="preserve"> PAGEREF _Toc23367 \h </w:instrText>
        </w:r>
        <w:r>
          <w:fldChar w:fldCharType="separate"/>
        </w:r>
        <w:r>
          <w:t>11</w:t>
        </w:r>
        <w:r>
          <w:fldChar w:fldCharType="end"/>
        </w:r>
      </w:hyperlink>
    </w:p>
    <w:p>
      <w:pPr>
        <w:pStyle w:val="TOC2"/>
        <w:tabs>
          <w:tab w:val="right" w:leader="dot" w:pos="8306"/>
        </w:tabs>
      </w:pPr>
      <w:hyperlink w:anchor="_Toc19656" w:history="1">
        <w:r>
          <w:rPr>
            <w:rFonts w:ascii="仿宋" w:eastAsia="仿宋" w:hAnsi="仿宋" w:cs="仿宋" w:hint="eastAsia"/>
            <w:lang w:eastAsia="zh-CN"/>
          </w:rPr>
          <w:t>(四)、土建工程建设指标</w:t>
        </w:r>
        <w:r>
          <w:tab/>
        </w:r>
        <w:r>
          <w:fldChar w:fldCharType="begin"/>
        </w:r>
        <w:r>
          <w:instrText xml:space="preserve"> PAGEREF _Toc19656 \h </w:instrText>
        </w:r>
        <w:r>
          <w:fldChar w:fldCharType="separate"/>
        </w:r>
        <w:r>
          <w:t>12</w:t>
        </w:r>
        <w:r>
          <w:fldChar w:fldCharType="end"/>
        </w:r>
      </w:hyperlink>
    </w:p>
    <w:p>
      <w:pPr>
        <w:pStyle w:val="TOC1"/>
        <w:tabs>
          <w:tab w:val="right" w:leader="dot" w:pos="8306"/>
        </w:tabs>
      </w:pPr>
      <w:hyperlink w:anchor="_Toc27302" w:history="1">
        <w:r>
          <w:rPr>
            <w:rFonts w:ascii="仿宋" w:eastAsia="仿宋" w:hAnsi="仿宋" w:cs="仿宋" w:hint="eastAsia"/>
            <w:lang w:eastAsia="zh-CN"/>
          </w:rPr>
          <w:t>四、馏份油中压加氢改质催化剂项目建设单位说明</w:t>
        </w:r>
        <w:r>
          <w:tab/>
        </w:r>
        <w:r>
          <w:fldChar w:fldCharType="begin"/>
        </w:r>
        <w:r>
          <w:instrText xml:space="preserve"> PAGEREF _Toc27302 \h </w:instrText>
        </w:r>
        <w:r>
          <w:fldChar w:fldCharType="separate"/>
        </w:r>
        <w:r>
          <w:t>12</w:t>
        </w:r>
        <w:r>
          <w:fldChar w:fldCharType="end"/>
        </w:r>
      </w:hyperlink>
    </w:p>
    <w:p>
      <w:pPr>
        <w:pStyle w:val="TOC2"/>
        <w:tabs>
          <w:tab w:val="right" w:leader="dot" w:pos="8306"/>
        </w:tabs>
      </w:pPr>
      <w:hyperlink w:anchor="_Toc11485" w:history="1">
        <w:r>
          <w:rPr>
            <w:rFonts w:ascii="仿宋" w:eastAsia="仿宋" w:hAnsi="仿宋" w:cs="仿宋" w:hint="eastAsia"/>
            <w:lang w:eastAsia="zh-CN"/>
          </w:rPr>
          <w:t>(一)、馏份油中压加氢改质催化剂项目承办单位基本情况</w:t>
        </w:r>
        <w:r>
          <w:tab/>
        </w:r>
        <w:r>
          <w:fldChar w:fldCharType="begin"/>
        </w:r>
        <w:r>
          <w:instrText xml:space="preserve"> PAGEREF _Toc11485 \h </w:instrText>
        </w:r>
        <w:r>
          <w:fldChar w:fldCharType="separate"/>
        </w:r>
        <w:r>
          <w:t>12</w:t>
        </w:r>
        <w:r>
          <w:fldChar w:fldCharType="end"/>
        </w:r>
      </w:hyperlink>
    </w:p>
    <w:p>
      <w:pPr>
        <w:pStyle w:val="TOC2"/>
        <w:tabs>
          <w:tab w:val="right" w:leader="dot" w:pos="8306"/>
        </w:tabs>
      </w:pPr>
      <w:hyperlink w:anchor="_Toc31224" w:history="1">
        <w:r>
          <w:rPr>
            <w:rFonts w:ascii="仿宋" w:eastAsia="仿宋" w:hAnsi="仿宋" w:cs="仿宋" w:hint="eastAsia"/>
            <w:lang w:eastAsia="zh-CN"/>
          </w:rPr>
          <w:t>(二)、公司经济效益分析</w:t>
        </w:r>
        <w:r>
          <w:tab/>
        </w:r>
        <w:r>
          <w:fldChar w:fldCharType="begin"/>
        </w:r>
        <w:r>
          <w:instrText xml:space="preserve"> PAGEREF _Toc31224 \h </w:instrText>
        </w:r>
        <w:r>
          <w:fldChar w:fldCharType="separate"/>
        </w:r>
        <w:r>
          <w:t>13</w:t>
        </w:r>
        <w:r>
          <w:fldChar w:fldCharType="end"/>
        </w:r>
      </w:hyperlink>
    </w:p>
    <w:p>
      <w:pPr>
        <w:pStyle w:val="TOC1"/>
        <w:tabs>
          <w:tab w:val="right" w:leader="dot" w:pos="8306"/>
        </w:tabs>
      </w:pPr>
      <w:hyperlink w:anchor="_Toc25046" w:history="1">
        <w:r>
          <w:rPr>
            <w:rFonts w:ascii="仿宋" w:eastAsia="仿宋" w:hAnsi="仿宋" w:cs="仿宋" w:hint="eastAsia"/>
            <w:lang w:eastAsia="zh-CN"/>
          </w:rPr>
          <w:t>五、产品规划分析</w:t>
        </w:r>
        <w:r>
          <w:tab/>
        </w:r>
        <w:r>
          <w:fldChar w:fldCharType="begin"/>
        </w:r>
        <w:r>
          <w:instrText xml:space="preserve"> PAGEREF _Toc25046 \h </w:instrText>
        </w:r>
        <w:r>
          <w:fldChar w:fldCharType="separate"/>
        </w:r>
        <w:r>
          <w:t>14</w:t>
        </w:r>
        <w:r>
          <w:fldChar w:fldCharType="end"/>
        </w:r>
      </w:hyperlink>
    </w:p>
    <w:p>
      <w:pPr>
        <w:pStyle w:val="TOC2"/>
        <w:tabs>
          <w:tab w:val="right" w:leader="dot" w:pos="8306"/>
        </w:tabs>
      </w:pPr>
      <w:hyperlink w:anchor="_Toc23898" w:history="1">
        <w:r>
          <w:rPr>
            <w:rFonts w:ascii="仿宋" w:eastAsia="仿宋" w:hAnsi="仿宋" w:cs="仿宋" w:hint="eastAsia"/>
            <w:lang w:eastAsia="zh-CN"/>
          </w:rPr>
          <w:t>(一)、产品规划</w:t>
        </w:r>
        <w:r>
          <w:tab/>
        </w:r>
        <w:r>
          <w:fldChar w:fldCharType="begin"/>
        </w:r>
        <w:r>
          <w:instrText xml:space="preserve"> PAGEREF _Toc23898 \h </w:instrText>
        </w:r>
        <w:r>
          <w:fldChar w:fldCharType="separate"/>
        </w:r>
        <w:r>
          <w:t>14</w:t>
        </w:r>
        <w:r>
          <w:fldChar w:fldCharType="end"/>
        </w:r>
      </w:hyperlink>
    </w:p>
    <w:p>
      <w:pPr>
        <w:pStyle w:val="TOC2"/>
        <w:tabs>
          <w:tab w:val="right" w:leader="dot" w:pos="8306"/>
        </w:tabs>
      </w:pPr>
      <w:hyperlink w:anchor="_Toc12131" w:history="1">
        <w:r>
          <w:rPr>
            <w:rFonts w:ascii="仿宋" w:eastAsia="仿宋" w:hAnsi="仿宋" w:cs="仿宋" w:hint="eastAsia"/>
            <w:lang w:eastAsia="zh-CN"/>
          </w:rPr>
          <w:t>(二)、建设规模</w:t>
        </w:r>
        <w:r>
          <w:tab/>
        </w:r>
        <w:r>
          <w:fldChar w:fldCharType="begin"/>
        </w:r>
        <w:r>
          <w:instrText xml:space="preserve"> PAGEREF _Toc12131 \h </w:instrText>
        </w:r>
        <w:r>
          <w:fldChar w:fldCharType="separate"/>
        </w:r>
        <w:r>
          <w:t>15</w:t>
        </w:r>
        <w:r>
          <w:fldChar w:fldCharType="end"/>
        </w:r>
      </w:hyperlink>
    </w:p>
    <w:p>
      <w:pPr>
        <w:pStyle w:val="TOC1"/>
        <w:tabs>
          <w:tab w:val="right" w:leader="dot" w:pos="8306"/>
        </w:tabs>
      </w:pPr>
      <w:hyperlink w:anchor="_Toc4541" w:history="1">
        <w:r>
          <w:rPr>
            <w:rFonts w:ascii="仿宋" w:eastAsia="仿宋" w:hAnsi="仿宋" w:cs="仿宋" w:hint="eastAsia"/>
            <w:lang w:eastAsia="zh-CN"/>
          </w:rPr>
          <w:t>六、馏份油中压加氢改质催化剂项目绩效评估</w:t>
        </w:r>
        <w:r>
          <w:tab/>
        </w:r>
        <w:r>
          <w:fldChar w:fldCharType="begin"/>
        </w:r>
        <w:r>
          <w:instrText xml:space="preserve"> PAGEREF _Toc4541 \h </w:instrText>
        </w:r>
        <w:r>
          <w:fldChar w:fldCharType="separate"/>
        </w:r>
        <w:r>
          <w:t>16</w:t>
        </w:r>
        <w:r>
          <w:fldChar w:fldCharType="end"/>
        </w:r>
      </w:hyperlink>
    </w:p>
    <w:p>
      <w:pPr>
        <w:pStyle w:val="TOC2"/>
        <w:tabs>
          <w:tab w:val="right" w:leader="dot" w:pos="8306"/>
        </w:tabs>
      </w:pPr>
      <w:hyperlink w:anchor="_Toc11970" w:history="1">
        <w:r>
          <w:rPr>
            <w:rFonts w:ascii="仿宋" w:eastAsia="仿宋" w:hAnsi="仿宋" w:cs="仿宋" w:hint="eastAsia"/>
            <w:lang w:eastAsia="zh-CN"/>
          </w:rPr>
          <w:t>(一)、绩效评估指标</w:t>
        </w:r>
        <w:r>
          <w:tab/>
        </w:r>
        <w:r>
          <w:fldChar w:fldCharType="begin"/>
        </w:r>
        <w:r>
          <w:instrText xml:space="preserve"> PAGEREF _Toc11970 \h </w:instrText>
        </w:r>
        <w:r>
          <w:fldChar w:fldCharType="separate"/>
        </w:r>
        <w:r>
          <w:t>16</w:t>
        </w:r>
        <w:r>
          <w:fldChar w:fldCharType="end"/>
        </w:r>
      </w:hyperlink>
    </w:p>
    <w:p>
      <w:pPr>
        <w:pStyle w:val="TOC2"/>
        <w:tabs>
          <w:tab w:val="right" w:leader="dot" w:pos="8306"/>
        </w:tabs>
      </w:pPr>
      <w:hyperlink w:anchor="_Toc25388" w:history="1">
        <w:r>
          <w:rPr>
            <w:rFonts w:ascii="仿宋" w:eastAsia="仿宋" w:hAnsi="仿宋" w:cs="仿宋" w:hint="eastAsia"/>
            <w:lang w:eastAsia="zh-CN"/>
          </w:rPr>
          <w:t>(二)、绩效评估方法</w:t>
        </w:r>
        <w:r>
          <w:tab/>
        </w:r>
        <w:r>
          <w:fldChar w:fldCharType="begin"/>
        </w:r>
        <w:r>
          <w:instrText xml:space="preserve"> PAGEREF _Toc25388 \h </w:instrText>
        </w:r>
        <w:r>
          <w:fldChar w:fldCharType="separate"/>
        </w:r>
        <w:r>
          <w:t>17</w:t>
        </w:r>
        <w:r>
          <w:fldChar w:fldCharType="end"/>
        </w:r>
      </w:hyperlink>
    </w:p>
    <w:p>
      <w:pPr>
        <w:pStyle w:val="TOC2"/>
        <w:tabs>
          <w:tab w:val="right" w:leader="dot" w:pos="8306"/>
        </w:tabs>
      </w:pPr>
      <w:hyperlink w:anchor="_Toc23666" w:history="1">
        <w:r>
          <w:rPr>
            <w:rFonts w:ascii="仿宋" w:eastAsia="仿宋" w:hAnsi="仿宋" w:cs="仿宋" w:hint="eastAsia"/>
            <w:lang w:eastAsia="zh-CN"/>
          </w:rPr>
          <w:t>(三)、绩效评估周期</w:t>
        </w:r>
        <w:r>
          <w:tab/>
        </w:r>
        <w:r>
          <w:fldChar w:fldCharType="begin"/>
        </w:r>
        <w:r>
          <w:instrText xml:space="preserve"> PAGEREF _Toc23666 \h </w:instrText>
        </w:r>
        <w:r>
          <w:fldChar w:fldCharType="separate"/>
        </w:r>
        <w:r>
          <w:t>18</w:t>
        </w:r>
        <w:r>
          <w:fldChar w:fldCharType="end"/>
        </w:r>
      </w:hyperlink>
    </w:p>
    <w:p>
      <w:pPr>
        <w:pStyle w:val="TOC1"/>
        <w:tabs>
          <w:tab w:val="right" w:leader="dot" w:pos="8306"/>
        </w:tabs>
      </w:pPr>
      <w:hyperlink w:anchor="_Toc16965" w:history="1">
        <w:r>
          <w:rPr>
            <w:rFonts w:ascii="仿宋" w:eastAsia="仿宋" w:hAnsi="仿宋" w:cs="仿宋" w:hint="eastAsia"/>
            <w:lang w:eastAsia="zh-CN"/>
          </w:rPr>
          <w:t>七、生产安全保护</w:t>
        </w:r>
        <w:r>
          <w:tab/>
        </w:r>
        <w:r>
          <w:fldChar w:fldCharType="begin"/>
        </w:r>
        <w:r>
          <w:instrText xml:space="preserve"> PAGEREF _Toc16965 \h </w:instrText>
        </w:r>
        <w:r>
          <w:fldChar w:fldCharType="separate"/>
        </w:r>
        <w:r>
          <w:t>20</w:t>
        </w:r>
        <w:r>
          <w:fldChar w:fldCharType="end"/>
        </w:r>
      </w:hyperlink>
    </w:p>
    <w:p>
      <w:pPr>
        <w:pStyle w:val="TOC2"/>
        <w:tabs>
          <w:tab w:val="right" w:leader="dot" w:pos="8306"/>
        </w:tabs>
      </w:pPr>
      <w:hyperlink w:anchor="_Toc7243" w:history="1">
        <w:r>
          <w:rPr>
            <w:rFonts w:ascii="仿宋" w:eastAsia="仿宋" w:hAnsi="仿宋" w:cs="仿宋" w:hint="eastAsia"/>
            <w:lang w:eastAsia="zh-CN"/>
          </w:rPr>
          <w:t>(一)、消防安全</w:t>
        </w:r>
        <w:r>
          <w:tab/>
        </w:r>
        <w:r>
          <w:fldChar w:fldCharType="begin"/>
        </w:r>
        <w:r>
          <w:instrText xml:space="preserve"> PAGEREF _Toc7243 \h </w:instrText>
        </w:r>
        <w:r>
          <w:fldChar w:fldCharType="separate"/>
        </w:r>
        <w:r>
          <w:t>20</w:t>
        </w:r>
        <w:r>
          <w:fldChar w:fldCharType="end"/>
        </w:r>
      </w:hyperlink>
    </w:p>
    <w:p>
      <w:pPr>
        <w:pStyle w:val="TOC2"/>
        <w:tabs>
          <w:tab w:val="right" w:leader="dot" w:pos="8306"/>
        </w:tabs>
      </w:pPr>
      <w:hyperlink w:anchor="_Toc10856" w:history="1">
        <w:r>
          <w:rPr>
            <w:rFonts w:ascii="仿宋" w:eastAsia="仿宋" w:hAnsi="仿宋" w:cs="仿宋" w:hint="eastAsia"/>
            <w:lang w:eastAsia="zh-CN"/>
          </w:rPr>
          <w:t>(二)、防火防爆总图布置措施</w:t>
        </w:r>
        <w:r>
          <w:tab/>
        </w:r>
        <w:r>
          <w:fldChar w:fldCharType="begin"/>
        </w:r>
        <w:r>
          <w:instrText xml:space="preserve"> PAGEREF _Toc10856 \h </w:instrText>
        </w:r>
        <w:r>
          <w:fldChar w:fldCharType="separate"/>
        </w:r>
        <w:r>
          <w:t>21</w:t>
        </w:r>
        <w:r>
          <w:fldChar w:fldCharType="end"/>
        </w:r>
      </w:hyperlink>
    </w:p>
    <w:p>
      <w:pPr>
        <w:pStyle w:val="TOC2"/>
        <w:tabs>
          <w:tab w:val="right" w:leader="dot" w:pos="8306"/>
        </w:tabs>
      </w:pPr>
      <w:hyperlink w:anchor="_Toc12145" w:history="1">
        <w:r>
          <w:rPr>
            <w:rFonts w:ascii="仿宋" w:eastAsia="仿宋" w:hAnsi="仿宋" w:cs="仿宋" w:hint="eastAsia"/>
            <w:lang w:eastAsia="zh-CN"/>
          </w:rPr>
          <w:t>(三)、自然灾害防范措施</w:t>
        </w:r>
        <w:r>
          <w:tab/>
        </w:r>
        <w:r>
          <w:fldChar w:fldCharType="begin"/>
        </w:r>
        <w:r>
          <w:instrText xml:space="preserve"> PAGEREF _Toc12145 \h </w:instrText>
        </w:r>
        <w:r>
          <w:fldChar w:fldCharType="separate"/>
        </w:r>
        <w:r>
          <w:t>22</w:t>
        </w:r>
        <w:r>
          <w:fldChar w:fldCharType="end"/>
        </w:r>
      </w:hyperlink>
    </w:p>
    <w:p>
      <w:pPr>
        <w:pStyle w:val="TOC2"/>
        <w:tabs>
          <w:tab w:val="right" w:leader="dot" w:pos="8306"/>
        </w:tabs>
      </w:pPr>
      <w:hyperlink w:anchor="_Toc18025" w:history="1">
        <w:r>
          <w:rPr>
            <w:rFonts w:ascii="仿宋" w:eastAsia="仿宋" w:hAnsi="仿宋" w:cs="仿宋" w:hint="eastAsia"/>
            <w:lang w:eastAsia="zh-CN"/>
          </w:rPr>
          <w:t>(四)、安全色及安全标志使用要求</w:t>
        </w:r>
        <w:r>
          <w:tab/>
        </w:r>
        <w:r>
          <w:fldChar w:fldCharType="begin"/>
        </w:r>
        <w:r>
          <w:instrText xml:space="preserve"> PAGEREF _Toc18025 \h </w:instrText>
        </w:r>
        <w:r>
          <w:fldChar w:fldCharType="separate"/>
        </w:r>
        <w:r>
          <w:t>24</w:t>
        </w:r>
        <w:r>
          <w:fldChar w:fldCharType="end"/>
        </w:r>
      </w:hyperlink>
    </w:p>
    <w:p>
      <w:pPr>
        <w:pStyle w:val="TOC2"/>
        <w:tabs>
          <w:tab w:val="right" w:leader="dot" w:pos="8306"/>
        </w:tabs>
      </w:pPr>
      <w:hyperlink w:anchor="_Toc12987" w:history="1">
        <w:r>
          <w:rPr>
            <w:rFonts w:ascii="仿宋" w:eastAsia="仿宋" w:hAnsi="仿宋" w:cs="仿宋" w:hint="eastAsia"/>
            <w:lang w:eastAsia="zh-CN"/>
          </w:rPr>
          <w:t>(五)、防尘防毒措施</w:t>
        </w:r>
        <w:r>
          <w:tab/>
        </w:r>
        <w:r>
          <w:fldChar w:fldCharType="begin"/>
        </w:r>
        <w:r>
          <w:instrText xml:space="preserve"> PAGEREF _Toc12987 \h </w:instrText>
        </w:r>
        <w:r>
          <w:fldChar w:fldCharType="separate"/>
        </w:r>
        <w:r>
          <w:t>25</w:t>
        </w:r>
        <w:r>
          <w:fldChar w:fldCharType="end"/>
        </w:r>
      </w:hyperlink>
    </w:p>
    <w:p>
      <w:pPr>
        <w:pStyle w:val="TOC2"/>
        <w:tabs>
          <w:tab w:val="right" w:leader="dot" w:pos="8306"/>
        </w:tabs>
      </w:pPr>
      <w:hyperlink w:anchor="_Toc12231" w:history="1">
        <w:r>
          <w:rPr>
            <w:rFonts w:ascii="仿宋" w:eastAsia="仿宋" w:hAnsi="仿宋" w:cs="仿宋" w:hint="eastAsia"/>
            <w:lang w:eastAsia="zh-CN"/>
          </w:rPr>
          <w:t>(六)、防静电、触电防护及防雷措施</w:t>
        </w:r>
        <w:r>
          <w:tab/>
        </w:r>
        <w:r>
          <w:fldChar w:fldCharType="begin"/>
        </w:r>
        <w:r>
          <w:instrText xml:space="preserve"> PAGEREF _Toc12231 \h </w:instrText>
        </w:r>
        <w:r>
          <w:fldChar w:fldCharType="separate"/>
        </w:r>
        <w:r>
          <w:t>26</w:t>
        </w:r>
        <w:r>
          <w:fldChar w:fldCharType="end"/>
        </w:r>
      </w:hyperlink>
    </w:p>
    <w:p>
      <w:pPr>
        <w:pStyle w:val="TOC2"/>
        <w:tabs>
          <w:tab w:val="right" w:leader="dot" w:pos="8306"/>
        </w:tabs>
      </w:pPr>
      <w:hyperlink w:anchor="_Toc12682" w:history="1">
        <w:r>
          <w:rPr>
            <w:rFonts w:ascii="仿宋" w:eastAsia="仿宋" w:hAnsi="仿宋" w:cs="仿宋" w:hint="eastAsia"/>
            <w:lang w:eastAsia="zh-CN"/>
          </w:rPr>
          <w:t>(七)、机械设备安全保障措施</w:t>
        </w:r>
        <w:r>
          <w:tab/>
        </w:r>
        <w:r>
          <w:fldChar w:fldCharType="begin"/>
        </w:r>
        <w:r>
          <w:instrText xml:space="preserve"> PAGEREF _Toc12682 \h </w:instrText>
        </w:r>
        <w:r>
          <w:fldChar w:fldCharType="separate"/>
        </w:r>
        <w:r>
          <w:t>27</w:t>
        </w:r>
        <w:r>
          <w:fldChar w:fldCharType="end"/>
        </w:r>
      </w:hyperlink>
    </w:p>
    <w:p>
      <w:pPr>
        <w:pStyle w:val="TOC1"/>
        <w:tabs>
          <w:tab w:val="right" w:leader="dot" w:pos="8306"/>
        </w:tabs>
      </w:pPr>
      <w:hyperlink w:anchor="_Toc17596" w:history="1">
        <w:r>
          <w:rPr>
            <w:rFonts w:ascii="仿宋" w:eastAsia="仿宋" w:hAnsi="仿宋" w:cs="仿宋" w:hint="eastAsia"/>
            <w:lang w:eastAsia="zh-CN"/>
          </w:rPr>
          <w:t>八、馏份油中压加氢改质催化剂项目社会影响</w:t>
        </w:r>
        <w:r>
          <w:tab/>
        </w:r>
        <w:r>
          <w:fldChar w:fldCharType="begin"/>
        </w:r>
        <w:r>
          <w:instrText xml:space="preserve"> PAGEREF _Toc17596 \h </w:instrText>
        </w:r>
        <w:r>
          <w:fldChar w:fldCharType="separate"/>
        </w:r>
        <w:r>
          <w:t>29</w:t>
        </w:r>
        <w:r>
          <w:fldChar w:fldCharType="end"/>
        </w:r>
      </w:hyperlink>
    </w:p>
    <w:p>
      <w:pPr>
        <w:pStyle w:val="TOC2"/>
        <w:tabs>
          <w:tab w:val="right" w:leader="dot" w:pos="8306"/>
        </w:tabs>
      </w:pPr>
      <w:hyperlink w:anchor="_Toc30756" w:history="1">
        <w:r>
          <w:rPr>
            <w:rFonts w:ascii="仿宋" w:eastAsia="仿宋" w:hAnsi="仿宋" w:cs="仿宋" w:hint="eastAsia"/>
            <w:lang w:eastAsia="zh-CN"/>
          </w:rPr>
          <w:t>(一)、社会责任与义务</w:t>
        </w:r>
        <w:r>
          <w:tab/>
        </w:r>
        <w:r>
          <w:fldChar w:fldCharType="begin"/>
        </w:r>
        <w:r>
          <w:instrText xml:space="preserve"> PAGEREF _Toc30756 \h </w:instrText>
        </w:r>
        <w:r>
          <w:fldChar w:fldCharType="separate"/>
        </w:r>
        <w:r>
          <w:t>29</w:t>
        </w:r>
        <w:r>
          <w:fldChar w:fldCharType="end"/>
        </w:r>
      </w:hyperlink>
    </w:p>
    <w:p>
      <w:pPr>
        <w:pStyle w:val="TOC2"/>
        <w:tabs>
          <w:tab w:val="right" w:leader="dot" w:pos="8306"/>
        </w:tabs>
      </w:pPr>
      <w:hyperlink w:anchor="_Toc13214" w:history="1">
        <w:r>
          <w:rPr>
            <w:rFonts w:ascii="仿宋" w:eastAsia="仿宋" w:hAnsi="仿宋" w:cs="仿宋" w:hint="eastAsia"/>
            <w:lang w:eastAsia="zh-CN"/>
          </w:rPr>
          <w:t>(二)、社会参与与沟通</w:t>
        </w:r>
        <w:r>
          <w:tab/>
        </w:r>
        <w:r>
          <w:fldChar w:fldCharType="begin"/>
        </w:r>
        <w:r>
          <w:instrText xml:space="preserve"> PAGEREF _Toc13214 \h </w:instrText>
        </w:r>
        <w:r>
          <w:fldChar w:fldCharType="separate"/>
        </w:r>
        <w:r>
          <w:t>29</w:t>
        </w:r>
        <w:r>
          <w:fldChar w:fldCharType="end"/>
        </w:r>
      </w:hyperlink>
    </w:p>
    <w:p>
      <w:pPr>
        <w:pStyle w:val="TOC1"/>
        <w:tabs>
          <w:tab w:val="right" w:leader="dot" w:pos="8306"/>
        </w:tabs>
      </w:pPr>
      <w:hyperlink w:anchor="_Toc27147" w:history="1">
        <w:r>
          <w:rPr>
            <w:rFonts w:ascii="仿宋" w:eastAsia="仿宋" w:hAnsi="仿宋" w:cs="仿宋" w:hint="eastAsia"/>
            <w:lang w:eastAsia="zh-CN"/>
          </w:rPr>
          <w:t>九、馏份油中压加氢改质催化剂项目人力资源培养与发展</w:t>
        </w:r>
        <w:r>
          <w:tab/>
        </w:r>
        <w:r>
          <w:fldChar w:fldCharType="begin"/>
        </w:r>
        <w:r>
          <w:instrText xml:space="preserve"> PAGEREF _Toc27147 \h </w:instrText>
        </w:r>
        <w:r>
          <w:fldChar w:fldCharType="separate"/>
        </w:r>
        <w:r>
          <w:t>31</w:t>
        </w:r>
        <w:r>
          <w:fldChar w:fldCharType="end"/>
        </w:r>
      </w:hyperlink>
    </w:p>
    <w:p>
      <w:pPr>
        <w:pStyle w:val="TOC2"/>
        <w:tabs>
          <w:tab w:val="right" w:leader="dot" w:pos="8306"/>
        </w:tabs>
      </w:pPr>
      <w:hyperlink w:anchor="_Toc3684" w:history="1">
        <w:r>
          <w:rPr>
            <w:rFonts w:ascii="仿宋" w:eastAsia="仿宋" w:hAnsi="仿宋" w:cs="仿宋" w:hint="eastAsia"/>
            <w:lang w:eastAsia="zh-CN"/>
          </w:rPr>
          <w:t>(一)、人才需求与规划</w:t>
        </w:r>
        <w:r>
          <w:tab/>
        </w:r>
        <w:r>
          <w:fldChar w:fldCharType="begin"/>
        </w:r>
        <w:r>
          <w:instrText xml:space="preserve"> PAGEREF _Toc3684 \h </w:instrText>
        </w:r>
        <w:r>
          <w:fldChar w:fldCharType="separate"/>
        </w:r>
        <w:r>
          <w:t>31</w:t>
        </w:r>
        <w:r>
          <w:fldChar w:fldCharType="end"/>
        </w:r>
      </w:hyperlink>
    </w:p>
    <w:p>
      <w:pPr>
        <w:pStyle w:val="TOC2"/>
        <w:tabs>
          <w:tab w:val="right" w:leader="dot" w:pos="8306"/>
        </w:tabs>
      </w:pPr>
      <w:hyperlink w:anchor="_Toc1002" w:history="1">
        <w:r>
          <w:rPr>
            <w:rFonts w:ascii="仿宋" w:eastAsia="仿宋" w:hAnsi="仿宋" w:cs="仿宋" w:hint="eastAsia"/>
            <w:lang w:eastAsia="zh-CN"/>
          </w:rPr>
          <w:t>(二)、培训与发展计划</w:t>
        </w:r>
        <w:r>
          <w:tab/>
        </w:r>
        <w:r>
          <w:fldChar w:fldCharType="begin"/>
        </w:r>
        <w:r>
          <w:instrText xml:space="preserve"> PAGEREF _Toc1002 \h </w:instrText>
        </w:r>
        <w:r>
          <w:fldChar w:fldCharType="separate"/>
        </w:r>
        <w:r>
          <w:t>31</w:t>
        </w:r>
        <w:r>
          <w:fldChar w:fldCharType="end"/>
        </w:r>
      </w:hyperlink>
    </w:p>
    <w:p>
      <w:pPr>
        <w:pStyle w:val="TOC1"/>
        <w:tabs>
          <w:tab w:val="right" w:leader="dot" w:pos="8306"/>
        </w:tabs>
      </w:pPr>
      <w:hyperlink w:anchor="_Toc3926" w:history="1">
        <w:r>
          <w:rPr>
            <w:rFonts w:ascii="仿宋" w:eastAsia="仿宋" w:hAnsi="仿宋" w:cs="仿宋" w:hint="eastAsia"/>
            <w:lang w:eastAsia="zh-CN"/>
          </w:rPr>
          <w:t>十、馏份油中压加氢改质催化剂项目财务管理</w:t>
        </w:r>
        <w:r>
          <w:tab/>
        </w:r>
        <w:r>
          <w:fldChar w:fldCharType="begin"/>
        </w:r>
        <w:r>
          <w:instrText xml:space="preserve"> PAGEREF _Toc3926 \h </w:instrText>
        </w:r>
        <w:r>
          <w:fldChar w:fldCharType="separate"/>
        </w:r>
        <w:r>
          <w:t>32</w:t>
        </w:r>
        <w:r>
          <w:fldChar w:fldCharType="end"/>
        </w:r>
      </w:hyperlink>
    </w:p>
    <w:p>
      <w:pPr>
        <w:pStyle w:val="TOC2"/>
        <w:tabs>
          <w:tab w:val="right" w:leader="dot" w:pos="8306"/>
        </w:tabs>
      </w:pPr>
      <w:hyperlink w:anchor="_Toc11788" w:history="1">
        <w:r>
          <w:rPr>
            <w:rFonts w:ascii="仿宋" w:eastAsia="仿宋" w:hAnsi="仿宋" w:cs="仿宋" w:hint="eastAsia"/>
            <w:lang w:eastAsia="zh-CN"/>
          </w:rPr>
          <w:t>(一)、资金需求大</w:t>
        </w:r>
        <w:r>
          <w:tab/>
        </w:r>
        <w:r>
          <w:fldChar w:fldCharType="begin"/>
        </w:r>
        <w:r>
          <w:instrText xml:space="preserve"> PAGEREF _Toc11788 \h </w:instrText>
        </w:r>
        <w:r>
          <w:fldChar w:fldCharType="separate"/>
        </w:r>
        <w:r>
          <w:t>32</w:t>
        </w:r>
        <w:r>
          <w:fldChar w:fldCharType="end"/>
        </w:r>
      </w:hyperlink>
    </w:p>
    <w:p>
      <w:pPr>
        <w:pStyle w:val="TOC2"/>
        <w:tabs>
          <w:tab w:val="right" w:leader="dot" w:pos="8306"/>
        </w:tabs>
      </w:pPr>
      <w:hyperlink w:anchor="_Toc16425" w:history="1">
        <w:r>
          <w:rPr>
            <w:rFonts w:ascii="仿宋" w:eastAsia="仿宋" w:hAnsi="仿宋" w:cs="仿宋" w:hint="eastAsia"/>
            <w:lang w:eastAsia="zh-CN"/>
          </w:rPr>
          <w:t>(二)、研发周期长</w:t>
        </w:r>
        <w:r>
          <w:tab/>
        </w:r>
        <w:r>
          <w:fldChar w:fldCharType="begin"/>
        </w:r>
        <w:r>
          <w:instrText xml:space="preserve"> PAGEREF _Toc16425 \h </w:instrText>
        </w:r>
        <w:r>
          <w:fldChar w:fldCharType="separate"/>
        </w:r>
        <w:r>
          <w:t>33</w:t>
        </w:r>
        <w:r>
          <w:fldChar w:fldCharType="end"/>
        </w:r>
      </w:hyperlink>
    </w:p>
    <w:p>
      <w:pPr>
        <w:pStyle w:val="TOC2"/>
        <w:tabs>
          <w:tab w:val="right" w:leader="dot" w:pos="8306"/>
        </w:tabs>
      </w:pPr>
      <w:hyperlink w:anchor="_Toc27521" w:history="1">
        <w:r>
          <w:rPr>
            <w:rFonts w:ascii="仿宋" w:eastAsia="仿宋" w:hAnsi="仿宋" w:cs="仿宋" w:hint="eastAsia"/>
            <w:lang w:eastAsia="zh-CN"/>
          </w:rPr>
          <w:t>(三)、市场风险大</w:t>
        </w:r>
        <w:r>
          <w:tab/>
        </w:r>
        <w:r>
          <w:fldChar w:fldCharType="begin"/>
        </w:r>
        <w:r>
          <w:instrText xml:space="preserve"> PAGEREF _Toc27521 \h </w:instrText>
        </w:r>
        <w:r>
          <w:fldChar w:fldCharType="separate"/>
        </w:r>
        <w:r>
          <w:t>34</w:t>
        </w:r>
        <w:r>
          <w:fldChar w:fldCharType="end"/>
        </w:r>
      </w:hyperlink>
    </w:p>
    <w:p>
      <w:pPr>
        <w:pStyle w:val="TOC2"/>
        <w:tabs>
          <w:tab w:val="right" w:leader="dot" w:pos="8306"/>
        </w:tabs>
      </w:pPr>
      <w:hyperlink w:anchor="_Toc32540" w:history="1">
        <w:r>
          <w:rPr>
            <w:rFonts w:ascii="仿宋" w:eastAsia="仿宋" w:hAnsi="仿宋" w:cs="仿宋" w:hint="eastAsia"/>
            <w:lang w:eastAsia="zh-CN"/>
          </w:rPr>
          <w:t>(四)、利润率高</w:t>
        </w:r>
        <w:r>
          <w:tab/>
        </w:r>
        <w:r>
          <w:fldChar w:fldCharType="begin"/>
        </w:r>
        <w:r>
          <w:instrText xml:space="preserve"> PAGEREF _Toc32540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47" w:history="1">
        <w:r>
          <w:rPr>
            <w:rFonts w:ascii="仿宋" w:eastAsia="仿宋" w:hAnsi="仿宋" w:cs="仿宋" w:hint="eastAsia"/>
            <w:lang w:eastAsia="zh-CN"/>
          </w:rPr>
          <w:t>十一、馏份油中压加氢改质催化剂项目人力资源管理</w:t>
        </w:r>
        <w:r>
          <w:tab/>
        </w:r>
        <w:r>
          <w:fldChar w:fldCharType="begin"/>
        </w:r>
        <w:r>
          <w:instrText xml:space="preserve"> PAGEREF _Toc4947 \h </w:instrText>
        </w:r>
        <w:r>
          <w:fldChar w:fldCharType="separate"/>
        </w:r>
        <w:r>
          <w:t>40</w:t>
        </w:r>
        <w:r>
          <w:fldChar w:fldCharType="end"/>
        </w:r>
      </w:hyperlink>
    </w:p>
    <w:p>
      <w:pPr>
        <w:pStyle w:val="TOC2"/>
        <w:tabs>
          <w:tab w:val="right" w:leader="dot" w:pos="8306"/>
        </w:tabs>
      </w:pPr>
      <w:hyperlink w:anchor="_Toc31180" w:history="1">
        <w:r>
          <w:rPr>
            <w:rFonts w:ascii="仿宋" w:eastAsia="仿宋" w:hAnsi="仿宋" w:cs="仿宋" w:hint="eastAsia"/>
            <w:lang w:eastAsia="zh-CN"/>
          </w:rPr>
          <w:t>(一)、建立健全的预算管理制度</w:t>
        </w:r>
        <w:r>
          <w:tab/>
        </w:r>
        <w:r>
          <w:fldChar w:fldCharType="begin"/>
        </w:r>
        <w:r>
          <w:instrText xml:space="preserve"> PAGEREF _Toc31180 \h </w:instrText>
        </w:r>
        <w:r>
          <w:fldChar w:fldCharType="separate"/>
        </w:r>
        <w:r>
          <w:t>40</w:t>
        </w:r>
        <w:r>
          <w:fldChar w:fldCharType="end"/>
        </w:r>
      </w:hyperlink>
    </w:p>
    <w:p>
      <w:pPr>
        <w:pStyle w:val="TOC2"/>
        <w:tabs>
          <w:tab w:val="right" w:leader="dot" w:pos="8306"/>
        </w:tabs>
      </w:pPr>
      <w:hyperlink w:anchor="_Toc27768" w:history="1">
        <w:r>
          <w:rPr>
            <w:rFonts w:ascii="仿宋" w:eastAsia="仿宋" w:hAnsi="仿宋" w:cs="仿宋" w:hint="eastAsia"/>
            <w:lang w:eastAsia="zh-CN"/>
          </w:rPr>
          <w:t>(二)、加强资金流动监控</w:t>
        </w:r>
        <w:r>
          <w:tab/>
        </w:r>
        <w:r>
          <w:fldChar w:fldCharType="begin"/>
        </w:r>
        <w:r>
          <w:instrText xml:space="preserve"> PAGEREF _Toc27768 \h </w:instrText>
        </w:r>
        <w:r>
          <w:fldChar w:fldCharType="separate"/>
        </w:r>
        <w:r>
          <w:t>42</w:t>
        </w:r>
        <w:r>
          <w:fldChar w:fldCharType="end"/>
        </w:r>
      </w:hyperlink>
    </w:p>
    <w:p>
      <w:pPr>
        <w:pStyle w:val="TOC2"/>
        <w:tabs>
          <w:tab w:val="right" w:leader="dot" w:pos="8306"/>
        </w:tabs>
      </w:pPr>
      <w:hyperlink w:anchor="_Toc13273" w:history="1">
        <w:r>
          <w:rPr>
            <w:rFonts w:ascii="仿宋" w:eastAsia="仿宋" w:hAnsi="仿宋" w:cs="仿宋" w:hint="eastAsia"/>
            <w:lang w:eastAsia="zh-CN"/>
          </w:rPr>
          <w:t>(三)、制定完善的风险控制机制</w:t>
        </w:r>
        <w:r>
          <w:tab/>
        </w:r>
        <w:r>
          <w:fldChar w:fldCharType="begin"/>
        </w:r>
        <w:r>
          <w:instrText xml:space="preserve"> PAGEREF _Toc13273 \h </w:instrText>
        </w:r>
        <w:r>
          <w:fldChar w:fldCharType="separate"/>
        </w:r>
        <w:r>
          <w:t>43</w:t>
        </w:r>
        <w:r>
          <w:fldChar w:fldCharType="end"/>
        </w:r>
      </w:hyperlink>
    </w:p>
    <w:p>
      <w:pPr>
        <w:pStyle w:val="TOC2"/>
        <w:tabs>
          <w:tab w:val="right" w:leader="dot" w:pos="8306"/>
        </w:tabs>
      </w:pPr>
      <w:hyperlink w:anchor="_Toc2676" w:history="1">
        <w:r>
          <w:rPr>
            <w:rFonts w:ascii="仿宋" w:eastAsia="仿宋" w:hAnsi="仿宋" w:cs="仿宋" w:hint="eastAsia"/>
            <w:lang w:eastAsia="zh-CN"/>
          </w:rPr>
          <w:t>(四)、优化成本管理</w:t>
        </w:r>
        <w:r>
          <w:tab/>
        </w:r>
        <w:r>
          <w:fldChar w:fldCharType="begin"/>
        </w:r>
        <w:r>
          <w:instrText xml:space="preserve"> PAGEREF _Toc2676 \h </w:instrText>
        </w:r>
        <w:r>
          <w:fldChar w:fldCharType="separate"/>
        </w:r>
        <w:r>
          <w:t>44</w:t>
        </w:r>
        <w:r>
          <w:fldChar w:fldCharType="end"/>
        </w:r>
      </w:hyperlink>
    </w:p>
    <w:p>
      <w:pPr>
        <w:pStyle w:val="TOC1"/>
        <w:tabs>
          <w:tab w:val="right" w:leader="dot" w:pos="8306"/>
        </w:tabs>
      </w:pPr>
      <w:hyperlink w:anchor="_Toc8090" w:history="1">
        <w:r>
          <w:rPr>
            <w:rFonts w:ascii="仿宋" w:eastAsia="仿宋" w:hAnsi="仿宋" w:cs="仿宋" w:hint="eastAsia"/>
            <w:lang w:eastAsia="zh-CN"/>
          </w:rPr>
          <w:t>十二、馏份油中压加氢改质催化剂项目创新与研发</w:t>
        </w:r>
        <w:r>
          <w:tab/>
        </w:r>
        <w:r>
          <w:fldChar w:fldCharType="begin"/>
        </w:r>
        <w:r>
          <w:instrText xml:space="preserve"> PAGEREF _Toc8090 \h </w:instrText>
        </w:r>
        <w:r>
          <w:fldChar w:fldCharType="separate"/>
        </w:r>
        <w:r>
          <w:t>46</w:t>
        </w:r>
        <w:r>
          <w:fldChar w:fldCharType="end"/>
        </w:r>
      </w:hyperlink>
    </w:p>
    <w:p>
      <w:pPr>
        <w:pStyle w:val="TOC2"/>
        <w:tabs>
          <w:tab w:val="right" w:leader="dot" w:pos="8306"/>
        </w:tabs>
      </w:pPr>
      <w:hyperlink w:anchor="_Toc30647" w:history="1">
        <w:r>
          <w:rPr>
            <w:rFonts w:ascii="仿宋" w:eastAsia="仿宋" w:hAnsi="仿宋" w:cs="仿宋" w:hint="eastAsia"/>
            <w:lang w:eastAsia="zh-CN"/>
          </w:rPr>
          <w:t>(一)、创新策略与方向</w:t>
        </w:r>
        <w:r>
          <w:tab/>
        </w:r>
        <w:r>
          <w:fldChar w:fldCharType="begin"/>
        </w:r>
        <w:r>
          <w:instrText xml:space="preserve"> PAGEREF _Toc30647 \h </w:instrText>
        </w:r>
        <w:r>
          <w:fldChar w:fldCharType="separate"/>
        </w:r>
        <w:r>
          <w:t>46</w:t>
        </w:r>
        <w:r>
          <w:fldChar w:fldCharType="end"/>
        </w:r>
      </w:hyperlink>
    </w:p>
    <w:p>
      <w:pPr>
        <w:pStyle w:val="TOC2"/>
        <w:tabs>
          <w:tab w:val="right" w:leader="dot" w:pos="8306"/>
        </w:tabs>
      </w:pPr>
      <w:hyperlink w:anchor="_Toc16741" w:history="1">
        <w:r>
          <w:rPr>
            <w:rFonts w:ascii="仿宋" w:eastAsia="仿宋" w:hAnsi="仿宋" w:cs="仿宋" w:hint="eastAsia"/>
            <w:lang w:eastAsia="zh-CN"/>
          </w:rPr>
          <w:t>(二)、研发规划与投入</w:t>
        </w:r>
        <w:r>
          <w:tab/>
        </w:r>
        <w:r>
          <w:fldChar w:fldCharType="begin"/>
        </w:r>
        <w:r>
          <w:instrText xml:space="preserve"> PAGEREF _Toc16741 \h </w:instrText>
        </w:r>
        <w:r>
          <w:fldChar w:fldCharType="separate"/>
        </w:r>
        <w:r>
          <w:t>47</w:t>
        </w:r>
        <w:r>
          <w:fldChar w:fldCharType="end"/>
        </w:r>
      </w:hyperlink>
    </w:p>
    <w:p>
      <w:pPr>
        <w:pStyle w:val="TOC1"/>
        <w:tabs>
          <w:tab w:val="right" w:leader="dot" w:pos="8306"/>
        </w:tabs>
      </w:pPr>
      <w:hyperlink w:anchor="_Toc25660" w:history="1">
        <w:r>
          <w:rPr>
            <w:rFonts w:ascii="仿宋" w:eastAsia="仿宋" w:hAnsi="仿宋" w:cs="仿宋" w:hint="eastAsia"/>
            <w:lang w:eastAsia="zh-CN"/>
          </w:rPr>
          <w:t>十三、营销与推广策略</w:t>
        </w:r>
        <w:r>
          <w:tab/>
        </w:r>
        <w:r>
          <w:fldChar w:fldCharType="begin"/>
        </w:r>
        <w:r>
          <w:instrText xml:space="preserve"> PAGEREF _Toc25660 \h </w:instrText>
        </w:r>
        <w:r>
          <w:fldChar w:fldCharType="separate"/>
        </w:r>
        <w:r>
          <w:t>49</w:t>
        </w:r>
        <w:r>
          <w:fldChar w:fldCharType="end"/>
        </w:r>
      </w:hyperlink>
    </w:p>
    <w:p>
      <w:pPr>
        <w:pStyle w:val="TOC2"/>
        <w:tabs>
          <w:tab w:val="right" w:leader="dot" w:pos="8306"/>
        </w:tabs>
      </w:pPr>
      <w:hyperlink w:anchor="_Toc23104" w:history="1">
        <w:r>
          <w:rPr>
            <w:rFonts w:ascii="仿宋" w:eastAsia="仿宋" w:hAnsi="仿宋" w:cs="仿宋" w:hint="eastAsia"/>
            <w:lang w:eastAsia="zh-CN"/>
          </w:rPr>
          <w:t>(一)、产品/服务定位与特点</w:t>
        </w:r>
        <w:r>
          <w:tab/>
        </w:r>
        <w:r>
          <w:fldChar w:fldCharType="begin"/>
        </w:r>
        <w:r>
          <w:instrText xml:space="preserve"> PAGEREF _Toc23104 \h </w:instrText>
        </w:r>
        <w:r>
          <w:fldChar w:fldCharType="separate"/>
        </w:r>
        <w:r>
          <w:t>49</w:t>
        </w:r>
        <w:r>
          <w:fldChar w:fldCharType="end"/>
        </w:r>
      </w:hyperlink>
    </w:p>
    <w:p>
      <w:pPr>
        <w:pStyle w:val="TOC2"/>
        <w:tabs>
          <w:tab w:val="right" w:leader="dot" w:pos="8306"/>
        </w:tabs>
      </w:pPr>
      <w:hyperlink w:anchor="_Toc517" w:history="1">
        <w:r>
          <w:rPr>
            <w:rFonts w:ascii="仿宋" w:eastAsia="仿宋" w:hAnsi="仿宋" w:cs="仿宋" w:hint="eastAsia"/>
            <w:lang w:eastAsia="zh-CN"/>
          </w:rPr>
          <w:t>(二)、市场定位与竞争分析</w:t>
        </w:r>
        <w:r>
          <w:tab/>
        </w:r>
        <w:r>
          <w:fldChar w:fldCharType="begin"/>
        </w:r>
        <w:r>
          <w:instrText xml:space="preserve"> PAGEREF _Toc517 \h </w:instrText>
        </w:r>
        <w:r>
          <w:fldChar w:fldCharType="separate"/>
        </w:r>
        <w:r>
          <w:t>50</w:t>
        </w:r>
        <w:r>
          <w:fldChar w:fldCharType="end"/>
        </w:r>
      </w:hyperlink>
    </w:p>
    <w:p>
      <w:pPr>
        <w:pStyle w:val="TOC2"/>
        <w:tabs>
          <w:tab w:val="right" w:leader="dot" w:pos="8306"/>
        </w:tabs>
      </w:pPr>
      <w:hyperlink w:anchor="_Toc15608" w:history="1">
        <w:r>
          <w:rPr>
            <w:rFonts w:ascii="仿宋" w:eastAsia="仿宋" w:hAnsi="仿宋" w:cs="仿宋" w:hint="eastAsia"/>
            <w:lang w:eastAsia="zh-CN"/>
          </w:rPr>
          <w:t>(三)、营销渠道与策略</w:t>
        </w:r>
        <w:r>
          <w:tab/>
        </w:r>
        <w:r>
          <w:fldChar w:fldCharType="begin"/>
        </w:r>
        <w:r>
          <w:instrText xml:space="preserve"> PAGEREF _Toc15608 \h </w:instrText>
        </w:r>
        <w:r>
          <w:fldChar w:fldCharType="separate"/>
        </w:r>
        <w:r>
          <w:t>52</w:t>
        </w:r>
        <w:r>
          <w:fldChar w:fldCharType="end"/>
        </w:r>
      </w:hyperlink>
    </w:p>
    <w:p>
      <w:pPr>
        <w:pStyle w:val="TOC2"/>
        <w:tabs>
          <w:tab w:val="right" w:leader="dot" w:pos="8306"/>
        </w:tabs>
      </w:pPr>
      <w:hyperlink w:anchor="_Toc18000" w:history="1">
        <w:r>
          <w:rPr>
            <w:rFonts w:ascii="仿宋" w:eastAsia="仿宋" w:hAnsi="仿宋" w:cs="仿宋" w:hint="eastAsia"/>
            <w:lang w:eastAsia="zh-CN"/>
          </w:rPr>
          <w:t>(四)、推广与宣传活动</w:t>
        </w:r>
        <w:r>
          <w:tab/>
        </w:r>
        <w:r>
          <w:fldChar w:fldCharType="begin"/>
        </w:r>
        <w:r>
          <w:instrText xml:space="preserve"> PAGEREF _Toc18000 \h </w:instrText>
        </w:r>
        <w:r>
          <w:fldChar w:fldCharType="separate"/>
        </w:r>
        <w:r>
          <w:t>53</w:t>
        </w:r>
        <w:r>
          <w:fldChar w:fldCharType="end"/>
        </w:r>
      </w:hyperlink>
    </w:p>
    <w:p>
      <w:pPr>
        <w:pStyle w:val="TOC1"/>
        <w:tabs>
          <w:tab w:val="right" w:leader="dot" w:pos="8306"/>
        </w:tabs>
      </w:pPr>
      <w:hyperlink w:anchor="_Toc18657" w:history="1">
        <w:r>
          <w:rPr>
            <w:rFonts w:ascii="仿宋" w:eastAsia="仿宋" w:hAnsi="仿宋" w:cs="仿宋" w:hint="eastAsia"/>
            <w:lang w:eastAsia="zh-CN"/>
          </w:rPr>
          <w:t>十四、质量管理体系</w:t>
        </w:r>
        <w:r>
          <w:tab/>
        </w:r>
        <w:r>
          <w:fldChar w:fldCharType="begin"/>
        </w:r>
        <w:r>
          <w:instrText xml:space="preserve"> PAGEREF _Toc18657 \h </w:instrText>
        </w:r>
        <w:r>
          <w:fldChar w:fldCharType="separate"/>
        </w:r>
        <w:r>
          <w:t>58</w:t>
        </w:r>
        <w:r>
          <w:fldChar w:fldCharType="end"/>
        </w:r>
      </w:hyperlink>
    </w:p>
    <w:p>
      <w:pPr>
        <w:pStyle w:val="TOC2"/>
        <w:tabs>
          <w:tab w:val="right" w:leader="dot" w:pos="8306"/>
        </w:tabs>
      </w:pPr>
      <w:hyperlink w:anchor="_Toc15821" w:history="1">
        <w:r>
          <w:rPr>
            <w:rFonts w:ascii="仿宋" w:eastAsia="仿宋" w:hAnsi="仿宋" w:cs="仿宋" w:hint="eastAsia"/>
            <w:lang w:eastAsia="zh-CN"/>
          </w:rPr>
          <w:t>(一)、质量目标与方针</w:t>
        </w:r>
        <w:r>
          <w:tab/>
        </w:r>
        <w:r>
          <w:fldChar w:fldCharType="begin"/>
        </w:r>
        <w:r>
          <w:instrText xml:space="preserve"> PAGEREF _Toc15821 \h </w:instrText>
        </w:r>
        <w:r>
          <w:fldChar w:fldCharType="separate"/>
        </w:r>
        <w:r>
          <w:t>58</w:t>
        </w:r>
        <w:r>
          <w:fldChar w:fldCharType="end"/>
        </w:r>
      </w:hyperlink>
    </w:p>
    <w:p>
      <w:pPr>
        <w:pStyle w:val="TOC2"/>
        <w:tabs>
          <w:tab w:val="right" w:leader="dot" w:pos="8306"/>
        </w:tabs>
      </w:pPr>
      <w:hyperlink w:anchor="_Toc8161" w:history="1">
        <w:r>
          <w:rPr>
            <w:rFonts w:ascii="仿宋" w:eastAsia="仿宋" w:hAnsi="仿宋" w:cs="仿宋" w:hint="eastAsia"/>
            <w:lang w:eastAsia="zh-CN"/>
          </w:rPr>
          <w:t>(二)、质量管理责任</w:t>
        </w:r>
        <w:r>
          <w:tab/>
        </w:r>
        <w:r>
          <w:fldChar w:fldCharType="begin"/>
        </w:r>
        <w:r>
          <w:instrText xml:space="preserve"> PAGEREF _Toc8161 \h </w:instrText>
        </w:r>
        <w:r>
          <w:fldChar w:fldCharType="separate"/>
        </w:r>
        <w:r>
          <w:t>59</w:t>
        </w:r>
        <w:r>
          <w:fldChar w:fldCharType="end"/>
        </w:r>
      </w:hyperlink>
    </w:p>
    <w:p>
      <w:pPr>
        <w:pStyle w:val="TOC2"/>
        <w:tabs>
          <w:tab w:val="right" w:leader="dot" w:pos="8306"/>
        </w:tabs>
      </w:pPr>
      <w:hyperlink w:anchor="_Toc21266" w:history="1">
        <w:r>
          <w:rPr>
            <w:rFonts w:ascii="仿宋" w:eastAsia="仿宋" w:hAnsi="仿宋" w:cs="仿宋" w:hint="eastAsia"/>
            <w:lang w:eastAsia="zh-CN"/>
          </w:rPr>
          <w:t>(三)、质量管理体系文件</w:t>
        </w:r>
        <w:r>
          <w:tab/>
        </w:r>
        <w:r>
          <w:fldChar w:fldCharType="begin"/>
        </w:r>
        <w:r>
          <w:instrText xml:space="preserve"> PAGEREF _Toc21266 \h </w:instrText>
        </w:r>
        <w:r>
          <w:fldChar w:fldCharType="separate"/>
        </w:r>
        <w:r>
          <w:t>61</w:t>
        </w:r>
        <w:r>
          <w:fldChar w:fldCharType="end"/>
        </w:r>
      </w:hyperlink>
    </w:p>
    <w:p>
      <w:pPr>
        <w:pStyle w:val="TOC2"/>
        <w:tabs>
          <w:tab w:val="right" w:leader="dot" w:pos="8306"/>
        </w:tabs>
      </w:pPr>
      <w:hyperlink w:anchor="_Toc6502" w:history="1">
        <w:r>
          <w:rPr>
            <w:rFonts w:ascii="仿宋" w:eastAsia="仿宋" w:hAnsi="仿宋" w:cs="仿宋" w:hint="eastAsia"/>
            <w:lang w:eastAsia="zh-CN"/>
          </w:rPr>
          <w:t>(四)、质量培训与教育</w:t>
        </w:r>
        <w:r>
          <w:tab/>
        </w:r>
        <w:r>
          <w:fldChar w:fldCharType="begin"/>
        </w:r>
        <w:r>
          <w:instrText xml:space="preserve"> PAGEREF _Toc6502 \h </w:instrText>
        </w:r>
        <w:r>
          <w:fldChar w:fldCharType="separate"/>
        </w:r>
        <w:r>
          <w:t>63</w:t>
        </w:r>
        <w:r>
          <w:fldChar w:fldCharType="end"/>
        </w:r>
      </w:hyperlink>
    </w:p>
    <w:p>
      <w:pPr>
        <w:pStyle w:val="TOC2"/>
        <w:tabs>
          <w:tab w:val="right" w:leader="dot" w:pos="8306"/>
        </w:tabs>
      </w:pPr>
      <w:hyperlink w:anchor="_Toc8737" w:history="1">
        <w:r>
          <w:rPr>
            <w:rFonts w:ascii="仿宋" w:eastAsia="仿宋" w:hAnsi="仿宋" w:cs="仿宋" w:hint="eastAsia"/>
            <w:lang w:eastAsia="zh-CN"/>
          </w:rPr>
          <w:t>(五)、质量审核与评价</w:t>
        </w:r>
        <w:r>
          <w:tab/>
        </w:r>
        <w:r>
          <w:fldChar w:fldCharType="begin"/>
        </w:r>
        <w:r>
          <w:instrText xml:space="preserve"> PAGEREF _Toc8737 \h </w:instrText>
        </w:r>
        <w:r>
          <w:fldChar w:fldCharType="separate"/>
        </w:r>
        <w:r>
          <w:t>64</w:t>
        </w:r>
        <w:r>
          <w:fldChar w:fldCharType="end"/>
        </w:r>
      </w:hyperlink>
    </w:p>
    <w:p>
      <w:pPr>
        <w:pStyle w:val="TOC2"/>
        <w:tabs>
          <w:tab w:val="right" w:leader="dot" w:pos="8306"/>
        </w:tabs>
      </w:pPr>
      <w:hyperlink w:anchor="_Toc17018" w:history="1">
        <w:r>
          <w:rPr>
            <w:rFonts w:ascii="仿宋" w:eastAsia="仿宋" w:hAnsi="仿宋" w:cs="仿宋" w:hint="eastAsia"/>
            <w:lang w:eastAsia="zh-CN"/>
          </w:rPr>
          <w:t>(六)、不符合与纠正措施</w:t>
        </w:r>
        <w:r>
          <w:tab/>
        </w:r>
        <w:r>
          <w:fldChar w:fldCharType="begin"/>
        </w:r>
        <w:r>
          <w:instrText xml:space="preserve"> PAGEREF _Toc17018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07"/>
      <w:r>
        <w:rPr>
          <w:rFonts w:ascii="仿宋" w:eastAsia="仿宋" w:hAnsi="仿宋" w:cs="仿宋" w:hint="eastAsia"/>
          <w:sz w:val="28"/>
          <w:lang w:eastAsia="zh-CN"/>
        </w:rPr>
        <w:t>一、馏份油中压加氢改质催化剂项目建设背景及必要性分析</w:t>
      </w:r>
      <w:bookmarkEnd w:id="2"/>
    </w:p>
    <w:p>
      <w:pPr>
        <w:pStyle w:val="Heading2"/>
        <w:rPr>
          <w:rFonts w:ascii="仿宋" w:eastAsia="仿宋" w:hAnsi="仿宋" w:cs="仿宋" w:hint="eastAsia"/>
          <w:lang w:eastAsia="zh-CN"/>
        </w:rPr>
      </w:pPr>
      <w:bookmarkStart w:id="3" w:name="_Toc21108"/>
      <w:r>
        <w:rPr>
          <w:rFonts w:ascii="仿宋" w:eastAsia="仿宋" w:hAnsi="仿宋" w:cs="仿宋" w:hint="eastAsia"/>
          <w:lang w:eastAsia="zh-CN"/>
        </w:rPr>
        <w:t>(一)、馏份油中压加氢改质催化剂项目背景分析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馏份油中压加氢改质催化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馏份油中压加氢改质催化剂项目在这个潮流中的定位。同时，我们将关注行业内涌现的新兴机遇，以便馏份油中压加氢改质催化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馏份油中压加氢改质催化剂项目提供了强大的发展动力。我们将聚焦于行业内最新的技术发展趋势，包括但不限于人工智能、大数据分析、物联网等领域。通过深度的技术研究，我们将确保馏份油中压加氢改质催化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馏份油中压加氢改质催化剂项目发展的源泉。我们将投入更多的精力对市场需求进行深入剖析，超越表面的需求，深入挖掘潜在的市场痛点和机遇。通过对市场需求的细致了解，馏份油中压加氢改质催化剂项目将更有针对性地设计解决方案，满足市场的多样化需求，从而更好地促进馏份油中压加氢改质催化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馏份油中压加氢改质催化剂项目战略至关重要。我们将对竞争态势进行更为深入的分析，包括但不限于市场份额、产品特点、客户满意度等多个维度。通过深度的竞争分析，馏份油中压加氢改质催化剂项目将能够更准确地把握市场脉搏，制定具有竞争力的馏份油中压加氢改质催化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馏份油中压加氢改质催化剂项目的发展具有直接的影响。我们将进行更为全面的法规和政策分析，了解行业发展中的潜在法律风险和合规挑战。通过充分了解和遵守相关法规，馏份油中压加氢改质催化剂项目将确保在法律框架内合法合规运营，为馏份油中压加氢改质催化剂项目的稳健发展提供有力支持。</w:t>
      </w:r>
    </w:p>
    <w:p>
      <w:pPr>
        <w:pStyle w:val="Heading2"/>
        <w:ind w:firstLine="560" w:firstLineChars="200"/>
        <w:rPr>
          <w:rFonts w:ascii="仿宋" w:eastAsia="仿宋" w:hAnsi="仿宋" w:cs="仿宋" w:hint="eastAsia"/>
          <w:sz w:val="28"/>
          <w:lang w:eastAsia="zh-CN"/>
        </w:rPr>
      </w:pPr>
      <w:bookmarkStart w:id="4" w:name="_Toc9228"/>
      <w:r>
        <w:rPr>
          <w:rFonts w:ascii="仿宋" w:eastAsia="仿宋" w:hAnsi="仿宋" w:cs="仿宋" w:hint="eastAsia"/>
          <w:sz w:val="28"/>
          <w:lang w:eastAsia="zh-CN"/>
        </w:rPr>
        <w:t>(二)、馏份油中压加氢改质催化剂项目建设必要性分析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建设的迫切性源于对行业发展趋势的深刻洞察。我们正处于一个行业变革的时代，科技创新、数字化转型成为企业发展的关键动力。馏份油中压加氢改质催化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建设不仅仅是为了跟上潮流，更是为了通过技术创新推动企业的持续发展。通过引入先进的技术和解决方案，馏份油中压加氢改质催化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馏份油中压加氢改质催化剂项目的建设成为必然选择，通过提高产品质量、拓展服务领域，从而在竞争中获得更多的机会。馏份油中压加氢改质催化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馏份油中压加氢改质催化剂项目建设的必要性体现在对客户需求更精准的满足。通过馏份油中压加氢改质催化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建设的背后是对企业持续创新的追求。只有通过不断创新，企业才能在竞争中立于不败之地。馏份油中压加氢改质催化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092"/>
      <w:r>
        <w:rPr>
          <w:rFonts w:ascii="仿宋" w:eastAsia="仿宋" w:hAnsi="仿宋" w:cs="仿宋" w:hint="eastAsia"/>
          <w:sz w:val="28"/>
          <w:lang w:eastAsia="zh-CN"/>
        </w:rPr>
        <w:t>二、馏份油中压加氢改质催化剂项目危机管理</w:t>
      </w:r>
      <w:bookmarkEnd w:id="5"/>
    </w:p>
    <w:p>
      <w:pPr>
        <w:pStyle w:val="Heading2"/>
        <w:rPr>
          <w:rFonts w:ascii="仿宋" w:eastAsia="仿宋" w:hAnsi="仿宋" w:cs="仿宋" w:hint="eastAsia"/>
          <w:lang w:eastAsia="zh-CN"/>
        </w:rPr>
      </w:pPr>
      <w:bookmarkStart w:id="6" w:name="_Toc587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馏份油中压加氢改质催化剂项目危机管理中，危机预警与识别是确保馏份油中压加氢改质催化剂项目稳健运行的核心步骤。通过建立全面的监测机制，馏份油中压加氢改质催化剂项目团队旨在及时发现和理解潜在的风险和危机因素，以便采取及时的预防和应对措施，确保馏份油中压加氢改质催化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馏份油中压加氢改质催化剂项目团队全面分析了整个馏份油中压加氢改质催化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馏份油中压加氢改质催化剂项目团队着重于明确定义馏份油中压加氢改质催化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馏份油中压加氢改质催化剂项目进展的持续监控，团队能够及时发现潜在问题并作出迅速反应。馏份油中压加氢改质催化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馏份油中压加氢改质催化剂项目得以更有序、可控地推进。</w:t>
      </w:r>
    </w:p>
    <w:p>
      <w:pPr>
        <w:pStyle w:val="Heading2"/>
        <w:ind w:firstLine="560" w:firstLineChars="200"/>
        <w:rPr>
          <w:rFonts w:ascii="仿宋" w:eastAsia="仿宋" w:hAnsi="仿宋" w:cs="仿宋" w:hint="eastAsia"/>
          <w:sz w:val="28"/>
          <w:lang w:eastAsia="zh-CN"/>
        </w:rPr>
      </w:pPr>
      <w:bookmarkStart w:id="7" w:name="_Toc686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在危机发生时，馏份油中压加氢改质催化剂项目团队立即行动，成立了应急小组。该小组的任务是迅速制定并实施紧急应对措施，以最小化潜在损失。以下是采取的主要措施：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暂停馏份油中压加氢改质催化剂项目进度：为遏制危机蔓延，馏份油中压加氢改质催化剂项目暂时停止进行，以便全面评估当前状况。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资源重新分配：重新评估馏份油中压加氢改质催化剂项目资源的分配，确保最大限度地减小损失。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实时沟通：与关键利益相关者建立实时沟通机制，向他们传递馏份油中压加氢改质催化剂项目危机的实际状况，保障馏份油中压加氢改质催化剂项目核心利益。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在紧急应对的同时，馏份油中压加氢改质催化剂项目团队强调了团队协作和有效沟通的重要性。以下是团队协作的关键举措：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信息共享机制：建立了信息共享平台，确保团队成员能够及时获取馏份油中压加氢改质催化剂项目危机的实时信息。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领导者沟通：馏份油中压加氢改质催化剂项目领导者通过定期会议和即时沟通工具，指导团队应对危机，保持团队稳定运行。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随着危机得到初步控制，馏份油中压加氢改质催化剂项目团队转向制定恢复计划，以确保馏份油中压加氢改质催化剂项目能够从中迅速恢复。主要恢复计划包括：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修复受损的进度计划：重新评估馏份油中压加氢改质催化剂项目进度，制定修复计划，确保馏份油中压加氢改质催化剂项目尽快回归正常进程。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重新调整资源分配：优化资源分配，确保馏份油中压加氢改质催化剂项目在有限资源下高效运转。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风险管理机制加强：对馏份油中压加氢改质催化剂项目风险进行全面评估，制定更强化的风险管理策略，以预防未来可能的危机。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6489"/>
      <w:r>
        <w:rPr>
          <w:rFonts w:ascii="仿宋" w:eastAsia="仿宋" w:hAnsi="仿宋" w:cs="仿宋" w:hint="eastAsia"/>
          <w:sz w:val="28"/>
          <w:lang w:eastAsia="zh-CN"/>
        </w:rPr>
        <w:t>三、馏份油中压加氢改质催化剂项目土建工程</w:t>
      </w:r>
      <w:bookmarkEnd w:id="8"/>
    </w:p>
    <w:p>
      <w:pPr>
        <w:pStyle w:val="Heading2"/>
        <w:rPr>
          <w:rFonts w:ascii="仿宋" w:eastAsia="仿宋" w:hAnsi="仿宋" w:cs="仿宋" w:hint="eastAsia"/>
          <w:lang w:eastAsia="zh-CN"/>
        </w:rPr>
      </w:pPr>
      <w:bookmarkStart w:id="9" w:name="_Toc1695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在馏份油中压加氢改质催化剂项目的建筑工程设计中，我们将秉承一系列重要的设计原则，以确保馏份油中压加氢改质催化剂项目建筑在功能、美观、可持续性等方面达到最佳效果。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首要原则是确保建筑的功能性得到最大化的发挥。我们将充分理解馏份油中压加氢改质催化剂项目的实际需求，合理布局各个功能区域，保证建筑在满足业务需求的同时，提供高效的工作环境。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在建筑设计中，我们将综合考虑建设和运营成本。通过精细的经济效益分析，确保设计方案在高效利用资源的同时，对馏份油中压加氢改质催化剂项目的长期盈利能力有积极的贡献。</w:t>
      </w:r>
    </w:p>
    <w:p>
      <w:pPr>
        <w:pStyle w:val="Heading2"/>
        <w:ind w:firstLine="560" w:firstLineChars="200"/>
        <w:rPr>
          <w:rFonts w:ascii="仿宋" w:eastAsia="仿宋" w:hAnsi="仿宋" w:cs="仿宋" w:hint="eastAsia"/>
          <w:sz w:val="28"/>
          <w:lang w:eastAsia="zh-CN"/>
        </w:rPr>
      </w:pPr>
      <w:bookmarkStart w:id="10" w:name="_Toc2101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馏份油中压加氢改质催化剂项目的土建工程设计中，我们将精准设定设计年限，结合馏份油中压加氢改质催化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馏份油中压加氢改质催化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336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馏份油中压加氢改质催化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馏份油中压加氢改质催化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馏份油中压加氢改质催化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965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本期工程馏份油中压加氢改质催化剂项目预计总建筑面积XXX平方米，其中：计容建筑面积XXX平方米，计划建筑工程投资XX万元，占馏份油中压加氢改质催化剂项目总投资的XX%。</w:t>
      </w:r>
    </w:p>
    <w:p>
      <w:pPr>
        <w:pStyle w:val="Heading1"/>
        <w:ind w:firstLine="560" w:firstLineChars="200"/>
        <w:rPr>
          <w:rFonts w:ascii="仿宋" w:eastAsia="仿宋" w:hAnsi="仿宋" w:cs="仿宋" w:hint="eastAsia"/>
          <w:sz w:val="28"/>
          <w:lang w:eastAsia="zh-CN"/>
        </w:rPr>
      </w:pPr>
      <w:bookmarkStart w:id="13" w:name="_Toc27302"/>
      <w:r>
        <w:rPr>
          <w:rFonts w:ascii="仿宋" w:eastAsia="仿宋" w:hAnsi="仿宋" w:cs="仿宋" w:hint="eastAsia"/>
          <w:sz w:val="28"/>
          <w:lang w:eastAsia="zh-CN"/>
        </w:rPr>
        <w:t>四、馏份油中压加氢改质催化剂项目建设单位说明</w:t>
      </w:r>
      <w:bookmarkEnd w:id="13"/>
    </w:p>
    <w:p>
      <w:pPr>
        <w:pStyle w:val="Heading2"/>
        <w:rPr>
          <w:rFonts w:ascii="仿宋" w:eastAsia="仿宋" w:hAnsi="仿宋" w:cs="仿宋" w:hint="eastAsia"/>
          <w:lang w:eastAsia="zh-CN"/>
        </w:rPr>
      </w:pPr>
      <w:bookmarkStart w:id="14" w:name="_Toc11485"/>
      <w:r>
        <w:rPr>
          <w:rFonts w:ascii="仿宋" w:eastAsia="仿宋" w:hAnsi="仿宋" w:cs="仿宋" w:hint="eastAsia"/>
          <w:lang w:eastAsia="zh-CN"/>
        </w:rPr>
        <w:t>(一)、馏份油中压加氢改质催化剂项目承办单位基本情况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1224"/>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馏份油中压加氢改质催化剂项目承办单位的XXXX，我们着眼于实现可持续的经济效益。通过技术创新和解决方案的提供，公司预计在馏份油中压加氢改质催化剂项目执行期间将获得可观的收入增长。这一收入来源主要包括馏份油中压加氢改质催化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同时，我们注重成本控制和效率提升，以确保馏份油中压加氢改质催化剂项目的可持续盈利。透过精细的管理和资源优化，公司期望实现馏份油中压加氢改质催化剂项目利润最大化。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馏份油中压加氢改质催化剂项目实施进行全面的投资评估，包括馏份油中压加氢改质催化剂项目启动阶段的资金投入和后续运营成本。通过对馏份油中压加氢改质催化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馏份油中压加氢改质催化剂项目实施过程中具备足够的资金流动性，公司将进行详尽的现金流分析。这包括资金需求的合理预测、馏份油中压加氢改质催化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5046"/>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3898"/>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馏份油中压加氢改质催化剂项目的主要产品是XXXX，预计年产值为XXX万元。这一产品在市场中占据着重要的地位，其广泛的应用范围使得该馏份油中压加氢改质催化剂项目的市场前景非常广阔。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馏份油中压加氢改质催化剂项目的xxx产品作为重要的原材料之一，将在多个领域发挥关键作用。其在建筑、交通、能源等方面的广泛应用将为整个产业链提供强大的支持，形成产业协同效应。馏份油中压加氢改质催化剂项目的年产值XXX万XXX万XXX万万元不仅反映了其在市场上的巨大潜力，更预示着它对国民经济的积极贡献。这种关联度高、涉及面广的产业关系，使得该馏份油中压加氢改质催化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2131"/>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总征地面积为XXXX平方米，相当于约XX.XX亩，其中净用地面积为XXXX平方米，红线范围内相当于约XX.XX亩。这一用地规模充分考虑了馏份油中压加氢改质催化剂项目的建设需求，保障了馏份油中压加氢改质催化剂项目在合适的空间内得以充分发展。馏份油中压加氢改质催化剂项目规划的总建筑面积为XXXX平方米，其中主体工程建设占XXXX平方米，计容建筑面积达XXXX平方米。预计建筑工程的投资将达到XXXX万元，为馏份油中压加氢改质催化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馏份油中压加氢改质催化剂项目计划购置的设备共计XXXX台（套），设备购置费用为XXXX万元。这一设备购置计划充分考虑到馏份油中压加氢改质催化剂项目的生产需求和技术要求，确保了馏份油中压加氢改质催化剂项目在生产运营中具备先进的技术装备和高效的生产能力。设备的合理配置将为馏份油中压加氢改质催化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计划总投资为XXXX万元，预计年实现营业收入为XXXX万元。这一产能规模的设定旨在确保馏份油中压加氢改质催化剂项目能够在投资与回报之间取得平衡，实现长期可持续的发展。馏份油中压加氢改质催化剂项目的总投资充分考虑到各个方面的需求，包括用地建设、设备购置等多个环节，以确保馏份油中压加氢改质催化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4541"/>
      <w:r>
        <w:rPr>
          <w:rFonts w:ascii="仿宋" w:eastAsia="仿宋" w:hAnsi="仿宋" w:cs="仿宋" w:hint="eastAsia"/>
          <w:sz w:val="28"/>
          <w:lang w:eastAsia="zh-CN"/>
        </w:rPr>
        <w:t>六、馏份油中压加氢改质催化剂项目绩效评估</w:t>
      </w:r>
      <w:bookmarkEnd w:id="19"/>
    </w:p>
    <w:p>
      <w:pPr>
        <w:pStyle w:val="Heading2"/>
        <w:rPr>
          <w:rFonts w:ascii="仿宋" w:eastAsia="仿宋" w:hAnsi="仿宋" w:cs="仿宋" w:hint="eastAsia"/>
          <w:lang w:eastAsia="zh-CN"/>
        </w:rPr>
      </w:pPr>
      <w:bookmarkStart w:id="20" w:name="_Toc11970"/>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馏份油中压加氢改质催化剂项目中，我们设计了一套全面的绩效评估指标，以确保馏份油中压加氢改质催化剂项目的可控和成功交付。这些指标跨足馏份油中压加氢改质催化剂项目目标、成本、进度和质量等多个维度，为我们提供了全面洞察馏份油中压加氢改质催化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目标达成率是我们关注的首要指标。我们设定了明确的目标，并通过定期监测和评估，迅速发现并应对潜在的目标偏差。这为馏份油中压加氢改质催化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https://d.book118.com/775031114312011040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517EA5"/>
    <w:rsid w:val="4E517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03111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2024-01-08T21:52:00Z</dcterms:created>
  <dcterms:modified xsi:type="dcterms:W3CDTF">2024-01-08T21:52:12Z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3D1BA7CF5190495F9DC2D75ECAD2805F_11</vt:lpwstr>
  </property>
  <property fmtid="{D5CDD505-2E9C-101B-9397-08002B2CF9AE}" pid="3" name="KSOProductBuildVer">
    <vt:lpwstr>2052-12.1.0.16120</vt:lpwstr>
  </property>
</Properties>
</file>