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红河哈尼族彝族自治州市绿春县2023-2024学年九年级上学期期末物理冲刺卷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（武汉模拟）如图所示的电路中，电源电压保持不变。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​为滑动变阻器，</w:t>
      </w:r>
      <w:r>
        <w:pict>
          <v:shape id="_x0000_i102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​、</w:t>
      </w:r>
      <w:r>
        <w:pict>
          <v:shape id="_x0000_i102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​为定值电阻。闭合开关</w:t>
      </w:r>
      <w:r>
        <w:pict>
          <v:shape id="_x0000_i102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​，将滑片</w:t>
      </w:r>
      <w:r>
        <w:pict>
          <v:shape id="_x0000_i102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​由</w:t>
      </w:r>
      <w:r>
        <w:pict>
          <v:shape id="_x0000_i1030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​端向</w:t>
      </w:r>
      <w:r>
        <w:pict>
          <v:shape id="_x0000_i103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​端滑动一段距离后，电压表</w:t>
      </w:r>
      <w:r>
        <w:pict>
          <v:shape id="_x0000_i1032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​、</w:t>
      </w:r>
      <w:r>
        <w:pict>
          <v:shape id="_x0000_i1033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​示数变化的大小分别为△</w:t>
      </w:r>
      <w:r>
        <w:pict>
          <v:shape id="_x0000_i1034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​、△</w:t>
      </w:r>
      <w:r>
        <w:pict>
          <v:shape id="_x0000_i1035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​，电流表示数变化的大小为△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I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​．下列判断不正确的是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100pt;height:84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.△</w:t>
      </w:r>
      <w:r>
        <w:pict>
          <v:shape id="_x0000_i1040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​大于△</w:t>
      </w:r>
      <w:r>
        <w:pict>
          <v:shape id="_x0000_i1041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27.35pt;height:35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△&lt;/m:t&gt;&lt;/m:r&gt;&lt;m:sSub&gt;&lt;m:e&gt;&lt;m:r&gt;&lt;w:rPr&gt;&lt;w:sz w:val=&quot;30&quot; /&gt;&lt;/w:rPr&gt;&lt;m:t&gt;​U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/m:num&gt;&lt;m:den&gt;&lt;m:r&gt;&lt;w:rPr&gt;&lt;w:sz w:val=&quot;30&quot; /&gt;&lt;/w:rPr&gt;&lt;m:t&gt;△I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​与</w:t>
      </w:r>
      <w:r>
        <w:pict>
          <v:shape id="_x0000_i1043" type="#_x0000_t75" style="width:27.35pt;height:35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△&lt;/m:t&gt;&lt;/m:r&gt;&lt;m:sSub&gt;&lt;m:e&gt;&lt;m:r&gt;&lt;w:rPr&gt;&lt;w:sz w:val=&quot;30&quot; /&gt;&lt;/w:rPr&gt;&lt;m:t&gt;​U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/m:num&gt;&lt;m:den&gt;&lt;m:r&gt;&lt;w:rPr&gt;&lt;w:sz w:val=&quot;30&quot; /&gt;&lt;/w:rPr&gt;&lt;m:t&gt;△I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​的差值等于</w:t>
      </w:r>
      <w:r>
        <w:pict>
          <v:shape id="_x0000_i1044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​和</w:t>
      </w:r>
      <w:r>
        <w:pict>
          <v:shape id="_x0000_i104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​消耗的电功率的和增加了△</w:t>
      </w:r>
      <w:r>
        <w:pict>
          <v:shape id="_x0000_i1047" type="#_x0000_t75" style="width:1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2&lt;/m:t&gt;&lt;/m:r&gt;&lt;/m:sub&gt;&lt;/m:sSub&gt;&lt;m:r&gt;&lt;m:t&gt;​·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​△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I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.电压表</w:t>
      </w:r>
      <w:r>
        <w:pict>
          <v:shape id="_x0000_i1049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​示数变小、电压表</w:t>
      </w:r>
      <w:r>
        <w:pict>
          <v:shape id="_x0000_i1050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​示数变大，电流表示数变大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（河北省衡水市武邑县宏达学校八年级（上）期末物理试卷）科学知识可以通过对生活中的一些现象的探究而获得，小徐探究下列现象获得对应的科学知识，其中不正确的是（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23"/>
          <w:headerReference w:type="default" r:id="rId24"/>
          <w:footerReference w:type="even" r:id="rId25"/>
          <w:footerReference w:type="default" r:id="rId26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.轮船浮在水面上--漂浮的条件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.晒盐场晒盐--蒸发结晶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.节日里放飞的氢气球，升到高空时会破裂--大气压随高度升高而减小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.橡胶手套不易导电--没有电荷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（广东省初三级第一次月考物理试卷（））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下列数据中最接近事实的是(  )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.人步行的速度是5m/s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.洗澡水的温度是80℃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.通过电风扇的电流是10A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.柴油机的效率是35％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（北京市西城区（南区）重点中学九年级（上）期中物理模拟试卷（2））下列用品中，通常情况下属于绝缘体的是（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.橡皮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.钢尺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.食盐水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.铅笔芯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（《第7章 热现象目标检测试卷》2022年单元测试卷（北京市））指出下列几句话中正确的是（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.“能源危机”的提法与能量转化和守恒定律是矛盾的，所以是错误的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.太阳不断地照射地球，使地球不断吸热而温度升高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.地球上现有的燃料如石油、煤、天然气等是有限的，但能量的来源是无限的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.能量转化和守恒定律的适用范围是地球内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（黑龙江省哈尔滨工大附中九年级（上）期中物理试卷（五四学制））两个相同的容器分别装有甲、乙两种液体，用同一热源分别加热，液体温度与加热时间关系如图所示．根据图线可知（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1" type="#_x0000_t75" style="width:77pt;height:67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.甲液体的比热容一定大于乙液体的比热容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https://d.book118.com/775330131033011100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9"/>
      <w:headerReference w:type="default" r:id="rId30"/>
      <w:footerReference w:type="even" r:id="rId31"/>
      <w:footerReference w:type="default" r:id="rId3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eader" Target="header1.xml" /><Relationship Id="rId24" Type="http://schemas.openxmlformats.org/officeDocument/2006/relationships/header" Target="header2.xml" /><Relationship Id="rId25" Type="http://schemas.openxmlformats.org/officeDocument/2006/relationships/footer" Target="footer1.xml" /><Relationship Id="rId26" Type="http://schemas.openxmlformats.org/officeDocument/2006/relationships/footer" Target="footer2.xml" /><Relationship Id="rId27" Type="http://schemas.openxmlformats.org/officeDocument/2006/relationships/image" Target="media/image19.png" /><Relationship Id="rId28" Type="http://schemas.openxmlformats.org/officeDocument/2006/relationships/hyperlink" Target="https://d.book118.com/775330131033011100" TargetMode="External" /><Relationship Id="rId29" Type="http://schemas.openxmlformats.org/officeDocument/2006/relationships/header" Target="header3.xml" /><Relationship Id="rId3" Type="http://schemas.openxmlformats.org/officeDocument/2006/relationships/fontTable" Target="fontTable.xml" /><Relationship Id="rId30" Type="http://schemas.openxmlformats.org/officeDocument/2006/relationships/header" Target="header4.xml" /><Relationship Id="rId31" Type="http://schemas.openxmlformats.org/officeDocument/2006/relationships/footer" Target="footer3.xml" /><Relationship Id="rId32" Type="http://schemas.openxmlformats.org/officeDocument/2006/relationships/footer" Target="footer4.xml" /><Relationship Id="rId33" Type="http://schemas.openxmlformats.org/officeDocument/2006/relationships/theme" Target="theme/theme1.xml" /><Relationship Id="rId34" Type="http://schemas.openxmlformats.org/officeDocument/2006/relationships/numbering" Target="numbering.xml" /><Relationship Id="rId35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