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footer14.xml" ContentType="application/vnd.openxmlformats-officedocument.wordprocessingml.footer+xml"/>
  <Override PartName="/word/footer140.xml" ContentType="application/vnd.openxmlformats-officedocument.wordprocessingml.footer+xml"/>
  <Override PartName="/word/footer141.xml" ContentType="application/vnd.openxmlformats-officedocument.wordprocessingml.footer+xml"/>
  <Override PartName="/word/footer142.xml" ContentType="application/vnd.openxmlformats-officedocument.wordprocessingml.footer+xml"/>
  <Override PartName="/word/footer143.xml" ContentType="application/vnd.openxmlformats-officedocument.wordprocessingml.footer+xml"/>
  <Override PartName="/word/footer144.xml" ContentType="application/vnd.openxmlformats-officedocument.wordprocessingml.footer+xml"/>
  <Override PartName="/word/footer145.xml" ContentType="application/vnd.openxmlformats-officedocument.wordprocessingml.footer+xml"/>
  <Override PartName="/word/footer146.xml" ContentType="application/vnd.openxmlformats-officedocument.wordprocessingml.footer+xml"/>
  <Override PartName="/word/footer147.xml" ContentType="application/vnd.openxmlformats-officedocument.wordprocessingml.footer+xml"/>
  <Override PartName="/word/footer148.xml" ContentType="application/vnd.openxmlformats-officedocument.wordprocessingml.footer+xml"/>
  <Override PartName="/word/footer149.xml" ContentType="application/vnd.openxmlformats-officedocument.wordprocessingml.footer+xml"/>
  <Override PartName="/word/footer15.xml" ContentType="application/vnd.openxmlformats-officedocument.wordprocessingml.footer+xml"/>
  <Override PartName="/word/footer150.xml" ContentType="application/vnd.openxmlformats-officedocument.wordprocessingml.footer+xml"/>
  <Override PartName="/word/footer151.xml" ContentType="application/vnd.openxmlformats-officedocument.wordprocessingml.footer+xml"/>
  <Override PartName="/word/footer152.xml" ContentType="application/vnd.openxmlformats-officedocument.wordprocessingml.footer+xml"/>
  <Override PartName="/word/footer153.xml" ContentType="application/vnd.openxmlformats-officedocument.wordprocessingml.footer+xml"/>
  <Override PartName="/word/footer154.xml" ContentType="application/vnd.openxmlformats-officedocument.wordprocessingml.footer+xml"/>
  <Override PartName="/word/footer155.xml" ContentType="application/vnd.openxmlformats-officedocument.wordprocessingml.footer+xml"/>
  <Override PartName="/word/footer156.xml" ContentType="application/vnd.openxmlformats-officedocument.wordprocessingml.footer+xml"/>
  <Override PartName="/word/footer157.xml" ContentType="application/vnd.openxmlformats-officedocument.wordprocessingml.footer+xml"/>
  <Override PartName="/word/footer158.xml" ContentType="application/vnd.openxmlformats-officedocument.wordprocessingml.footer+xml"/>
  <Override PartName="/word/footer159.xml" ContentType="application/vnd.openxmlformats-officedocument.wordprocessingml.footer+xml"/>
  <Override PartName="/word/footer16.xml" ContentType="application/vnd.openxmlformats-officedocument.wordprocessingml.footer+xml"/>
  <Override PartName="/word/footer160.xml" ContentType="application/vnd.openxmlformats-officedocument.wordprocessingml.footer+xml"/>
  <Override PartName="/word/footer161.xml" ContentType="application/vnd.openxmlformats-officedocument.wordprocessingml.footer+xml"/>
  <Override PartName="/word/footer162.xml" ContentType="application/vnd.openxmlformats-officedocument.wordprocessingml.footer+xml"/>
  <Override PartName="/word/footer163.xml" ContentType="application/vnd.openxmlformats-officedocument.wordprocessingml.footer+xml"/>
  <Override PartName="/word/footer164.xml" ContentType="application/vnd.openxmlformats-officedocument.wordprocessingml.footer+xml"/>
  <Override PartName="/word/footer165.xml" ContentType="application/vnd.openxmlformats-officedocument.wordprocessingml.footer+xml"/>
  <Override PartName="/word/footer166.xml" ContentType="application/vnd.openxmlformats-officedocument.wordprocessingml.footer+xml"/>
  <Override PartName="/word/footer167.xml" ContentType="application/vnd.openxmlformats-officedocument.wordprocessingml.footer+xml"/>
  <Override PartName="/word/footer168.xml" ContentType="application/vnd.openxmlformats-officedocument.wordprocessingml.footer+xml"/>
  <Override PartName="/word/footer169.xml" ContentType="application/vnd.openxmlformats-officedocument.wordprocessingml.footer+xml"/>
  <Override PartName="/word/footer17.xml" ContentType="application/vnd.openxmlformats-officedocument.wordprocessingml.footer+xml"/>
  <Override PartName="/word/footer170.xml" ContentType="application/vnd.openxmlformats-officedocument.wordprocessingml.footer+xml"/>
  <Override PartName="/word/footer171.xml" ContentType="application/vnd.openxmlformats-officedocument.wordprocessingml.footer+xml"/>
  <Override PartName="/word/footer172.xml" ContentType="application/vnd.openxmlformats-officedocument.wordprocessingml.footer+xml"/>
  <Override PartName="/word/footer173.xml" ContentType="application/vnd.openxmlformats-officedocument.wordprocessingml.footer+xml"/>
  <Override PartName="/word/footer174.xml" ContentType="application/vnd.openxmlformats-officedocument.wordprocessingml.footer+xml"/>
  <Override PartName="/word/footer175.xml" ContentType="application/vnd.openxmlformats-officedocument.wordprocessingml.footer+xml"/>
  <Override PartName="/word/footer176.xml" ContentType="application/vnd.openxmlformats-officedocument.wordprocessingml.footer+xml"/>
  <Override PartName="/word/footer177.xml" ContentType="application/vnd.openxmlformats-officedocument.wordprocessingml.footer+xml"/>
  <Override PartName="/word/footer178.xml" ContentType="application/vnd.openxmlformats-officedocument.wordprocessingml.footer+xml"/>
  <Override PartName="/word/footer179.xml" ContentType="application/vnd.openxmlformats-officedocument.wordprocessingml.footer+xml"/>
  <Override PartName="/word/footer18.xml" ContentType="application/vnd.openxmlformats-officedocument.wordprocessingml.footer+xml"/>
  <Override PartName="/word/footer180.xml" ContentType="application/vnd.openxmlformats-officedocument.wordprocessingml.footer+xml"/>
  <Override PartName="/word/footer181.xml" ContentType="application/vnd.openxmlformats-officedocument.wordprocessingml.footer+xml"/>
  <Override PartName="/word/footer182.xml" ContentType="application/vnd.openxmlformats-officedocument.wordprocessingml.footer+xml"/>
  <Override PartName="/word/footer183.xml" ContentType="application/vnd.openxmlformats-officedocument.wordprocessingml.footer+xml"/>
  <Override PartName="/word/footer184.xml" ContentType="application/vnd.openxmlformats-officedocument.wordprocessingml.footer+xml"/>
  <Override PartName="/word/footer185.xml" ContentType="application/vnd.openxmlformats-officedocument.wordprocessingml.footer+xml"/>
  <Override PartName="/word/footer186.xml" ContentType="application/vnd.openxmlformats-officedocument.wordprocessingml.footer+xml"/>
  <Override PartName="/word/footer187.xml" ContentType="application/vnd.openxmlformats-officedocument.wordprocessingml.footer+xml"/>
  <Override PartName="/word/footer188.xml" ContentType="application/vnd.openxmlformats-officedocument.wordprocessingml.footer+xml"/>
  <Override PartName="/word/footer189.xml" ContentType="application/vnd.openxmlformats-officedocument.wordprocessingml.footer+xml"/>
  <Override PartName="/word/footer19.xml" ContentType="application/vnd.openxmlformats-officedocument.wordprocessingml.footer+xml"/>
  <Override PartName="/word/footer190.xml" ContentType="application/vnd.openxmlformats-officedocument.wordprocessingml.footer+xml"/>
  <Override PartName="/word/footer191.xml" ContentType="application/vnd.openxmlformats-officedocument.wordprocessingml.footer+xml"/>
  <Override PartName="/word/footer192.xml" ContentType="application/vnd.openxmlformats-officedocument.wordprocessingml.footer+xml"/>
  <Override PartName="/word/footer193.xml" ContentType="application/vnd.openxmlformats-officedocument.wordprocessingml.footer+xml"/>
  <Override PartName="/word/footer194.xml" ContentType="application/vnd.openxmlformats-officedocument.wordprocessingml.footer+xml"/>
  <Override PartName="/word/footer195.xml" ContentType="application/vnd.openxmlformats-officedocument.wordprocessingml.footer+xml"/>
  <Override PartName="/word/footer196.xml" ContentType="application/vnd.openxmlformats-officedocument.wordprocessingml.footer+xml"/>
  <Override PartName="/word/footer197.xml" ContentType="application/vnd.openxmlformats-officedocument.wordprocessingml.footer+xml"/>
  <Override PartName="/word/footer198.xml" ContentType="application/vnd.openxmlformats-officedocument.wordprocessingml.footer+xml"/>
  <Override PartName="/word/footer19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00.xml" ContentType="application/vnd.openxmlformats-officedocument.wordprocessingml.footer+xml"/>
  <Override PartName="/word/footer201.xml" ContentType="application/vnd.openxmlformats-officedocument.wordprocessingml.footer+xml"/>
  <Override PartName="/word/footer202.xml" ContentType="application/vnd.openxmlformats-officedocument.wordprocessingml.footer+xml"/>
  <Override PartName="/word/footer203.xml" ContentType="application/vnd.openxmlformats-officedocument.wordprocessingml.footer+xml"/>
  <Override PartName="/word/footer204.xml" ContentType="application/vnd.openxmlformats-officedocument.wordprocessingml.footer+xml"/>
  <Override PartName="/word/footer205.xml" ContentType="application/vnd.openxmlformats-officedocument.wordprocessingml.footer+xml"/>
  <Override PartName="/word/footer206.xml" ContentType="application/vnd.openxmlformats-officedocument.wordprocessingml.footer+xml"/>
  <Override PartName="/word/footer207.xml" ContentType="application/vnd.openxmlformats-officedocument.wordprocessingml.footer+xml"/>
  <Override PartName="/word/footer208.xml" ContentType="application/vnd.openxmlformats-officedocument.wordprocessingml.footer+xml"/>
  <Override PartName="/word/footer209.xml" ContentType="application/vnd.openxmlformats-officedocument.wordprocessingml.footer+xml"/>
  <Override PartName="/word/footer21.xml" ContentType="application/vnd.openxmlformats-officedocument.wordprocessingml.footer+xml"/>
  <Override PartName="/word/footer210.xml" ContentType="application/vnd.openxmlformats-officedocument.wordprocessingml.footer+xml"/>
  <Override PartName="/word/footer211.xml" ContentType="application/vnd.openxmlformats-officedocument.wordprocessingml.footer+xml"/>
  <Override PartName="/word/footer212.xml" ContentType="application/vnd.openxmlformats-officedocument.wordprocessingml.footer+xml"/>
  <Override PartName="/word/footer213.xml" ContentType="application/vnd.openxmlformats-officedocument.wordprocessingml.footer+xml"/>
  <Override PartName="/word/footer214.xml" ContentType="application/vnd.openxmlformats-officedocument.wordprocessingml.footer+xml"/>
  <Override PartName="/word/footer215.xml" ContentType="application/vnd.openxmlformats-officedocument.wordprocessingml.footer+xml"/>
  <Override PartName="/word/footer216.xml" ContentType="application/vnd.openxmlformats-officedocument.wordprocessingml.footer+xml"/>
  <Override PartName="/word/footer217.xml" ContentType="application/vnd.openxmlformats-officedocument.wordprocessingml.footer+xml"/>
  <Override PartName="/word/footer218.xml" ContentType="application/vnd.openxmlformats-officedocument.wordprocessingml.footer+xml"/>
  <Override PartName="/word/footer219.xml" ContentType="application/vnd.openxmlformats-officedocument.wordprocessingml.footer+xml"/>
  <Override PartName="/word/footer22.xml" ContentType="application/vnd.openxmlformats-officedocument.wordprocessingml.footer+xml"/>
  <Override PartName="/word/footer220.xml" ContentType="application/vnd.openxmlformats-officedocument.wordprocessingml.footer+xml"/>
  <Override PartName="/word/footer221.xml" ContentType="application/vnd.openxmlformats-officedocument.wordprocessingml.footer+xml"/>
  <Override PartName="/word/footer222.xml" ContentType="application/vnd.openxmlformats-officedocument.wordprocessingml.footer+xml"/>
  <Override PartName="/word/footer223.xml" ContentType="application/vnd.openxmlformats-officedocument.wordprocessingml.footer+xml"/>
  <Override PartName="/word/footer224.xml" ContentType="application/vnd.openxmlformats-officedocument.wordprocessingml.footer+xml"/>
  <Override PartName="/word/footer225.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44.xml" ContentType="application/vnd.openxmlformats-officedocument.wordprocessingml.header+xml"/>
  <Override PartName="/word/header145.xml" ContentType="application/vnd.openxmlformats-officedocument.wordprocessingml.header+xml"/>
  <Override PartName="/word/header146.xml" ContentType="application/vnd.openxmlformats-officedocument.wordprocessingml.header+xml"/>
  <Override PartName="/word/header147.xml" ContentType="application/vnd.openxmlformats-officedocument.wordprocessingml.header+xml"/>
  <Override PartName="/word/header148.xml" ContentType="application/vnd.openxmlformats-officedocument.wordprocessingml.header+xml"/>
  <Override PartName="/word/header149.xml" ContentType="application/vnd.openxmlformats-officedocument.wordprocessingml.header+xml"/>
  <Override PartName="/word/header15.xml" ContentType="application/vnd.openxmlformats-officedocument.wordprocessingml.header+xml"/>
  <Override PartName="/word/header150.xml" ContentType="application/vnd.openxmlformats-officedocument.wordprocessingml.header+xml"/>
  <Override PartName="/word/header151.xml" ContentType="application/vnd.openxmlformats-officedocument.wordprocessingml.header+xml"/>
  <Override PartName="/word/header152.xml" ContentType="application/vnd.openxmlformats-officedocument.wordprocessingml.header+xml"/>
  <Override PartName="/word/header153.xml" ContentType="application/vnd.openxmlformats-officedocument.wordprocessingml.header+xml"/>
  <Override PartName="/word/header154.xml" ContentType="application/vnd.openxmlformats-officedocument.wordprocessingml.header+xml"/>
  <Override PartName="/word/header155.xml" ContentType="application/vnd.openxmlformats-officedocument.wordprocessingml.header+xml"/>
  <Override PartName="/word/header156.xml" ContentType="application/vnd.openxmlformats-officedocument.wordprocessingml.header+xml"/>
  <Override PartName="/word/header157.xml" ContentType="application/vnd.openxmlformats-officedocument.wordprocessingml.header+xml"/>
  <Override PartName="/word/header158.xml" ContentType="application/vnd.openxmlformats-officedocument.wordprocessingml.header+xml"/>
  <Override PartName="/word/header159.xml" ContentType="application/vnd.openxmlformats-officedocument.wordprocessingml.header+xml"/>
  <Override PartName="/word/header16.xml" ContentType="application/vnd.openxmlformats-officedocument.wordprocessingml.header+xml"/>
  <Override PartName="/word/header160.xml" ContentType="application/vnd.openxmlformats-officedocument.wordprocessingml.header+xml"/>
  <Override PartName="/word/header161.xml" ContentType="application/vnd.openxmlformats-officedocument.wordprocessingml.header+xml"/>
  <Override PartName="/word/header162.xml" ContentType="application/vnd.openxmlformats-officedocument.wordprocessingml.header+xml"/>
  <Override PartName="/word/header163.xml" ContentType="application/vnd.openxmlformats-officedocument.wordprocessingml.header+xml"/>
  <Override PartName="/word/header164.xml" ContentType="application/vnd.openxmlformats-officedocument.wordprocessingml.header+xml"/>
  <Override PartName="/word/header165.xml" ContentType="application/vnd.openxmlformats-officedocument.wordprocessingml.header+xml"/>
  <Override PartName="/word/header166.xml" ContentType="application/vnd.openxmlformats-officedocument.wordprocessingml.header+xml"/>
  <Override PartName="/word/header167.xml" ContentType="application/vnd.openxmlformats-officedocument.wordprocessingml.header+xml"/>
  <Override PartName="/word/header168.xml" ContentType="application/vnd.openxmlformats-officedocument.wordprocessingml.header+xml"/>
  <Override PartName="/word/header169.xml" ContentType="application/vnd.openxmlformats-officedocument.wordprocessingml.header+xml"/>
  <Override PartName="/word/header17.xml" ContentType="application/vnd.openxmlformats-officedocument.wordprocessingml.header+xml"/>
  <Override PartName="/word/header170.xml" ContentType="application/vnd.openxmlformats-officedocument.wordprocessingml.header+xml"/>
  <Override PartName="/word/header171.xml" ContentType="application/vnd.openxmlformats-officedocument.wordprocessingml.header+xml"/>
  <Override PartName="/word/header172.xml" ContentType="application/vnd.openxmlformats-officedocument.wordprocessingml.header+xml"/>
  <Override PartName="/word/header173.xml" ContentType="application/vnd.openxmlformats-officedocument.wordprocessingml.header+xml"/>
  <Override PartName="/word/header174.xml" ContentType="application/vnd.openxmlformats-officedocument.wordprocessingml.header+xml"/>
  <Override PartName="/word/header175.xml" ContentType="application/vnd.openxmlformats-officedocument.wordprocessingml.header+xml"/>
  <Override PartName="/word/header176.xml" ContentType="application/vnd.openxmlformats-officedocument.wordprocessingml.header+xml"/>
  <Override PartName="/word/header177.xml" ContentType="application/vnd.openxmlformats-officedocument.wordprocessingml.header+xml"/>
  <Override PartName="/word/header178.xml" ContentType="application/vnd.openxmlformats-officedocument.wordprocessingml.header+xml"/>
  <Override PartName="/word/header179.xml" ContentType="application/vnd.openxmlformats-officedocument.wordprocessingml.header+xml"/>
  <Override PartName="/word/header18.xml" ContentType="application/vnd.openxmlformats-officedocument.wordprocessingml.header+xml"/>
  <Override PartName="/word/header180.xml" ContentType="application/vnd.openxmlformats-officedocument.wordprocessingml.header+xml"/>
  <Override PartName="/word/header181.xml" ContentType="application/vnd.openxmlformats-officedocument.wordprocessingml.header+xml"/>
  <Override PartName="/word/header182.xml" ContentType="application/vnd.openxmlformats-officedocument.wordprocessingml.header+xml"/>
  <Override PartName="/word/header183.xml" ContentType="application/vnd.openxmlformats-officedocument.wordprocessingml.header+xml"/>
  <Override PartName="/word/header184.xml" ContentType="application/vnd.openxmlformats-officedocument.wordprocessingml.header+xml"/>
  <Override PartName="/word/header185.xml" ContentType="application/vnd.openxmlformats-officedocument.wordprocessingml.header+xml"/>
  <Override PartName="/word/header186.xml" ContentType="application/vnd.openxmlformats-officedocument.wordprocessingml.header+xml"/>
  <Override PartName="/word/header187.xml" ContentType="application/vnd.openxmlformats-officedocument.wordprocessingml.header+xml"/>
  <Override PartName="/word/header188.xml" ContentType="application/vnd.openxmlformats-officedocument.wordprocessingml.header+xml"/>
  <Override PartName="/word/header189.xml" ContentType="application/vnd.openxmlformats-officedocument.wordprocessingml.header+xml"/>
  <Override PartName="/word/header19.xml" ContentType="application/vnd.openxmlformats-officedocument.wordprocessingml.header+xml"/>
  <Override PartName="/word/header190.xml" ContentType="application/vnd.openxmlformats-officedocument.wordprocessingml.header+xml"/>
  <Override PartName="/word/header191.xml" ContentType="application/vnd.openxmlformats-officedocument.wordprocessingml.header+xml"/>
  <Override PartName="/word/header192.xml" ContentType="application/vnd.openxmlformats-officedocument.wordprocessingml.header+xml"/>
  <Override PartName="/word/header193.xml" ContentType="application/vnd.openxmlformats-officedocument.wordprocessingml.header+xml"/>
  <Override PartName="/word/header194.xml" ContentType="application/vnd.openxmlformats-officedocument.wordprocessingml.header+xml"/>
  <Override PartName="/word/header195.xml" ContentType="application/vnd.openxmlformats-officedocument.wordprocessingml.header+xml"/>
  <Override PartName="/word/header196.xml" ContentType="application/vnd.openxmlformats-officedocument.wordprocessingml.header+xml"/>
  <Override PartName="/word/header197.xml" ContentType="application/vnd.openxmlformats-officedocument.wordprocessingml.header+xml"/>
  <Override PartName="/word/header198.xml" ContentType="application/vnd.openxmlformats-officedocument.wordprocessingml.header+xml"/>
  <Override PartName="/word/header19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00.xml" ContentType="application/vnd.openxmlformats-officedocument.wordprocessingml.header+xml"/>
  <Override PartName="/word/header201.xml" ContentType="application/vnd.openxmlformats-officedocument.wordprocessingml.header+xml"/>
  <Override PartName="/word/header202.xml" ContentType="application/vnd.openxmlformats-officedocument.wordprocessingml.header+xml"/>
  <Override PartName="/word/header203.xml" ContentType="application/vnd.openxmlformats-officedocument.wordprocessingml.header+xml"/>
  <Override PartName="/word/header204.xml" ContentType="application/vnd.openxmlformats-officedocument.wordprocessingml.header+xml"/>
  <Override PartName="/word/header205.xml" ContentType="application/vnd.openxmlformats-officedocument.wordprocessingml.header+xml"/>
  <Override PartName="/word/header206.xml" ContentType="application/vnd.openxmlformats-officedocument.wordprocessingml.header+xml"/>
  <Override PartName="/word/header207.xml" ContentType="application/vnd.openxmlformats-officedocument.wordprocessingml.header+xml"/>
  <Override PartName="/word/header208.xml" ContentType="application/vnd.openxmlformats-officedocument.wordprocessingml.header+xml"/>
  <Override PartName="/word/header209.xml" ContentType="application/vnd.openxmlformats-officedocument.wordprocessingml.header+xml"/>
  <Override PartName="/word/header21.xml" ContentType="application/vnd.openxmlformats-officedocument.wordprocessingml.header+xml"/>
  <Override PartName="/word/header210.xml" ContentType="application/vnd.openxmlformats-officedocument.wordprocessingml.header+xml"/>
  <Override PartName="/word/header211.xml" ContentType="application/vnd.openxmlformats-officedocument.wordprocessingml.header+xml"/>
  <Override PartName="/word/header212.xml" ContentType="application/vnd.openxmlformats-officedocument.wordprocessingml.header+xml"/>
  <Override PartName="/word/header213.xml" ContentType="application/vnd.openxmlformats-officedocument.wordprocessingml.header+xml"/>
  <Override PartName="/word/header214.xml" ContentType="application/vnd.openxmlformats-officedocument.wordprocessingml.header+xml"/>
  <Override PartName="/word/header215.xml" ContentType="application/vnd.openxmlformats-officedocument.wordprocessingml.header+xml"/>
  <Override PartName="/word/header216.xml" ContentType="application/vnd.openxmlformats-officedocument.wordprocessingml.header+xml"/>
  <Override PartName="/word/header217.xml" ContentType="application/vnd.openxmlformats-officedocument.wordprocessingml.header+xml"/>
  <Override PartName="/word/header218.xml" ContentType="application/vnd.openxmlformats-officedocument.wordprocessingml.header+xml"/>
  <Override PartName="/word/header219.xml" ContentType="application/vnd.openxmlformats-officedocument.wordprocessingml.header+xml"/>
  <Override PartName="/word/header22.xml" ContentType="application/vnd.openxmlformats-officedocument.wordprocessingml.header+xml"/>
  <Override PartName="/word/header220.xml" ContentType="application/vnd.openxmlformats-officedocument.wordprocessingml.header+xml"/>
  <Override PartName="/word/header221.xml" ContentType="application/vnd.openxmlformats-officedocument.wordprocessingml.header+xml"/>
  <Override PartName="/word/header222.xml" ContentType="application/vnd.openxmlformats-officedocument.wordprocessingml.header+xml"/>
  <Override PartName="/word/header223.xml" ContentType="application/vnd.openxmlformats-officedocument.wordprocessingml.header+xml"/>
  <Override PartName="/word/header224.xml" ContentType="application/vnd.openxmlformats-officedocument.wordprocessingml.header+xml"/>
  <Override PartName="/word/header225.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63" w:beforeLines="50"/>
        <w:ind w:firstLine="0" w:firstLineChars="0"/>
        <w:jc w:val="center"/>
        <w:rPr>
          <w:b/>
          <w:sz w:val="30"/>
          <w:szCs w:val="30"/>
        </w:rPr>
      </w:pPr>
      <w:r>
        <w:rPr>
          <w:b/>
          <w:sz w:val="30"/>
          <w:szCs w:val="30"/>
        </w:rPr>
        <w:t>《建设项目环境影响报告表》编制说明</w:t>
      </w:r>
    </w:p>
    <w:p>
      <w:pPr>
        <w:ind w:firstLine="560"/>
        <w:rPr>
          <w:sz w:val="28"/>
        </w:rPr>
      </w:pPr>
      <w:r>
        <w:rPr>
          <w:sz w:val="28"/>
        </w:rPr>
        <w:t>《建设项目环境影响报告表》由具有从事环境影响评价工作资质的单位编制。</w:t>
      </w:r>
    </w:p>
    <w:p>
      <w:pPr>
        <w:ind w:firstLine="560"/>
        <w:rPr>
          <w:sz w:val="28"/>
        </w:rPr>
      </w:pPr>
      <w:r>
        <w:rPr>
          <w:sz w:val="28"/>
        </w:rPr>
        <w:t>1.项目名称——指项目立项批复时的名称，应不超过30个字（两个英文字段作一个汉字）。</w:t>
      </w:r>
    </w:p>
    <w:p>
      <w:pPr>
        <w:ind w:firstLine="560"/>
        <w:rPr>
          <w:sz w:val="28"/>
        </w:rPr>
      </w:pPr>
      <w:r>
        <w:rPr>
          <w:sz w:val="28"/>
        </w:rPr>
        <w:t>2.建设地点——指项目所在地详细地址，公路、铁路应填写起止地点。</w:t>
      </w:r>
    </w:p>
    <w:p>
      <w:pPr>
        <w:ind w:firstLine="560"/>
        <w:rPr>
          <w:sz w:val="28"/>
        </w:rPr>
      </w:pPr>
      <w:r>
        <w:rPr>
          <w:sz w:val="28"/>
        </w:rPr>
        <w:t>3.行业类别——按国标填写。</w:t>
      </w:r>
    </w:p>
    <w:p>
      <w:pPr>
        <w:ind w:firstLine="560"/>
        <w:rPr>
          <w:sz w:val="28"/>
        </w:rPr>
      </w:pPr>
      <w:r>
        <w:rPr>
          <w:sz w:val="28"/>
        </w:rPr>
        <w:t>4.总投资——指项目投资总额。</w:t>
      </w:r>
    </w:p>
    <w:p>
      <w:pPr>
        <w:ind w:firstLine="560"/>
        <w:rPr>
          <w:sz w:val="28"/>
        </w:rPr>
      </w:pPr>
      <w:r>
        <w:rPr>
          <w:sz w:val="28"/>
        </w:rPr>
        <w:t>5.主要环境保护目标——指项目区周围一定范围内集中居民住宅区、学校、医院、保护文物、风景名胜区、水源地和生态敏感点等，应尽可能给出保护目标、性质、规模和距场界距离等。</w:t>
      </w:r>
    </w:p>
    <w:p>
      <w:pPr>
        <w:ind w:firstLine="560"/>
        <w:rPr>
          <w:sz w:val="28"/>
        </w:rPr>
      </w:pPr>
      <w:r>
        <w:rPr>
          <w:sz w:val="28"/>
        </w:rPr>
        <w:t>6.结论与建议——给出本项目清洁生产、达标排放和总量控制的分析结论，确定污染防治措施的有效性，说明本项目对环境造成的影响，给出建设项目环境可行性的明确结论。同时提出减少环境影响的其它建议。</w:t>
      </w:r>
    </w:p>
    <w:p>
      <w:pPr>
        <w:ind w:firstLine="560"/>
        <w:rPr>
          <w:sz w:val="28"/>
        </w:rPr>
      </w:pPr>
      <w:r>
        <w:rPr>
          <w:sz w:val="28"/>
        </w:rPr>
        <w:t>7.预审意见——由行业主管部门填写答复意见，无主管部门项目，可不填。</w:t>
      </w:r>
    </w:p>
    <w:p>
      <w:pPr>
        <w:ind w:firstLine="560"/>
        <w:rPr>
          <w:rFonts w:eastAsia="黑体"/>
        </w:rPr>
        <w:sectPr>
          <w:headerReference w:type="even" r:id="rId8"/>
          <w:headerReference w:type="default" r:id="rId9"/>
          <w:footerReference w:type="even" r:id="rId10"/>
          <w:footerReference w:type="default" r:id="rId11"/>
          <w:headerReference w:type="first" r:id="rId12"/>
          <w:footerReference w:type="first" r:id="rId13"/>
          <w:pgSz w:w="11907" w:h="16840"/>
          <w:pgMar w:top="1440" w:right="1797" w:bottom="1440" w:left="1797" w:header="851" w:footer="992" w:gutter="0"/>
          <w:cols w:num="1" w:space="720"/>
          <w:docGrid w:type="linesAndChars" w:linePitch="326" w:charSpace="0"/>
        </w:sectPr>
      </w:pPr>
      <w:r>
        <w:rPr>
          <w:sz w:val="28"/>
        </w:rPr>
        <w:t>8.审批意见——由负责审批本项目的环境保护行政主管部门批复。</w:t>
      </w:r>
    </w:p>
    <w:tbl>
      <w:tblPr>
        <w:tblStyle w:val="TableNormal"/>
        <w:tblpPr w:leftFromText="180" w:rightFromText="180" w:vertAnchor="page" w:horzAnchor="margin" w:tblpY="1291"/>
        <w:tblW w:w="9515" w:type="dxa"/>
        <w:tblInd w:w="0" w:type="dxa"/>
        <w:tblBorders>
          <w:top w:val="none" w:sz="0"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350"/>
        <w:gridCol w:w="1363"/>
        <w:gridCol w:w="719"/>
        <w:gridCol w:w="972"/>
        <w:gridCol w:w="1475"/>
        <w:gridCol w:w="2173"/>
        <w:gridCol w:w="55"/>
        <w:gridCol w:w="1376"/>
        <w:gridCol w:w="32"/>
      </w:tblGrid>
      <w:tr>
        <w:tblPrEx>
          <w:tblW w:w="9515" w:type="dxa"/>
          <w:tblInd w:w="0" w:type="dxa"/>
          <w:tblBorders>
            <w:top w:val="none" w:sz="0"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505"/>
        </w:trPr>
        <w:tc>
          <w:tcPr>
            <w:tcW w:w="1350" w:type="dxa"/>
            <w:vAlign w:val="center"/>
          </w:tcPr>
          <w:p>
            <w:pPr>
              <w:spacing w:line="240" w:lineRule="auto"/>
              <w:ind w:firstLine="0" w:firstLineChars="0"/>
              <w:jc w:val="center"/>
              <w:rPr>
                <w:rFonts w:eastAsia="黑体"/>
                <w:sz w:val="24"/>
                <w:szCs w:val="24"/>
              </w:rPr>
            </w:pPr>
            <w:r>
              <w:rPr>
                <w:rFonts w:eastAsia="黑体" w:hint="eastAsia"/>
                <w:sz w:val="24"/>
                <w:szCs w:val="24"/>
              </w:rPr>
              <w:t>项目名称</w:t>
            </w:r>
          </w:p>
        </w:tc>
        <w:tc>
          <w:tcPr>
            <w:tcW w:w="8165" w:type="dxa"/>
            <w:gridSpan w:val="8"/>
            <w:vAlign w:val="center"/>
          </w:tcPr>
          <w:p>
            <w:pPr>
              <w:pStyle w:val="20"/>
              <w:snapToGrid w:val="0"/>
              <w:spacing w:before="0" w:line="240" w:lineRule="auto"/>
              <w:rPr>
                <w:kern w:val="0"/>
                <w:sz w:val="24"/>
                <w:szCs w:val="24"/>
              </w:rPr>
            </w:pPr>
            <w:r>
              <w:rPr>
                <w:rFonts w:hint="eastAsia"/>
                <w:kern w:val="0"/>
                <w:sz w:val="24"/>
                <w:szCs w:val="24"/>
              </w:rPr>
              <w:t>中国石化销售有限公司海南文昌文教供气站改建项目</w:t>
            </w:r>
          </w:p>
        </w:tc>
      </w:tr>
      <w:tr>
        <w:tblPrEx>
          <w:tblW w:w="9515" w:type="dxa"/>
          <w:tblInd w:w="0" w:type="dxa"/>
          <w:tblLayout w:type="fixed"/>
          <w:tblCellMar>
            <w:top w:w="0" w:type="dxa"/>
            <w:left w:w="108" w:type="dxa"/>
            <w:bottom w:w="0" w:type="dxa"/>
            <w:right w:w="108" w:type="dxa"/>
          </w:tblCellMar>
        </w:tblPrEx>
        <w:trPr>
          <w:trHeight w:val="505"/>
        </w:trPr>
        <w:tc>
          <w:tcPr>
            <w:tcW w:w="1350" w:type="dxa"/>
            <w:vAlign w:val="center"/>
          </w:tcPr>
          <w:p>
            <w:pPr>
              <w:spacing w:line="240" w:lineRule="auto"/>
              <w:ind w:firstLine="0" w:firstLineChars="0"/>
              <w:jc w:val="center"/>
              <w:rPr>
                <w:rFonts w:eastAsia="黑体"/>
                <w:sz w:val="24"/>
                <w:szCs w:val="24"/>
              </w:rPr>
            </w:pPr>
            <w:r>
              <w:rPr>
                <w:rFonts w:eastAsia="黑体" w:hint="eastAsia"/>
                <w:sz w:val="24"/>
                <w:szCs w:val="24"/>
              </w:rPr>
              <w:t>建设单位</w:t>
            </w:r>
          </w:p>
        </w:tc>
        <w:tc>
          <w:tcPr>
            <w:tcW w:w="8165" w:type="dxa"/>
            <w:gridSpan w:val="8"/>
            <w:vAlign w:val="center"/>
          </w:tcPr>
          <w:p>
            <w:pPr>
              <w:pStyle w:val="20"/>
              <w:snapToGrid w:val="0"/>
              <w:spacing w:before="0" w:line="240" w:lineRule="auto"/>
              <w:textAlignment w:val="auto"/>
              <w:rPr>
                <w:rFonts w:ascii="Times New Roman"/>
                <w:sz w:val="24"/>
                <w:szCs w:val="24"/>
              </w:rPr>
            </w:pPr>
            <w:r>
              <w:rPr>
                <w:rFonts w:ascii="Times New Roman" w:hint="eastAsia"/>
                <w:sz w:val="24"/>
                <w:szCs w:val="24"/>
              </w:rPr>
              <w:t>中国石化销售股份有限公司海南文昌文教供气站</w:t>
            </w:r>
          </w:p>
        </w:tc>
      </w:tr>
      <w:tr>
        <w:tblPrEx>
          <w:tblW w:w="9515" w:type="dxa"/>
          <w:tblInd w:w="0" w:type="dxa"/>
          <w:tblLayout w:type="fixed"/>
          <w:tblCellMar>
            <w:top w:w="0" w:type="dxa"/>
            <w:left w:w="108" w:type="dxa"/>
            <w:bottom w:w="0" w:type="dxa"/>
            <w:right w:w="108" w:type="dxa"/>
          </w:tblCellMar>
        </w:tblPrEx>
        <w:trPr>
          <w:trHeight w:val="505"/>
        </w:trPr>
        <w:tc>
          <w:tcPr>
            <w:tcW w:w="1350" w:type="dxa"/>
            <w:vAlign w:val="center"/>
          </w:tcPr>
          <w:p>
            <w:pPr>
              <w:spacing w:line="240" w:lineRule="auto"/>
              <w:ind w:firstLine="0" w:firstLineChars="0"/>
              <w:jc w:val="center"/>
              <w:rPr>
                <w:rFonts w:eastAsia="黑体"/>
                <w:sz w:val="24"/>
                <w:szCs w:val="24"/>
              </w:rPr>
            </w:pPr>
            <w:r>
              <w:rPr>
                <w:rFonts w:eastAsia="黑体" w:hint="eastAsia"/>
                <w:sz w:val="24"/>
                <w:szCs w:val="24"/>
              </w:rPr>
              <w:t>法人代表</w:t>
            </w:r>
          </w:p>
        </w:tc>
        <w:tc>
          <w:tcPr>
            <w:tcW w:w="3054" w:type="dxa"/>
            <w:gridSpan w:val="3"/>
            <w:vAlign w:val="center"/>
          </w:tcPr>
          <w:p>
            <w:pPr>
              <w:spacing w:line="240" w:lineRule="auto"/>
              <w:ind w:firstLine="0" w:firstLineChars="0"/>
              <w:jc w:val="center"/>
              <w:rPr>
                <w:sz w:val="24"/>
                <w:szCs w:val="24"/>
              </w:rPr>
            </w:pPr>
          </w:p>
        </w:tc>
        <w:tc>
          <w:tcPr>
            <w:tcW w:w="1475" w:type="dxa"/>
            <w:vAlign w:val="center"/>
          </w:tcPr>
          <w:p>
            <w:pPr>
              <w:spacing w:line="240" w:lineRule="auto"/>
              <w:ind w:firstLine="0" w:firstLineChars="0"/>
              <w:jc w:val="center"/>
              <w:rPr>
                <w:rFonts w:eastAsia="黑体"/>
                <w:sz w:val="24"/>
                <w:szCs w:val="24"/>
              </w:rPr>
            </w:pPr>
          </w:p>
        </w:tc>
        <w:tc>
          <w:tcPr>
            <w:tcW w:w="3636" w:type="dxa"/>
            <w:gridSpan w:val="4"/>
            <w:vAlign w:val="center"/>
          </w:tcPr>
          <w:p>
            <w:pPr>
              <w:spacing w:line="240" w:lineRule="auto"/>
              <w:ind w:firstLine="0" w:firstLineChars="0"/>
              <w:jc w:val="center"/>
              <w:rPr>
                <w:sz w:val="24"/>
                <w:szCs w:val="24"/>
              </w:rPr>
            </w:pPr>
          </w:p>
        </w:tc>
      </w:tr>
      <w:tr>
        <w:tblPrEx>
          <w:tblW w:w="9515" w:type="dxa"/>
          <w:tblInd w:w="0" w:type="dxa"/>
          <w:tblLayout w:type="fixed"/>
          <w:tblCellMar>
            <w:top w:w="0" w:type="dxa"/>
            <w:left w:w="108" w:type="dxa"/>
            <w:bottom w:w="0" w:type="dxa"/>
            <w:right w:w="108" w:type="dxa"/>
          </w:tblCellMar>
        </w:tblPrEx>
        <w:trPr>
          <w:trHeight w:val="505"/>
        </w:trPr>
        <w:tc>
          <w:tcPr>
            <w:tcW w:w="1350" w:type="dxa"/>
            <w:vAlign w:val="center"/>
          </w:tcPr>
          <w:p>
            <w:pPr>
              <w:spacing w:line="240" w:lineRule="auto"/>
              <w:ind w:firstLine="0" w:firstLineChars="0"/>
              <w:jc w:val="center"/>
              <w:rPr>
                <w:rFonts w:eastAsia="黑体"/>
                <w:sz w:val="24"/>
                <w:szCs w:val="24"/>
              </w:rPr>
            </w:pPr>
            <w:r>
              <w:rPr>
                <w:rFonts w:eastAsia="黑体" w:hint="eastAsia"/>
                <w:sz w:val="24"/>
                <w:szCs w:val="24"/>
              </w:rPr>
              <w:t>通讯地址</w:t>
            </w:r>
          </w:p>
        </w:tc>
        <w:tc>
          <w:tcPr>
            <w:tcW w:w="8165" w:type="dxa"/>
            <w:gridSpan w:val="8"/>
            <w:vAlign w:val="center"/>
          </w:tcPr>
          <w:p>
            <w:pPr>
              <w:pStyle w:val="20"/>
              <w:snapToGrid w:val="0"/>
              <w:spacing w:before="0" w:line="240" w:lineRule="auto"/>
              <w:textAlignment w:val="auto"/>
              <w:rPr>
                <w:sz w:val="24"/>
                <w:szCs w:val="24"/>
              </w:rPr>
            </w:pPr>
            <w:r>
              <w:rPr>
                <w:rFonts w:ascii="Times New Roman" w:hint="eastAsia"/>
                <w:sz w:val="24"/>
                <w:szCs w:val="24"/>
              </w:rPr>
              <w:t>海南省文昌市文教镇宝藏解放坡</w:t>
            </w:r>
          </w:p>
        </w:tc>
      </w:tr>
      <w:tr>
        <w:tblPrEx>
          <w:tblW w:w="9515" w:type="dxa"/>
          <w:tblInd w:w="0" w:type="dxa"/>
          <w:tblLayout w:type="fixed"/>
          <w:tblCellMar>
            <w:top w:w="0" w:type="dxa"/>
            <w:left w:w="108" w:type="dxa"/>
            <w:bottom w:w="0" w:type="dxa"/>
            <w:right w:w="108" w:type="dxa"/>
          </w:tblCellMar>
        </w:tblPrEx>
        <w:trPr>
          <w:trHeight w:val="505"/>
        </w:trPr>
        <w:tc>
          <w:tcPr>
            <w:tcW w:w="1350" w:type="dxa"/>
            <w:vAlign w:val="center"/>
          </w:tcPr>
          <w:p>
            <w:pPr>
              <w:spacing w:line="240" w:lineRule="auto"/>
              <w:ind w:firstLine="0" w:firstLineChars="0"/>
              <w:jc w:val="center"/>
              <w:rPr>
                <w:rFonts w:eastAsia="黑体"/>
                <w:sz w:val="24"/>
                <w:szCs w:val="24"/>
              </w:rPr>
            </w:pPr>
            <w:r>
              <w:rPr>
                <w:rFonts w:eastAsia="黑体" w:hint="eastAsia"/>
                <w:sz w:val="24"/>
                <w:szCs w:val="24"/>
              </w:rPr>
              <w:t>联系电话</w:t>
            </w:r>
          </w:p>
        </w:tc>
        <w:tc>
          <w:tcPr>
            <w:tcW w:w="2082" w:type="dxa"/>
            <w:gridSpan w:val="2"/>
            <w:vAlign w:val="center"/>
          </w:tcPr>
          <w:p>
            <w:pPr>
              <w:spacing w:line="240" w:lineRule="auto"/>
              <w:ind w:firstLine="0" w:firstLineChars="0"/>
              <w:jc w:val="center"/>
              <w:rPr>
                <w:sz w:val="24"/>
                <w:szCs w:val="24"/>
              </w:rPr>
            </w:pPr>
            <w:r>
              <w:rPr>
                <w:sz w:val="24"/>
                <w:szCs w:val="24"/>
              </w:rPr>
              <w:t>139</w:t>
            </w:r>
            <w:bookmarkStart w:id="0" w:name="_GoBack"/>
            <w:bookmarkEnd w:id="0"/>
          </w:p>
        </w:tc>
        <w:tc>
          <w:tcPr>
            <w:tcW w:w="972" w:type="dxa"/>
            <w:vAlign w:val="center"/>
          </w:tcPr>
          <w:p>
            <w:pPr>
              <w:spacing w:line="240" w:lineRule="auto"/>
              <w:ind w:firstLine="0" w:firstLineChars="0"/>
              <w:jc w:val="center"/>
              <w:rPr>
                <w:rFonts w:ascii="黑体" w:eastAsia="黑体" w:hAnsi="黑体"/>
                <w:sz w:val="24"/>
                <w:szCs w:val="24"/>
              </w:rPr>
            </w:pPr>
            <w:r>
              <w:rPr>
                <w:rFonts w:ascii="黑体" w:eastAsia="黑体" w:hAnsi="黑体" w:hint="eastAsia"/>
                <w:sz w:val="24"/>
                <w:szCs w:val="24"/>
              </w:rPr>
              <w:t>传真</w:t>
            </w:r>
          </w:p>
        </w:tc>
        <w:tc>
          <w:tcPr>
            <w:tcW w:w="1475" w:type="dxa"/>
            <w:vAlign w:val="center"/>
          </w:tcPr>
          <w:p>
            <w:pPr>
              <w:spacing w:line="240" w:lineRule="auto"/>
              <w:ind w:firstLine="0" w:firstLineChars="0"/>
              <w:jc w:val="center"/>
              <w:rPr>
                <w:sz w:val="24"/>
                <w:szCs w:val="24"/>
              </w:rPr>
            </w:pPr>
            <w:r>
              <w:rPr>
                <w:rFonts w:hint="eastAsia"/>
                <w:bCs/>
                <w:sz w:val="24"/>
                <w:szCs w:val="24"/>
              </w:rPr>
              <w:t>/</w:t>
            </w:r>
          </w:p>
        </w:tc>
        <w:tc>
          <w:tcPr>
            <w:tcW w:w="2228" w:type="dxa"/>
            <w:gridSpan w:val="2"/>
            <w:vAlign w:val="center"/>
          </w:tcPr>
          <w:p>
            <w:pPr>
              <w:spacing w:line="240" w:lineRule="auto"/>
              <w:ind w:firstLine="0" w:firstLineChars="0"/>
              <w:jc w:val="center"/>
              <w:rPr>
                <w:sz w:val="24"/>
                <w:szCs w:val="24"/>
              </w:rPr>
            </w:pPr>
            <w:r>
              <w:rPr>
                <w:rFonts w:hint="eastAsia"/>
                <w:sz w:val="24"/>
                <w:szCs w:val="24"/>
              </w:rPr>
              <w:t>邮政编号</w:t>
            </w:r>
          </w:p>
        </w:tc>
        <w:tc>
          <w:tcPr>
            <w:tcW w:w="1408" w:type="dxa"/>
            <w:gridSpan w:val="2"/>
            <w:vAlign w:val="center"/>
          </w:tcPr>
          <w:p>
            <w:pPr>
              <w:spacing w:line="240" w:lineRule="auto"/>
              <w:ind w:firstLine="0" w:firstLineChars="0"/>
              <w:jc w:val="center"/>
              <w:rPr>
                <w:sz w:val="24"/>
                <w:szCs w:val="24"/>
              </w:rPr>
            </w:pPr>
            <w:r>
              <w:rPr>
                <w:sz w:val="24"/>
                <w:szCs w:val="24"/>
              </w:rPr>
              <w:t>571300</w:t>
            </w:r>
          </w:p>
        </w:tc>
      </w:tr>
      <w:tr>
        <w:tblPrEx>
          <w:tblW w:w="9515" w:type="dxa"/>
          <w:tblInd w:w="0" w:type="dxa"/>
          <w:tblLayout w:type="fixed"/>
          <w:tblCellMar>
            <w:top w:w="0" w:type="dxa"/>
            <w:left w:w="108" w:type="dxa"/>
            <w:bottom w:w="0" w:type="dxa"/>
            <w:right w:w="108" w:type="dxa"/>
          </w:tblCellMar>
        </w:tblPrEx>
        <w:trPr>
          <w:trHeight w:val="505"/>
        </w:trPr>
        <w:tc>
          <w:tcPr>
            <w:tcW w:w="1350" w:type="dxa"/>
            <w:vAlign w:val="center"/>
          </w:tcPr>
          <w:p>
            <w:pPr>
              <w:spacing w:line="240" w:lineRule="auto"/>
              <w:ind w:firstLine="0" w:firstLineChars="0"/>
              <w:jc w:val="center"/>
              <w:rPr>
                <w:rFonts w:eastAsia="黑体"/>
                <w:sz w:val="24"/>
                <w:szCs w:val="24"/>
              </w:rPr>
            </w:pPr>
            <w:r>
              <w:rPr>
                <w:rFonts w:eastAsia="黑体" w:hint="eastAsia"/>
                <w:sz w:val="24"/>
                <w:szCs w:val="24"/>
              </w:rPr>
              <w:t>建设地点</w:t>
            </w:r>
          </w:p>
        </w:tc>
        <w:tc>
          <w:tcPr>
            <w:tcW w:w="8165" w:type="dxa"/>
            <w:gridSpan w:val="8"/>
            <w:vAlign w:val="center"/>
          </w:tcPr>
          <w:p>
            <w:pPr>
              <w:pStyle w:val="20"/>
              <w:snapToGrid w:val="0"/>
              <w:spacing w:before="0" w:line="240" w:lineRule="auto"/>
              <w:textAlignment w:val="auto"/>
              <w:rPr>
                <w:sz w:val="24"/>
                <w:szCs w:val="24"/>
              </w:rPr>
            </w:pPr>
            <w:r>
              <w:rPr>
                <w:rFonts w:ascii="Times New Roman" w:hint="eastAsia"/>
                <w:sz w:val="24"/>
                <w:szCs w:val="24"/>
              </w:rPr>
              <w:t>海南省文昌市文教镇宝藏解放坡</w:t>
            </w:r>
          </w:p>
        </w:tc>
      </w:tr>
      <w:tr>
        <w:tblPrEx>
          <w:tblW w:w="9515" w:type="dxa"/>
          <w:tblInd w:w="0" w:type="dxa"/>
          <w:tblLayout w:type="fixed"/>
          <w:tblCellMar>
            <w:top w:w="0" w:type="dxa"/>
            <w:left w:w="108" w:type="dxa"/>
            <w:bottom w:w="0" w:type="dxa"/>
            <w:right w:w="108" w:type="dxa"/>
          </w:tblCellMar>
        </w:tblPrEx>
        <w:trPr>
          <w:gridAfter w:val="1"/>
          <w:wAfter w:w="32" w:type="dxa"/>
          <w:trHeight w:val="505"/>
        </w:trPr>
        <w:tc>
          <w:tcPr>
            <w:tcW w:w="1350" w:type="dxa"/>
            <w:vAlign w:val="center"/>
          </w:tcPr>
          <w:p>
            <w:pPr>
              <w:spacing w:line="240" w:lineRule="auto"/>
              <w:ind w:firstLine="0" w:firstLineChars="0"/>
              <w:jc w:val="center"/>
              <w:rPr>
                <w:rFonts w:eastAsia="黑体"/>
                <w:sz w:val="24"/>
                <w:szCs w:val="24"/>
              </w:rPr>
            </w:pPr>
            <w:r>
              <w:rPr>
                <w:rFonts w:eastAsia="黑体" w:hint="eastAsia"/>
                <w:sz w:val="24"/>
                <w:szCs w:val="24"/>
              </w:rPr>
              <w:t>立项审批部门</w:t>
            </w:r>
          </w:p>
        </w:tc>
        <w:tc>
          <w:tcPr>
            <w:tcW w:w="3054" w:type="dxa"/>
            <w:gridSpan w:val="3"/>
            <w:vAlign w:val="center"/>
          </w:tcPr>
          <w:p>
            <w:pPr>
              <w:spacing w:line="240" w:lineRule="auto"/>
              <w:ind w:firstLine="0" w:firstLineChars="0"/>
              <w:jc w:val="center"/>
              <w:rPr>
                <w:sz w:val="24"/>
                <w:szCs w:val="24"/>
              </w:rPr>
            </w:pPr>
            <w:r>
              <w:rPr>
                <w:rFonts w:hint="eastAsia"/>
                <w:sz w:val="24"/>
                <w:szCs w:val="24"/>
              </w:rPr>
              <w:t>/</w:t>
            </w:r>
          </w:p>
        </w:tc>
        <w:tc>
          <w:tcPr>
            <w:tcW w:w="1475" w:type="dxa"/>
            <w:vAlign w:val="center"/>
          </w:tcPr>
          <w:p>
            <w:pPr>
              <w:spacing w:line="240" w:lineRule="auto"/>
              <w:ind w:firstLine="0" w:firstLineChars="0"/>
              <w:jc w:val="center"/>
              <w:rPr>
                <w:rFonts w:eastAsia="黑体"/>
                <w:sz w:val="24"/>
                <w:szCs w:val="24"/>
              </w:rPr>
            </w:pPr>
            <w:r>
              <w:rPr>
                <w:rFonts w:eastAsia="黑体" w:hint="eastAsia"/>
                <w:sz w:val="24"/>
                <w:szCs w:val="24"/>
              </w:rPr>
              <w:t>批准文号</w:t>
            </w:r>
          </w:p>
        </w:tc>
        <w:tc>
          <w:tcPr>
            <w:tcW w:w="3604" w:type="dxa"/>
            <w:gridSpan w:val="3"/>
            <w:vAlign w:val="center"/>
          </w:tcPr>
          <w:p>
            <w:pPr>
              <w:spacing w:line="240" w:lineRule="auto"/>
              <w:ind w:firstLine="0" w:firstLineChars="0"/>
              <w:jc w:val="center"/>
              <w:rPr>
                <w:rFonts w:eastAsia="仿宋_GB2312"/>
                <w:spacing w:val="-20"/>
                <w:sz w:val="24"/>
                <w:szCs w:val="24"/>
              </w:rPr>
            </w:pPr>
            <w:r>
              <w:rPr>
                <w:rFonts w:hint="eastAsia"/>
                <w:sz w:val="24"/>
                <w:szCs w:val="24"/>
              </w:rPr>
              <w:t>/</w:t>
            </w:r>
          </w:p>
        </w:tc>
      </w:tr>
      <w:tr>
        <w:tblPrEx>
          <w:tblW w:w="9515" w:type="dxa"/>
          <w:tblInd w:w="0" w:type="dxa"/>
          <w:tblLayout w:type="fixed"/>
          <w:tblCellMar>
            <w:top w:w="0" w:type="dxa"/>
            <w:left w:w="108" w:type="dxa"/>
            <w:bottom w:w="0" w:type="dxa"/>
            <w:right w:w="108" w:type="dxa"/>
          </w:tblCellMar>
        </w:tblPrEx>
        <w:trPr>
          <w:trHeight w:val="623"/>
        </w:trPr>
        <w:tc>
          <w:tcPr>
            <w:tcW w:w="1350" w:type="dxa"/>
            <w:vAlign w:val="center"/>
          </w:tcPr>
          <w:p>
            <w:pPr>
              <w:spacing w:line="240" w:lineRule="auto"/>
              <w:ind w:firstLine="0" w:firstLineChars="0"/>
              <w:jc w:val="center"/>
              <w:rPr>
                <w:rFonts w:eastAsia="黑体"/>
                <w:sz w:val="24"/>
                <w:szCs w:val="24"/>
              </w:rPr>
            </w:pPr>
            <w:r>
              <w:rPr>
                <w:rFonts w:eastAsia="黑体" w:hint="eastAsia"/>
                <w:sz w:val="24"/>
                <w:szCs w:val="24"/>
              </w:rPr>
              <w:t>建设性质</w:t>
            </w:r>
          </w:p>
        </w:tc>
        <w:tc>
          <w:tcPr>
            <w:tcW w:w="3054" w:type="dxa"/>
            <w:gridSpan w:val="3"/>
            <w:vAlign w:val="center"/>
          </w:tcPr>
          <w:p>
            <w:pPr>
              <w:spacing w:line="240" w:lineRule="auto"/>
              <w:ind w:firstLine="0" w:firstLineChars="0"/>
              <w:jc w:val="center"/>
              <w:rPr>
                <w:rFonts w:eastAsia="仿宋_GB2312"/>
                <w:sz w:val="24"/>
                <w:szCs w:val="24"/>
              </w:rPr>
            </w:pPr>
            <w:r>
              <w:rPr>
                <w:rFonts w:eastAsia="仿宋" w:hint="eastAsia"/>
                <w:b/>
                <w:sz w:val="24"/>
                <w:szCs w:val="24"/>
              </w:rPr>
              <w:t>□</w:t>
            </w:r>
            <w:r>
              <w:rPr>
                <w:sz w:val="24"/>
                <w:szCs w:val="24"/>
              </w:rPr>
              <w:t>新建</w:t>
            </w:r>
            <w:r>
              <w:rPr>
                <w:rFonts w:ascii="Wingdings" w:hAnsi="Wingdings"/>
                <w:sz w:val="24"/>
                <w:szCs w:val="24"/>
              </w:rPr>
              <w:sym w:font="Wingdings" w:char="F0FE"/>
            </w:r>
            <w:r>
              <w:rPr>
                <w:sz w:val="24"/>
                <w:szCs w:val="24"/>
              </w:rPr>
              <w:t>改扩建</w:t>
            </w:r>
            <w:r>
              <w:rPr>
                <w:rFonts w:eastAsia="仿宋" w:hint="eastAsia"/>
                <w:b/>
                <w:sz w:val="24"/>
                <w:szCs w:val="24"/>
              </w:rPr>
              <w:t>□</w:t>
            </w:r>
            <w:r>
              <w:rPr>
                <w:sz w:val="24"/>
                <w:szCs w:val="24"/>
              </w:rPr>
              <w:t>技改</w:t>
            </w:r>
          </w:p>
        </w:tc>
        <w:tc>
          <w:tcPr>
            <w:tcW w:w="1475" w:type="dxa"/>
            <w:vAlign w:val="center"/>
          </w:tcPr>
          <w:p>
            <w:pPr>
              <w:spacing w:line="240" w:lineRule="auto"/>
              <w:ind w:firstLine="0" w:firstLineChars="0"/>
              <w:jc w:val="center"/>
              <w:rPr>
                <w:rFonts w:eastAsia="黑体"/>
                <w:sz w:val="24"/>
                <w:szCs w:val="24"/>
              </w:rPr>
            </w:pPr>
            <w:r>
              <w:rPr>
                <w:rFonts w:eastAsia="黑体" w:hint="eastAsia"/>
                <w:sz w:val="24"/>
                <w:szCs w:val="24"/>
              </w:rPr>
              <w:t>行业类别</w:t>
            </w:r>
          </w:p>
          <w:p>
            <w:pPr>
              <w:spacing w:line="240" w:lineRule="auto"/>
              <w:ind w:firstLine="0" w:firstLineChars="0"/>
              <w:jc w:val="center"/>
              <w:rPr>
                <w:rFonts w:eastAsia="黑体"/>
                <w:sz w:val="24"/>
                <w:szCs w:val="24"/>
              </w:rPr>
            </w:pPr>
            <w:r>
              <w:rPr>
                <w:rFonts w:eastAsia="黑体" w:hint="eastAsia"/>
                <w:sz w:val="24"/>
                <w:szCs w:val="24"/>
              </w:rPr>
              <w:t>及代码</w:t>
            </w:r>
          </w:p>
        </w:tc>
        <w:tc>
          <w:tcPr>
            <w:tcW w:w="3636" w:type="dxa"/>
            <w:gridSpan w:val="4"/>
            <w:vAlign w:val="center"/>
          </w:tcPr>
          <w:p>
            <w:pPr>
              <w:spacing w:line="240" w:lineRule="auto"/>
              <w:ind w:firstLine="0" w:firstLineChars="0"/>
              <w:jc w:val="center"/>
              <w:rPr>
                <w:sz w:val="24"/>
                <w:szCs w:val="24"/>
              </w:rPr>
            </w:pPr>
            <w:r>
              <w:rPr>
                <w:rFonts w:hint="eastAsia"/>
                <w:sz w:val="24"/>
              </w:rPr>
              <w:t>D4512液化石油气生产和供应业</w:t>
            </w:r>
          </w:p>
        </w:tc>
      </w:tr>
      <w:tr>
        <w:tblPrEx>
          <w:tblW w:w="9515" w:type="dxa"/>
          <w:tblInd w:w="0" w:type="dxa"/>
          <w:tblLayout w:type="fixed"/>
          <w:tblCellMar>
            <w:top w:w="0" w:type="dxa"/>
            <w:left w:w="108" w:type="dxa"/>
            <w:bottom w:w="0" w:type="dxa"/>
            <w:right w:w="108" w:type="dxa"/>
          </w:tblCellMar>
        </w:tblPrEx>
        <w:trPr>
          <w:trHeight w:val="401"/>
        </w:trPr>
        <w:tc>
          <w:tcPr>
            <w:tcW w:w="1350" w:type="dxa"/>
            <w:vAlign w:val="center"/>
          </w:tcPr>
          <w:p>
            <w:pPr>
              <w:spacing w:line="240" w:lineRule="auto"/>
              <w:ind w:firstLine="0" w:firstLineChars="0"/>
              <w:jc w:val="center"/>
              <w:rPr>
                <w:rFonts w:eastAsia="黑体"/>
                <w:sz w:val="24"/>
                <w:szCs w:val="24"/>
              </w:rPr>
            </w:pPr>
            <w:r>
              <w:rPr>
                <w:rFonts w:eastAsia="黑体" w:hint="eastAsia"/>
                <w:sz w:val="24"/>
                <w:szCs w:val="24"/>
              </w:rPr>
              <w:t>占地面积</w:t>
            </w:r>
          </w:p>
          <w:p>
            <w:pPr>
              <w:spacing w:line="240" w:lineRule="auto"/>
              <w:ind w:firstLine="0" w:firstLineChars="0"/>
              <w:jc w:val="center"/>
              <w:rPr>
                <w:rFonts w:eastAsia="黑体"/>
                <w:sz w:val="24"/>
                <w:szCs w:val="24"/>
              </w:rPr>
            </w:pPr>
            <w:r>
              <w:rPr>
                <w:rFonts w:eastAsia="黑体" w:hint="eastAsia"/>
                <w:sz w:val="24"/>
                <w:szCs w:val="24"/>
              </w:rPr>
              <w:t>(平方米)</w:t>
            </w:r>
          </w:p>
        </w:tc>
        <w:tc>
          <w:tcPr>
            <w:tcW w:w="3054" w:type="dxa"/>
            <w:gridSpan w:val="3"/>
            <w:vAlign w:val="center"/>
          </w:tcPr>
          <w:p>
            <w:pPr>
              <w:spacing w:line="240" w:lineRule="auto"/>
              <w:ind w:firstLine="0" w:firstLineChars="0"/>
              <w:jc w:val="center"/>
              <w:rPr>
                <w:rFonts w:eastAsia="仿宋_GB2312"/>
                <w:sz w:val="24"/>
                <w:szCs w:val="24"/>
              </w:rPr>
            </w:pPr>
            <w:r>
              <w:rPr>
                <w:rFonts w:eastAsia="仿宋_GB2312" w:hint="eastAsia"/>
                <w:sz w:val="24"/>
                <w:szCs w:val="24"/>
              </w:rPr>
              <w:t>3890.4</w:t>
            </w:r>
          </w:p>
        </w:tc>
        <w:tc>
          <w:tcPr>
            <w:tcW w:w="1475" w:type="dxa"/>
            <w:vAlign w:val="center"/>
          </w:tcPr>
          <w:p>
            <w:pPr>
              <w:spacing w:line="240" w:lineRule="auto"/>
              <w:ind w:firstLine="0" w:firstLineChars="0"/>
              <w:jc w:val="center"/>
              <w:rPr>
                <w:rFonts w:eastAsia="黑体"/>
                <w:sz w:val="24"/>
                <w:szCs w:val="24"/>
              </w:rPr>
            </w:pPr>
            <w:r>
              <w:rPr>
                <w:rFonts w:eastAsia="黑体" w:hint="eastAsia"/>
                <w:sz w:val="24"/>
                <w:szCs w:val="24"/>
              </w:rPr>
              <w:t>绿化面积</w:t>
            </w:r>
          </w:p>
          <w:p>
            <w:pPr>
              <w:spacing w:line="240" w:lineRule="auto"/>
              <w:ind w:firstLine="0" w:firstLineChars="0"/>
              <w:jc w:val="center"/>
              <w:rPr>
                <w:rFonts w:eastAsia="黑体"/>
                <w:sz w:val="24"/>
                <w:szCs w:val="24"/>
              </w:rPr>
            </w:pPr>
            <w:r>
              <w:rPr>
                <w:rFonts w:eastAsia="黑体"/>
                <w:sz w:val="24"/>
                <w:szCs w:val="24"/>
              </w:rPr>
              <w:t>(</w:t>
            </w:r>
            <w:r>
              <w:rPr>
                <w:rFonts w:eastAsia="黑体" w:hint="eastAsia"/>
                <w:sz w:val="24"/>
                <w:szCs w:val="24"/>
              </w:rPr>
              <w:t>平方米</w:t>
            </w:r>
            <w:r>
              <w:rPr>
                <w:rFonts w:eastAsia="黑体"/>
                <w:sz w:val="24"/>
                <w:szCs w:val="24"/>
              </w:rPr>
              <w:t>)</w:t>
            </w:r>
          </w:p>
        </w:tc>
        <w:tc>
          <w:tcPr>
            <w:tcW w:w="3636" w:type="dxa"/>
            <w:gridSpan w:val="4"/>
            <w:vAlign w:val="center"/>
          </w:tcPr>
          <w:p>
            <w:pPr>
              <w:spacing w:line="240" w:lineRule="auto"/>
              <w:ind w:firstLine="0" w:firstLineChars="0"/>
              <w:jc w:val="center"/>
              <w:rPr>
                <w:rFonts w:eastAsia="仿宋_GB2312"/>
                <w:sz w:val="24"/>
                <w:szCs w:val="24"/>
              </w:rPr>
            </w:pPr>
            <w:r>
              <w:rPr>
                <w:rFonts w:hint="eastAsia"/>
                <w:bCs/>
                <w:sz w:val="24"/>
                <w:szCs w:val="24"/>
              </w:rPr>
              <w:t>860</w:t>
            </w:r>
          </w:p>
        </w:tc>
      </w:tr>
      <w:tr>
        <w:tblPrEx>
          <w:tblW w:w="9515" w:type="dxa"/>
          <w:tblInd w:w="0" w:type="dxa"/>
          <w:tblLayout w:type="fixed"/>
          <w:tblCellMar>
            <w:top w:w="0" w:type="dxa"/>
            <w:left w:w="108" w:type="dxa"/>
            <w:bottom w:w="0" w:type="dxa"/>
            <w:right w:w="108" w:type="dxa"/>
          </w:tblCellMar>
        </w:tblPrEx>
        <w:trPr>
          <w:trHeight w:val="481"/>
        </w:trPr>
        <w:tc>
          <w:tcPr>
            <w:tcW w:w="1350" w:type="dxa"/>
            <w:vAlign w:val="center"/>
          </w:tcPr>
          <w:p>
            <w:pPr>
              <w:spacing w:line="240" w:lineRule="auto"/>
              <w:ind w:firstLine="0" w:firstLineChars="0"/>
              <w:jc w:val="center"/>
              <w:rPr>
                <w:rFonts w:eastAsia="黑体"/>
                <w:sz w:val="24"/>
                <w:szCs w:val="24"/>
              </w:rPr>
            </w:pPr>
            <w:r>
              <w:rPr>
                <w:rFonts w:eastAsia="黑体" w:hint="eastAsia"/>
                <w:sz w:val="24"/>
                <w:szCs w:val="24"/>
              </w:rPr>
              <w:t>总投资</w:t>
            </w:r>
          </w:p>
          <w:p>
            <w:pPr>
              <w:spacing w:line="240" w:lineRule="auto"/>
              <w:ind w:firstLine="0" w:firstLineChars="0"/>
              <w:jc w:val="center"/>
              <w:rPr>
                <w:rFonts w:eastAsia="黑体"/>
                <w:sz w:val="24"/>
                <w:szCs w:val="24"/>
              </w:rPr>
            </w:pPr>
            <w:r>
              <w:rPr>
                <w:rFonts w:eastAsia="黑体" w:hint="eastAsia"/>
                <w:sz w:val="24"/>
                <w:szCs w:val="24"/>
              </w:rPr>
              <w:t>（万元）</w:t>
            </w:r>
          </w:p>
        </w:tc>
        <w:tc>
          <w:tcPr>
            <w:tcW w:w="1363" w:type="dxa"/>
            <w:vAlign w:val="center"/>
          </w:tcPr>
          <w:p>
            <w:pPr>
              <w:spacing w:line="240" w:lineRule="auto"/>
              <w:ind w:firstLine="0" w:firstLineChars="0"/>
              <w:jc w:val="center"/>
              <w:rPr>
                <w:rFonts w:eastAsia="仿宋_GB2312"/>
                <w:spacing w:val="-24"/>
                <w:sz w:val="24"/>
                <w:szCs w:val="24"/>
              </w:rPr>
            </w:pPr>
            <w:r>
              <w:rPr>
                <w:rFonts w:eastAsia="仿宋_GB2312" w:hint="eastAsia"/>
                <w:bCs/>
                <w:sz w:val="24"/>
                <w:szCs w:val="24"/>
              </w:rPr>
              <w:t>8.25</w:t>
            </w:r>
          </w:p>
        </w:tc>
        <w:tc>
          <w:tcPr>
            <w:tcW w:w="1691" w:type="dxa"/>
            <w:gridSpan w:val="2"/>
            <w:vAlign w:val="center"/>
          </w:tcPr>
          <w:p>
            <w:pPr>
              <w:spacing w:line="240" w:lineRule="auto"/>
              <w:ind w:firstLine="0" w:firstLineChars="0"/>
              <w:jc w:val="center"/>
              <w:rPr>
                <w:rFonts w:eastAsia="黑体"/>
                <w:sz w:val="24"/>
                <w:szCs w:val="24"/>
              </w:rPr>
            </w:pPr>
            <w:r>
              <w:rPr>
                <w:rFonts w:eastAsia="黑体" w:hint="eastAsia"/>
                <w:sz w:val="24"/>
                <w:szCs w:val="24"/>
              </w:rPr>
              <w:t>其中：环保</w:t>
            </w:r>
          </w:p>
          <w:p>
            <w:pPr>
              <w:spacing w:line="240" w:lineRule="auto"/>
              <w:ind w:firstLine="0" w:firstLineChars="0"/>
              <w:jc w:val="center"/>
              <w:rPr>
                <w:rFonts w:eastAsia="仿宋_GB2312"/>
                <w:sz w:val="24"/>
                <w:szCs w:val="24"/>
              </w:rPr>
            </w:pPr>
            <w:r>
              <w:rPr>
                <w:rFonts w:eastAsia="黑体" w:hint="eastAsia"/>
                <w:sz w:val="24"/>
                <w:szCs w:val="24"/>
              </w:rPr>
              <w:t>投资（万元）</w:t>
            </w:r>
          </w:p>
        </w:tc>
        <w:tc>
          <w:tcPr>
            <w:tcW w:w="1475" w:type="dxa"/>
            <w:vAlign w:val="center"/>
          </w:tcPr>
          <w:p>
            <w:pPr>
              <w:spacing w:line="240" w:lineRule="auto"/>
              <w:ind w:firstLine="0" w:firstLineChars="0"/>
              <w:jc w:val="center"/>
              <w:rPr>
                <w:rFonts w:eastAsia="仿宋_GB2312"/>
                <w:sz w:val="24"/>
                <w:szCs w:val="24"/>
              </w:rPr>
            </w:pPr>
            <w:r>
              <w:rPr>
                <w:rFonts w:hint="eastAsia"/>
                <w:sz w:val="24"/>
                <w:szCs w:val="24"/>
              </w:rPr>
              <w:t>1</w:t>
            </w:r>
          </w:p>
        </w:tc>
        <w:tc>
          <w:tcPr>
            <w:tcW w:w="2173" w:type="dxa"/>
            <w:vAlign w:val="center"/>
          </w:tcPr>
          <w:p>
            <w:pPr>
              <w:spacing w:line="240" w:lineRule="auto"/>
              <w:ind w:firstLine="0" w:firstLineChars="0"/>
              <w:jc w:val="center"/>
              <w:rPr>
                <w:rFonts w:eastAsia="仿宋_GB2312"/>
                <w:sz w:val="24"/>
                <w:szCs w:val="24"/>
              </w:rPr>
            </w:pPr>
            <w:r>
              <w:rPr>
                <w:rFonts w:eastAsia="黑体" w:hint="eastAsia"/>
                <w:sz w:val="24"/>
                <w:szCs w:val="24"/>
              </w:rPr>
              <w:t>环保投资占总投资比例</w:t>
            </w:r>
          </w:p>
        </w:tc>
        <w:tc>
          <w:tcPr>
            <w:tcW w:w="1463" w:type="dxa"/>
            <w:gridSpan w:val="3"/>
            <w:vAlign w:val="center"/>
          </w:tcPr>
          <w:p>
            <w:pPr>
              <w:spacing w:line="240" w:lineRule="auto"/>
              <w:ind w:firstLine="0" w:firstLineChars="0"/>
              <w:jc w:val="center"/>
              <w:rPr>
                <w:rFonts w:eastAsia="仿宋_GB2312"/>
                <w:sz w:val="24"/>
                <w:szCs w:val="24"/>
              </w:rPr>
            </w:pPr>
            <w:r>
              <w:rPr>
                <w:rFonts w:hint="eastAsia"/>
                <w:kern w:val="0"/>
              </w:rPr>
              <w:t>12.</w:t>
            </w:r>
            <w:r>
              <w:rPr>
                <w:kern w:val="0"/>
              </w:rPr>
              <w:t>12</w:t>
            </w:r>
            <w:r>
              <w:rPr>
                <w:rFonts w:hint="eastAsia"/>
                <w:kern w:val="0"/>
              </w:rPr>
              <w:t>%</w:t>
            </w:r>
          </w:p>
        </w:tc>
      </w:tr>
      <w:tr>
        <w:tblPrEx>
          <w:tblW w:w="9515" w:type="dxa"/>
          <w:tblInd w:w="0" w:type="dxa"/>
          <w:tblLayout w:type="fixed"/>
          <w:tblCellMar>
            <w:top w:w="0" w:type="dxa"/>
            <w:left w:w="108" w:type="dxa"/>
            <w:bottom w:w="0" w:type="dxa"/>
            <w:right w:w="108" w:type="dxa"/>
          </w:tblCellMar>
        </w:tblPrEx>
        <w:trPr>
          <w:trHeight w:val="419"/>
        </w:trPr>
        <w:tc>
          <w:tcPr>
            <w:tcW w:w="1350" w:type="dxa"/>
            <w:vAlign w:val="center"/>
          </w:tcPr>
          <w:p>
            <w:pPr>
              <w:spacing w:line="240" w:lineRule="auto"/>
              <w:ind w:firstLine="0" w:firstLineChars="0"/>
              <w:jc w:val="center"/>
              <w:rPr>
                <w:rFonts w:eastAsia="黑体"/>
                <w:sz w:val="24"/>
                <w:szCs w:val="24"/>
              </w:rPr>
            </w:pPr>
            <w:r>
              <w:rPr>
                <w:rFonts w:eastAsia="黑体" w:hint="eastAsia"/>
                <w:sz w:val="24"/>
                <w:szCs w:val="24"/>
              </w:rPr>
              <w:t>评价经费</w:t>
            </w:r>
          </w:p>
          <w:p>
            <w:pPr>
              <w:spacing w:line="240" w:lineRule="auto"/>
              <w:ind w:firstLine="0" w:firstLineChars="0"/>
              <w:jc w:val="center"/>
              <w:rPr>
                <w:rFonts w:eastAsia="黑体"/>
                <w:sz w:val="24"/>
                <w:szCs w:val="24"/>
              </w:rPr>
            </w:pPr>
            <w:r>
              <w:rPr>
                <w:rFonts w:eastAsia="黑体" w:hint="eastAsia"/>
                <w:sz w:val="24"/>
                <w:szCs w:val="24"/>
              </w:rPr>
              <w:t>（万元）</w:t>
            </w:r>
          </w:p>
        </w:tc>
        <w:tc>
          <w:tcPr>
            <w:tcW w:w="1363" w:type="dxa"/>
            <w:vAlign w:val="center"/>
          </w:tcPr>
          <w:p>
            <w:pPr>
              <w:spacing w:line="240" w:lineRule="auto"/>
              <w:ind w:firstLine="0" w:firstLineChars="0"/>
              <w:jc w:val="center"/>
              <w:rPr>
                <w:rFonts w:eastAsia="仿宋_GB2312"/>
                <w:sz w:val="24"/>
                <w:szCs w:val="24"/>
              </w:rPr>
            </w:pPr>
            <w:r>
              <w:rPr>
                <w:rFonts w:hint="eastAsia"/>
                <w:sz w:val="24"/>
                <w:szCs w:val="24"/>
              </w:rPr>
              <w:t>/</w:t>
            </w:r>
          </w:p>
        </w:tc>
        <w:tc>
          <w:tcPr>
            <w:tcW w:w="1691" w:type="dxa"/>
            <w:gridSpan w:val="2"/>
            <w:vAlign w:val="center"/>
          </w:tcPr>
          <w:p>
            <w:pPr>
              <w:spacing w:line="240" w:lineRule="auto"/>
              <w:ind w:firstLine="0" w:firstLineChars="0"/>
              <w:jc w:val="center"/>
              <w:rPr>
                <w:rFonts w:eastAsia="仿宋_GB2312"/>
                <w:sz w:val="24"/>
                <w:szCs w:val="24"/>
              </w:rPr>
            </w:pPr>
            <w:r>
              <w:rPr>
                <w:rFonts w:eastAsia="黑体" w:hint="eastAsia"/>
                <w:sz w:val="24"/>
                <w:szCs w:val="24"/>
              </w:rPr>
              <w:t>预期投产日期</w:t>
            </w:r>
          </w:p>
        </w:tc>
        <w:tc>
          <w:tcPr>
            <w:tcW w:w="5111" w:type="dxa"/>
            <w:gridSpan w:val="5"/>
            <w:vAlign w:val="center"/>
          </w:tcPr>
          <w:p>
            <w:pPr>
              <w:spacing w:line="240" w:lineRule="auto"/>
              <w:ind w:firstLine="0" w:firstLineChars="0"/>
              <w:jc w:val="center"/>
              <w:rPr>
                <w:rFonts w:eastAsia="仿宋_GB2312"/>
                <w:sz w:val="24"/>
                <w:szCs w:val="24"/>
              </w:rPr>
            </w:pPr>
            <w:r>
              <w:rPr>
                <w:sz w:val="24"/>
                <w:szCs w:val="24"/>
              </w:rPr>
              <w:t>20</w:t>
            </w:r>
            <w:r>
              <w:rPr>
                <w:rFonts w:hint="eastAsia"/>
                <w:sz w:val="24"/>
                <w:szCs w:val="24"/>
              </w:rPr>
              <w:t>20年9月</w:t>
            </w:r>
          </w:p>
        </w:tc>
      </w:tr>
    </w:tbl>
    <w:p>
      <w:pPr>
        <w:pStyle w:val="Title"/>
        <w:rPr>
          <w:rFonts w:ascii="Times New Roman" w:hAnsi="Times New Roman"/>
        </w:rPr>
      </w:pPr>
      <w:r>
        <w:rPr>
          <w:rFonts w:ascii="Times New Roman" w:hAnsi="Times New Roman"/>
        </w:rPr>
        <w:pict>
          <v:shapetype id="_x0000_t202" coordsize="21600,21600" o:spt="202" path="m,l,21600r21600,l21600,xe">
            <v:stroke joinstyle="miter"/>
            <v:path gradientshapeok="t" o:connecttype="rect"/>
          </v:shapetype>
          <v:shape id="文本框 229" o:spid="_x0000_s1025" type="#_x0000_t202" style="width:467.25pt;height:31.2pt;margin-top:-32.2pt;margin-left:-7.45pt;mso-height-relative:page;mso-width-relative:page;position:absolute;z-index:251658240" coordsize="21600,21600" filled="f" stroked="f">
            <v:stroke joinstyle="miter"/>
            <v:textbox>
              <w:txbxContent>
                <w:p>
                  <w:pPr>
                    <w:pStyle w:val="BodyText"/>
                    <w:spacing w:line="440" w:lineRule="exact"/>
                    <w:ind w:firstLine="0" w:firstLineChars="0"/>
                    <w:rPr>
                      <w:rFonts w:eastAsia="黑体"/>
                      <w:sz w:val="32"/>
                    </w:rPr>
                  </w:pPr>
                  <w:r>
                    <w:rPr>
                      <w:rFonts w:eastAsia="黑体" w:hint="eastAsia"/>
                      <w:sz w:val="32"/>
                    </w:rPr>
                    <w:t>建设项目基本情况（表一）</w:t>
                  </w:r>
                </w:p>
              </w:txbxContent>
            </v:textbox>
          </v:shape>
        </w:pict>
      </w:r>
      <w:r>
        <w:rPr>
          <w:rFonts w:ascii="Times New Roman" w:hAnsi="Times New Roman" w:hint="eastAsia"/>
        </w:rPr>
        <w:t>工程内容及规模：</w:t>
      </w:r>
    </w:p>
    <w:p>
      <w:pPr>
        <w:pStyle w:val="a1"/>
        <w:ind w:firstLine="560"/>
        <w:outlineLvl w:val="0"/>
        <w:rPr>
          <w:rFonts w:eastAsia="黑体"/>
          <w:sz w:val="28"/>
        </w:rPr>
      </w:pPr>
      <w:r>
        <w:rPr>
          <w:rFonts w:eastAsia="黑体"/>
          <w:sz w:val="28"/>
        </w:rPr>
        <w:t>一、项目由来</w:t>
      </w:r>
    </w:p>
    <w:p>
      <w:pPr>
        <w:pStyle w:val="a1"/>
        <w:ind w:firstLine="480"/>
      </w:pPr>
      <w:r>
        <w:rPr>
          <w:rFonts w:hint="eastAsia"/>
          <w:szCs w:val="24"/>
        </w:rPr>
        <w:t>中国石化销售股份有限公司海南文昌文教供气站</w:t>
      </w:r>
      <w:r>
        <w:rPr>
          <w:rFonts w:hint="eastAsia"/>
        </w:rPr>
        <w:t>于</w:t>
      </w:r>
      <w:r>
        <w:t>2002</w:t>
      </w:r>
      <w:r>
        <w:rPr>
          <w:rFonts w:hint="eastAsia"/>
        </w:rPr>
        <w:t>年建成投产，主要为文教镇</w:t>
      </w:r>
      <w:r>
        <w:t>、龙楼镇</w:t>
      </w:r>
      <w:r>
        <w:rPr>
          <w:rFonts w:hint="eastAsia"/>
        </w:rPr>
        <w:t>周边居民提供液化石油气瓶充装服务，充装供应液化石油气1</w:t>
      </w:r>
      <w:r>
        <w:t>2</w:t>
      </w:r>
      <w:r>
        <w:rPr>
          <w:rFonts w:hint="eastAsia"/>
        </w:rPr>
        <w:t>00吨/年。2016年，</w:t>
      </w:r>
      <w:r>
        <w:rPr>
          <w:rFonts w:hint="eastAsia"/>
          <w:szCs w:val="24"/>
        </w:rPr>
        <w:t>中国石化销售股份有限公司海南文昌文教供气站（以下简称“建设单位”）</w:t>
      </w:r>
      <w:r>
        <w:rPr>
          <w:rFonts w:hint="eastAsia"/>
        </w:rPr>
        <w:t>为了响应海南省生态环境保护厅关于印发《海南省清理整治环保违法违规建设项目工作方案》（琼环函[2016]730号）和《海南省加油（气）站环保违规建设项目现状环境影响评估和竣工环保验收指导意见》文件中通知精神，于2016年委托北京国环建邦</w:t>
      </w:r>
      <w:r>
        <w:t>环保科技</w:t>
      </w:r>
      <w:r>
        <w:rPr>
          <w:rFonts w:hint="eastAsia"/>
        </w:rPr>
        <w:t>有限公司编制了《中国石化销售有限公司海南文昌文教供气站项目现状环境影响评估报告》，并于2016年12月2</w:t>
      </w:r>
      <w:r>
        <w:t>9</w:t>
      </w:r>
      <w:r>
        <w:rPr>
          <w:rFonts w:hint="eastAsia"/>
        </w:rPr>
        <w:t>日取得文昌市生态环境保护局建设项目环境保护备案回执“9</w:t>
      </w:r>
      <w:r>
        <w:t>005116058</w:t>
      </w:r>
      <w:r>
        <w:rPr>
          <w:rFonts w:hint="eastAsia"/>
        </w:rPr>
        <w:t>号”。</w:t>
      </w:r>
    </w:p>
    <w:p>
      <w:pPr>
        <w:pStyle w:val="a1"/>
        <w:ind w:firstLine="480"/>
      </w:pPr>
      <w:r>
        <w:rPr>
          <w:rFonts w:hint="eastAsia"/>
        </w:rPr>
        <w:t>为了提高供气站储气规模，提高安全系数，建设单位投资</w:t>
      </w:r>
      <w:r>
        <w:t>8.2500</w:t>
      </w:r>
      <w:r>
        <w:rPr>
          <w:rFonts w:hint="eastAsia"/>
        </w:rPr>
        <w:t>万元建设“</w:t>
      </w:r>
      <w:r>
        <w:rPr>
          <w:rFonts w:hint="eastAsia"/>
          <w:kern w:val="0"/>
          <w:szCs w:val="24"/>
        </w:rPr>
        <w:t>中国石化销售有限公司海南文昌文教供气站改建项目</w:t>
      </w:r>
      <w:r>
        <w:rPr>
          <w:rFonts w:hint="eastAsia"/>
        </w:rPr>
        <w:t>”（以下简称“本项目”），对原有液化石油气储罐进行改扩建，由2个</w:t>
      </w:r>
      <w:r>
        <w:t>10.5</w:t>
      </w:r>
      <w:r>
        <w:rPr>
          <w:rFonts w:hint="eastAsia"/>
        </w:rPr>
        <w:t>m</w:t>
      </w:r>
      <w:r>
        <w:rPr>
          <w:rFonts w:hint="eastAsia"/>
          <w:vertAlign w:val="superscript"/>
        </w:rPr>
        <w:t>3</w:t>
      </w:r>
      <w:r>
        <w:rPr>
          <w:rFonts w:hint="eastAsia"/>
        </w:rPr>
        <w:t>储罐改扩建为2个50m</w:t>
      </w:r>
      <w:r>
        <w:rPr>
          <w:rFonts w:hint="eastAsia"/>
          <w:vertAlign w:val="superscript"/>
        </w:rPr>
        <w:t>3</w:t>
      </w:r>
      <w:r>
        <w:rPr>
          <w:rFonts w:hint="eastAsia"/>
        </w:rPr>
        <w:t>储罐，同时储罐由原有的地面式改为地埋式，其余部分未发生改变，未新增其它构筑物建设，充装量从原有的1200t/a提高至2000t/a。</w:t>
      </w:r>
    </w:p>
    <w:p>
      <w:pPr>
        <w:pStyle w:val="a1"/>
        <w:ind w:firstLine="480"/>
        <w:sectPr>
          <w:headerReference w:type="even" r:id="rId14"/>
          <w:headerReference w:type="default" r:id="rId15"/>
          <w:footerReference w:type="even" r:id="rId16"/>
          <w:footerReference w:type="default" r:id="rId17"/>
          <w:headerReference w:type="first" r:id="rId18"/>
          <w:footerReference w:type="first" r:id="rId19"/>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1"/>
          <w:cols w:num="1" w:space="720"/>
          <w:docGrid w:type="linesAndChars" w:linePitch="312" w:charSpace="0"/>
        </w:sectPr>
      </w:pPr>
      <w:r>
        <w:rPr>
          <w:rFonts w:hint="eastAsia"/>
        </w:rPr>
        <w:t>本项目已对站内的储罐进行了更换并停工至今。</w:t>
      </w:r>
      <w:r>
        <w:rPr>
          <w:kern w:val="0"/>
        </w:rPr>
        <w:t>根据</w:t>
      </w:r>
    </w:p>
    <w:p>
      <w:pPr>
        <w:sectPr>
          <w:headerReference w:type="even" r:id="rId20"/>
          <w:headerReference w:type="default" r:id="rId21"/>
          <w:footerReference w:type="even" r:id="rId22"/>
          <w:footerReference w:type="default" r:id="rId23"/>
          <w:headerReference w:type="first" r:id="rId24"/>
          <w:footerReference w:type="first" r:id="rId25"/>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480"/>
      </w:pPr>
      <w:r>
        <w:rPr>
          <w:lang w:val="zh-CN"/>
        </w:rPr>
        <w:t>《中华人民共和国环境保护法》、《中华人民共和国环境影响评价法》及《建设项目环境保护管理条例》（国务院令第</w:t>
      </w:r>
      <w:r>
        <w:t>253</w:t>
      </w:r>
      <w:r>
        <w:rPr>
          <w:lang w:val="zh-CN"/>
        </w:rPr>
        <w:t>号）等法律法规的规定，</w:t>
      </w:r>
      <w:r>
        <w:t>本项目</w:t>
      </w:r>
      <w:r>
        <w:rPr>
          <w:lang w:val="zh-CN"/>
        </w:rPr>
        <w:t>应该进行环境影响评价。</w:t>
      </w:r>
      <w:r>
        <w:t>根据《建设项目环境影响评价分类管理名录》</w:t>
      </w:r>
      <w:r>
        <w:rPr>
          <w:rFonts w:hint="eastAsia"/>
        </w:rPr>
        <w:t>（2018年修正）</w:t>
      </w:r>
      <w:r>
        <w:t>的相关规定，项目属于</w:t>
      </w:r>
      <w:r>
        <w:rPr>
          <w:rFonts w:hint="eastAsia"/>
        </w:rPr>
        <w:t>“四十、社会事业与服务业-124、加油、加气站-新建、扩建”的项目，</w:t>
      </w:r>
      <w:r>
        <w:t>应编制环境影响报告表</w:t>
      </w:r>
      <w:r>
        <w:rPr>
          <w:lang w:val="zh-CN"/>
        </w:rPr>
        <w:t>。为此，</w:t>
      </w:r>
      <w:r>
        <w:rPr>
          <w:rFonts w:hint="eastAsia"/>
        </w:rPr>
        <w:t>中国石化销售股份有限公司海南文昌文教供气站</w:t>
      </w:r>
      <w:r>
        <w:t>委托</w:t>
      </w:r>
      <w:r>
        <w:rPr>
          <w:rFonts w:hint="eastAsia"/>
        </w:rPr>
        <w:t>四川正润源</w:t>
      </w:r>
      <w:r>
        <w:t>环境科技有限公司进行该项目的环境影响评价编制工作。接受委托后，我公司立即安排技术人员对该项目进行现场踏勘和资料收集，开展了环境质量现状监测，按照有关技术规范和相关规定，编制完成了《</w:t>
      </w:r>
      <w:r>
        <w:rPr>
          <w:rFonts w:hint="eastAsia"/>
          <w:kern w:val="0"/>
          <w:szCs w:val="24"/>
        </w:rPr>
        <w:t>中国石化销售有限公司海南文昌文教供气站改建项目</w:t>
      </w:r>
      <w:r>
        <w:rPr>
          <w:lang w:val="en-GB"/>
        </w:rPr>
        <w:t>环境影响报告表</w:t>
      </w:r>
      <w:r>
        <w:t>》。</w:t>
      </w:r>
    </w:p>
    <w:p>
      <w:pPr>
        <w:adjustRightInd w:val="0"/>
        <w:snapToGrid w:val="0"/>
        <w:ind w:firstLine="480"/>
        <w:jc w:val="left"/>
        <w:rPr>
          <w:sz w:val="24"/>
        </w:rPr>
      </w:pPr>
      <w:r>
        <w:rPr>
          <w:rFonts w:hint="eastAsia"/>
          <w:sz w:val="24"/>
        </w:rPr>
        <w:t>项目各环境因素评价等级判定如下：</w:t>
      </w:r>
    </w:p>
    <w:p>
      <w:pPr>
        <w:pStyle w:val="a1"/>
        <w:spacing w:line="240" w:lineRule="auto"/>
        <w:ind w:firstLine="0" w:firstLineChars="0"/>
        <w:jc w:val="center"/>
        <w:rPr>
          <w:rFonts w:eastAsia="黑体"/>
          <w:sz w:val="21"/>
          <w:szCs w:val="21"/>
        </w:rPr>
      </w:pPr>
      <w:r>
        <w:rPr>
          <w:rFonts w:eastAsia="黑体" w:hint="eastAsia"/>
          <w:sz w:val="21"/>
          <w:szCs w:val="21"/>
        </w:rPr>
        <w:t>表1-1  项目各环境因素评价等级判定一览表</w:t>
      </w:r>
    </w:p>
    <w:tbl>
      <w:tblPr>
        <w:tblStyle w:val="TableNormal"/>
        <w:tblW w:w="9515"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
      <w:tblGrid>
        <w:gridCol w:w="2093"/>
        <w:gridCol w:w="1983"/>
        <w:gridCol w:w="5439"/>
      </w:tblGrid>
      <w:tr>
        <w:tblPrEx>
          <w:tblW w:w="9515"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Ex>
        <w:trPr>
          <w:jc w:val="center"/>
        </w:trPr>
        <w:tc>
          <w:tcPr>
            <w:tcW w:w="2093" w:type="dxa"/>
            <w:shd w:val="clear" w:color="auto" w:fill="auto"/>
            <w:vAlign w:val="center"/>
          </w:tcPr>
          <w:p>
            <w:pPr>
              <w:adjustRightInd w:val="0"/>
              <w:snapToGrid w:val="0"/>
              <w:spacing w:line="280" w:lineRule="exact"/>
              <w:ind w:firstLine="0" w:firstLineChars="0"/>
              <w:jc w:val="center"/>
              <w:rPr>
                <w:b/>
              </w:rPr>
            </w:pPr>
            <w:r>
              <w:rPr>
                <w:rFonts w:hint="eastAsia"/>
                <w:b/>
              </w:rPr>
              <w:t>类别</w:t>
            </w:r>
          </w:p>
        </w:tc>
        <w:tc>
          <w:tcPr>
            <w:tcW w:w="1983" w:type="dxa"/>
            <w:shd w:val="clear" w:color="auto" w:fill="auto"/>
            <w:vAlign w:val="center"/>
          </w:tcPr>
          <w:p>
            <w:pPr>
              <w:adjustRightInd w:val="0"/>
              <w:snapToGrid w:val="0"/>
              <w:spacing w:line="280" w:lineRule="exact"/>
              <w:ind w:firstLine="0" w:firstLineChars="0"/>
              <w:jc w:val="center"/>
              <w:rPr>
                <w:b/>
              </w:rPr>
            </w:pPr>
            <w:r>
              <w:rPr>
                <w:rFonts w:hint="eastAsia"/>
                <w:b/>
              </w:rPr>
              <w:t>评价等级</w:t>
            </w:r>
          </w:p>
        </w:tc>
        <w:tc>
          <w:tcPr>
            <w:tcW w:w="5439" w:type="dxa"/>
            <w:shd w:val="clear" w:color="auto" w:fill="auto"/>
            <w:vAlign w:val="center"/>
          </w:tcPr>
          <w:p>
            <w:pPr>
              <w:adjustRightInd w:val="0"/>
              <w:snapToGrid w:val="0"/>
              <w:spacing w:line="280" w:lineRule="exact"/>
              <w:ind w:firstLine="0" w:firstLineChars="0"/>
              <w:jc w:val="center"/>
              <w:rPr>
                <w:b/>
              </w:rPr>
            </w:pPr>
            <w:r>
              <w:rPr>
                <w:rFonts w:hint="eastAsia"/>
                <w:b/>
              </w:rPr>
              <w:t>判定依据</w:t>
            </w:r>
          </w:p>
        </w:tc>
      </w:tr>
      <w:tr>
        <w:tblPrEx>
          <w:tblW w:w="9515" w:type="dxa"/>
          <w:jc w:val="center"/>
          <w:tblLayout w:type="fixed"/>
          <w:tblCellMar>
            <w:top w:w="0" w:type="dxa"/>
            <w:left w:w="108" w:type="dxa"/>
            <w:bottom w:w="0" w:type="dxa"/>
            <w:right w:w="108" w:type="dxa"/>
          </w:tblCellMar>
        </w:tblPrEx>
        <w:trPr>
          <w:jc w:val="center"/>
        </w:trPr>
        <w:tc>
          <w:tcPr>
            <w:tcW w:w="2093" w:type="dxa"/>
            <w:shd w:val="clear" w:color="auto" w:fill="auto"/>
            <w:vAlign w:val="center"/>
          </w:tcPr>
          <w:p>
            <w:pPr>
              <w:adjustRightInd w:val="0"/>
              <w:snapToGrid w:val="0"/>
              <w:spacing w:line="280" w:lineRule="exact"/>
              <w:ind w:firstLine="0" w:firstLineChars="0"/>
              <w:jc w:val="center"/>
            </w:pPr>
            <w:r>
              <w:rPr>
                <w:rFonts w:hint="eastAsia"/>
              </w:rPr>
              <w:t>大气环境</w:t>
            </w:r>
          </w:p>
        </w:tc>
        <w:tc>
          <w:tcPr>
            <w:tcW w:w="1983" w:type="dxa"/>
            <w:shd w:val="clear" w:color="auto" w:fill="auto"/>
            <w:vAlign w:val="center"/>
          </w:tcPr>
          <w:p>
            <w:pPr>
              <w:adjustRightInd w:val="0"/>
              <w:snapToGrid w:val="0"/>
              <w:spacing w:line="280" w:lineRule="exact"/>
              <w:ind w:firstLine="0" w:firstLineChars="0"/>
              <w:jc w:val="center"/>
            </w:pPr>
            <w:r>
              <w:t>二级</w:t>
            </w:r>
          </w:p>
        </w:tc>
        <w:tc>
          <w:tcPr>
            <w:tcW w:w="5439" w:type="dxa"/>
            <w:shd w:val="clear" w:color="auto" w:fill="auto"/>
            <w:vAlign w:val="center"/>
          </w:tcPr>
          <w:p>
            <w:pPr>
              <w:adjustRightInd w:val="0"/>
              <w:snapToGrid w:val="0"/>
              <w:spacing w:line="280" w:lineRule="exact"/>
              <w:ind w:firstLine="0" w:firstLineChars="0"/>
              <w:jc w:val="center"/>
            </w:pPr>
            <w:r>
              <w:rPr>
                <w:rFonts w:hint="eastAsia"/>
              </w:rPr>
              <w:t>经预测，项目非甲烷总烃无组织排放最大占标率P</w:t>
            </w:r>
            <w:r>
              <w:rPr>
                <w:rFonts w:hint="eastAsia"/>
                <w:vertAlign w:val="subscript"/>
              </w:rPr>
              <w:t>max</w:t>
            </w:r>
            <w:r>
              <w:rPr>
                <w:rFonts w:hint="eastAsia"/>
              </w:rPr>
              <w:t>为9.83%，1%≤P</w:t>
            </w:r>
            <w:r>
              <w:rPr>
                <w:rFonts w:hint="eastAsia"/>
                <w:vertAlign w:val="subscript"/>
              </w:rPr>
              <w:t>max</w:t>
            </w:r>
            <w:r>
              <w:rPr>
                <w:rFonts w:hint="eastAsia"/>
              </w:rPr>
              <w:t>＜10%，判定为二级评价。</w:t>
            </w:r>
          </w:p>
        </w:tc>
      </w:tr>
      <w:tr>
        <w:tblPrEx>
          <w:tblW w:w="9515" w:type="dxa"/>
          <w:jc w:val="center"/>
          <w:tblLayout w:type="fixed"/>
          <w:tblCellMar>
            <w:top w:w="0" w:type="dxa"/>
            <w:left w:w="108" w:type="dxa"/>
            <w:bottom w:w="0" w:type="dxa"/>
            <w:right w:w="108" w:type="dxa"/>
          </w:tblCellMar>
        </w:tblPrEx>
        <w:trPr>
          <w:jc w:val="center"/>
        </w:trPr>
        <w:tc>
          <w:tcPr>
            <w:tcW w:w="2093" w:type="dxa"/>
            <w:shd w:val="clear" w:color="auto" w:fill="auto"/>
            <w:vAlign w:val="center"/>
          </w:tcPr>
          <w:p>
            <w:pPr>
              <w:adjustRightInd w:val="0"/>
              <w:snapToGrid w:val="0"/>
              <w:spacing w:line="280" w:lineRule="exact"/>
              <w:ind w:firstLine="0" w:firstLineChars="0"/>
              <w:jc w:val="center"/>
            </w:pPr>
            <w:r>
              <w:rPr>
                <w:rFonts w:hint="eastAsia"/>
              </w:rPr>
              <w:t>地表水环境</w:t>
            </w:r>
          </w:p>
        </w:tc>
        <w:tc>
          <w:tcPr>
            <w:tcW w:w="1983" w:type="dxa"/>
            <w:shd w:val="clear" w:color="auto" w:fill="auto"/>
            <w:vAlign w:val="center"/>
          </w:tcPr>
          <w:p>
            <w:pPr>
              <w:adjustRightInd w:val="0"/>
              <w:snapToGrid w:val="0"/>
              <w:spacing w:line="280" w:lineRule="exact"/>
              <w:ind w:firstLine="0" w:firstLineChars="0"/>
              <w:jc w:val="center"/>
            </w:pPr>
            <w:r>
              <w:rPr>
                <w:rFonts w:hint="eastAsia"/>
              </w:rPr>
              <w:t>三级B</w:t>
            </w:r>
          </w:p>
        </w:tc>
        <w:tc>
          <w:tcPr>
            <w:tcW w:w="5439" w:type="dxa"/>
            <w:shd w:val="clear" w:color="auto" w:fill="auto"/>
            <w:vAlign w:val="center"/>
          </w:tcPr>
          <w:p>
            <w:pPr>
              <w:adjustRightInd w:val="0"/>
              <w:snapToGrid w:val="0"/>
              <w:spacing w:line="280" w:lineRule="exact"/>
              <w:ind w:firstLine="0" w:firstLineChars="0"/>
              <w:jc w:val="center"/>
            </w:pPr>
            <w:r>
              <w:t>项目生活污水</w:t>
            </w:r>
            <w:r>
              <w:rPr>
                <w:rFonts w:hint="eastAsia"/>
              </w:rPr>
              <w:t>（包括食堂废水）均经处理后用于周边农地施肥，不外排，判定为三级B。</w:t>
            </w:r>
          </w:p>
        </w:tc>
      </w:tr>
      <w:tr>
        <w:tblPrEx>
          <w:tblW w:w="9515" w:type="dxa"/>
          <w:jc w:val="center"/>
          <w:tblLayout w:type="fixed"/>
          <w:tblCellMar>
            <w:top w:w="0" w:type="dxa"/>
            <w:left w:w="108" w:type="dxa"/>
            <w:bottom w:w="0" w:type="dxa"/>
            <w:right w:w="108" w:type="dxa"/>
          </w:tblCellMar>
        </w:tblPrEx>
        <w:trPr>
          <w:jc w:val="center"/>
        </w:trPr>
        <w:tc>
          <w:tcPr>
            <w:tcW w:w="2093" w:type="dxa"/>
            <w:shd w:val="clear" w:color="auto" w:fill="auto"/>
            <w:vAlign w:val="center"/>
          </w:tcPr>
          <w:p>
            <w:pPr>
              <w:adjustRightInd w:val="0"/>
              <w:snapToGrid w:val="0"/>
              <w:spacing w:line="280" w:lineRule="exact"/>
              <w:ind w:firstLine="0" w:firstLineChars="0"/>
              <w:jc w:val="center"/>
            </w:pPr>
            <w:r>
              <w:rPr>
                <w:rFonts w:hint="eastAsia"/>
              </w:rPr>
              <w:t>地下水环境</w:t>
            </w:r>
          </w:p>
        </w:tc>
        <w:tc>
          <w:tcPr>
            <w:tcW w:w="1983" w:type="dxa"/>
            <w:shd w:val="clear" w:color="auto" w:fill="auto"/>
            <w:vAlign w:val="center"/>
          </w:tcPr>
          <w:p>
            <w:pPr>
              <w:adjustRightInd w:val="0"/>
              <w:snapToGrid w:val="0"/>
              <w:spacing w:line="280" w:lineRule="exact"/>
              <w:ind w:firstLine="0" w:firstLineChars="0"/>
              <w:jc w:val="center"/>
            </w:pPr>
            <w:r>
              <w:rPr>
                <w:rFonts w:hint="eastAsia"/>
              </w:rPr>
              <w:t>/</w:t>
            </w:r>
          </w:p>
        </w:tc>
        <w:tc>
          <w:tcPr>
            <w:tcW w:w="5439" w:type="dxa"/>
            <w:shd w:val="clear" w:color="auto" w:fill="auto"/>
            <w:vAlign w:val="center"/>
          </w:tcPr>
          <w:p>
            <w:pPr>
              <w:adjustRightInd w:val="0"/>
              <w:snapToGrid w:val="0"/>
              <w:spacing w:line="280" w:lineRule="exact"/>
              <w:ind w:firstLine="0" w:firstLineChars="0"/>
              <w:jc w:val="center"/>
            </w:pPr>
            <w:r>
              <w:rPr>
                <w:rFonts w:hint="eastAsia"/>
              </w:rPr>
              <w:t>项目属于V社会事业与服务业中的182，加气站，Ⅳ类项目，不需要开展地下水评价。</w:t>
            </w:r>
          </w:p>
        </w:tc>
      </w:tr>
      <w:tr>
        <w:tblPrEx>
          <w:tblW w:w="9515" w:type="dxa"/>
          <w:jc w:val="center"/>
          <w:tblLayout w:type="fixed"/>
          <w:tblCellMar>
            <w:top w:w="0" w:type="dxa"/>
            <w:left w:w="108" w:type="dxa"/>
            <w:bottom w:w="0" w:type="dxa"/>
            <w:right w:w="108" w:type="dxa"/>
          </w:tblCellMar>
        </w:tblPrEx>
        <w:trPr>
          <w:jc w:val="center"/>
        </w:trPr>
        <w:tc>
          <w:tcPr>
            <w:tcW w:w="2093" w:type="dxa"/>
            <w:shd w:val="clear" w:color="auto" w:fill="auto"/>
            <w:vAlign w:val="center"/>
          </w:tcPr>
          <w:p>
            <w:pPr>
              <w:adjustRightInd w:val="0"/>
              <w:snapToGrid w:val="0"/>
              <w:spacing w:line="280" w:lineRule="exact"/>
              <w:ind w:firstLine="0" w:firstLineChars="0"/>
              <w:jc w:val="center"/>
            </w:pPr>
            <w:r>
              <w:rPr>
                <w:rFonts w:hint="eastAsia"/>
              </w:rPr>
              <w:t>声环境</w:t>
            </w:r>
          </w:p>
        </w:tc>
        <w:tc>
          <w:tcPr>
            <w:tcW w:w="1983" w:type="dxa"/>
            <w:shd w:val="clear" w:color="auto" w:fill="auto"/>
            <w:vAlign w:val="center"/>
          </w:tcPr>
          <w:p>
            <w:pPr>
              <w:adjustRightInd w:val="0"/>
              <w:snapToGrid w:val="0"/>
              <w:spacing w:line="280" w:lineRule="exact"/>
              <w:ind w:firstLine="0" w:firstLineChars="0"/>
              <w:jc w:val="center"/>
            </w:pPr>
            <w:r>
              <w:rPr>
                <w:rFonts w:hint="eastAsia"/>
              </w:rPr>
              <w:t>二级</w:t>
            </w:r>
          </w:p>
        </w:tc>
        <w:tc>
          <w:tcPr>
            <w:tcW w:w="5439" w:type="dxa"/>
            <w:shd w:val="clear" w:color="auto" w:fill="auto"/>
            <w:vAlign w:val="center"/>
          </w:tcPr>
          <w:p>
            <w:pPr>
              <w:adjustRightInd w:val="0"/>
              <w:snapToGrid w:val="0"/>
              <w:spacing w:line="280" w:lineRule="exact"/>
              <w:ind w:firstLine="0" w:firstLineChars="0"/>
              <w:jc w:val="center"/>
            </w:pPr>
            <w:r>
              <w:rPr>
                <w:rFonts w:hint="eastAsia"/>
              </w:rPr>
              <w:t>项目处于声环境功能区中的2类地区，项目建设后评价范围内敏感目标噪声级增高量＜3dB（A），受噪声影响人口数量较少，判定声环境评价等级为二级。</w:t>
            </w:r>
          </w:p>
        </w:tc>
      </w:tr>
      <w:tr>
        <w:tblPrEx>
          <w:tblW w:w="9515" w:type="dxa"/>
          <w:jc w:val="center"/>
          <w:tblLayout w:type="fixed"/>
          <w:tblCellMar>
            <w:top w:w="0" w:type="dxa"/>
            <w:left w:w="108" w:type="dxa"/>
            <w:bottom w:w="0" w:type="dxa"/>
            <w:right w:w="108" w:type="dxa"/>
          </w:tblCellMar>
        </w:tblPrEx>
        <w:trPr>
          <w:jc w:val="center"/>
        </w:trPr>
        <w:tc>
          <w:tcPr>
            <w:tcW w:w="2093" w:type="dxa"/>
            <w:shd w:val="clear" w:color="auto" w:fill="auto"/>
            <w:vAlign w:val="center"/>
          </w:tcPr>
          <w:p>
            <w:pPr>
              <w:adjustRightInd w:val="0"/>
              <w:snapToGrid w:val="0"/>
              <w:spacing w:line="280" w:lineRule="exact"/>
              <w:ind w:firstLine="0" w:firstLineChars="0"/>
              <w:jc w:val="center"/>
            </w:pPr>
            <w:r>
              <w:rPr>
                <w:rFonts w:hint="eastAsia"/>
              </w:rPr>
              <w:t>土壤环境</w:t>
            </w:r>
          </w:p>
        </w:tc>
        <w:tc>
          <w:tcPr>
            <w:tcW w:w="1983" w:type="dxa"/>
            <w:shd w:val="clear" w:color="auto" w:fill="auto"/>
            <w:vAlign w:val="center"/>
          </w:tcPr>
          <w:p>
            <w:pPr>
              <w:adjustRightInd w:val="0"/>
              <w:snapToGrid w:val="0"/>
              <w:spacing w:line="280" w:lineRule="exact"/>
              <w:ind w:firstLine="0" w:firstLineChars="0"/>
              <w:jc w:val="center"/>
            </w:pPr>
            <w:r>
              <w:rPr>
                <w:rFonts w:hint="eastAsia"/>
              </w:rPr>
              <w:t>/</w:t>
            </w:r>
          </w:p>
        </w:tc>
        <w:tc>
          <w:tcPr>
            <w:tcW w:w="5439" w:type="dxa"/>
            <w:shd w:val="clear" w:color="auto" w:fill="auto"/>
            <w:vAlign w:val="center"/>
          </w:tcPr>
          <w:p>
            <w:pPr>
              <w:adjustRightInd w:val="0"/>
              <w:snapToGrid w:val="0"/>
              <w:spacing w:line="280" w:lineRule="exact"/>
              <w:ind w:firstLine="0" w:firstLineChars="0"/>
              <w:jc w:val="center"/>
            </w:pPr>
            <w:r>
              <w:rPr>
                <w:rFonts w:hint="eastAsia"/>
              </w:rPr>
              <w:t>项目属于电力热力燃力及水生产和供应业中的其他，Ⅳ类项目，不开展土壤环境影响评价</w:t>
            </w:r>
          </w:p>
        </w:tc>
      </w:tr>
      <w:tr>
        <w:tblPrEx>
          <w:tblW w:w="9515" w:type="dxa"/>
          <w:jc w:val="center"/>
          <w:tblLayout w:type="fixed"/>
          <w:tblCellMar>
            <w:top w:w="0" w:type="dxa"/>
            <w:left w:w="108" w:type="dxa"/>
            <w:bottom w:w="0" w:type="dxa"/>
            <w:right w:w="108" w:type="dxa"/>
          </w:tblCellMar>
        </w:tblPrEx>
        <w:trPr>
          <w:jc w:val="center"/>
        </w:trPr>
        <w:tc>
          <w:tcPr>
            <w:tcW w:w="2093" w:type="dxa"/>
            <w:shd w:val="clear" w:color="auto" w:fill="auto"/>
            <w:vAlign w:val="center"/>
          </w:tcPr>
          <w:p>
            <w:pPr>
              <w:adjustRightInd w:val="0"/>
              <w:snapToGrid w:val="0"/>
              <w:spacing w:line="280" w:lineRule="exact"/>
              <w:ind w:firstLine="0" w:firstLineChars="0"/>
              <w:jc w:val="center"/>
            </w:pPr>
            <w:r>
              <w:rPr>
                <w:rFonts w:hint="eastAsia"/>
              </w:rPr>
              <w:t>环境风险</w:t>
            </w:r>
          </w:p>
        </w:tc>
        <w:tc>
          <w:tcPr>
            <w:tcW w:w="1983" w:type="dxa"/>
            <w:shd w:val="clear" w:color="auto" w:fill="auto"/>
            <w:vAlign w:val="center"/>
          </w:tcPr>
          <w:p>
            <w:pPr>
              <w:adjustRightInd w:val="0"/>
              <w:snapToGrid w:val="0"/>
              <w:spacing w:line="280" w:lineRule="exact"/>
              <w:ind w:firstLine="0" w:firstLineChars="0"/>
              <w:jc w:val="center"/>
            </w:pPr>
            <w:r>
              <w:rPr>
                <w:rFonts w:hint="eastAsia"/>
              </w:rPr>
              <w:t>三</w:t>
            </w:r>
            <w:r>
              <w:t>级</w:t>
            </w:r>
          </w:p>
        </w:tc>
        <w:tc>
          <w:tcPr>
            <w:tcW w:w="5439" w:type="dxa"/>
            <w:shd w:val="clear" w:color="auto" w:fill="auto"/>
            <w:vAlign w:val="center"/>
          </w:tcPr>
          <w:p>
            <w:pPr>
              <w:adjustRightInd w:val="0"/>
              <w:snapToGrid w:val="0"/>
              <w:spacing w:line="280" w:lineRule="exact"/>
              <w:ind w:firstLine="0" w:firstLineChars="0"/>
              <w:jc w:val="center"/>
            </w:pPr>
            <w:r>
              <w:rPr>
                <w:rFonts w:hint="eastAsia"/>
              </w:rPr>
              <w:t>项目环境敏感程度为</w:t>
            </w:r>
            <w:r>
              <w:rPr>
                <w:rFonts w:hint="eastAsia"/>
                <w:kern w:val="0"/>
                <w:szCs w:val="20"/>
              </w:rPr>
              <w:t>环境中度敏感区（E2），</w:t>
            </w:r>
            <w:r>
              <w:rPr>
                <w:rFonts w:hint="eastAsia"/>
              </w:rPr>
              <w:t>危险性等级为P4，环境风险潜势为Ⅱ，风险评价工作等级为三级</w:t>
            </w:r>
          </w:p>
        </w:tc>
      </w:tr>
      <w:tr>
        <w:tblPrEx>
          <w:tblW w:w="9515" w:type="dxa"/>
          <w:jc w:val="center"/>
          <w:tblLayout w:type="fixed"/>
          <w:tblCellMar>
            <w:top w:w="0" w:type="dxa"/>
            <w:left w:w="108" w:type="dxa"/>
            <w:bottom w:w="0" w:type="dxa"/>
            <w:right w:w="108" w:type="dxa"/>
          </w:tblCellMar>
        </w:tblPrEx>
        <w:trPr>
          <w:jc w:val="center"/>
        </w:trPr>
        <w:tc>
          <w:tcPr>
            <w:tcW w:w="2093" w:type="dxa"/>
            <w:shd w:val="clear" w:color="auto" w:fill="auto"/>
            <w:vAlign w:val="center"/>
          </w:tcPr>
          <w:p>
            <w:pPr>
              <w:adjustRightInd w:val="0"/>
              <w:snapToGrid w:val="0"/>
              <w:spacing w:line="280" w:lineRule="exact"/>
              <w:ind w:firstLine="0" w:firstLineChars="0"/>
              <w:jc w:val="center"/>
            </w:pPr>
            <w:r>
              <w:rPr>
                <w:rFonts w:hint="eastAsia"/>
              </w:rPr>
              <w:t>生态环境</w:t>
            </w:r>
          </w:p>
        </w:tc>
        <w:tc>
          <w:tcPr>
            <w:tcW w:w="1983" w:type="dxa"/>
            <w:shd w:val="clear" w:color="auto" w:fill="auto"/>
            <w:vAlign w:val="center"/>
          </w:tcPr>
          <w:p>
            <w:pPr>
              <w:adjustRightInd w:val="0"/>
              <w:snapToGrid w:val="0"/>
              <w:spacing w:line="280" w:lineRule="exact"/>
              <w:ind w:firstLine="0" w:firstLineChars="0"/>
              <w:jc w:val="center"/>
            </w:pPr>
            <w:r>
              <w:rPr>
                <w:rFonts w:hint="eastAsia"/>
              </w:rPr>
              <w:t>生态影响分析</w:t>
            </w:r>
          </w:p>
        </w:tc>
        <w:tc>
          <w:tcPr>
            <w:tcW w:w="5439" w:type="dxa"/>
            <w:shd w:val="clear" w:color="auto" w:fill="auto"/>
            <w:vAlign w:val="center"/>
          </w:tcPr>
          <w:p>
            <w:pPr>
              <w:adjustRightInd w:val="0"/>
              <w:snapToGrid w:val="0"/>
              <w:spacing w:line="280" w:lineRule="exact"/>
              <w:ind w:firstLine="0" w:firstLineChars="0"/>
              <w:jc w:val="center"/>
            </w:pPr>
            <w:r>
              <w:rPr>
                <w:rFonts w:hint="eastAsia"/>
              </w:rPr>
              <w:t>本项目</w:t>
            </w:r>
            <w:r>
              <w:t>为位于原厂界范围内的改扩建项目</w:t>
            </w:r>
            <w:r>
              <w:rPr>
                <w:rFonts w:hint="eastAsia"/>
              </w:rPr>
              <w:t>，</w:t>
            </w:r>
            <w:r>
              <w:t>仅做生态影响分析。</w:t>
            </w:r>
          </w:p>
        </w:tc>
      </w:tr>
    </w:tbl>
    <w:p>
      <w:pPr>
        <w:pStyle w:val="a1"/>
        <w:spacing w:before="156" w:beforeLines="50"/>
        <w:ind w:firstLine="560"/>
        <w:outlineLvl w:val="0"/>
        <w:rPr>
          <w:rFonts w:eastAsia="黑体"/>
          <w:sz w:val="28"/>
        </w:rPr>
      </w:pPr>
      <w:r>
        <w:rPr>
          <w:rFonts w:eastAsia="黑体" w:hint="eastAsia"/>
          <w:sz w:val="28"/>
        </w:rPr>
        <w:t>二</w:t>
      </w:r>
      <w:r>
        <w:rPr>
          <w:rFonts w:eastAsia="黑体"/>
          <w:sz w:val="28"/>
        </w:rPr>
        <w:t>、</w:t>
      </w:r>
      <w:r>
        <w:rPr>
          <w:rFonts w:eastAsia="黑体" w:hint="eastAsia"/>
          <w:sz w:val="28"/>
        </w:rPr>
        <w:t>产业</w:t>
      </w:r>
      <w:r>
        <w:rPr>
          <w:rFonts w:eastAsia="黑体"/>
          <w:sz w:val="28"/>
        </w:rPr>
        <w:t>政策符合性</w:t>
      </w:r>
    </w:p>
    <w:p>
      <w:pPr>
        <w:adjustRightInd w:val="0"/>
        <w:snapToGrid w:val="0"/>
        <w:ind w:firstLine="480"/>
        <w:rPr>
          <w:sz w:val="24"/>
          <w:szCs w:val="24"/>
        </w:rPr>
      </w:pPr>
      <w:r>
        <w:rPr>
          <w:sz w:val="24"/>
          <w:szCs w:val="24"/>
        </w:rPr>
        <w:t>本项目为</w:t>
      </w:r>
      <w:r>
        <w:rPr>
          <w:rFonts w:hint="eastAsia"/>
          <w:sz w:val="24"/>
          <w:szCs w:val="24"/>
        </w:rPr>
        <w:t>液化石油气供应</w:t>
      </w:r>
      <w:r>
        <w:rPr>
          <w:sz w:val="24"/>
          <w:szCs w:val="24"/>
        </w:rPr>
        <w:t>项目。</w:t>
      </w:r>
      <w:r>
        <w:rPr>
          <w:rFonts w:hint="eastAsia"/>
          <w:sz w:val="24"/>
          <w:szCs w:val="24"/>
        </w:rPr>
        <w:t>根据中华人民共和国国家发展和改革委员会令第29号《产业结构调整指导目录》（2019年本），</w:t>
      </w:r>
      <w:r>
        <w:rPr>
          <w:sz w:val="24"/>
          <w:szCs w:val="24"/>
        </w:rPr>
        <w:t>本项目不属于其中的鼓励类、限制类或禁止类，属于允许类。</w:t>
      </w:r>
      <w:r>
        <w:rPr>
          <w:rFonts w:hint="eastAsia"/>
          <w:sz w:val="24"/>
          <w:szCs w:val="24"/>
        </w:rPr>
        <w:t>因此，项目符合国家产业政策。</w:t>
      </w:r>
    </w:p>
    <w:p>
      <w:pPr>
        <w:adjustRightInd w:val="0"/>
        <w:snapToGrid w:val="0"/>
        <w:ind w:firstLine="480"/>
        <w:rPr>
          <w:sz w:val="24"/>
          <w:szCs w:val="24"/>
        </w:rPr>
      </w:pPr>
      <w:r>
        <w:rPr>
          <w:rFonts w:hint="eastAsia"/>
          <w:sz w:val="24"/>
          <w:szCs w:val="24"/>
        </w:rPr>
        <w:t>国家</w:t>
      </w:r>
      <w:r>
        <w:rPr>
          <w:sz w:val="24"/>
          <w:szCs w:val="24"/>
        </w:rPr>
        <w:t>关于《</w:t>
      </w:r>
      <w:r>
        <w:rPr>
          <w:rFonts w:hint="eastAsia"/>
          <w:sz w:val="24"/>
          <w:szCs w:val="24"/>
        </w:rPr>
        <w:t>淘汰</w:t>
      </w:r>
      <w:r>
        <w:rPr>
          <w:sz w:val="24"/>
          <w:szCs w:val="24"/>
        </w:rPr>
        <w:t>落后生产能力、工艺和产品目录》</w:t>
      </w:r>
      <w:r>
        <w:rPr>
          <w:rFonts w:hint="eastAsia"/>
          <w:sz w:val="24"/>
          <w:szCs w:val="24"/>
        </w:rPr>
        <w:t>（第一批）、</w:t>
      </w:r>
      <w:r>
        <w:rPr>
          <w:sz w:val="24"/>
          <w:szCs w:val="24"/>
        </w:rPr>
        <w:t>（</w:t>
      </w:r>
      <w:r>
        <w:rPr>
          <w:rFonts w:hint="eastAsia"/>
          <w:sz w:val="24"/>
          <w:szCs w:val="24"/>
        </w:rPr>
        <w:t>第二批</w:t>
      </w:r>
      <w:r>
        <w:rPr>
          <w:sz w:val="24"/>
          <w:szCs w:val="24"/>
        </w:rPr>
        <w:t>）</w:t>
      </w:r>
      <w:r>
        <w:rPr>
          <w:rFonts w:hint="eastAsia"/>
          <w:sz w:val="24"/>
          <w:szCs w:val="24"/>
        </w:rPr>
        <w:t>、</w:t>
      </w:r>
      <w:r>
        <w:rPr>
          <w:sz w:val="24"/>
          <w:szCs w:val="24"/>
        </w:rPr>
        <w:t>（</w:t>
      </w:r>
      <w:r>
        <w:rPr>
          <w:rFonts w:hint="eastAsia"/>
          <w:sz w:val="24"/>
          <w:szCs w:val="24"/>
        </w:rPr>
        <w:t>第三批</w:t>
      </w:r>
      <w:r>
        <w:rPr>
          <w:sz w:val="24"/>
          <w:szCs w:val="24"/>
        </w:rPr>
        <w:t>）</w:t>
      </w:r>
      <w:r>
        <w:rPr>
          <w:rFonts w:hint="eastAsia"/>
          <w:sz w:val="24"/>
          <w:szCs w:val="24"/>
        </w:rPr>
        <w:t>中</w:t>
      </w:r>
      <w:r>
        <w:rPr>
          <w:sz w:val="24"/>
          <w:szCs w:val="24"/>
        </w:rPr>
        <w:t>对本项目的生产工艺技术、规模均未做出淘汰和限制的规定。</w:t>
      </w:r>
      <w:r>
        <w:rPr>
          <w:rFonts w:hint="eastAsia"/>
          <w:sz w:val="24"/>
          <w:szCs w:val="24"/>
        </w:rPr>
        <w:t>另外</w:t>
      </w:r>
      <w:r>
        <w:rPr>
          <w:sz w:val="24"/>
          <w:szCs w:val="24"/>
        </w:rPr>
        <w:t>，</w:t>
      </w:r>
      <w:r>
        <w:rPr>
          <w:rFonts w:hint="eastAsia"/>
          <w:sz w:val="24"/>
          <w:szCs w:val="24"/>
        </w:rPr>
        <w:t>根据《海南省产业准入禁止限制目录（2019年版）》，本项目不在该名录中禁止类和限制类范围，因此本项目符合海南省产业准入政策要求。</w:t>
      </w:r>
    </w:p>
    <w:p>
      <w:pPr>
        <w:pStyle w:val="a1"/>
        <w:ind w:firstLine="560"/>
        <w:outlineLvl w:val="0"/>
        <w:rPr>
          <w:rFonts w:eastAsia="黑体"/>
          <w:sz w:val="28"/>
        </w:rPr>
      </w:pPr>
      <w:r>
        <w:rPr>
          <w:rFonts w:eastAsia="黑体" w:hint="eastAsia"/>
          <w:sz w:val="28"/>
        </w:rPr>
        <w:t>三、</w:t>
      </w:r>
      <w:r>
        <w:rPr>
          <w:rFonts w:eastAsia="黑体"/>
          <w:sz w:val="28"/>
        </w:rPr>
        <w:t>规划</w:t>
      </w:r>
      <w:r>
        <w:rPr>
          <w:rFonts w:eastAsia="黑体" w:hint="eastAsia"/>
          <w:sz w:val="28"/>
        </w:rPr>
        <w:t>符合性</w:t>
      </w:r>
    </w:p>
    <w:p>
      <w:pPr>
        <w:pStyle w:val="31"/>
        <w:adjustRightInd w:val="0"/>
        <w:snapToGrid w:val="0"/>
        <w:ind w:firstLine="480"/>
        <w:rPr>
          <w:szCs w:val="24"/>
        </w:rPr>
        <w:sectPr>
          <w:headerReference w:type="even" r:id="rId26"/>
          <w:headerReference w:type="default" r:id="rId27"/>
          <w:footerReference w:type="even" r:id="rId28"/>
          <w:footerReference w:type="default" r:id="rId29"/>
          <w:headerReference w:type="first" r:id="rId30"/>
          <w:footerReference w:type="first" r:id="rId31"/>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2"/>
          <w:cols w:num="1" w:space="720"/>
          <w:titlePg w:val="0"/>
          <w:docGrid w:type="linesAndChars" w:linePitch="312" w:charSpace="0"/>
        </w:sectPr>
      </w:pPr>
      <w:r>
        <w:rPr>
          <w:szCs w:val="24"/>
        </w:rPr>
        <w:t>1、与</w:t>
      </w:r>
      <w:r>
        <w:rPr>
          <w:rFonts w:hint="eastAsia"/>
          <w:szCs w:val="24"/>
        </w:rPr>
        <w:t>文昌市</w:t>
      </w:r>
      <w:r>
        <w:rPr>
          <w:szCs w:val="24"/>
        </w:rPr>
        <w:t>规划符合性分析</w:t>
      </w:r>
    </w:p>
    <w:p>
      <w:pPr>
        <w:sectPr>
          <w:headerReference w:type="even" r:id="rId32"/>
          <w:headerReference w:type="default" r:id="rId33"/>
          <w:footerReference w:type="even" r:id="rId34"/>
          <w:footerReference w:type="default" r:id="rId35"/>
          <w:headerReference w:type="first" r:id="rId36"/>
          <w:footerReference w:type="first" r:id="rId37"/>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adjustRightInd w:val="0"/>
        <w:snapToGrid w:val="0"/>
        <w:ind w:firstLine="480"/>
        <w:rPr>
          <w:sz w:val="24"/>
          <w:szCs w:val="24"/>
        </w:rPr>
      </w:pPr>
      <w:r>
        <w:rPr>
          <w:rFonts w:hint="eastAsia"/>
          <w:sz w:val="24"/>
          <w:szCs w:val="24"/>
        </w:rPr>
        <w:t>项目</w:t>
      </w:r>
      <w:r>
        <w:rPr>
          <w:sz w:val="24"/>
          <w:szCs w:val="24"/>
        </w:rPr>
        <w:t>位于</w:t>
      </w:r>
      <w:r>
        <w:rPr>
          <w:rFonts w:hint="eastAsia"/>
          <w:sz w:val="24"/>
          <w:szCs w:val="24"/>
        </w:rPr>
        <w:t>海南省文昌市文教镇宝藏解放坡，利用原有用地对储罐进行改扩建，不涉及新增用地（国土证及租赁合同</w:t>
      </w:r>
      <w:r>
        <w:rPr>
          <w:sz w:val="24"/>
          <w:szCs w:val="24"/>
        </w:rPr>
        <w:t>见附件</w:t>
      </w:r>
      <w:r>
        <w:rPr>
          <w:rFonts w:hint="eastAsia"/>
          <w:sz w:val="24"/>
          <w:szCs w:val="24"/>
        </w:rPr>
        <w:t>5）。根据</w:t>
      </w:r>
      <w:r>
        <w:rPr>
          <w:sz w:val="24"/>
          <w:szCs w:val="24"/>
        </w:rPr>
        <w:t>文昌市土地利用现状图，项目现状地类为建制镇（</w:t>
      </w:r>
      <w:r>
        <w:rPr>
          <w:rFonts w:hint="eastAsia"/>
          <w:sz w:val="24"/>
          <w:szCs w:val="24"/>
        </w:rPr>
        <w:t>详见附图6</w:t>
      </w:r>
      <w:r>
        <w:rPr>
          <w:sz w:val="24"/>
          <w:szCs w:val="24"/>
        </w:rPr>
        <w:t>）</w:t>
      </w:r>
      <w:r>
        <w:rPr>
          <w:rFonts w:hint="eastAsia"/>
          <w:sz w:val="24"/>
          <w:szCs w:val="24"/>
        </w:rPr>
        <w:t>。</w:t>
      </w:r>
    </w:p>
    <w:p>
      <w:pPr>
        <w:adjustRightInd w:val="0"/>
        <w:snapToGrid w:val="0"/>
        <w:ind w:firstLine="480"/>
        <w:rPr>
          <w:sz w:val="24"/>
          <w:szCs w:val="24"/>
        </w:rPr>
      </w:pPr>
      <w:r>
        <w:rPr>
          <w:sz w:val="24"/>
          <w:szCs w:val="24"/>
        </w:rPr>
        <w:t>根据</w:t>
      </w:r>
      <w:r>
        <w:rPr>
          <w:rFonts w:hint="eastAsia"/>
          <w:sz w:val="24"/>
          <w:szCs w:val="24"/>
        </w:rPr>
        <w:t>《文昌市</w:t>
      </w:r>
      <w:r>
        <w:rPr>
          <w:sz w:val="24"/>
          <w:szCs w:val="24"/>
        </w:rPr>
        <w:t>总体规划（</w:t>
      </w:r>
      <w:r>
        <w:rPr>
          <w:rFonts w:hint="eastAsia"/>
          <w:sz w:val="24"/>
          <w:szCs w:val="24"/>
        </w:rPr>
        <w:t>空间类2015</w:t>
      </w:r>
      <w:r>
        <w:rPr>
          <w:sz w:val="24"/>
          <w:szCs w:val="24"/>
        </w:rPr>
        <w:t>-2030</w:t>
      </w:r>
      <w:r>
        <w:rPr>
          <w:rFonts w:hint="eastAsia"/>
          <w:sz w:val="24"/>
          <w:szCs w:val="24"/>
        </w:rPr>
        <w:t>年</w:t>
      </w:r>
      <w:r>
        <w:rPr>
          <w:sz w:val="24"/>
          <w:szCs w:val="24"/>
        </w:rPr>
        <w:t>）</w:t>
      </w:r>
      <w:r>
        <w:rPr>
          <w:rFonts w:hint="eastAsia"/>
          <w:sz w:val="24"/>
          <w:szCs w:val="24"/>
        </w:rPr>
        <w:t>2018版》局部图及文昌市自然资源和规划局关于中国石化销售股份有限公司海南文昌文教供气站所征询地块《文昌市总体规划</w:t>
      </w:r>
      <w:r>
        <w:rPr>
          <w:sz w:val="24"/>
          <w:szCs w:val="24"/>
        </w:rPr>
        <w:t>（</w:t>
      </w:r>
      <w:r>
        <w:rPr>
          <w:rFonts w:hint="eastAsia"/>
          <w:sz w:val="24"/>
          <w:szCs w:val="24"/>
        </w:rPr>
        <w:t>空间类2015</w:t>
      </w:r>
      <w:r>
        <w:rPr>
          <w:sz w:val="24"/>
          <w:szCs w:val="24"/>
        </w:rPr>
        <w:t>-2030</w:t>
      </w:r>
      <w:r>
        <w:rPr>
          <w:rFonts w:hint="eastAsia"/>
          <w:sz w:val="24"/>
          <w:szCs w:val="24"/>
        </w:rPr>
        <w:t>年</w:t>
      </w:r>
      <w:r>
        <w:rPr>
          <w:sz w:val="24"/>
          <w:szCs w:val="24"/>
        </w:rPr>
        <w:t>）</w:t>
      </w:r>
      <w:r>
        <w:rPr>
          <w:rFonts w:hint="eastAsia"/>
          <w:sz w:val="24"/>
          <w:szCs w:val="24"/>
        </w:rPr>
        <w:t>》规划情况的函（文自然资函[2020]2256号，附件13），</w:t>
      </w:r>
      <w:r>
        <w:rPr>
          <w:sz w:val="24"/>
          <w:szCs w:val="24"/>
        </w:rPr>
        <w:t>项目</w:t>
      </w:r>
      <w:r>
        <w:rPr>
          <w:rFonts w:hint="eastAsia"/>
          <w:kern w:val="0"/>
          <w:sz w:val="24"/>
        </w:rPr>
        <w:t>规划地类为</w:t>
      </w:r>
      <w:r>
        <w:rPr>
          <w:rFonts w:hint="eastAsia"/>
          <w:sz w:val="24"/>
          <w:szCs w:val="24"/>
        </w:rPr>
        <w:t>乡村建设用地，即一般指商服用地、工矿仓储用地、住宅用地、公共管理与公共服务用地、特殊用地、交通运输用地、水域及水利设施用地等用地。本项目</w:t>
      </w:r>
      <w:r>
        <w:rPr>
          <w:sz w:val="24"/>
          <w:szCs w:val="24"/>
        </w:rPr>
        <w:t>为</w:t>
      </w:r>
      <w:r>
        <w:rPr>
          <w:rFonts w:hint="eastAsia"/>
          <w:sz w:val="24"/>
          <w:szCs w:val="24"/>
        </w:rPr>
        <w:t>液化石油气充装</w:t>
      </w:r>
      <w:r>
        <w:rPr>
          <w:sz w:val="24"/>
          <w:szCs w:val="24"/>
        </w:rPr>
        <w:t>零售项目</w:t>
      </w:r>
      <w:r>
        <w:rPr>
          <w:rFonts w:hint="eastAsia"/>
          <w:sz w:val="24"/>
          <w:szCs w:val="24"/>
        </w:rPr>
        <w:t>，</w:t>
      </w:r>
      <w:r>
        <w:rPr>
          <w:sz w:val="24"/>
          <w:szCs w:val="24"/>
        </w:rPr>
        <w:t>为周边居民提供罐装充气服务，属于商业服务项目，因此，项目的建设符合规划要求（</w:t>
      </w:r>
      <w:r>
        <w:rPr>
          <w:rFonts w:hint="eastAsia"/>
          <w:sz w:val="24"/>
          <w:szCs w:val="24"/>
        </w:rPr>
        <w:t>详见附图7</w:t>
      </w:r>
      <w:r>
        <w:rPr>
          <w:sz w:val="24"/>
          <w:szCs w:val="24"/>
        </w:rPr>
        <w:t>）。</w:t>
      </w:r>
    </w:p>
    <w:p>
      <w:pPr>
        <w:adjustRightInd w:val="0"/>
        <w:snapToGrid w:val="0"/>
        <w:ind w:firstLine="482"/>
        <w:rPr>
          <w:b/>
          <w:sz w:val="24"/>
          <w:szCs w:val="24"/>
        </w:rPr>
      </w:pPr>
      <w:r>
        <w:rPr>
          <w:b/>
          <w:sz w:val="24"/>
          <w:szCs w:val="24"/>
        </w:rPr>
        <w:t>综上，项目符合</w:t>
      </w:r>
      <w:r>
        <w:rPr>
          <w:rFonts w:hint="eastAsia"/>
          <w:b/>
          <w:sz w:val="24"/>
          <w:szCs w:val="24"/>
        </w:rPr>
        <w:t>文昌市总体规划（空间类2015-2030年）</w:t>
      </w:r>
      <w:r>
        <w:rPr>
          <w:b/>
          <w:sz w:val="24"/>
          <w:szCs w:val="24"/>
        </w:rPr>
        <w:t>，用地符合城市土地利用规划。</w:t>
      </w:r>
    </w:p>
    <w:p>
      <w:pPr>
        <w:pStyle w:val="31"/>
        <w:adjustRightInd w:val="0"/>
        <w:snapToGrid w:val="0"/>
        <w:ind w:firstLine="480"/>
        <w:rPr>
          <w:szCs w:val="24"/>
        </w:rPr>
      </w:pPr>
      <w:r>
        <w:rPr>
          <w:szCs w:val="24"/>
        </w:rPr>
        <w:t>2、与</w:t>
      </w:r>
      <w:r>
        <w:rPr>
          <w:rFonts w:hint="eastAsia"/>
          <w:szCs w:val="24"/>
        </w:rPr>
        <w:t>《海南省</w:t>
      </w:r>
      <w:r>
        <w:rPr>
          <w:szCs w:val="24"/>
        </w:rPr>
        <w:t>生态保护红线管理规定</w:t>
      </w:r>
      <w:r>
        <w:rPr>
          <w:rFonts w:hint="eastAsia"/>
          <w:szCs w:val="24"/>
        </w:rPr>
        <w:t>》</w:t>
      </w:r>
      <w:r>
        <w:rPr>
          <w:szCs w:val="24"/>
        </w:rPr>
        <w:t>符合性分析</w:t>
      </w:r>
    </w:p>
    <w:p>
      <w:pPr>
        <w:adjustRightInd w:val="0"/>
        <w:snapToGrid w:val="0"/>
        <w:ind w:firstLine="480"/>
        <w:rPr>
          <w:sz w:val="24"/>
          <w:szCs w:val="24"/>
        </w:rPr>
      </w:pPr>
      <w:r>
        <w:rPr>
          <w:rFonts w:hint="eastAsia"/>
          <w:sz w:val="24"/>
          <w:szCs w:val="24"/>
        </w:rPr>
        <w:t>根据《海南省生态保护红线管理规定》，海南省按照保护和管理的严格程度，生态保护红线区划分为Ⅰ类生态保护红线区和Ⅱ类生态保护红线区。具有极重要生物多样性保护、水土保持、水源涵养等生态服务功能的区域以及海岸带、海洋生态环境及敏感、脆弱区域，应当划为Ⅰ类生态保护红线区，至少包括：自然保护区的核心区和缓冲区、饮用水水源一级保护区、野生近源种分布区、领海基点保护范围等区域。未纳入Ⅰ类部分的生态保护红线区，为Ⅱ类生态保护红线区。根据叠图可知，项目用地不属于Ⅰ类生态保护红线区和Ⅱ类生态保护红线区</w:t>
      </w:r>
      <w:r>
        <w:rPr>
          <w:sz w:val="24"/>
          <w:szCs w:val="24"/>
        </w:rPr>
        <w:t>（</w:t>
      </w:r>
      <w:r>
        <w:rPr>
          <w:rFonts w:hint="eastAsia"/>
          <w:sz w:val="24"/>
          <w:szCs w:val="24"/>
        </w:rPr>
        <w:t>详见附图8</w:t>
      </w:r>
      <w:r>
        <w:rPr>
          <w:sz w:val="24"/>
          <w:szCs w:val="24"/>
        </w:rPr>
        <w:t>）</w:t>
      </w:r>
      <w:r>
        <w:rPr>
          <w:rFonts w:hint="eastAsia"/>
          <w:sz w:val="24"/>
          <w:szCs w:val="24"/>
        </w:rPr>
        <w:t>。与项目最近的生态保护区为项目东南侧海南岛水土保持Ⅱ类红线区，最近距离约为</w:t>
      </w:r>
      <w:r>
        <w:rPr>
          <w:sz w:val="24"/>
          <w:szCs w:val="24"/>
        </w:rPr>
        <w:t>58</w:t>
      </w:r>
      <w:r>
        <w:rPr>
          <w:rFonts w:hint="eastAsia"/>
          <w:sz w:val="24"/>
          <w:szCs w:val="24"/>
        </w:rPr>
        <w:t>00m。</w:t>
      </w:r>
    </w:p>
    <w:p>
      <w:pPr>
        <w:adjustRightInd w:val="0"/>
        <w:snapToGrid w:val="0"/>
        <w:ind w:firstLine="482"/>
        <w:rPr>
          <w:b/>
          <w:sz w:val="24"/>
          <w:szCs w:val="24"/>
        </w:rPr>
      </w:pPr>
      <w:r>
        <w:rPr>
          <w:rFonts w:hint="eastAsia"/>
          <w:b/>
          <w:sz w:val="24"/>
          <w:szCs w:val="24"/>
        </w:rPr>
        <w:t>因此，项目建设与《海南省生态保护红线管理规定》相符。</w:t>
      </w:r>
    </w:p>
    <w:p>
      <w:pPr>
        <w:pStyle w:val="31"/>
        <w:adjustRightInd w:val="0"/>
        <w:snapToGrid w:val="0"/>
        <w:ind w:firstLine="480"/>
        <w:rPr>
          <w:szCs w:val="24"/>
        </w:rPr>
      </w:pPr>
      <w:r>
        <w:rPr>
          <w:rFonts w:hint="eastAsia"/>
          <w:szCs w:val="24"/>
        </w:rPr>
        <w:t>3</w:t>
      </w:r>
      <w:r>
        <w:rPr>
          <w:szCs w:val="24"/>
        </w:rPr>
        <w:t>、与</w:t>
      </w:r>
      <w:r>
        <w:rPr>
          <w:rFonts w:hint="eastAsia"/>
          <w:szCs w:val="24"/>
        </w:rPr>
        <w:t>“三线一单”</w:t>
      </w:r>
      <w:r>
        <w:rPr>
          <w:szCs w:val="24"/>
        </w:rPr>
        <w:t>符合性分析</w:t>
      </w:r>
    </w:p>
    <w:p>
      <w:pPr>
        <w:adjustRightInd w:val="0"/>
        <w:snapToGrid w:val="0"/>
        <w:ind w:firstLine="480"/>
        <w:rPr>
          <w:sz w:val="24"/>
          <w:szCs w:val="24"/>
        </w:rPr>
      </w:pPr>
      <w:r>
        <w:rPr>
          <w:rFonts w:hint="eastAsia"/>
          <w:sz w:val="24"/>
          <w:szCs w:val="24"/>
        </w:rPr>
        <w:t>根据2016年10月27日印发的《关于以改善环境质量为核心加强环境影响评价管理的通知》（环环评[2016]150号），该通知明确环境影响评价需落实“生态保护红线、环境质量底线、资源利用上线和环境准入负面清单”（简称“三线一单”）约束。本项目与“三线一单”的符合性分析见下表。</w:t>
      </w:r>
    </w:p>
    <w:p>
      <w:pPr>
        <w:pStyle w:val="a1"/>
        <w:spacing w:line="240" w:lineRule="auto"/>
        <w:ind w:firstLine="0" w:firstLineChars="0"/>
        <w:jc w:val="center"/>
        <w:rPr>
          <w:rFonts w:eastAsia="黑体"/>
          <w:sz w:val="21"/>
          <w:szCs w:val="21"/>
        </w:rPr>
      </w:pPr>
      <w:r>
        <w:rPr>
          <w:rFonts w:eastAsia="黑体" w:hint="eastAsia"/>
          <w:sz w:val="21"/>
          <w:szCs w:val="21"/>
        </w:rPr>
        <w:t>表1-2  项目与“三线一单”符合性分析表</w:t>
      </w:r>
    </w:p>
    <w:tbl>
      <w:tblPr>
        <w:tblStyle w:val="TableNormal"/>
        <w:tblW w:w="9515"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
      <w:tblGrid>
        <w:gridCol w:w="675"/>
        <w:gridCol w:w="1560"/>
        <w:gridCol w:w="6094"/>
        <w:gridCol w:w="1186"/>
      </w:tblGrid>
      <w:tr>
        <w:tblPrEx>
          <w:tblW w:w="9515"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Ex>
        <w:trPr>
          <w:jc w:val="center"/>
        </w:trPr>
        <w:tc>
          <w:tcPr>
            <w:tcW w:w="675" w:type="dxa"/>
            <w:vAlign w:val="center"/>
          </w:tcPr>
          <w:p>
            <w:pPr>
              <w:adjustRightInd w:val="0"/>
              <w:snapToGrid w:val="0"/>
              <w:spacing w:line="280" w:lineRule="exact"/>
              <w:ind w:firstLine="0" w:firstLineChars="0"/>
              <w:jc w:val="center"/>
              <w:rPr>
                <w:b/>
              </w:rPr>
            </w:pPr>
            <w:r>
              <w:rPr>
                <w:b/>
              </w:rPr>
              <w:t>序号</w:t>
            </w:r>
          </w:p>
        </w:tc>
        <w:tc>
          <w:tcPr>
            <w:tcW w:w="1560" w:type="dxa"/>
            <w:shd w:val="clear" w:color="auto" w:fill="auto"/>
            <w:vAlign w:val="center"/>
          </w:tcPr>
          <w:p>
            <w:pPr>
              <w:adjustRightInd w:val="0"/>
              <w:snapToGrid w:val="0"/>
              <w:spacing w:line="280" w:lineRule="exact"/>
              <w:ind w:firstLine="0" w:firstLineChars="0"/>
              <w:jc w:val="center"/>
              <w:rPr>
                <w:b/>
              </w:rPr>
            </w:pPr>
            <w:r>
              <w:rPr>
                <w:b/>
              </w:rPr>
              <w:t>内容</w:t>
            </w:r>
          </w:p>
        </w:tc>
        <w:tc>
          <w:tcPr>
            <w:tcW w:w="6094" w:type="dxa"/>
            <w:shd w:val="clear" w:color="auto" w:fill="auto"/>
            <w:vAlign w:val="center"/>
          </w:tcPr>
          <w:p>
            <w:pPr>
              <w:adjustRightInd w:val="0"/>
              <w:snapToGrid w:val="0"/>
              <w:spacing w:line="280" w:lineRule="exact"/>
              <w:ind w:firstLine="0" w:firstLineChars="0"/>
              <w:jc w:val="center"/>
              <w:rPr>
                <w:b/>
              </w:rPr>
            </w:pPr>
            <w:r>
              <w:rPr>
                <w:b/>
              </w:rPr>
              <w:t>本项目情况</w:t>
            </w:r>
          </w:p>
        </w:tc>
        <w:tc>
          <w:tcPr>
            <w:tcW w:w="1186" w:type="dxa"/>
            <w:shd w:val="clear" w:color="auto" w:fill="auto"/>
            <w:vAlign w:val="center"/>
          </w:tcPr>
          <w:p>
            <w:pPr>
              <w:adjustRightInd w:val="0"/>
              <w:snapToGrid w:val="0"/>
              <w:spacing w:line="280" w:lineRule="exact"/>
              <w:ind w:firstLine="0" w:firstLineChars="0"/>
              <w:jc w:val="center"/>
              <w:rPr>
                <w:b/>
              </w:rPr>
            </w:pPr>
            <w:r>
              <w:rPr>
                <w:rFonts w:hint="eastAsia"/>
                <w:b/>
              </w:rPr>
              <w:t>符合性</w:t>
            </w:r>
          </w:p>
        </w:tc>
      </w:tr>
      <w:tr>
        <w:tblPrEx>
          <w:tblW w:w="9515" w:type="dxa"/>
          <w:jc w:val="center"/>
          <w:tblLayout w:type="fixed"/>
          <w:tblCellMar>
            <w:top w:w="0" w:type="dxa"/>
            <w:left w:w="108" w:type="dxa"/>
            <w:bottom w:w="0" w:type="dxa"/>
            <w:right w:w="108" w:type="dxa"/>
          </w:tblCellMar>
        </w:tblPrEx>
        <w:trPr>
          <w:jc w:val="center"/>
        </w:trPr>
        <w:tc>
          <w:tcPr>
            <w:tcW w:w="675" w:type="dxa"/>
            <w:vAlign w:val="center"/>
          </w:tcPr>
          <w:p>
            <w:pPr>
              <w:adjustRightInd w:val="0"/>
              <w:snapToGrid w:val="0"/>
              <w:spacing w:line="280" w:lineRule="exact"/>
              <w:ind w:firstLine="0" w:firstLineChars="0"/>
              <w:jc w:val="center"/>
            </w:pPr>
            <w:r>
              <w:rPr>
                <w:rFonts w:hint="eastAsia"/>
              </w:rPr>
              <w:t>1</w:t>
            </w:r>
          </w:p>
        </w:tc>
        <w:tc>
          <w:tcPr>
            <w:tcW w:w="1560" w:type="dxa"/>
            <w:shd w:val="clear" w:color="auto" w:fill="auto"/>
            <w:vAlign w:val="center"/>
          </w:tcPr>
          <w:p>
            <w:pPr>
              <w:adjustRightInd w:val="0"/>
              <w:snapToGrid w:val="0"/>
              <w:spacing w:line="280" w:lineRule="exact"/>
              <w:ind w:firstLine="0" w:firstLineChars="0"/>
              <w:jc w:val="center"/>
            </w:pPr>
            <w:r>
              <w:t>生态保护红线</w:t>
            </w:r>
          </w:p>
        </w:tc>
        <w:tc>
          <w:tcPr>
            <w:tcW w:w="6094" w:type="dxa"/>
            <w:shd w:val="clear" w:color="auto" w:fill="auto"/>
            <w:vAlign w:val="center"/>
          </w:tcPr>
          <w:p>
            <w:pPr>
              <w:adjustRightInd w:val="0"/>
              <w:snapToGrid w:val="0"/>
              <w:spacing w:line="280" w:lineRule="exact"/>
              <w:ind w:firstLine="0" w:firstLineChars="0"/>
              <w:jc w:val="center"/>
            </w:pPr>
            <w:r>
              <w:rPr>
                <w:rFonts w:hint="eastAsia"/>
              </w:rPr>
              <w:t>本项目位于海南省文昌市文教镇宝藏解放坡，通过对比海南省省级生态保护红线发布系统，本项目不涉及划定的Ⅰ类生态保护红线区和Ⅱ类生态保护红线区，符合生态保护红线要求。</w:t>
            </w:r>
          </w:p>
        </w:tc>
        <w:tc>
          <w:tcPr>
            <w:tcW w:w="1186" w:type="dxa"/>
            <w:shd w:val="clear" w:color="auto" w:fill="auto"/>
            <w:vAlign w:val="center"/>
          </w:tcPr>
          <w:p>
            <w:pPr>
              <w:adjustRightInd w:val="0"/>
              <w:snapToGrid w:val="0"/>
              <w:spacing w:line="280" w:lineRule="exact"/>
              <w:ind w:firstLine="0" w:firstLineChars="0"/>
              <w:jc w:val="center"/>
            </w:pPr>
            <w:r>
              <w:t>符合</w:t>
            </w:r>
          </w:p>
        </w:tc>
      </w:tr>
    </w:tbl>
    <w:p>
      <w:pPr>
        <w:sectPr>
          <w:headerReference w:type="even" r:id="rId38"/>
          <w:headerReference w:type="default" r:id="rId39"/>
          <w:footerReference w:type="even" r:id="rId40"/>
          <w:footerReference w:type="default" r:id="rId41"/>
          <w:headerReference w:type="first" r:id="rId42"/>
          <w:footerReference w:type="first" r:id="rId43"/>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3"/>
          <w:cols w:num="1" w:space="720"/>
          <w:titlePg w:val="0"/>
          <w:docGrid w:type="linesAndChars" w:linePitch="312" w:charSpace="0"/>
        </w:sectPr>
      </w:pPr>
    </w:p>
    <w:p>
      <w:pPr>
        <w:sectPr>
          <w:headerReference w:type="even" r:id="rId44"/>
          <w:headerReference w:type="default" r:id="rId45"/>
          <w:footerReference w:type="even" r:id="rId46"/>
          <w:footerReference w:type="default" r:id="rId47"/>
          <w:headerReference w:type="first" r:id="rId48"/>
          <w:footerReference w:type="first" r:id="rId49"/>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515"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
      <w:tblGrid>
        <w:gridCol w:w="675"/>
        <w:gridCol w:w="1560"/>
        <w:gridCol w:w="6094"/>
        <w:gridCol w:w="1186"/>
      </w:tblGrid>
      <w:tr>
        <w:tblPrEx>
          <w:tblW w:w="9515"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Ex>
        <w:trPr>
          <w:jc w:val="center"/>
        </w:trPr>
        <w:tc>
          <w:tcPr>
            <w:tcW w:w="675" w:type="dxa"/>
            <w:vAlign w:val="center"/>
          </w:tcPr>
          <w:p>
            <w:pPr>
              <w:adjustRightInd w:val="0"/>
              <w:snapToGrid w:val="0"/>
              <w:spacing w:line="280" w:lineRule="exact"/>
              <w:ind w:firstLine="0" w:firstLineChars="0"/>
              <w:jc w:val="center"/>
            </w:pPr>
            <w:r>
              <w:rPr>
                <w:rFonts w:hint="eastAsia"/>
              </w:rPr>
              <w:t>2</w:t>
            </w:r>
          </w:p>
        </w:tc>
        <w:tc>
          <w:tcPr>
            <w:tcW w:w="1560" w:type="dxa"/>
            <w:shd w:val="clear" w:color="auto" w:fill="auto"/>
            <w:vAlign w:val="center"/>
          </w:tcPr>
          <w:p>
            <w:pPr>
              <w:adjustRightInd w:val="0"/>
              <w:snapToGrid w:val="0"/>
              <w:spacing w:line="280" w:lineRule="exact"/>
              <w:ind w:firstLine="0" w:firstLineChars="0"/>
              <w:jc w:val="center"/>
            </w:pPr>
            <w:r>
              <w:t>资源利用上线</w:t>
            </w:r>
          </w:p>
        </w:tc>
        <w:tc>
          <w:tcPr>
            <w:tcW w:w="6094" w:type="dxa"/>
            <w:shd w:val="clear" w:color="auto" w:fill="auto"/>
            <w:vAlign w:val="center"/>
          </w:tcPr>
          <w:p>
            <w:pPr>
              <w:adjustRightInd w:val="0"/>
              <w:snapToGrid w:val="0"/>
              <w:spacing w:line="280" w:lineRule="exact"/>
              <w:ind w:firstLine="0" w:firstLineChars="0"/>
              <w:jc w:val="center"/>
            </w:pPr>
            <w:r>
              <w:t>本项目所需的资源为土地资源</w:t>
            </w:r>
            <w:r>
              <w:rPr>
                <w:rFonts w:hint="eastAsia"/>
              </w:rPr>
              <w:t>、</w:t>
            </w:r>
            <w:r>
              <w:t>石油气资源</w:t>
            </w:r>
            <w:r>
              <w:rPr>
                <w:rFonts w:hint="eastAsia"/>
              </w:rPr>
              <w:t>、</w:t>
            </w:r>
            <w:r>
              <w:t>水资源</w:t>
            </w:r>
            <w:r>
              <w:rPr>
                <w:rFonts w:hint="eastAsia"/>
              </w:rPr>
              <w:t>、电力资源，消耗量较小，符合资源利用上线要求。</w:t>
            </w:r>
          </w:p>
        </w:tc>
        <w:tc>
          <w:tcPr>
            <w:tcW w:w="1186" w:type="dxa"/>
            <w:shd w:val="clear" w:color="auto" w:fill="auto"/>
            <w:vAlign w:val="center"/>
          </w:tcPr>
          <w:p>
            <w:pPr>
              <w:adjustRightInd w:val="0"/>
              <w:snapToGrid w:val="0"/>
              <w:spacing w:line="280" w:lineRule="exact"/>
              <w:ind w:firstLine="0" w:firstLineChars="0"/>
              <w:jc w:val="center"/>
            </w:pPr>
            <w:r>
              <w:t>符合</w:t>
            </w:r>
          </w:p>
        </w:tc>
      </w:tr>
      <w:tr>
        <w:tblPrEx>
          <w:tblW w:w="9515" w:type="dxa"/>
          <w:jc w:val="center"/>
          <w:tblLayout w:type="fixed"/>
          <w:tblCellMar>
            <w:top w:w="0" w:type="dxa"/>
            <w:left w:w="108" w:type="dxa"/>
            <w:bottom w:w="0" w:type="dxa"/>
            <w:right w:w="108" w:type="dxa"/>
          </w:tblCellMar>
        </w:tblPrEx>
        <w:trPr>
          <w:jc w:val="center"/>
        </w:trPr>
        <w:tc>
          <w:tcPr>
            <w:tcW w:w="675" w:type="dxa"/>
            <w:vAlign w:val="center"/>
          </w:tcPr>
          <w:p>
            <w:pPr>
              <w:adjustRightInd w:val="0"/>
              <w:snapToGrid w:val="0"/>
              <w:spacing w:line="280" w:lineRule="exact"/>
              <w:ind w:firstLine="0" w:firstLineChars="0"/>
              <w:jc w:val="center"/>
            </w:pPr>
            <w:r>
              <w:rPr>
                <w:rFonts w:hint="eastAsia"/>
              </w:rPr>
              <w:t>3</w:t>
            </w:r>
          </w:p>
        </w:tc>
        <w:tc>
          <w:tcPr>
            <w:tcW w:w="1560" w:type="dxa"/>
            <w:shd w:val="clear" w:color="auto" w:fill="auto"/>
            <w:vAlign w:val="center"/>
          </w:tcPr>
          <w:p>
            <w:pPr>
              <w:adjustRightInd w:val="0"/>
              <w:snapToGrid w:val="0"/>
              <w:spacing w:line="280" w:lineRule="exact"/>
              <w:ind w:firstLine="0" w:firstLineChars="0"/>
              <w:jc w:val="center"/>
            </w:pPr>
            <w:r>
              <w:t>环境质量底线</w:t>
            </w:r>
          </w:p>
        </w:tc>
        <w:tc>
          <w:tcPr>
            <w:tcW w:w="6094" w:type="dxa"/>
            <w:shd w:val="clear" w:color="auto" w:fill="auto"/>
            <w:vAlign w:val="center"/>
          </w:tcPr>
          <w:p>
            <w:pPr>
              <w:adjustRightInd w:val="0"/>
              <w:snapToGrid w:val="0"/>
              <w:spacing w:line="280" w:lineRule="exact"/>
              <w:ind w:firstLine="0" w:firstLineChars="0"/>
              <w:jc w:val="center"/>
            </w:pPr>
            <w:r>
              <w:t>地表水</w:t>
            </w:r>
            <w:r>
              <w:rPr>
                <w:rFonts w:hint="eastAsia"/>
              </w:rPr>
              <w:t>：根据海南省生态环境厅2020年6月5日发布的《2019年海南省生态环境状况公报》，项目区域文教河水质不满足《地表水环境质量标准》（GB3838-2002）中Ⅲ类标准。但本项目运营期间无废水外排，项目实施不会降低区域地表水环境质量；</w:t>
            </w:r>
          </w:p>
          <w:p>
            <w:pPr>
              <w:adjustRightInd w:val="0"/>
              <w:snapToGrid w:val="0"/>
              <w:spacing w:line="280" w:lineRule="exact"/>
              <w:ind w:firstLine="0" w:firstLineChars="0"/>
              <w:jc w:val="center"/>
            </w:pPr>
            <w:r>
              <w:rPr>
                <w:rFonts w:hint="eastAsia"/>
              </w:rPr>
              <w:t>大气：根据海南省生态环境厅2020年6月5日发布的《2019年海南省生态环境状况公报》，文昌市环境空气质量符合《环境空气质量标准》(GB3095-2012)中二级标准，且根据补充监测，项目特征因子非甲烷总烃也满足《大气污染物综合排放标准详解》中标准限值。本项目运营期间仅有少量的非甲烷总烃、SO</w:t>
            </w:r>
            <w:r>
              <w:rPr>
                <w:rFonts w:hint="eastAsia"/>
                <w:vertAlign w:val="subscript"/>
              </w:rPr>
              <w:t>2</w:t>
            </w:r>
            <w:r>
              <w:rPr>
                <w:rFonts w:hint="eastAsia"/>
              </w:rPr>
              <w:t>、NO</w:t>
            </w:r>
            <w:r>
              <w:rPr>
                <w:rFonts w:hint="eastAsia"/>
                <w:vertAlign w:val="subscript"/>
              </w:rPr>
              <w:t>X</w:t>
            </w:r>
            <w:r>
              <w:rPr>
                <w:rFonts w:hint="eastAsia"/>
              </w:rPr>
              <w:t>等排放，项目实施不会降低区域大气环境质量；</w:t>
            </w:r>
          </w:p>
          <w:p>
            <w:pPr>
              <w:adjustRightInd w:val="0"/>
              <w:snapToGrid w:val="0"/>
              <w:spacing w:line="280" w:lineRule="exact"/>
              <w:ind w:firstLine="0" w:firstLineChars="0"/>
              <w:jc w:val="center"/>
            </w:pPr>
            <w:r>
              <w:rPr>
                <w:rFonts w:hint="eastAsia"/>
              </w:rPr>
              <w:t>声：根据现状监测报告，本项目所在区域声环境质量满足《声环境质量标准》（GB3096-2008）中有关标准，通过采取隔声、降噪等措施后，项目的实施不会降低区域声环境质量；</w:t>
            </w:r>
          </w:p>
          <w:p>
            <w:pPr>
              <w:adjustRightInd w:val="0"/>
              <w:snapToGrid w:val="0"/>
              <w:spacing w:line="280" w:lineRule="exact"/>
              <w:ind w:firstLine="0" w:firstLineChars="0"/>
              <w:jc w:val="center"/>
            </w:pPr>
            <w:r>
              <w:rPr>
                <w:rFonts w:hint="eastAsia"/>
              </w:rPr>
              <w:t>综上所述，本项目符合环境质量底线要求。</w:t>
            </w:r>
          </w:p>
        </w:tc>
        <w:tc>
          <w:tcPr>
            <w:tcW w:w="1186" w:type="dxa"/>
            <w:shd w:val="clear" w:color="auto" w:fill="auto"/>
            <w:vAlign w:val="center"/>
          </w:tcPr>
          <w:p>
            <w:pPr>
              <w:adjustRightInd w:val="0"/>
              <w:snapToGrid w:val="0"/>
              <w:spacing w:line="280" w:lineRule="exact"/>
              <w:ind w:firstLine="0" w:firstLineChars="0"/>
              <w:jc w:val="center"/>
            </w:pPr>
            <w:r>
              <w:t>符合</w:t>
            </w:r>
          </w:p>
        </w:tc>
      </w:tr>
      <w:tr>
        <w:tblPrEx>
          <w:tblW w:w="9515" w:type="dxa"/>
          <w:jc w:val="center"/>
          <w:tblLayout w:type="fixed"/>
          <w:tblCellMar>
            <w:top w:w="0" w:type="dxa"/>
            <w:left w:w="108" w:type="dxa"/>
            <w:bottom w:w="0" w:type="dxa"/>
            <w:right w:w="108" w:type="dxa"/>
          </w:tblCellMar>
        </w:tblPrEx>
        <w:trPr>
          <w:jc w:val="center"/>
        </w:trPr>
        <w:tc>
          <w:tcPr>
            <w:tcW w:w="675" w:type="dxa"/>
            <w:vAlign w:val="center"/>
          </w:tcPr>
          <w:p>
            <w:pPr>
              <w:adjustRightInd w:val="0"/>
              <w:snapToGrid w:val="0"/>
              <w:spacing w:line="280" w:lineRule="exact"/>
              <w:ind w:firstLine="0" w:firstLineChars="0"/>
              <w:jc w:val="center"/>
            </w:pPr>
            <w:r>
              <w:rPr>
                <w:rFonts w:hint="eastAsia"/>
              </w:rPr>
              <w:t>4</w:t>
            </w:r>
          </w:p>
        </w:tc>
        <w:tc>
          <w:tcPr>
            <w:tcW w:w="1560" w:type="dxa"/>
            <w:shd w:val="clear" w:color="auto" w:fill="auto"/>
            <w:vAlign w:val="center"/>
          </w:tcPr>
          <w:p>
            <w:pPr>
              <w:adjustRightInd w:val="0"/>
              <w:snapToGrid w:val="0"/>
              <w:spacing w:line="280" w:lineRule="exact"/>
              <w:ind w:firstLine="0" w:firstLineChars="0"/>
              <w:jc w:val="center"/>
            </w:pPr>
            <w:r>
              <w:t>负面清单</w:t>
            </w:r>
          </w:p>
        </w:tc>
        <w:tc>
          <w:tcPr>
            <w:tcW w:w="6094" w:type="dxa"/>
            <w:shd w:val="clear" w:color="auto" w:fill="auto"/>
            <w:vAlign w:val="center"/>
          </w:tcPr>
          <w:p>
            <w:pPr>
              <w:adjustRightInd w:val="0"/>
              <w:snapToGrid w:val="0"/>
              <w:spacing w:line="280" w:lineRule="exact"/>
              <w:ind w:firstLine="0" w:firstLineChars="0"/>
              <w:jc w:val="center"/>
            </w:pPr>
            <w:r>
              <w:t>根据</w:t>
            </w:r>
            <w:r>
              <w:rPr>
                <w:rFonts w:hint="eastAsia"/>
              </w:rPr>
              <w:t>《海南省产业准入禁止限制目录（2019年版）》，本项目不在该名录中禁止类和限制类范围，不属于负面清单。</w:t>
            </w:r>
          </w:p>
        </w:tc>
        <w:tc>
          <w:tcPr>
            <w:tcW w:w="1186" w:type="dxa"/>
            <w:shd w:val="clear" w:color="auto" w:fill="auto"/>
            <w:vAlign w:val="center"/>
          </w:tcPr>
          <w:p>
            <w:pPr>
              <w:adjustRightInd w:val="0"/>
              <w:snapToGrid w:val="0"/>
              <w:spacing w:line="280" w:lineRule="exact"/>
              <w:ind w:firstLine="0" w:firstLineChars="0"/>
              <w:jc w:val="center"/>
            </w:pPr>
            <w:r>
              <w:t>符合</w:t>
            </w:r>
          </w:p>
        </w:tc>
      </w:tr>
    </w:tbl>
    <w:p>
      <w:pPr>
        <w:pStyle w:val="31"/>
        <w:adjustRightInd w:val="0"/>
        <w:snapToGrid w:val="0"/>
        <w:spacing w:before="156" w:beforeLines="50"/>
        <w:ind w:firstLine="480"/>
        <w:rPr>
          <w:szCs w:val="24"/>
        </w:rPr>
      </w:pPr>
      <w:r>
        <w:rPr>
          <w:rFonts w:hint="eastAsia"/>
          <w:szCs w:val="24"/>
        </w:rPr>
        <w:t>4</w:t>
      </w:r>
      <w:r>
        <w:rPr>
          <w:szCs w:val="24"/>
        </w:rPr>
        <w:t>、与</w:t>
      </w:r>
      <w:r>
        <w:rPr>
          <w:rFonts w:hint="eastAsia"/>
          <w:szCs w:val="24"/>
        </w:rPr>
        <w:t>《海南省城镇</w:t>
      </w:r>
      <w:r>
        <w:rPr>
          <w:szCs w:val="24"/>
        </w:rPr>
        <w:t>燃气专项规划说明书</w:t>
      </w:r>
      <w:r>
        <w:rPr>
          <w:rFonts w:hint="eastAsia"/>
          <w:szCs w:val="24"/>
        </w:rPr>
        <w:t>（2012-2030年）》</w:t>
      </w:r>
      <w:r>
        <w:rPr>
          <w:szCs w:val="24"/>
        </w:rPr>
        <w:t>符合性分析</w:t>
      </w:r>
    </w:p>
    <w:p>
      <w:pPr>
        <w:adjustRightInd w:val="0"/>
        <w:snapToGrid w:val="0"/>
        <w:ind w:firstLine="480"/>
        <w:rPr>
          <w:sz w:val="24"/>
          <w:szCs w:val="24"/>
        </w:rPr>
      </w:pPr>
      <w:r>
        <w:rPr>
          <w:rFonts w:hint="eastAsia"/>
          <w:sz w:val="24"/>
          <w:szCs w:val="24"/>
        </w:rPr>
        <w:t>根据《海南省城镇燃气专项规划说明书（2012-2030年）》：“全省液化石油气气化区域覆盖率高，气化人口众多，市场化程度高，液化气是海南省城镇燃气中最重要的组成部分。由于其具有市场发展成熟，储运方便，站点设置灵活等特点，对全省城市基础设施尚不完善的城镇及农村地区，是比较经济合理的城镇气源选择方案。随着天然气利用在城市范围内不断扩大和深化，液化气市场逐步从城市转向中小城镇及农村地区。</w:t>
      </w:r>
    </w:p>
    <w:p>
      <w:pPr>
        <w:adjustRightInd w:val="0"/>
        <w:snapToGrid w:val="0"/>
        <w:ind w:firstLine="480"/>
        <w:rPr>
          <w:sz w:val="24"/>
          <w:szCs w:val="24"/>
        </w:rPr>
      </w:pPr>
      <w:r>
        <w:rPr>
          <w:sz w:val="24"/>
          <w:szCs w:val="24"/>
        </w:rPr>
        <w:t>……</w:t>
      </w:r>
      <w:r>
        <w:rPr>
          <w:rFonts w:hint="eastAsia"/>
          <w:sz w:val="24"/>
          <w:szCs w:val="24"/>
        </w:rPr>
        <w:t>.</w:t>
      </w:r>
    </w:p>
    <w:p>
      <w:pPr>
        <w:adjustRightInd w:val="0"/>
        <w:snapToGrid w:val="0"/>
        <w:ind w:firstLine="480"/>
        <w:rPr>
          <w:sz w:val="24"/>
          <w:szCs w:val="24"/>
        </w:rPr>
      </w:pPr>
      <w:r>
        <w:rPr>
          <w:rFonts w:hint="eastAsia"/>
          <w:sz w:val="24"/>
          <w:szCs w:val="24"/>
        </w:rPr>
        <w:t>鉴于全省一级气库、二级灌瓶站现状及远期总体上供需平衡，所以应适当控制新建站场数量，原则上，储存容积有富余的县市中心城区基本不新建二级储配灌瓶站，在市场延伸地区如新兴市场和农村地区，可适当新建一定规模的二级储配站点。对于存在缺口的城市，由于缺口量不大，可在原有站点基础上，改扩建部分负荷较大的二级储配站点，也可以从就近城市灌装。”</w:t>
      </w:r>
    </w:p>
    <w:p>
      <w:pPr>
        <w:adjustRightInd w:val="0"/>
        <w:snapToGrid w:val="0"/>
        <w:ind w:firstLine="480"/>
        <w:rPr>
          <w:sz w:val="24"/>
          <w:szCs w:val="24"/>
        </w:rPr>
      </w:pPr>
      <w:r>
        <w:rPr>
          <w:rFonts w:hint="eastAsia"/>
          <w:sz w:val="24"/>
          <w:szCs w:val="24"/>
        </w:rPr>
        <w:t>本项目为海南省文昌市文教镇建成</w:t>
      </w:r>
      <w:r>
        <w:rPr>
          <w:sz w:val="24"/>
          <w:szCs w:val="24"/>
        </w:rPr>
        <w:t>较早</w:t>
      </w:r>
      <w:r>
        <w:rPr>
          <w:rFonts w:hint="eastAsia"/>
          <w:sz w:val="24"/>
          <w:szCs w:val="24"/>
        </w:rPr>
        <w:t>的现状液化石油气二级储配站，位于文昌市文教镇宝藏解放坡，不属于城市中心城区。改扩建前项目总贮气量为</w:t>
      </w:r>
      <w:r>
        <w:rPr>
          <w:sz w:val="24"/>
          <w:szCs w:val="24"/>
        </w:rPr>
        <w:t>21</w:t>
      </w:r>
      <w:r>
        <w:rPr>
          <w:rFonts w:hint="eastAsia"/>
          <w:sz w:val="24"/>
          <w:szCs w:val="24"/>
        </w:rPr>
        <w:t>m</w:t>
      </w:r>
      <w:r>
        <w:rPr>
          <w:rFonts w:hint="eastAsia"/>
          <w:sz w:val="24"/>
          <w:szCs w:val="24"/>
          <w:vertAlign w:val="superscript"/>
        </w:rPr>
        <w:t>3</w:t>
      </w:r>
      <w:r>
        <w:rPr>
          <w:rFonts w:hint="eastAsia"/>
          <w:sz w:val="24"/>
          <w:szCs w:val="24"/>
        </w:rPr>
        <w:t>，本次储罐改扩建后，总贮气量增加到100m</w:t>
      </w:r>
      <w:r>
        <w:rPr>
          <w:rFonts w:hint="eastAsia"/>
          <w:sz w:val="24"/>
          <w:szCs w:val="24"/>
          <w:vertAlign w:val="superscript"/>
        </w:rPr>
        <w:t>3</w:t>
      </w:r>
      <w:r>
        <w:rPr>
          <w:rFonts w:hint="eastAsia"/>
          <w:sz w:val="24"/>
          <w:szCs w:val="24"/>
        </w:rPr>
        <w:t>，优化了城镇供气服务，与《海南省城镇燃气专项规划说明书（2012-2030年）》相符。</w:t>
      </w:r>
    </w:p>
    <w:p>
      <w:pPr>
        <w:pStyle w:val="31"/>
        <w:adjustRightInd w:val="0"/>
        <w:snapToGrid w:val="0"/>
        <w:ind w:firstLine="480"/>
        <w:rPr>
          <w:szCs w:val="24"/>
        </w:rPr>
      </w:pPr>
      <w:r>
        <w:rPr>
          <w:rFonts w:hint="eastAsia"/>
          <w:szCs w:val="24"/>
        </w:rPr>
        <w:t>5、与《海南省油气产业十三五发展规划指导意见》符合性分析</w:t>
      </w:r>
    </w:p>
    <w:p>
      <w:pPr>
        <w:adjustRightInd w:val="0"/>
        <w:snapToGrid w:val="0"/>
        <w:ind w:firstLine="480"/>
        <w:rPr>
          <w:sz w:val="24"/>
          <w:szCs w:val="24"/>
        </w:rPr>
        <w:sectPr>
          <w:headerReference w:type="even" r:id="rId50"/>
          <w:headerReference w:type="default" r:id="rId51"/>
          <w:footerReference w:type="even" r:id="rId52"/>
          <w:footerReference w:type="default" r:id="rId53"/>
          <w:headerReference w:type="first" r:id="rId54"/>
          <w:footerReference w:type="first" r:id="rId55"/>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
          <w:cols w:num="1" w:space="720"/>
          <w:titlePg w:val="0"/>
          <w:docGrid w:type="linesAndChars" w:linePitch="312" w:charSpace="0"/>
        </w:sectPr>
      </w:pPr>
      <w:r>
        <w:rPr>
          <w:rFonts w:hint="eastAsia"/>
          <w:sz w:val="24"/>
          <w:szCs w:val="24"/>
        </w:rPr>
        <w:t>根据《海南省油气产业十三五发展规划指导意见》：“建设覆盖全岛的天然气管网和油气产品销售网络，拓展天然气(LNG)综合利用领域，</w:t>
      </w:r>
      <w:r>
        <w:rPr>
          <w:sz w:val="24"/>
          <w:szCs w:val="24"/>
        </w:rPr>
        <w:t>……</w:t>
      </w:r>
    </w:p>
    <w:p>
      <w:pPr>
        <w:sectPr>
          <w:headerReference w:type="even" r:id="rId56"/>
          <w:headerReference w:type="default" r:id="rId57"/>
          <w:footerReference w:type="even" r:id="rId58"/>
          <w:footerReference w:type="default" r:id="rId59"/>
          <w:headerReference w:type="first" r:id="rId60"/>
          <w:footerReference w:type="first" r:id="rId61"/>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adjustRightInd w:val="0"/>
        <w:snapToGrid w:val="0"/>
        <w:ind w:firstLine="480"/>
        <w:rPr>
          <w:sz w:val="24"/>
          <w:szCs w:val="24"/>
        </w:rPr>
      </w:pPr>
      <w:r>
        <w:rPr>
          <w:rFonts w:hint="eastAsia"/>
          <w:sz w:val="24"/>
          <w:szCs w:val="24"/>
        </w:rPr>
        <w:t>.“十三五”期间，按照《海南省加油站行业“十三五”发展规划(2016-2020)》、《海南省城镇燃气专项规划说明书(2012-2030年)》有关布局布点，加快实施全省加油站、加气站建设，满足全省持续增长的成品油和天然气燃料需求。”</w:t>
      </w:r>
    </w:p>
    <w:p>
      <w:pPr>
        <w:adjustRightInd w:val="0"/>
        <w:snapToGrid w:val="0"/>
        <w:ind w:firstLine="480"/>
        <w:rPr>
          <w:sz w:val="24"/>
          <w:szCs w:val="24"/>
        </w:rPr>
      </w:pPr>
      <w:r>
        <w:rPr>
          <w:rFonts w:hint="eastAsia"/>
          <w:sz w:val="24"/>
          <w:szCs w:val="24"/>
        </w:rPr>
        <w:t>本项目为液化石油气供应项目，与《海南省油气产业十三五发展规划指导意见》相符。</w:t>
      </w:r>
    </w:p>
    <w:p>
      <w:pPr>
        <w:pStyle w:val="31"/>
        <w:adjustRightInd w:val="0"/>
        <w:snapToGrid w:val="0"/>
        <w:ind w:firstLine="480"/>
        <w:rPr>
          <w:szCs w:val="24"/>
        </w:rPr>
      </w:pPr>
      <w:r>
        <w:rPr>
          <w:rFonts w:hint="eastAsia"/>
          <w:szCs w:val="24"/>
        </w:rPr>
        <w:t>6、与《“十三五”挥发性有机物污染防治工作方案》、《打赢蓝天保卫战三年行动计划》、《重点行业挥发性有机物综合治理方案》（环大气〔2019〕53号）、《2020年挥发性有机物治理攻坚方案》等环境政策规划的符合性分析</w:t>
      </w:r>
    </w:p>
    <w:p>
      <w:pPr>
        <w:adjustRightInd w:val="0"/>
        <w:snapToGrid w:val="0"/>
        <w:ind w:firstLine="480"/>
        <w:rPr>
          <w:sz w:val="24"/>
          <w:szCs w:val="24"/>
        </w:rPr>
      </w:pPr>
      <w:r>
        <w:rPr>
          <w:rFonts w:hint="eastAsia"/>
          <w:bCs/>
          <w:sz w:val="24"/>
          <w:szCs w:val="24"/>
        </w:rPr>
        <w:t>《“十三五”挥发性有机物污染防治工作方案》（环大气[2017]121号）中要求：</w:t>
      </w:r>
      <w:r>
        <w:rPr>
          <w:rFonts w:hint="eastAsia"/>
          <w:sz w:val="24"/>
          <w:szCs w:val="24"/>
        </w:rPr>
        <w:t>“全面加强油品储运销油气回收治理。全面加强汽油储运销油气排放控制，重点地区逐步推进港口储存和装卸、油品装船油气回收治理任务。加强汽油储运销油气排放控制。减少油品周转次数。严格按照排放标准要求，加快完成加油站、储油库、油罐车油气回收治理工作，重点地区全面推进行政区域内所有加油站油气回收治理。建设油气回收自动监测系统平台，储油库和年销售汽油量大于5000吨的加油站加快安装油气回收自动监测设备。制定加油站、储油库油气回收自动监测系统技术规范，企业要加强对油气回收系统外观检测和仪器检测，确保油气回收系统正常运转”。</w:t>
      </w:r>
    </w:p>
    <w:p>
      <w:pPr>
        <w:adjustRightInd w:val="0"/>
        <w:snapToGrid w:val="0"/>
        <w:ind w:firstLine="480"/>
        <w:rPr>
          <w:sz w:val="24"/>
          <w:szCs w:val="24"/>
        </w:rPr>
      </w:pPr>
      <w:r>
        <w:rPr>
          <w:rFonts w:hint="eastAsia"/>
          <w:sz w:val="24"/>
          <w:szCs w:val="24"/>
        </w:rPr>
        <w:t>《打赢蓝天保卫战三年行动计划》中要求：“加快调整能源结构，构建清洁低碳高效能源体系。抓好天然气产供储销体系建设，力争2020年天然气占能源消费总量比重达到10%。新增天然气量优先用于城镇居民和大气污染严重地区的生活和冬季取暖散煤替代。重点支持京津冀及周边地区和汾渭平原，实现“增气减煤”。“煤改气”坚持“以气定改”，确保安全施工、安全使用、安全管理。</w:t>
      </w:r>
      <w:r>
        <w:rPr>
          <w:sz w:val="24"/>
          <w:szCs w:val="24"/>
        </w:rPr>
        <w:t>……</w:t>
      </w:r>
      <w:r>
        <w:rPr>
          <w:rFonts w:hint="eastAsia"/>
          <w:sz w:val="24"/>
          <w:szCs w:val="24"/>
        </w:rPr>
        <w:t>..地方政府对“煤改电”配套电网工程建设应给予支持，统筹协调“煤改电”、“煤改气”建设用地。”</w:t>
      </w:r>
    </w:p>
    <w:p>
      <w:pPr>
        <w:adjustRightInd w:val="0"/>
        <w:snapToGrid w:val="0"/>
        <w:ind w:firstLine="480"/>
        <w:rPr>
          <w:sz w:val="24"/>
          <w:szCs w:val="24"/>
        </w:rPr>
        <w:sectPr>
          <w:headerReference w:type="even" r:id="rId62"/>
          <w:headerReference w:type="default" r:id="rId63"/>
          <w:footerReference w:type="even" r:id="rId64"/>
          <w:footerReference w:type="default" r:id="rId65"/>
          <w:headerReference w:type="first" r:id="rId66"/>
          <w:footerReference w:type="first" r:id="rId67"/>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5"/>
          <w:cols w:num="1" w:space="720"/>
          <w:titlePg w:val="0"/>
          <w:docGrid w:type="linesAndChars" w:linePitch="312" w:charSpace="0"/>
        </w:sectPr>
      </w:pPr>
      <w:r>
        <w:rPr>
          <w:rFonts w:hint="eastAsia"/>
          <w:sz w:val="24"/>
          <w:szCs w:val="24"/>
        </w:rPr>
        <w:t>《重点行业挥发性有机物综合治理方案》（环大气〔2019〕53号）中</w:t>
      </w:r>
      <w:r>
        <w:rPr>
          <w:rFonts w:hint="eastAsia"/>
          <w:bCs/>
          <w:sz w:val="24"/>
          <w:szCs w:val="24"/>
        </w:rPr>
        <w:t>要求：</w:t>
      </w:r>
      <w:r>
        <w:rPr>
          <w:rFonts w:hint="eastAsia"/>
          <w:sz w:val="24"/>
          <w:szCs w:val="24"/>
        </w:rPr>
        <w:t>“油品储运销VOCs综合治理。加大汽油（含乙醇汽油）、石脑油、煤油（含航空煤油）以及原油等VOCs排放控制，重点推进加油站、油罐车、储油库油气回收治理。重点区域还应推进油船油气回收治理工作深化加油站油气回收工作。O</w:t>
      </w:r>
      <w:r>
        <w:rPr>
          <w:rFonts w:hint="eastAsia"/>
          <w:sz w:val="24"/>
          <w:szCs w:val="24"/>
          <w:vertAlign w:val="subscript"/>
        </w:rPr>
        <w:t>3</w:t>
      </w:r>
      <w:r>
        <w:rPr>
          <w:rFonts w:hint="eastAsia"/>
          <w:sz w:val="24"/>
          <w:szCs w:val="24"/>
        </w:rPr>
        <w:t>污染较重的地区，行政区域内大力推进加油站储油、加油油气回收治理工作，重点区域2019年年底前基本完成。埋地油罐全面采用电子液位仪进行汽油密闭测量。规范油气回收设施运行，自行或聘请第三方加强加油枪气液比、系统密闭性及管线液阻等检查，提高检测频次，重点区域原则上每半年开展一次，确保油气回收系统正常运行。</w:t>
      </w:r>
      <w:r>
        <w:rPr>
          <w:sz w:val="24"/>
          <w:szCs w:val="24"/>
        </w:rPr>
        <w:t>……</w:t>
      </w:r>
    </w:p>
    <w:p>
      <w:pPr>
        <w:sectPr>
          <w:headerReference w:type="even" r:id="rId68"/>
          <w:headerReference w:type="default" r:id="rId69"/>
          <w:footerReference w:type="even" r:id="rId70"/>
          <w:footerReference w:type="default" r:id="rId71"/>
          <w:headerReference w:type="first" r:id="rId72"/>
          <w:footerReference w:type="first" r:id="rId73"/>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adjustRightInd w:val="0"/>
        <w:snapToGrid w:val="0"/>
        <w:ind w:firstLine="480"/>
        <w:rPr>
          <w:sz w:val="24"/>
          <w:szCs w:val="24"/>
        </w:rPr>
      </w:pPr>
      <w:r>
        <w:rPr>
          <w:rFonts w:hint="eastAsia"/>
          <w:sz w:val="24"/>
          <w:szCs w:val="24"/>
        </w:rPr>
        <w:t>.加快推进油品收发过程排放的油气收集处理。加强储油库发油油气回收系统接口泄漏检测，提高检测频次，减少油气泄漏，确保油品装卸过程油气回收处理装置正常运行。加强油罐车油气回收系统密闭性和油气回收气动阀门密闭性检测，每年至少开展一次。推动储油库安装油气回收自动监控设施”。</w:t>
      </w:r>
    </w:p>
    <w:p>
      <w:pPr>
        <w:adjustRightInd w:val="0"/>
        <w:snapToGrid w:val="0"/>
        <w:ind w:firstLine="480"/>
        <w:rPr>
          <w:sz w:val="24"/>
          <w:szCs w:val="24"/>
        </w:rPr>
      </w:pPr>
      <w:r>
        <w:rPr>
          <w:rFonts w:hint="eastAsia"/>
          <w:sz w:val="24"/>
          <w:szCs w:val="24"/>
        </w:rPr>
        <w:t>《2020年挥发性有机物治理攻坚方案》中</w:t>
      </w:r>
      <w:r>
        <w:rPr>
          <w:rFonts w:hint="eastAsia"/>
          <w:bCs/>
          <w:sz w:val="24"/>
          <w:szCs w:val="24"/>
        </w:rPr>
        <w:t>要求：</w:t>
      </w:r>
      <w:r>
        <w:rPr>
          <w:rFonts w:hint="eastAsia"/>
          <w:sz w:val="24"/>
          <w:szCs w:val="24"/>
        </w:rPr>
        <w:t>“强化油品储运销监管，实现减污降耗增效。加大汽油、石脑油、煤油以及原油等油品储运销全过程VOCs排放控制，在保障安全的前提下，重点推进储油库、油罐车、加油站油气回收治理，加大油气排放监管力度，并要求企业建立日查、自检、年检和维保制度</w:t>
      </w:r>
      <w:r>
        <w:rPr>
          <w:sz w:val="24"/>
          <w:szCs w:val="24"/>
        </w:rPr>
        <w:t>……</w:t>
      </w:r>
      <w:r>
        <w:rPr>
          <w:rFonts w:hint="eastAsia"/>
          <w:sz w:val="24"/>
          <w:szCs w:val="24"/>
        </w:rPr>
        <w:t>.运输汽油的油罐汽车应具备底部装卸油系统和油气回收系统，装油时能够将汽车油罐内排出的油气密闭输入储油库回收系统，往返运输过程中能够保证汽油和油气不泄漏，卸油时能够将产生的油气回收到汽车的油罐内，除必要应急维修外，不应因操作、维修和管理等方面的原因发生油气泄漏；运输汽油的铁路罐车要采取相应措施，减少装油、卸油和运输过程的油气排放。加油站卸油、储油和加油时排放的油气，应采用以密闭收集为基础的油气回收方法进行控制，卸油应采用浸没式，埋地油罐应采用电子式液位计进行液位测量，除必要的维修外不得进行人工量油，加油产生的油气应采用真空辅助方式密闭收集，加油站正常运行时，地下罐应急排空管手动阀门在非必要时应关闭并铅封，应急开启后应及时报告当地生态环境部门，做好台账记录”。</w:t>
      </w:r>
    </w:p>
    <w:p>
      <w:pPr>
        <w:adjustRightInd w:val="0"/>
        <w:snapToGrid w:val="0"/>
        <w:ind w:firstLine="480"/>
        <w:rPr>
          <w:bCs/>
          <w:sz w:val="24"/>
          <w:szCs w:val="24"/>
        </w:rPr>
      </w:pPr>
      <w:r>
        <w:rPr>
          <w:bCs/>
          <w:sz w:val="24"/>
          <w:szCs w:val="24"/>
        </w:rPr>
        <w:t>本项目为液化石油气供应项目</w:t>
      </w:r>
      <w:r>
        <w:rPr>
          <w:rFonts w:hint="eastAsia"/>
          <w:bCs/>
          <w:sz w:val="24"/>
          <w:szCs w:val="24"/>
        </w:rPr>
        <w:t>，液化石油气由汽车槽车运至站内，罐区及充装间均</w:t>
      </w:r>
      <w:r>
        <w:rPr>
          <w:bCs/>
          <w:sz w:val="24"/>
          <w:szCs w:val="24"/>
        </w:rPr>
        <w:t>设置有油气回收装置</w:t>
      </w:r>
      <w:r>
        <w:rPr>
          <w:rFonts w:hint="eastAsia"/>
          <w:bCs/>
          <w:sz w:val="24"/>
          <w:szCs w:val="24"/>
        </w:rPr>
        <w:t>、</w:t>
      </w:r>
      <w:r>
        <w:rPr>
          <w:bCs/>
          <w:sz w:val="24"/>
          <w:szCs w:val="24"/>
        </w:rPr>
        <w:t>可燃气体探测器及气体泄漏报警器</w:t>
      </w:r>
      <w:r>
        <w:rPr>
          <w:rFonts w:hint="eastAsia"/>
          <w:bCs/>
          <w:sz w:val="24"/>
          <w:szCs w:val="24"/>
        </w:rPr>
        <w:t>，防止液化石油气泄露。且液化石油气为清洁能源，主要成分为丙烷、丙烯、丁烷和丁烯，具有污染少、发热量高等优点，液化石油气的使用能够减少煤等高污染能源，具有较大的环境效益。符合《“十三五”挥发性有机物污染防治工作方案》、《打赢蓝天保卫战三年行动计划》、《重点行业挥发性有机物综合治理方案》、《2020年挥发性有机物治理攻坚方案》中相关要求。</w:t>
      </w:r>
    </w:p>
    <w:p>
      <w:pPr>
        <w:pStyle w:val="31"/>
        <w:adjustRightInd w:val="0"/>
        <w:snapToGrid w:val="0"/>
        <w:ind w:firstLine="480"/>
        <w:rPr>
          <w:szCs w:val="24"/>
        </w:rPr>
      </w:pPr>
      <w:r>
        <w:rPr>
          <w:rFonts w:hint="eastAsia"/>
          <w:szCs w:val="24"/>
        </w:rPr>
        <w:t>7、规划符合性小结</w:t>
      </w:r>
    </w:p>
    <w:p>
      <w:pPr>
        <w:ind w:firstLine="482"/>
        <w:rPr>
          <w:sz w:val="24"/>
          <w:szCs w:val="24"/>
        </w:rPr>
      </w:pPr>
      <w:r>
        <w:rPr>
          <w:b/>
          <w:sz w:val="24"/>
          <w:szCs w:val="24"/>
        </w:rPr>
        <w:t>本项目符合</w:t>
      </w:r>
      <w:r>
        <w:rPr>
          <w:rFonts w:hint="eastAsia"/>
          <w:b/>
          <w:sz w:val="24"/>
          <w:szCs w:val="24"/>
        </w:rPr>
        <w:t>文昌市总体规划（空间类2015-2030年）和土地利用规划。项目占地不涉及《海南省生态保护红线管理规定》的Ⅰ类生态保护红线区和Ⅱ类生态保护红线区。此外，项目符合《海南省城镇燃气专项规划说明书（2012-2030年）》、《海南省油气产业十三五发展规划指导意见》、《“十三五”挥发性有机物污染防治工作方案》、《打赢蓝天保卫战三年行动计划》、《重点行业挥发性有机物综合治理方案》、《2020年挥发性有机物治理攻坚方案》等政策规划要求。</w:t>
      </w:r>
    </w:p>
    <w:p>
      <w:pPr>
        <w:pStyle w:val="a1"/>
        <w:ind w:firstLine="560"/>
        <w:outlineLvl w:val="0"/>
        <w:rPr>
          <w:rFonts w:eastAsia="黑体"/>
          <w:sz w:val="28"/>
        </w:rPr>
      </w:pPr>
      <w:r>
        <w:rPr>
          <w:rFonts w:eastAsia="黑体" w:hint="eastAsia"/>
          <w:sz w:val="28"/>
        </w:rPr>
        <w:t>四、选址</w:t>
      </w:r>
      <w:r>
        <w:rPr>
          <w:rFonts w:eastAsia="黑体"/>
          <w:sz w:val="28"/>
        </w:rPr>
        <w:t>及平面布置</w:t>
      </w:r>
      <w:r>
        <w:rPr>
          <w:rFonts w:eastAsia="黑体" w:hint="eastAsia"/>
          <w:sz w:val="28"/>
        </w:rPr>
        <w:t>合理</w:t>
      </w:r>
      <w:r>
        <w:rPr>
          <w:rFonts w:eastAsia="黑体"/>
          <w:sz w:val="28"/>
        </w:rPr>
        <w:t>性</w:t>
      </w:r>
    </w:p>
    <w:p>
      <w:pPr>
        <w:adjustRightInd w:val="0"/>
        <w:snapToGrid w:val="0"/>
        <w:ind w:firstLine="480"/>
        <w:rPr>
          <w:sz w:val="24"/>
          <w:szCs w:val="24"/>
        </w:rPr>
        <w:sectPr>
          <w:headerReference w:type="even" r:id="rId74"/>
          <w:headerReference w:type="default" r:id="rId75"/>
          <w:footerReference w:type="even" r:id="rId76"/>
          <w:footerReference w:type="default" r:id="rId77"/>
          <w:headerReference w:type="first" r:id="rId78"/>
          <w:footerReference w:type="first" r:id="rId79"/>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6"/>
          <w:cols w:num="1" w:space="720"/>
          <w:titlePg w:val="0"/>
          <w:docGrid w:type="linesAndChars" w:linePitch="312" w:charSpace="0"/>
        </w:sectPr>
      </w:pPr>
    </w:p>
    <w:p>
      <w:pPr>
        <w:sectPr>
          <w:headerReference w:type="even" r:id="rId80"/>
          <w:headerReference w:type="default" r:id="rId81"/>
          <w:footerReference w:type="even" r:id="rId82"/>
          <w:footerReference w:type="default" r:id="rId83"/>
          <w:headerReference w:type="first" r:id="rId84"/>
          <w:footerReference w:type="first" r:id="rId85"/>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adjustRightInd w:val="0"/>
        <w:snapToGrid w:val="0"/>
        <w:ind w:firstLine="480"/>
        <w:rPr>
          <w:sz w:val="24"/>
          <w:szCs w:val="24"/>
        </w:rPr>
      </w:pPr>
      <w:r>
        <w:rPr>
          <w:rFonts w:hint="eastAsia"/>
          <w:sz w:val="24"/>
          <w:szCs w:val="24"/>
        </w:rPr>
        <w:t>本项目位于文昌市文教镇宝藏解放坡，项目利用原有用地进行液化石油气储罐的改扩建，不涉及新增用地。</w:t>
      </w:r>
    </w:p>
    <w:p>
      <w:pPr>
        <w:adjustRightInd w:val="0"/>
        <w:snapToGrid w:val="0"/>
        <w:ind w:firstLine="480"/>
        <w:rPr>
          <w:rFonts w:ascii="黑体" w:eastAsia="黑体" w:hAnsi="黑体"/>
          <w:sz w:val="24"/>
          <w:szCs w:val="24"/>
        </w:rPr>
      </w:pPr>
      <w:r>
        <w:rPr>
          <w:rFonts w:ascii="黑体" w:eastAsia="黑体" w:hAnsi="黑体" w:hint="eastAsia"/>
          <w:sz w:val="24"/>
          <w:szCs w:val="24"/>
        </w:rPr>
        <w:t>1、外环境关系</w:t>
      </w:r>
    </w:p>
    <w:p>
      <w:pPr>
        <w:pStyle w:val="a1"/>
        <w:ind w:firstLine="480"/>
        <w:rPr>
          <w:szCs w:val="24"/>
        </w:rPr>
      </w:pPr>
      <w:r>
        <w:rPr>
          <w:rFonts w:hint="eastAsia"/>
          <w:szCs w:val="24"/>
        </w:rPr>
        <w:t>根据</w:t>
      </w:r>
      <w:r>
        <w:rPr>
          <w:szCs w:val="24"/>
        </w:rPr>
        <w:t>现场勘查，项目周边外环境关系如下：</w:t>
      </w:r>
    </w:p>
    <w:p>
      <w:pPr>
        <w:pStyle w:val="a1"/>
        <w:ind w:firstLine="480"/>
        <w:rPr>
          <w:szCs w:val="24"/>
        </w:rPr>
      </w:pPr>
      <w:r>
        <w:rPr>
          <w:rFonts w:hint="eastAsia"/>
          <w:szCs w:val="24"/>
        </w:rPr>
        <w:t>项目厂区</w:t>
      </w:r>
      <w:r>
        <w:rPr>
          <w:szCs w:val="24"/>
        </w:rPr>
        <w:t>北侧为林地</w:t>
      </w:r>
      <w:r>
        <w:rPr>
          <w:rFonts w:hint="eastAsia"/>
          <w:szCs w:val="24"/>
        </w:rPr>
        <w:t>，</w:t>
      </w:r>
      <w:r>
        <w:rPr>
          <w:szCs w:val="24"/>
        </w:rPr>
        <w:t>约</w:t>
      </w:r>
      <w:r>
        <w:rPr>
          <w:rFonts w:hint="eastAsia"/>
          <w:szCs w:val="24"/>
        </w:rPr>
        <w:t>65m有1户宝藏居民，约200m为文教道班；</w:t>
      </w:r>
      <w:r>
        <w:rPr>
          <w:szCs w:val="24"/>
        </w:rPr>
        <w:t>西侧紧邻林地</w:t>
      </w:r>
      <w:r>
        <w:rPr>
          <w:rFonts w:hint="eastAsia"/>
          <w:szCs w:val="24"/>
        </w:rPr>
        <w:t>，</w:t>
      </w:r>
      <w:r>
        <w:rPr>
          <w:szCs w:val="24"/>
        </w:rPr>
        <w:t>约</w:t>
      </w:r>
      <w:r>
        <w:rPr>
          <w:rFonts w:hint="eastAsia"/>
          <w:szCs w:val="24"/>
        </w:rPr>
        <w:t>10m为空置厂房，约50m有1户宝藏居民；南侧紧邻林地，约65m为有3户宝藏居民；东侧约32m为S203铺文线，约60m有14户宝藏居民。本次评价确定以项目储罐区及充装间、槽车装卸台为边界划定50m的卫生防护距离，卫生防护距离内无居民等敏感点存在。</w:t>
      </w:r>
    </w:p>
    <w:p>
      <w:pPr>
        <w:pStyle w:val="a1"/>
        <w:ind w:firstLine="480"/>
        <w:rPr>
          <w:szCs w:val="24"/>
        </w:rPr>
      </w:pPr>
      <w:r>
        <w:rPr>
          <w:rFonts w:hint="eastAsia"/>
          <w:szCs w:val="24"/>
        </w:rPr>
        <w:t>项目外环境关系见附图2。</w:t>
      </w:r>
    </w:p>
    <w:p>
      <w:pPr>
        <w:adjustRightInd w:val="0"/>
        <w:snapToGrid w:val="0"/>
        <w:ind w:firstLine="480"/>
        <w:rPr>
          <w:sz w:val="24"/>
          <w:szCs w:val="24"/>
        </w:rPr>
      </w:pPr>
      <w:r>
        <w:rPr>
          <w:sz w:val="24"/>
          <w:szCs w:val="24"/>
        </w:rPr>
        <w:t>项目</w:t>
      </w:r>
      <w:r>
        <w:rPr>
          <w:rFonts w:hint="eastAsia"/>
          <w:sz w:val="24"/>
          <w:szCs w:val="24"/>
        </w:rPr>
        <w:t>所在</w:t>
      </w:r>
      <w:r>
        <w:rPr>
          <w:sz w:val="24"/>
          <w:szCs w:val="24"/>
        </w:rPr>
        <w:t>区域主要环境敏感目标为</w:t>
      </w:r>
      <w:r>
        <w:rPr>
          <w:rFonts w:hint="eastAsia"/>
          <w:sz w:val="24"/>
          <w:szCs w:val="24"/>
        </w:rPr>
        <w:t>项目周边</w:t>
      </w:r>
      <w:r>
        <w:rPr>
          <w:sz w:val="24"/>
          <w:szCs w:val="24"/>
        </w:rPr>
        <w:t>的居民</w:t>
      </w:r>
      <w:r>
        <w:rPr>
          <w:rFonts w:hint="eastAsia"/>
          <w:sz w:val="24"/>
          <w:szCs w:val="24"/>
        </w:rPr>
        <w:t>。项目产生的废气主要为非甲烷总烃，但项目设备自带有油气回收装置，可以减少非甲烷总烃的无组织排放，能够满足《大气污染物综合排放标准》（GB16297-1996）中二级标准限值要求；产生的废水主要为生活污水和食堂废水，食堂废水经隔油装置处理后同生活污水一同经化粪池处理后由周边农户定期清掏用于其农地施肥，不外排，对周边水环境影响较小；产生的噪声主要为设备运行噪声，经建筑隔声等措施后能够达到《工业企业厂界环境噪声排放标准》（GB12348-2008）相关限值。采取上述措施后，项目废气、废水、噪声都能得到有效处理。</w:t>
      </w:r>
    </w:p>
    <w:p>
      <w:pPr>
        <w:adjustRightInd w:val="0"/>
        <w:snapToGrid w:val="0"/>
        <w:ind w:firstLine="480"/>
        <w:rPr>
          <w:sz w:val="24"/>
          <w:szCs w:val="24"/>
        </w:rPr>
      </w:pPr>
      <w:r>
        <w:rPr>
          <w:rFonts w:hint="eastAsia"/>
          <w:sz w:val="24"/>
          <w:szCs w:val="24"/>
        </w:rPr>
        <w:t>距离项目最近的生态保护区为项目东南侧海南岛水土保持Ⅱ类红线区，最近距离约为</w:t>
      </w:r>
      <w:r>
        <w:rPr>
          <w:sz w:val="24"/>
          <w:szCs w:val="24"/>
        </w:rPr>
        <w:t>58</w:t>
      </w:r>
      <w:r>
        <w:rPr>
          <w:rFonts w:hint="eastAsia"/>
          <w:sz w:val="24"/>
          <w:szCs w:val="24"/>
        </w:rPr>
        <w:t>00m。</w:t>
      </w:r>
      <w:r>
        <w:rPr>
          <w:sz w:val="24"/>
          <w:szCs w:val="24"/>
        </w:rPr>
        <w:t>区域不涉及自然保护区、风景名胜区、世界文化和自然遗产地、饮用水水源保护区等环境敏感区</w:t>
      </w:r>
      <w:r>
        <w:rPr>
          <w:rFonts w:hint="eastAsia"/>
          <w:sz w:val="24"/>
          <w:szCs w:val="24"/>
        </w:rPr>
        <w:t>。综上所述，项目对周边环境的影响较小，无环境制约因素。</w:t>
      </w:r>
    </w:p>
    <w:p>
      <w:pPr>
        <w:pStyle w:val="a1"/>
        <w:ind w:firstLine="480"/>
        <w:outlineLvl w:val="1"/>
        <w:rPr>
          <w:rFonts w:eastAsia="黑体"/>
          <w:szCs w:val="24"/>
        </w:rPr>
      </w:pPr>
      <w:r>
        <w:rPr>
          <w:rFonts w:eastAsia="黑体"/>
          <w:szCs w:val="24"/>
        </w:rPr>
        <w:t>2</w:t>
      </w:r>
      <w:r>
        <w:rPr>
          <w:rFonts w:eastAsia="黑体" w:hint="eastAsia"/>
          <w:szCs w:val="24"/>
        </w:rPr>
        <w:t>、与《液化石油气供应工程设计规范》（GB51142-2015）中选址要求符合性分析</w:t>
      </w:r>
    </w:p>
    <w:p>
      <w:pPr>
        <w:adjustRightInd w:val="0"/>
        <w:snapToGrid w:val="0"/>
        <w:ind w:firstLine="480"/>
        <w:rPr>
          <w:sz w:val="24"/>
          <w:szCs w:val="24"/>
        </w:rPr>
      </w:pPr>
      <w:r>
        <w:rPr>
          <w:rFonts w:hint="eastAsia"/>
          <w:sz w:val="24"/>
          <w:szCs w:val="24"/>
        </w:rPr>
        <w:t>根据《液化石油气供应工程设计规范》（GB51142-2015）3.0.12中规定，本项目供应站属于六级供应站，项目与《液化石油气供应工程设计规范》（GB51142-2015）中要求符合性分析如下：</w:t>
      </w:r>
    </w:p>
    <w:p>
      <w:pPr>
        <w:pStyle w:val="a1"/>
        <w:spacing w:line="240" w:lineRule="auto"/>
        <w:ind w:firstLine="0" w:firstLineChars="0"/>
        <w:jc w:val="center"/>
        <w:rPr>
          <w:rFonts w:eastAsia="黑体"/>
          <w:sz w:val="21"/>
          <w:szCs w:val="21"/>
        </w:rPr>
      </w:pPr>
      <w:r>
        <w:rPr>
          <w:rFonts w:eastAsia="黑体" w:hint="eastAsia"/>
          <w:sz w:val="21"/>
          <w:szCs w:val="21"/>
        </w:rPr>
        <w:t>表1-3  项目与《液化石油气供应工程设计规范》（GB51142-2015）符合性分析表</w:t>
      </w:r>
    </w:p>
    <w:tbl>
      <w:tblPr>
        <w:tblStyle w:val="TableNormal"/>
        <w:tblW w:w="9515"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
      <w:tblGrid>
        <w:gridCol w:w="675"/>
        <w:gridCol w:w="4453"/>
        <w:gridCol w:w="3201"/>
        <w:gridCol w:w="1186"/>
      </w:tblGrid>
      <w:tr>
        <w:tblPrEx>
          <w:tblW w:w="9515"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Ex>
        <w:trPr>
          <w:jc w:val="center"/>
        </w:trPr>
        <w:tc>
          <w:tcPr>
            <w:tcW w:w="675" w:type="dxa"/>
            <w:vAlign w:val="center"/>
          </w:tcPr>
          <w:p>
            <w:pPr>
              <w:adjustRightInd w:val="0"/>
              <w:snapToGrid w:val="0"/>
              <w:spacing w:line="280" w:lineRule="exact"/>
              <w:ind w:firstLine="0" w:firstLineChars="0"/>
              <w:jc w:val="center"/>
              <w:rPr>
                <w:b/>
              </w:rPr>
            </w:pPr>
            <w:r>
              <w:rPr>
                <w:rFonts w:hint="eastAsia"/>
                <w:b/>
              </w:rPr>
              <w:t>序号</w:t>
            </w:r>
          </w:p>
        </w:tc>
        <w:tc>
          <w:tcPr>
            <w:tcW w:w="4453" w:type="dxa"/>
            <w:shd w:val="clear" w:color="auto" w:fill="auto"/>
            <w:vAlign w:val="center"/>
          </w:tcPr>
          <w:p>
            <w:pPr>
              <w:adjustRightInd w:val="0"/>
              <w:snapToGrid w:val="0"/>
              <w:spacing w:line="280" w:lineRule="exact"/>
              <w:ind w:firstLine="0" w:firstLineChars="0"/>
              <w:jc w:val="center"/>
              <w:rPr>
                <w:b/>
              </w:rPr>
            </w:pPr>
            <w:r>
              <w:rPr>
                <w:rFonts w:hint="eastAsia"/>
                <w:b/>
              </w:rPr>
              <w:t>《液化石油气供应工程设计规范》（GB51142-2015）中要求</w:t>
            </w:r>
          </w:p>
        </w:tc>
        <w:tc>
          <w:tcPr>
            <w:tcW w:w="3201" w:type="dxa"/>
            <w:shd w:val="clear" w:color="auto" w:fill="auto"/>
            <w:vAlign w:val="center"/>
          </w:tcPr>
          <w:p>
            <w:pPr>
              <w:adjustRightInd w:val="0"/>
              <w:snapToGrid w:val="0"/>
              <w:spacing w:line="280" w:lineRule="exact"/>
              <w:ind w:firstLine="0" w:firstLineChars="0"/>
              <w:jc w:val="center"/>
              <w:rPr>
                <w:b/>
              </w:rPr>
            </w:pPr>
            <w:r>
              <w:rPr>
                <w:b/>
              </w:rPr>
              <w:t>本项目情况</w:t>
            </w:r>
          </w:p>
        </w:tc>
        <w:tc>
          <w:tcPr>
            <w:tcW w:w="1186" w:type="dxa"/>
            <w:shd w:val="clear" w:color="auto" w:fill="auto"/>
            <w:vAlign w:val="center"/>
          </w:tcPr>
          <w:p>
            <w:pPr>
              <w:adjustRightInd w:val="0"/>
              <w:snapToGrid w:val="0"/>
              <w:spacing w:line="280" w:lineRule="exact"/>
              <w:ind w:firstLine="0" w:firstLineChars="0"/>
              <w:jc w:val="center"/>
              <w:rPr>
                <w:b/>
              </w:rPr>
            </w:pPr>
            <w:r>
              <w:rPr>
                <w:rFonts w:hint="eastAsia"/>
                <w:b/>
              </w:rPr>
              <w:t>符合性</w:t>
            </w:r>
          </w:p>
        </w:tc>
      </w:tr>
      <w:tr>
        <w:tblPrEx>
          <w:tblW w:w="9515" w:type="dxa"/>
          <w:jc w:val="center"/>
          <w:tblLayout w:type="fixed"/>
          <w:tblCellMar>
            <w:top w:w="0" w:type="dxa"/>
            <w:left w:w="108" w:type="dxa"/>
            <w:bottom w:w="0" w:type="dxa"/>
            <w:right w:w="108" w:type="dxa"/>
          </w:tblCellMar>
        </w:tblPrEx>
        <w:trPr>
          <w:jc w:val="center"/>
        </w:trPr>
        <w:tc>
          <w:tcPr>
            <w:tcW w:w="675" w:type="dxa"/>
            <w:vAlign w:val="center"/>
          </w:tcPr>
          <w:p>
            <w:pPr>
              <w:adjustRightInd w:val="0"/>
              <w:snapToGrid w:val="0"/>
              <w:spacing w:line="280" w:lineRule="exact"/>
              <w:ind w:firstLine="0" w:firstLineChars="0"/>
              <w:jc w:val="center"/>
            </w:pPr>
            <w:r>
              <w:rPr>
                <w:rFonts w:hint="eastAsia"/>
              </w:rPr>
              <w:t>1</w:t>
            </w:r>
          </w:p>
        </w:tc>
        <w:tc>
          <w:tcPr>
            <w:tcW w:w="4453" w:type="dxa"/>
            <w:shd w:val="clear" w:color="auto" w:fill="auto"/>
            <w:vAlign w:val="center"/>
          </w:tcPr>
          <w:p>
            <w:pPr>
              <w:adjustRightInd w:val="0"/>
              <w:snapToGrid w:val="0"/>
              <w:spacing w:line="280" w:lineRule="exact"/>
              <w:ind w:firstLine="0" w:firstLineChars="0"/>
              <w:jc w:val="center"/>
            </w:pPr>
            <w:r>
              <w:rPr>
                <w:rFonts w:hint="eastAsia"/>
              </w:rPr>
              <w:t>3.0.5液化石油气供应工程选址、选线，应遵循保护环境、节约用地的原则，且应具有给水、供电和道路等市政设施条件。大型燃气设施应远离居住区、学校、幼儿园、医院、养老院和大型商业建筑及重要公共建筑物，并应设置在城镇的边缘或相对独立的安全地带。</w:t>
            </w:r>
          </w:p>
        </w:tc>
        <w:tc>
          <w:tcPr>
            <w:tcW w:w="3201" w:type="dxa"/>
            <w:shd w:val="clear" w:color="auto" w:fill="auto"/>
            <w:vAlign w:val="center"/>
          </w:tcPr>
          <w:p>
            <w:pPr>
              <w:adjustRightInd w:val="0"/>
              <w:snapToGrid w:val="0"/>
              <w:spacing w:line="280" w:lineRule="exact"/>
              <w:ind w:firstLine="0" w:firstLineChars="0"/>
              <w:jc w:val="center"/>
            </w:pPr>
            <w:r>
              <w:t>本项目对原有液化石油气储罐进行改扩建</w:t>
            </w:r>
            <w:r>
              <w:rPr>
                <w:rFonts w:hint="eastAsia"/>
              </w:rPr>
              <w:t>，</w:t>
            </w:r>
            <w:r>
              <w:t>未新增用地</w:t>
            </w:r>
            <w:r>
              <w:rPr>
                <w:rFonts w:hint="eastAsia"/>
              </w:rPr>
              <w:t>，</w:t>
            </w:r>
            <w:r>
              <w:t>具备给水</w:t>
            </w:r>
            <w:r>
              <w:rPr>
                <w:rFonts w:hint="eastAsia"/>
              </w:rPr>
              <w:t>、供电和道路等市政设施条件。且项目位于文昌市文教镇宝藏解放坡，属于城镇边缘地带。</w:t>
            </w:r>
          </w:p>
        </w:tc>
        <w:tc>
          <w:tcPr>
            <w:tcW w:w="1186" w:type="dxa"/>
            <w:shd w:val="clear" w:color="auto" w:fill="auto"/>
            <w:vAlign w:val="center"/>
          </w:tcPr>
          <w:p>
            <w:pPr>
              <w:adjustRightInd w:val="0"/>
              <w:snapToGrid w:val="0"/>
              <w:spacing w:line="280" w:lineRule="exact"/>
              <w:ind w:firstLine="0" w:firstLineChars="0"/>
              <w:jc w:val="center"/>
            </w:pPr>
            <w:r>
              <w:t>符合</w:t>
            </w:r>
          </w:p>
        </w:tc>
      </w:tr>
      <w:tr>
        <w:tblPrEx>
          <w:tblW w:w="9515" w:type="dxa"/>
          <w:jc w:val="center"/>
          <w:tblLayout w:type="fixed"/>
          <w:tblCellMar>
            <w:top w:w="0" w:type="dxa"/>
            <w:left w:w="108" w:type="dxa"/>
            <w:bottom w:w="0" w:type="dxa"/>
            <w:right w:w="108" w:type="dxa"/>
          </w:tblCellMar>
        </w:tblPrEx>
        <w:trPr>
          <w:jc w:val="center"/>
        </w:trPr>
        <w:tc>
          <w:tcPr>
            <w:tcW w:w="675" w:type="dxa"/>
            <w:vAlign w:val="center"/>
          </w:tcPr>
          <w:p>
            <w:pPr>
              <w:adjustRightInd w:val="0"/>
              <w:snapToGrid w:val="0"/>
              <w:spacing w:line="280" w:lineRule="exact"/>
              <w:ind w:firstLine="0" w:firstLineChars="0"/>
              <w:jc w:val="center"/>
            </w:pPr>
            <w:r>
              <w:rPr>
                <w:rFonts w:hint="eastAsia"/>
              </w:rPr>
              <w:t>2</w:t>
            </w:r>
          </w:p>
        </w:tc>
        <w:tc>
          <w:tcPr>
            <w:tcW w:w="4453" w:type="dxa"/>
            <w:shd w:val="clear" w:color="auto" w:fill="auto"/>
            <w:vAlign w:val="center"/>
          </w:tcPr>
          <w:p>
            <w:pPr>
              <w:adjustRightInd w:val="0"/>
              <w:snapToGrid w:val="0"/>
              <w:spacing w:after="0" w:line="280" w:lineRule="exact"/>
              <w:ind w:firstLine="0" w:firstLineChars="0"/>
              <w:jc w:val="center"/>
            </w:pPr>
          </w:p>
        </w:tc>
        <w:tc>
          <w:tcPr>
            <w:tcW w:w="3201" w:type="dxa"/>
            <w:shd w:val="clear" w:color="auto" w:fill="auto"/>
            <w:vAlign w:val="center"/>
          </w:tcPr>
          <w:p>
            <w:pPr>
              <w:adjustRightInd w:val="0"/>
              <w:snapToGrid w:val="0"/>
              <w:spacing w:line="280" w:lineRule="exact"/>
              <w:ind w:firstLine="0" w:firstLineChars="0"/>
              <w:jc w:val="center"/>
            </w:pPr>
            <w:r>
              <w:t>本项目厂址建设满足当地防洪要求</w:t>
            </w:r>
            <w:r>
              <w:rPr>
                <w:rFonts w:hint="eastAsia"/>
              </w:rPr>
              <w:t>。</w:t>
            </w:r>
          </w:p>
        </w:tc>
        <w:tc>
          <w:tcPr>
            <w:tcW w:w="1186" w:type="dxa"/>
            <w:shd w:val="clear" w:color="auto" w:fill="auto"/>
            <w:vAlign w:val="center"/>
          </w:tcPr>
          <w:p>
            <w:pPr>
              <w:adjustRightInd w:val="0"/>
              <w:snapToGrid w:val="0"/>
              <w:spacing w:line="280" w:lineRule="exact"/>
              <w:ind w:firstLine="0" w:firstLineChars="0"/>
              <w:jc w:val="center"/>
            </w:pPr>
            <w:r>
              <w:t>符合</w:t>
            </w:r>
          </w:p>
        </w:tc>
      </w:tr>
    </w:tbl>
    <w:p>
      <w:pPr>
        <w:sectPr>
          <w:headerReference w:type="even" r:id="rId86"/>
          <w:headerReference w:type="default" r:id="rId87"/>
          <w:footerReference w:type="even" r:id="rId88"/>
          <w:footerReference w:type="default" r:id="rId89"/>
          <w:headerReference w:type="first" r:id="rId90"/>
          <w:footerReference w:type="first" r:id="rId91"/>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7"/>
          <w:cols w:num="1" w:space="720"/>
          <w:titlePg w:val="0"/>
          <w:docGrid w:type="linesAndChars" w:linePitch="312" w:charSpace="0"/>
        </w:sectPr>
      </w:pPr>
    </w:p>
    <w:p>
      <w:pPr>
        <w:sectPr>
          <w:headerReference w:type="even" r:id="rId92"/>
          <w:headerReference w:type="default" r:id="rId93"/>
          <w:footerReference w:type="even" r:id="rId94"/>
          <w:footerReference w:type="default" r:id="rId95"/>
          <w:headerReference w:type="first" r:id="rId96"/>
          <w:footerReference w:type="first" r:id="rId97"/>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515"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
      <w:tblGrid>
        <w:gridCol w:w="675"/>
        <w:gridCol w:w="4453"/>
        <w:gridCol w:w="3201"/>
        <w:gridCol w:w="1186"/>
      </w:tblGrid>
      <w:tr>
        <w:tblPrEx>
          <w:tblW w:w="9515"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Ex>
        <w:trPr>
          <w:jc w:val="center"/>
        </w:trPr>
        <w:tc>
          <w:tcPr>
            <w:tcW w:w="675" w:type="dxa"/>
            <w:vAlign w:val="center"/>
          </w:tcPr>
          <w:p/>
        </w:tc>
        <w:tc>
          <w:tcPr>
            <w:tcW w:w="4453" w:type="dxa"/>
            <w:shd w:val="clear" w:color="auto" w:fill="auto"/>
            <w:vAlign w:val="center"/>
          </w:tcPr>
          <w:p>
            <w:pPr>
              <w:adjustRightInd w:val="0"/>
              <w:snapToGrid w:val="0"/>
              <w:spacing w:before="0" w:line="280" w:lineRule="exact"/>
              <w:ind w:firstLine="0" w:firstLineChars="0"/>
              <w:jc w:val="center"/>
            </w:pPr>
            <w:r>
              <w:rPr>
                <w:rFonts w:hint="eastAsia"/>
              </w:rPr>
              <w:t>3.0.7液化石油气供应工程的防洪标准应根据建站规模、城镇的自然条件等因素确定，并应符合国家现行标准的有关规定，且不得低于站址所在区域防洪标准的要求。</w:t>
            </w:r>
          </w:p>
        </w:tc>
        <w:tc>
          <w:tcPr>
            <w:tcW w:w="3201" w:type="dxa"/>
            <w:shd w:val="clear" w:color="auto" w:fill="auto"/>
            <w:vAlign w:val="center"/>
          </w:tcPr>
          <w:p/>
        </w:tc>
        <w:tc>
          <w:tcPr>
            <w:tcW w:w="1186" w:type="dxa"/>
            <w:shd w:val="clear" w:color="auto" w:fill="auto"/>
            <w:vAlign w:val="center"/>
          </w:tcPr>
          <w:p/>
        </w:tc>
      </w:tr>
      <w:tr>
        <w:tblPrEx>
          <w:tblW w:w="9515" w:type="dxa"/>
          <w:jc w:val="center"/>
          <w:tblLayout w:type="fixed"/>
          <w:tblCellMar>
            <w:top w:w="0" w:type="dxa"/>
            <w:left w:w="108" w:type="dxa"/>
            <w:bottom w:w="0" w:type="dxa"/>
            <w:right w:w="108" w:type="dxa"/>
          </w:tblCellMar>
        </w:tblPrEx>
        <w:trPr>
          <w:jc w:val="center"/>
        </w:trPr>
        <w:tc>
          <w:tcPr>
            <w:tcW w:w="675" w:type="dxa"/>
            <w:vAlign w:val="center"/>
          </w:tcPr>
          <w:p>
            <w:pPr>
              <w:adjustRightInd w:val="0"/>
              <w:snapToGrid w:val="0"/>
              <w:spacing w:line="280" w:lineRule="exact"/>
              <w:ind w:firstLine="0" w:firstLineChars="0"/>
              <w:jc w:val="center"/>
            </w:pPr>
            <w:r>
              <w:rPr>
                <w:rFonts w:hint="eastAsia"/>
              </w:rPr>
              <w:t>3</w:t>
            </w:r>
          </w:p>
        </w:tc>
        <w:tc>
          <w:tcPr>
            <w:tcW w:w="4453" w:type="dxa"/>
            <w:shd w:val="clear" w:color="auto" w:fill="auto"/>
            <w:vAlign w:val="center"/>
          </w:tcPr>
          <w:p>
            <w:pPr>
              <w:adjustRightInd w:val="0"/>
              <w:snapToGrid w:val="0"/>
              <w:spacing w:line="280" w:lineRule="exact"/>
              <w:ind w:firstLine="0" w:firstLineChars="0"/>
              <w:jc w:val="center"/>
            </w:pPr>
            <w:r>
              <w:rPr>
                <w:rFonts w:hint="eastAsia"/>
              </w:rPr>
              <w:t>3.0.13二级及以上液化石油气供应站不得与其他燃气厂站及设施合建。五级及以上的液化石油气气化站和混气站、六级及以上的液化石油气储存站、储配站和灌装站，不得建在城市中心城区。</w:t>
            </w:r>
          </w:p>
        </w:tc>
        <w:tc>
          <w:tcPr>
            <w:tcW w:w="3201" w:type="dxa"/>
            <w:shd w:val="clear" w:color="auto" w:fill="auto"/>
            <w:vAlign w:val="center"/>
          </w:tcPr>
          <w:p>
            <w:pPr>
              <w:adjustRightInd w:val="0"/>
              <w:snapToGrid w:val="0"/>
              <w:spacing w:line="280" w:lineRule="exact"/>
              <w:ind w:firstLine="0" w:firstLineChars="0"/>
              <w:jc w:val="center"/>
            </w:pPr>
            <w:r>
              <w:t>本项目属于六级供应站</w:t>
            </w:r>
            <w:r>
              <w:rPr>
                <w:rFonts w:hint="eastAsia"/>
              </w:rPr>
              <w:t>，</w:t>
            </w:r>
            <w:r>
              <w:t>且仅为液化石油气供应站</w:t>
            </w:r>
            <w:r>
              <w:rPr>
                <w:rFonts w:hint="eastAsia"/>
              </w:rPr>
              <w:t>，</w:t>
            </w:r>
            <w:r>
              <w:t>建设位置不位于城市中心城区</w:t>
            </w:r>
            <w:r>
              <w:rPr>
                <w:rFonts w:hint="eastAsia"/>
              </w:rPr>
              <w:t>。</w:t>
            </w:r>
          </w:p>
        </w:tc>
        <w:tc>
          <w:tcPr>
            <w:tcW w:w="1186" w:type="dxa"/>
            <w:shd w:val="clear" w:color="auto" w:fill="auto"/>
            <w:vAlign w:val="center"/>
          </w:tcPr>
          <w:p>
            <w:pPr>
              <w:adjustRightInd w:val="0"/>
              <w:snapToGrid w:val="0"/>
              <w:spacing w:line="280" w:lineRule="exact"/>
              <w:ind w:firstLine="0" w:firstLineChars="0"/>
              <w:jc w:val="center"/>
            </w:pPr>
            <w:r>
              <w:t>符合</w:t>
            </w:r>
          </w:p>
        </w:tc>
      </w:tr>
      <w:tr>
        <w:tblPrEx>
          <w:tblW w:w="9515" w:type="dxa"/>
          <w:jc w:val="center"/>
          <w:tblLayout w:type="fixed"/>
          <w:tblCellMar>
            <w:top w:w="0" w:type="dxa"/>
            <w:left w:w="108" w:type="dxa"/>
            <w:bottom w:w="0" w:type="dxa"/>
            <w:right w:w="108" w:type="dxa"/>
          </w:tblCellMar>
        </w:tblPrEx>
        <w:trPr>
          <w:jc w:val="center"/>
        </w:trPr>
        <w:tc>
          <w:tcPr>
            <w:tcW w:w="675" w:type="dxa"/>
            <w:vAlign w:val="center"/>
          </w:tcPr>
          <w:p>
            <w:pPr>
              <w:adjustRightInd w:val="0"/>
              <w:snapToGrid w:val="0"/>
              <w:spacing w:line="280" w:lineRule="exact"/>
              <w:ind w:firstLine="0" w:firstLineChars="0"/>
              <w:jc w:val="center"/>
            </w:pPr>
            <w:r>
              <w:rPr>
                <w:rFonts w:hint="eastAsia"/>
              </w:rPr>
              <w:t>4</w:t>
            </w:r>
          </w:p>
        </w:tc>
        <w:tc>
          <w:tcPr>
            <w:tcW w:w="4453" w:type="dxa"/>
            <w:shd w:val="clear" w:color="auto" w:fill="auto"/>
            <w:vAlign w:val="center"/>
          </w:tcPr>
          <w:p>
            <w:pPr>
              <w:adjustRightInd w:val="0"/>
              <w:snapToGrid w:val="0"/>
              <w:spacing w:line="280" w:lineRule="exact"/>
              <w:ind w:firstLine="0" w:firstLineChars="0"/>
              <w:jc w:val="center"/>
            </w:pPr>
            <w:r>
              <w:rPr>
                <w:rFonts w:hint="eastAsia"/>
              </w:rPr>
              <w:t>3.0.16液化石油气供应站不得设置在地下或半地下建筑上。</w:t>
            </w:r>
          </w:p>
        </w:tc>
        <w:tc>
          <w:tcPr>
            <w:tcW w:w="3201" w:type="dxa"/>
            <w:shd w:val="clear" w:color="auto" w:fill="auto"/>
            <w:vAlign w:val="center"/>
          </w:tcPr>
          <w:p>
            <w:pPr>
              <w:adjustRightInd w:val="0"/>
              <w:snapToGrid w:val="0"/>
              <w:spacing w:line="280" w:lineRule="exact"/>
              <w:ind w:firstLine="0" w:firstLineChars="0"/>
              <w:jc w:val="center"/>
            </w:pPr>
            <w:r>
              <w:t>本项目液化石油气供应站位于地上</w:t>
            </w:r>
            <w:r>
              <w:rPr>
                <w:rFonts w:hint="eastAsia"/>
              </w:rPr>
              <w:t>。</w:t>
            </w:r>
          </w:p>
        </w:tc>
        <w:tc>
          <w:tcPr>
            <w:tcW w:w="1186" w:type="dxa"/>
            <w:shd w:val="clear" w:color="auto" w:fill="auto"/>
            <w:vAlign w:val="center"/>
          </w:tcPr>
          <w:p>
            <w:pPr>
              <w:adjustRightInd w:val="0"/>
              <w:snapToGrid w:val="0"/>
              <w:spacing w:line="280" w:lineRule="exact"/>
              <w:ind w:firstLine="0" w:firstLineChars="0"/>
              <w:jc w:val="center"/>
            </w:pPr>
            <w:r>
              <w:t>符合</w:t>
            </w:r>
          </w:p>
        </w:tc>
      </w:tr>
      <w:tr>
        <w:tblPrEx>
          <w:tblW w:w="9515" w:type="dxa"/>
          <w:jc w:val="center"/>
          <w:tblLayout w:type="fixed"/>
          <w:tblCellMar>
            <w:top w:w="0" w:type="dxa"/>
            <w:left w:w="108" w:type="dxa"/>
            <w:bottom w:w="0" w:type="dxa"/>
            <w:right w:w="108" w:type="dxa"/>
          </w:tblCellMar>
        </w:tblPrEx>
        <w:trPr>
          <w:jc w:val="center"/>
        </w:trPr>
        <w:tc>
          <w:tcPr>
            <w:tcW w:w="675" w:type="dxa"/>
            <w:vAlign w:val="center"/>
          </w:tcPr>
          <w:p>
            <w:pPr>
              <w:adjustRightInd w:val="0"/>
              <w:snapToGrid w:val="0"/>
              <w:spacing w:line="280" w:lineRule="exact"/>
              <w:ind w:firstLine="0" w:firstLineChars="0"/>
              <w:jc w:val="center"/>
            </w:pPr>
            <w:r>
              <w:rPr>
                <w:rFonts w:hint="eastAsia"/>
              </w:rPr>
              <w:t>5</w:t>
            </w:r>
          </w:p>
        </w:tc>
        <w:tc>
          <w:tcPr>
            <w:tcW w:w="4453" w:type="dxa"/>
            <w:shd w:val="clear" w:color="auto" w:fill="auto"/>
            <w:vAlign w:val="center"/>
          </w:tcPr>
          <w:p>
            <w:pPr>
              <w:adjustRightInd w:val="0"/>
              <w:snapToGrid w:val="0"/>
              <w:spacing w:line="280" w:lineRule="exact"/>
              <w:ind w:firstLine="0" w:firstLineChars="0"/>
              <w:jc w:val="center"/>
            </w:pPr>
            <w:r>
              <w:rPr>
                <w:rFonts w:hint="eastAsia"/>
              </w:rPr>
              <w:t>5.1.1液化石油气储存站、储配站和灌装站站址的选择应符合城镇总体规划和城镇燃气专项规划的要求。</w:t>
            </w:r>
          </w:p>
        </w:tc>
        <w:tc>
          <w:tcPr>
            <w:tcW w:w="3201" w:type="dxa"/>
            <w:shd w:val="clear" w:color="auto" w:fill="auto"/>
            <w:vAlign w:val="center"/>
          </w:tcPr>
          <w:p>
            <w:pPr>
              <w:adjustRightInd w:val="0"/>
              <w:snapToGrid w:val="0"/>
              <w:spacing w:line="280" w:lineRule="exact"/>
              <w:ind w:firstLine="0" w:firstLineChars="0"/>
              <w:jc w:val="center"/>
            </w:pPr>
            <w:r>
              <w:t>本项目选址符合</w:t>
            </w:r>
            <w:r>
              <w:rPr>
                <w:rFonts w:hint="eastAsia"/>
              </w:rPr>
              <w:t>城镇总体规划和城镇燃气专项规划的要求。</w:t>
            </w:r>
          </w:p>
        </w:tc>
        <w:tc>
          <w:tcPr>
            <w:tcW w:w="1186" w:type="dxa"/>
            <w:shd w:val="clear" w:color="auto" w:fill="auto"/>
            <w:vAlign w:val="center"/>
          </w:tcPr>
          <w:p>
            <w:pPr>
              <w:adjustRightInd w:val="0"/>
              <w:snapToGrid w:val="0"/>
              <w:spacing w:line="280" w:lineRule="exact"/>
              <w:ind w:firstLine="0" w:firstLineChars="0"/>
              <w:jc w:val="center"/>
            </w:pPr>
            <w:r>
              <w:t>符合</w:t>
            </w:r>
          </w:p>
        </w:tc>
      </w:tr>
      <w:tr>
        <w:tblPrEx>
          <w:tblW w:w="9515" w:type="dxa"/>
          <w:jc w:val="center"/>
          <w:tblLayout w:type="fixed"/>
          <w:tblCellMar>
            <w:top w:w="0" w:type="dxa"/>
            <w:left w:w="108" w:type="dxa"/>
            <w:bottom w:w="0" w:type="dxa"/>
            <w:right w:w="108" w:type="dxa"/>
          </w:tblCellMar>
        </w:tblPrEx>
        <w:trPr>
          <w:jc w:val="center"/>
        </w:trPr>
        <w:tc>
          <w:tcPr>
            <w:tcW w:w="675" w:type="dxa"/>
            <w:vAlign w:val="center"/>
          </w:tcPr>
          <w:p>
            <w:pPr>
              <w:adjustRightInd w:val="0"/>
              <w:snapToGrid w:val="0"/>
              <w:spacing w:line="280" w:lineRule="exact"/>
              <w:ind w:firstLine="0" w:firstLineChars="0"/>
              <w:jc w:val="center"/>
            </w:pPr>
            <w:r>
              <w:rPr>
                <w:rFonts w:hint="eastAsia"/>
              </w:rPr>
              <w:t>6</w:t>
            </w:r>
          </w:p>
        </w:tc>
        <w:tc>
          <w:tcPr>
            <w:tcW w:w="4453" w:type="dxa"/>
            <w:shd w:val="clear" w:color="auto" w:fill="auto"/>
            <w:vAlign w:val="center"/>
          </w:tcPr>
          <w:p>
            <w:pPr>
              <w:adjustRightInd w:val="0"/>
              <w:snapToGrid w:val="0"/>
              <w:spacing w:line="280" w:lineRule="exact"/>
              <w:ind w:firstLine="0" w:firstLineChars="0"/>
              <w:jc w:val="center"/>
            </w:pPr>
            <w:r>
              <w:rPr>
                <w:rFonts w:hint="eastAsia"/>
              </w:rPr>
              <w:t>5.1.2液化石油气储存站、储配站和灌装站站址的选择应符合下列规定：1 三级及以上的液化石油气储存站、储配站和灌装站应设置在城镇的边缘或相对独立的安全地带，并应远离居住区、学校、影剧院、体育馆等人员集聚的场所；2 在城市中心城区和人员稠密区建设的液化石油气储存站、储配站和灌装站应符合本规范第3章的规定；3 应选择地势平坦、开阔、不易积存液化石油气的地段，且应避开地质灾害多发区；4 应具备交通、供电、给水排水和通信等条件；5 宜选择所在地区全年最小频率风向的上风侧。</w:t>
            </w:r>
          </w:p>
        </w:tc>
        <w:tc>
          <w:tcPr>
            <w:tcW w:w="3201" w:type="dxa"/>
            <w:shd w:val="clear" w:color="auto" w:fill="auto"/>
            <w:vAlign w:val="center"/>
          </w:tcPr>
          <w:p>
            <w:pPr>
              <w:adjustRightInd w:val="0"/>
              <w:snapToGrid w:val="0"/>
              <w:spacing w:line="280" w:lineRule="exact"/>
              <w:ind w:firstLine="0" w:firstLineChars="0"/>
              <w:jc w:val="center"/>
            </w:pPr>
            <w:r>
              <w:t>本项目属于六级供应站</w:t>
            </w:r>
            <w:r>
              <w:rPr>
                <w:rFonts w:hint="eastAsia"/>
              </w:rPr>
              <w:t>，</w:t>
            </w:r>
            <w:r>
              <w:t>建设位置不位于城市中心城区</w:t>
            </w:r>
            <w:r>
              <w:rPr>
                <w:rFonts w:hint="eastAsia"/>
              </w:rPr>
              <w:t>，</w:t>
            </w:r>
            <w:r>
              <w:t>且地势平坦</w:t>
            </w:r>
            <w:r>
              <w:rPr>
                <w:rFonts w:hint="eastAsia"/>
              </w:rPr>
              <w:t>、</w:t>
            </w:r>
            <w:r>
              <w:t>开阔</w:t>
            </w:r>
            <w:r>
              <w:rPr>
                <w:rFonts w:hint="eastAsia"/>
              </w:rPr>
              <w:t>，</w:t>
            </w:r>
            <w:r>
              <w:t>具备交通</w:t>
            </w:r>
            <w:r>
              <w:rPr>
                <w:rFonts w:hint="eastAsia"/>
              </w:rPr>
              <w:t>、</w:t>
            </w:r>
            <w:r>
              <w:t>供电</w:t>
            </w:r>
            <w:r>
              <w:rPr>
                <w:rFonts w:hint="eastAsia"/>
              </w:rPr>
              <w:t>、</w:t>
            </w:r>
            <w:r>
              <w:t>给水排水和通信等条件</w:t>
            </w:r>
            <w:r>
              <w:rPr>
                <w:rFonts w:hint="eastAsia"/>
              </w:rPr>
              <w:t>。项目所在地全年最小频率风向为西南风，本项目位于附近居民区的西南侧，符合要求。</w:t>
            </w:r>
          </w:p>
        </w:tc>
        <w:tc>
          <w:tcPr>
            <w:tcW w:w="1186" w:type="dxa"/>
            <w:shd w:val="clear" w:color="auto" w:fill="auto"/>
            <w:vAlign w:val="center"/>
          </w:tcPr>
          <w:p>
            <w:pPr>
              <w:adjustRightInd w:val="0"/>
              <w:snapToGrid w:val="0"/>
              <w:spacing w:line="280" w:lineRule="exact"/>
              <w:ind w:firstLine="0" w:firstLineChars="0"/>
              <w:jc w:val="center"/>
            </w:pPr>
            <w:r>
              <w:t>符合</w:t>
            </w:r>
          </w:p>
        </w:tc>
      </w:tr>
    </w:tbl>
    <w:p>
      <w:pPr>
        <w:adjustRightInd w:val="0"/>
        <w:snapToGrid w:val="0"/>
        <w:spacing w:before="156" w:beforeLines="50"/>
        <w:ind w:firstLine="480"/>
        <w:rPr>
          <w:sz w:val="24"/>
          <w:szCs w:val="24"/>
        </w:rPr>
      </w:pPr>
      <w:r>
        <w:rPr>
          <w:rFonts w:hint="eastAsia"/>
          <w:sz w:val="24"/>
          <w:szCs w:val="24"/>
        </w:rPr>
        <w:t>根据上述分析，项目厂址选择满足《液化石油气供应工程设计规范》（GB51142-2015）中相关要求。</w:t>
      </w:r>
    </w:p>
    <w:p>
      <w:pPr>
        <w:pStyle w:val="a1"/>
        <w:ind w:firstLine="480"/>
        <w:outlineLvl w:val="1"/>
        <w:rPr>
          <w:rFonts w:eastAsia="黑体"/>
          <w:szCs w:val="24"/>
        </w:rPr>
      </w:pPr>
      <w:r>
        <w:rPr>
          <w:rFonts w:eastAsia="黑体" w:hint="eastAsia"/>
          <w:szCs w:val="24"/>
        </w:rPr>
        <w:t>3、平面布置合理性分析</w:t>
      </w:r>
    </w:p>
    <w:p>
      <w:pPr>
        <w:adjustRightInd w:val="0"/>
        <w:snapToGrid w:val="0"/>
        <w:ind w:firstLine="480"/>
        <w:rPr>
          <w:sz w:val="24"/>
          <w:szCs w:val="24"/>
        </w:rPr>
      </w:pPr>
      <w:r>
        <w:rPr>
          <w:rFonts w:hint="eastAsia"/>
          <w:sz w:val="24"/>
          <w:szCs w:val="24"/>
        </w:rPr>
        <w:t>本项目地块为长方形，项目主要分为罐区、充装间、办公生活区等（见附图4），设计出入口位于项目东侧，靠近省道</w:t>
      </w:r>
      <w:r>
        <w:rPr>
          <w:sz w:val="24"/>
          <w:szCs w:val="24"/>
        </w:rPr>
        <w:t>203</w:t>
      </w:r>
      <w:r>
        <w:rPr>
          <w:rFonts w:hint="eastAsia"/>
          <w:sz w:val="24"/>
          <w:szCs w:val="24"/>
        </w:rPr>
        <w:t>，方便原料输入和输出。生产区位于项目北侧，主要为储罐区、充装间、压缩机房、槽车</w:t>
      </w:r>
      <w:r>
        <w:rPr>
          <w:sz w:val="24"/>
          <w:szCs w:val="24"/>
        </w:rPr>
        <w:t>装卸</w:t>
      </w:r>
      <w:r>
        <w:rPr>
          <w:rFonts w:hint="eastAsia"/>
          <w:sz w:val="24"/>
          <w:szCs w:val="24"/>
        </w:rPr>
        <w:t>台，各区域按照工艺流程紧凑排列。办公生活区位于项目东南侧，主要包括值班室</w:t>
      </w:r>
      <w:r>
        <w:rPr>
          <w:sz w:val="24"/>
          <w:szCs w:val="24"/>
        </w:rPr>
        <w:t>、</w:t>
      </w:r>
      <w:r>
        <w:rPr>
          <w:rFonts w:hint="eastAsia"/>
          <w:sz w:val="24"/>
          <w:szCs w:val="24"/>
        </w:rPr>
        <w:t>员工宿舍</w:t>
      </w:r>
      <w:r>
        <w:rPr>
          <w:sz w:val="24"/>
          <w:szCs w:val="24"/>
        </w:rPr>
        <w:t>、</w:t>
      </w:r>
      <w:r>
        <w:rPr>
          <w:rFonts w:hint="eastAsia"/>
          <w:sz w:val="24"/>
          <w:szCs w:val="24"/>
        </w:rPr>
        <w:t>食堂</w:t>
      </w:r>
      <w:r>
        <w:rPr>
          <w:sz w:val="24"/>
          <w:szCs w:val="24"/>
        </w:rPr>
        <w:t>、卫生间、</w:t>
      </w:r>
      <w:r>
        <w:rPr>
          <w:rFonts w:hint="eastAsia"/>
          <w:sz w:val="24"/>
          <w:szCs w:val="24"/>
        </w:rPr>
        <w:t>办公室、配电室、</w:t>
      </w:r>
      <w:r>
        <w:rPr>
          <w:sz w:val="24"/>
          <w:szCs w:val="24"/>
        </w:rPr>
        <w:t>备件</w:t>
      </w:r>
      <w:r>
        <w:rPr>
          <w:rFonts w:hint="eastAsia"/>
          <w:sz w:val="24"/>
          <w:szCs w:val="24"/>
        </w:rPr>
        <w:t>库</w:t>
      </w:r>
      <w:r>
        <w:rPr>
          <w:sz w:val="24"/>
          <w:szCs w:val="24"/>
        </w:rPr>
        <w:t>、瓶区、消防泵房</w:t>
      </w:r>
      <w:r>
        <w:rPr>
          <w:rFonts w:hint="eastAsia"/>
          <w:sz w:val="24"/>
          <w:szCs w:val="24"/>
        </w:rPr>
        <w:t>等。事故水池、消防水池位于项目西南侧，不会造成污水溢流污染周边水体的问题。根据《城镇燃气设计规范》（DB50028-2006）、《液化石油气供应工程设计规范》（GB51142-2015）和《石油天然气工程设计防火规范》（GB50183-2004），项目储罐与站外建筑、堆场的防火间距见表1-4。</w:t>
      </w:r>
    </w:p>
    <w:p>
      <w:pPr>
        <w:pStyle w:val="a1"/>
        <w:spacing w:line="240" w:lineRule="auto"/>
        <w:ind w:firstLine="0" w:firstLineChars="0"/>
        <w:jc w:val="center"/>
        <w:rPr>
          <w:rFonts w:eastAsia="黑体"/>
          <w:sz w:val="21"/>
          <w:szCs w:val="21"/>
        </w:rPr>
      </w:pPr>
      <w:r>
        <w:rPr>
          <w:rFonts w:eastAsia="黑体"/>
          <w:sz w:val="21"/>
          <w:szCs w:val="21"/>
        </w:rPr>
        <w:t>表</w:t>
      </w:r>
      <w:r>
        <w:rPr>
          <w:rFonts w:eastAsia="黑体" w:hint="eastAsia"/>
          <w:sz w:val="21"/>
          <w:szCs w:val="21"/>
        </w:rPr>
        <w:t>1-4  全压力式储罐与站外建筑、堆场的防火间距</w:t>
      </w:r>
      <w:r>
        <w:rPr>
          <w:rFonts w:eastAsia="黑体"/>
          <w:sz w:val="21"/>
          <w:szCs w:val="21"/>
        </w:rPr>
        <w:t>（m）</w:t>
      </w:r>
    </w:p>
    <w:tbl>
      <w:tblPr>
        <w:tblStyle w:val="TableNormal"/>
        <w:tblW w:w="95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201"/>
        <w:gridCol w:w="1798"/>
        <w:gridCol w:w="1528"/>
        <w:gridCol w:w="988"/>
      </w:tblGrid>
      <w:tr>
        <w:tblPrEx>
          <w:tblW w:w="95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16"/>
        </w:trPr>
        <w:tc>
          <w:tcPr>
            <w:tcW w:w="5201" w:type="dxa"/>
            <w:tcBorders>
              <w:left w:val="single" w:sz="4" w:space="0" w:color="auto"/>
              <w:tl2br w:val="single" w:sz="4" w:space="0" w:color="auto"/>
            </w:tcBorders>
            <w:vAlign w:val="center"/>
          </w:tcPr>
          <w:p>
            <w:pPr>
              <w:spacing w:line="280" w:lineRule="exact"/>
              <w:ind w:firstLine="0" w:firstLineChars="0"/>
              <w:jc w:val="center"/>
              <w:rPr>
                <w:rFonts w:eastAsiaTheme="minorEastAsia"/>
                <w:b/>
              </w:rPr>
            </w:pPr>
            <w:r>
              <w:rPr>
                <w:rFonts w:eastAsiaTheme="minorEastAsia" w:hAnsiTheme="minorEastAsia"/>
                <w:b/>
              </w:rPr>
              <w:t>级别</w:t>
            </w:r>
          </w:p>
          <w:p>
            <w:pPr>
              <w:spacing w:line="280" w:lineRule="exact"/>
              <w:ind w:firstLine="0" w:firstLineChars="0"/>
              <w:jc w:val="center"/>
              <w:rPr>
                <w:rFonts w:eastAsiaTheme="minorEastAsia"/>
                <w:b/>
              </w:rPr>
            </w:pPr>
            <w:r>
              <w:rPr>
                <w:rFonts w:eastAsiaTheme="minorEastAsia" w:hAnsiTheme="minorEastAsia"/>
                <w:b/>
              </w:rPr>
              <w:t>项目</w:t>
            </w:r>
          </w:p>
        </w:tc>
        <w:tc>
          <w:tcPr>
            <w:tcW w:w="1798" w:type="dxa"/>
            <w:vAlign w:val="center"/>
          </w:tcPr>
          <w:p>
            <w:pPr>
              <w:spacing w:line="280" w:lineRule="exact"/>
              <w:ind w:firstLine="0" w:firstLineChars="0"/>
              <w:jc w:val="center"/>
              <w:rPr>
                <w:rFonts w:eastAsiaTheme="minorEastAsia"/>
                <w:b/>
              </w:rPr>
            </w:pPr>
            <w:r>
              <w:rPr>
                <w:rFonts w:eastAsiaTheme="minorEastAsia" w:hAnsiTheme="minorEastAsia"/>
                <w:b/>
              </w:rPr>
              <w:t>规范要求（</w:t>
            </w:r>
            <w:r>
              <w:rPr>
                <w:rFonts w:eastAsiaTheme="minorEastAsia"/>
                <w:b/>
              </w:rPr>
              <w:t>m</w:t>
            </w:r>
            <w:r>
              <w:rPr>
                <w:rFonts w:eastAsiaTheme="minorEastAsia" w:hAnsiTheme="minorEastAsia"/>
                <w:b/>
              </w:rPr>
              <w:t>）</w:t>
            </w:r>
          </w:p>
        </w:tc>
        <w:tc>
          <w:tcPr>
            <w:tcW w:w="1528" w:type="dxa"/>
            <w:tcBorders>
              <w:right w:val="single" w:sz="4" w:space="0" w:color="auto"/>
            </w:tcBorders>
            <w:vAlign w:val="center"/>
          </w:tcPr>
          <w:p>
            <w:pPr>
              <w:spacing w:line="280" w:lineRule="exact"/>
              <w:ind w:firstLine="0" w:firstLineChars="0"/>
              <w:jc w:val="center"/>
              <w:rPr>
                <w:rFonts w:eastAsiaTheme="minorEastAsia"/>
                <w:b/>
              </w:rPr>
            </w:pPr>
            <w:r>
              <w:rPr>
                <w:rFonts w:eastAsiaTheme="minorEastAsia" w:hAnsiTheme="minorEastAsia"/>
                <w:b/>
              </w:rPr>
              <w:t>实际距离（</w:t>
            </w:r>
            <w:r>
              <w:rPr>
                <w:rFonts w:eastAsiaTheme="minorEastAsia"/>
                <w:b/>
              </w:rPr>
              <w:t>m</w:t>
            </w:r>
            <w:r>
              <w:rPr>
                <w:rFonts w:eastAsiaTheme="minorEastAsia" w:hAnsiTheme="minorEastAsia"/>
                <w:b/>
              </w:rPr>
              <w:t>）</w:t>
            </w:r>
          </w:p>
        </w:tc>
        <w:tc>
          <w:tcPr>
            <w:tcW w:w="988" w:type="dxa"/>
            <w:tcBorders>
              <w:right w:val="single" w:sz="4" w:space="0" w:color="auto"/>
            </w:tcBorders>
            <w:vAlign w:val="center"/>
          </w:tcPr>
          <w:p>
            <w:pPr>
              <w:spacing w:line="280" w:lineRule="exact"/>
              <w:ind w:firstLine="0" w:firstLineChars="0"/>
              <w:jc w:val="center"/>
              <w:rPr>
                <w:rFonts w:eastAsiaTheme="minorEastAsia"/>
                <w:b/>
              </w:rPr>
            </w:pPr>
            <w:r>
              <w:rPr>
                <w:rFonts w:eastAsiaTheme="minorEastAsia" w:hAnsiTheme="minorEastAsia"/>
                <w:b/>
              </w:rPr>
              <w:t>结论</w:t>
            </w:r>
          </w:p>
        </w:tc>
      </w:tr>
      <w:tr>
        <w:tblPrEx>
          <w:tblW w:w="9515" w:type="dxa"/>
          <w:tblInd w:w="0" w:type="dxa"/>
          <w:tblLayout w:type="fixed"/>
          <w:tblCellMar>
            <w:top w:w="0" w:type="dxa"/>
            <w:left w:w="108" w:type="dxa"/>
            <w:bottom w:w="0" w:type="dxa"/>
            <w:right w:w="108" w:type="dxa"/>
          </w:tblCellMar>
        </w:tblPrEx>
        <w:trPr>
          <w:cantSplit/>
          <w:trHeight w:val="457"/>
        </w:trPr>
        <w:tc>
          <w:tcPr>
            <w:tcW w:w="5201" w:type="dxa"/>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居住区、学校、影剧院、体育馆等重要公共建筑（最外侧建筑物外墙）</w:t>
            </w:r>
          </w:p>
        </w:tc>
        <w:tc>
          <w:tcPr>
            <w:tcW w:w="1798" w:type="dxa"/>
            <w:vAlign w:val="center"/>
          </w:tcPr>
          <w:p>
            <w:pPr>
              <w:spacing w:line="280" w:lineRule="exact"/>
              <w:ind w:firstLine="0" w:firstLineChars="0"/>
              <w:jc w:val="center"/>
              <w:rPr>
                <w:rFonts w:eastAsiaTheme="minorEastAsia"/>
              </w:rPr>
            </w:pPr>
            <w:r>
              <w:rPr>
                <w:rFonts w:eastAsiaTheme="minorEastAsia" w:hint="eastAsia"/>
              </w:rPr>
              <w:t>50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int="eastAsia"/>
              </w:rPr>
              <w:t>62</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11"/>
        </w:trPr>
        <w:tc>
          <w:tcPr>
            <w:tcW w:w="5201" w:type="dxa"/>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工业企业（最外侧建筑物外墙）</w:t>
            </w:r>
          </w:p>
        </w:tc>
        <w:tc>
          <w:tcPr>
            <w:tcW w:w="1798" w:type="dxa"/>
            <w:tcBorders>
              <w:bottom w:val="single" w:sz="4" w:space="0" w:color="auto"/>
            </w:tcBorders>
            <w:vAlign w:val="center"/>
          </w:tcPr>
          <w:p>
            <w:pPr>
              <w:spacing w:line="280" w:lineRule="exact"/>
              <w:ind w:firstLine="0" w:firstLineChars="0"/>
              <w:jc w:val="center"/>
              <w:rPr>
                <w:rFonts w:eastAsiaTheme="minorEastAsia"/>
              </w:rPr>
            </w:pPr>
            <w:r>
              <w:rPr>
                <w:rFonts w:eastAsiaTheme="minorEastAsia" w:hint="eastAsia"/>
              </w:rPr>
              <w:t>30</w:t>
            </w:r>
          </w:p>
        </w:tc>
        <w:tc>
          <w:tcPr>
            <w:tcW w:w="1528" w:type="dxa"/>
            <w:tcBorders>
              <w:bottom w:val="single" w:sz="4" w:space="0" w:color="auto"/>
              <w:right w:val="single" w:sz="4" w:space="0" w:color="auto"/>
            </w:tcBorders>
            <w:vAlign w:val="center"/>
          </w:tcPr>
          <w:p>
            <w:pPr>
              <w:spacing w:line="280" w:lineRule="exact"/>
              <w:ind w:firstLine="0" w:firstLineChars="0"/>
              <w:jc w:val="center"/>
              <w:rPr>
                <w:rFonts w:eastAsiaTheme="minorEastAsia"/>
              </w:rPr>
            </w:pPr>
            <w:r>
              <w:rPr>
                <w:rFonts w:eastAsiaTheme="minorEastAsia" w:hint="eastAsia"/>
              </w:rPr>
              <w:t>无</w:t>
            </w:r>
          </w:p>
        </w:tc>
        <w:tc>
          <w:tcPr>
            <w:tcW w:w="988" w:type="dxa"/>
            <w:tcBorders>
              <w:bottom w:val="single" w:sz="4" w:space="0" w:color="auto"/>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21"/>
        </w:trPr>
        <w:tc>
          <w:tcPr>
            <w:tcW w:w="5201" w:type="dxa"/>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明火、散发火花地点和室外变、配电站</w:t>
            </w:r>
          </w:p>
        </w:tc>
        <w:tc>
          <w:tcPr>
            <w:tcW w:w="1798" w:type="dxa"/>
            <w:vAlign w:val="center"/>
          </w:tcPr>
          <w:p>
            <w:pPr>
              <w:spacing w:line="280" w:lineRule="exact"/>
              <w:ind w:firstLine="0" w:firstLineChars="0"/>
              <w:jc w:val="center"/>
              <w:rPr>
                <w:rFonts w:eastAsiaTheme="minorEastAsia"/>
              </w:rPr>
            </w:pPr>
            <w:r>
              <w:rPr>
                <w:rFonts w:eastAsiaTheme="minorEastAsia" w:hint="eastAsia"/>
              </w:rPr>
              <w:t>50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无</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bl>
    <w:p>
      <w:pPr>
        <w:sectPr>
          <w:headerReference w:type="even" r:id="rId98"/>
          <w:headerReference w:type="default" r:id="rId99"/>
          <w:footerReference w:type="even" r:id="rId100"/>
          <w:footerReference w:type="default" r:id="rId101"/>
          <w:headerReference w:type="first" r:id="rId102"/>
          <w:footerReference w:type="first" r:id="rId103"/>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8"/>
          <w:cols w:num="1" w:space="720"/>
          <w:titlePg w:val="0"/>
          <w:docGrid w:type="linesAndChars" w:linePitch="312" w:charSpace="0"/>
        </w:sectPr>
      </w:pPr>
    </w:p>
    <w:p>
      <w:pPr>
        <w:sectPr>
          <w:headerReference w:type="even" r:id="rId104"/>
          <w:headerReference w:type="default" r:id="rId105"/>
          <w:footerReference w:type="even" r:id="rId106"/>
          <w:footerReference w:type="default" r:id="rId107"/>
          <w:headerReference w:type="first" r:id="rId108"/>
          <w:footerReference w:type="first" r:id="rId109"/>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5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453"/>
        <w:gridCol w:w="1119"/>
        <w:gridCol w:w="1629"/>
        <w:gridCol w:w="1798"/>
        <w:gridCol w:w="1528"/>
        <w:gridCol w:w="988"/>
      </w:tblGrid>
      <w:tr>
        <w:tblPrEx>
          <w:tblW w:w="95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21"/>
        </w:trPr>
        <w:tc>
          <w:tcPr>
            <w:tcW w:w="5201" w:type="dxa"/>
            <w:gridSpan w:val="3"/>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其他民用建筑</w:t>
            </w:r>
          </w:p>
        </w:tc>
        <w:tc>
          <w:tcPr>
            <w:tcW w:w="1798" w:type="dxa"/>
            <w:vAlign w:val="center"/>
          </w:tcPr>
          <w:p>
            <w:pPr>
              <w:spacing w:line="280" w:lineRule="exact"/>
              <w:ind w:firstLine="0" w:firstLineChars="0"/>
              <w:jc w:val="center"/>
              <w:rPr>
                <w:rFonts w:eastAsiaTheme="minorEastAsia"/>
              </w:rPr>
            </w:pPr>
            <w:r>
              <w:rPr>
                <w:rFonts w:eastAsiaTheme="minorEastAsia" w:hint="eastAsia"/>
              </w:rPr>
              <w:t>45</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int="eastAsia"/>
              </w:rPr>
              <w:t>62</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813"/>
        </w:trPr>
        <w:tc>
          <w:tcPr>
            <w:tcW w:w="5201" w:type="dxa"/>
            <w:gridSpan w:val="3"/>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甲、乙类液体储罐，甲、乙类生产厂房、甲、乙类物品仓库，易燃材料堆</w:t>
            </w:r>
            <w:r>
              <w:rPr>
                <w:rFonts w:eastAsiaTheme="minorEastAsia" w:hAnsiTheme="minorEastAsia" w:hint="eastAsia"/>
              </w:rPr>
              <w:t>场</w:t>
            </w:r>
          </w:p>
        </w:tc>
        <w:tc>
          <w:tcPr>
            <w:tcW w:w="1798" w:type="dxa"/>
            <w:vAlign w:val="center"/>
          </w:tcPr>
          <w:p>
            <w:pPr>
              <w:spacing w:line="280" w:lineRule="exact"/>
              <w:ind w:firstLine="0" w:firstLineChars="0"/>
              <w:jc w:val="center"/>
              <w:rPr>
                <w:rFonts w:eastAsiaTheme="minorEastAsia"/>
              </w:rPr>
            </w:pPr>
            <w:r>
              <w:rPr>
                <w:rFonts w:eastAsiaTheme="minorEastAsia" w:hint="eastAsia"/>
              </w:rPr>
              <w:t>45</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无</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813"/>
        </w:trPr>
        <w:tc>
          <w:tcPr>
            <w:tcW w:w="5201" w:type="dxa"/>
            <w:gridSpan w:val="3"/>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丙类液体储罐，可燃液体储罐，丙、丁类生产厂房、丙、丁类物品仓库</w:t>
            </w:r>
          </w:p>
        </w:tc>
        <w:tc>
          <w:tcPr>
            <w:tcW w:w="1798" w:type="dxa"/>
            <w:vAlign w:val="center"/>
          </w:tcPr>
          <w:p>
            <w:pPr>
              <w:spacing w:line="280" w:lineRule="exact"/>
              <w:ind w:firstLine="0" w:firstLineChars="0"/>
              <w:jc w:val="center"/>
              <w:rPr>
                <w:rFonts w:eastAsiaTheme="minorEastAsia"/>
              </w:rPr>
            </w:pPr>
            <w:r>
              <w:rPr>
                <w:rFonts w:eastAsiaTheme="minorEastAsia" w:hint="eastAsia"/>
              </w:rPr>
              <w:t>35</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无</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64"/>
        </w:trPr>
        <w:tc>
          <w:tcPr>
            <w:tcW w:w="5201" w:type="dxa"/>
            <w:gridSpan w:val="3"/>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助燃气体储罐、可燃材料堆场</w:t>
            </w:r>
          </w:p>
        </w:tc>
        <w:tc>
          <w:tcPr>
            <w:tcW w:w="1798" w:type="dxa"/>
            <w:vAlign w:val="center"/>
          </w:tcPr>
          <w:p>
            <w:pPr>
              <w:spacing w:line="280" w:lineRule="exact"/>
              <w:ind w:firstLine="0" w:firstLineChars="0"/>
              <w:jc w:val="center"/>
              <w:rPr>
                <w:rFonts w:eastAsiaTheme="minorEastAsia"/>
              </w:rPr>
            </w:pPr>
            <w:r>
              <w:rPr>
                <w:rFonts w:eastAsiaTheme="minorEastAsia" w:hint="eastAsia"/>
              </w:rPr>
              <w:t>30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无</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113"/>
        </w:trPr>
        <w:tc>
          <w:tcPr>
            <w:tcW w:w="2453" w:type="dxa"/>
            <w:vMerge w:val="restart"/>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其他建筑</w:t>
            </w:r>
          </w:p>
        </w:tc>
        <w:tc>
          <w:tcPr>
            <w:tcW w:w="1119" w:type="dxa"/>
            <w:vMerge w:val="restart"/>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耐火等级</w:t>
            </w:r>
          </w:p>
        </w:tc>
        <w:tc>
          <w:tcPr>
            <w:tcW w:w="1629" w:type="dxa"/>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一、二级</w:t>
            </w:r>
          </w:p>
        </w:tc>
        <w:tc>
          <w:tcPr>
            <w:tcW w:w="1798" w:type="dxa"/>
            <w:vAlign w:val="center"/>
          </w:tcPr>
          <w:p>
            <w:pPr>
              <w:spacing w:line="280" w:lineRule="exact"/>
              <w:ind w:firstLine="0" w:firstLineChars="0"/>
              <w:jc w:val="center"/>
              <w:rPr>
                <w:rFonts w:eastAsiaTheme="minorEastAsia"/>
              </w:rPr>
            </w:pPr>
            <w:r>
              <w:rPr>
                <w:rFonts w:eastAsiaTheme="minorEastAsia"/>
              </w:rPr>
              <w:t>2</w:t>
            </w:r>
            <w:r>
              <w:rPr>
                <w:rFonts w:eastAsiaTheme="minorEastAsia" w:hint="eastAsia"/>
              </w:rPr>
              <w:t>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无</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64"/>
        </w:trPr>
        <w:tc>
          <w:tcPr>
            <w:tcW w:w="2453" w:type="dxa"/>
            <w:vMerge/>
            <w:tcBorders>
              <w:left w:val="single" w:sz="4" w:space="0" w:color="auto"/>
            </w:tcBorders>
            <w:vAlign w:val="center"/>
          </w:tcPr>
          <w:p>
            <w:pPr>
              <w:spacing w:line="280" w:lineRule="exact"/>
              <w:ind w:firstLine="0" w:firstLineChars="0"/>
              <w:jc w:val="center"/>
              <w:rPr>
                <w:rFonts w:eastAsiaTheme="minorEastAsia"/>
              </w:rPr>
            </w:pPr>
          </w:p>
        </w:tc>
        <w:tc>
          <w:tcPr>
            <w:tcW w:w="1119" w:type="dxa"/>
            <w:vMerge/>
            <w:tcBorders>
              <w:left w:val="single" w:sz="4" w:space="0" w:color="auto"/>
            </w:tcBorders>
            <w:vAlign w:val="center"/>
          </w:tcPr>
          <w:p>
            <w:pPr>
              <w:spacing w:line="280" w:lineRule="exact"/>
              <w:ind w:firstLine="0" w:firstLineChars="0"/>
              <w:jc w:val="center"/>
              <w:rPr>
                <w:rFonts w:eastAsiaTheme="minorEastAsia"/>
              </w:rPr>
            </w:pPr>
          </w:p>
        </w:tc>
        <w:tc>
          <w:tcPr>
            <w:tcW w:w="1629" w:type="dxa"/>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三级</w:t>
            </w:r>
          </w:p>
        </w:tc>
        <w:tc>
          <w:tcPr>
            <w:tcW w:w="1798" w:type="dxa"/>
            <w:vAlign w:val="center"/>
          </w:tcPr>
          <w:p>
            <w:pPr>
              <w:spacing w:line="280" w:lineRule="exact"/>
              <w:ind w:firstLine="0" w:firstLineChars="0"/>
              <w:jc w:val="center"/>
              <w:rPr>
                <w:rFonts w:eastAsiaTheme="minorEastAsia"/>
              </w:rPr>
            </w:pPr>
            <w:r>
              <w:rPr>
                <w:rFonts w:eastAsiaTheme="minorEastAsia" w:hint="eastAsia"/>
              </w:rPr>
              <w:t>25</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无</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125"/>
        </w:trPr>
        <w:tc>
          <w:tcPr>
            <w:tcW w:w="2453" w:type="dxa"/>
            <w:vMerge/>
            <w:tcBorders>
              <w:left w:val="single" w:sz="4" w:space="0" w:color="auto"/>
            </w:tcBorders>
            <w:vAlign w:val="center"/>
          </w:tcPr>
          <w:p>
            <w:pPr>
              <w:spacing w:line="280" w:lineRule="exact"/>
              <w:ind w:firstLine="0" w:firstLineChars="0"/>
              <w:jc w:val="center"/>
              <w:rPr>
                <w:rFonts w:eastAsiaTheme="minorEastAsia"/>
              </w:rPr>
            </w:pPr>
          </w:p>
        </w:tc>
        <w:tc>
          <w:tcPr>
            <w:tcW w:w="1119" w:type="dxa"/>
            <w:vMerge/>
            <w:tcBorders>
              <w:left w:val="single" w:sz="4" w:space="0" w:color="auto"/>
            </w:tcBorders>
            <w:vAlign w:val="center"/>
          </w:tcPr>
          <w:p>
            <w:pPr>
              <w:spacing w:line="280" w:lineRule="exact"/>
              <w:ind w:firstLine="0" w:firstLineChars="0"/>
              <w:jc w:val="center"/>
              <w:rPr>
                <w:rFonts w:eastAsiaTheme="minorEastAsia"/>
              </w:rPr>
            </w:pPr>
          </w:p>
        </w:tc>
        <w:tc>
          <w:tcPr>
            <w:tcW w:w="1629" w:type="dxa"/>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四级</w:t>
            </w:r>
          </w:p>
        </w:tc>
        <w:tc>
          <w:tcPr>
            <w:tcW w:w="1798" w:type="dxa"/>
            <w:vAlign w:val="center"/>
          </w:tcPr>
          <w:p>
            <w:pPr>
              <w:spacing w:line="280" w:lineRule="exact"/>
              <w:ind w:firstLine="0" w:firstLineChars="0"/>
              <w:jc w:val="center"/>
              <w:rPr>
                <w:rFonts w:eastAsiaTheme="minorEastAsia"/>
              </w:rPr>
            </w:pPr>
            <w:r>
              <w:rPr>
                <w:rFonts w:eastAsiaTheme="minorEastAsia" w:hint="eastAsia"/>
              </w:rPr>
              <w:t>30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无</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11"/>
        </w:trPr>
        <w:tc>
          <w:tcPr>
            <w:tcW w:w="2453" w:type="dxa"/>
            <w:vMerge w:val="restart"/>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铁路（中心线）</w:t>
            </w:r>
          </w:p>
        </w:tc>
        <w:tc>
          <w:tcPr>
            <w:tcW w:w="2748" w:type="dxa"/>
            <w:gridSpan w:val="2"/>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国家线</w:t>
            </w:r>
          </w:p>
        </w:tc>
        <w:tc>
          <w:tcPr>
            <w:tcW w:w="1798" w:type="dxa"/>
            <w:tcBorders>
              <w:bottom w:val="single" w:sz="4" w:space="0" w:color="auto"/>
            </w:tcBorders>
            <w:vAlign w:val="center"/>
          </w:tcPr>
          <w:p>
            <w:pPr>
              <w:spacing w:line="280" w:lineRule="exact"/>
              <w:ind w:firstLine="0" w:firstLineChars="0"/>
              <w:jc w:val="center"/>
              <w:rPr>
                <w:rFonts w:eastAsiaTheme="minorEastAsia"/>
              </w:rPr>
            </w:pPr>
            <w:r>
              <w:rPr>
                <w:rFonts w:eastAsiaTheme="minorEastAsia" w:hint="eastAsia"/>
              </w:rPr>
              <w:t>70</w:t>
            </w:r>
          </w:p>
        </w:tc>
        <w:tc>
          <w:tcPr>
            <w:tcW w:w="1528" w:type="dxa"/>
            <w:tcBorders>
              <w:bottom w:val="single" w:sz="4" w:space="0" w:color="auto"/>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无</w:t>
            </w:r>
          </w:p>
        </w:tc>
        <w:tc>
          <w:tcPr>
            <w:tcW w:w="988" w:type="dxa"/>
            <w:tcBorders>
              <w:bottom w:val="single" w:sz="4" w:space="0" w:color="auto"/>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11"/>
        </w:trPr>
        <w:tc>
          <w:tcPr>
            <w:tcW w:w="2453" w:type="dxa"/>
            <w:vMerge/>
            <w:tcBorders>
              <w:left w:val="single" w:sz="4" w:space="0" w:color="auto"/>
            </w:tcBorders>
            <w:vAlign w:val="center"/>
          </w:tcPr>
          <w:p>
            <w:pPr>
              <w:spacing w:line="280" w:lineRule="exact"/>
              <w:ind w:firstLine="0" w:firstLineChars="0"/>
              <w:jc w:val="center"/>
              <w:rPr>
                <w:rFonts w:eastAsiaTheme="minorEastAsia"/>
              </w:rPr>
            </w:pPr>
          </w:p>
        </w:tc>
        <w:tc>
          <w:tcPr>
            <w:tcW w:w="2748" w:type="dxa"/>
            <w:gridSpan w:val="2"/>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企业专用线</w:t>
            </w:r>
          </w:p>
        </w:tc>
        <w:tc>
          <w:tcPr>
            <w:tcW w:w="1798" w:type="dxa"/>
            <w:tcBorders>
              <w:bottom w:val="single" w:sz="4" w:space="0" w:color="auto"/>
            </w:tcBorders>
            <w:vAlign w:val="center"/>
          </w:tcPr>
          <w:p>
            <w:pPr>
              <w:spacing w:line="280" w:lineRule="exact"/>
              <w:ind w:firstLine="0" w:firstLineChars="0"/>
              <w:jc w:val="center"/>
              <w:rPr>
                <w:rFonts w:eastAsiaTheme="minorEastAsia"/>
              </w:rPr>
            </w:pPr>
            <w:r>
              <w:rPr>
                <w:rFonts w:eastAsiaTheme="minorEastAsia" w:hint="eastAsia"/>
              </w:rPr>
              <w:t>30</w:t>
            </w:r>
          </w:p>
        </w:tc>
        <w:tc>
          <w:tcPr>
            <w:tcW w:w="1528" w:type="dxa"/>
            <w:tcBorders>
              <w:bottom w:val="single" w:sz="4" w:space="0" w:color="auto"/>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无</w:t>
            </w:r>
          </w:p>
        </w:tc>
        <w:tc>
          <w:tcPr>
            <w:tcW w:w="988" w:type="dxa"/>
            <w:tcBorders>
              <w:bottom w:val="single" w:sz="4" w:space="0" w:color="auto"/>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11"/>
        </w:trPr>
        <w:tc>
          <w:tcPr>
            <w:tcW w:w="2453" w:type="dxa"/>
            <w:vMerge w:val="restart"/>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公路、道路（路边）</w:t>
            </w:r>
          </w:p>
        </w:tc>
        <w:tc>
          <w:tcPr>
            <w:tcW w:w="2748" w:type="dxa"/>
            <w:gridSpan w:val="2"/>
            <w:vAlign w:val="center"/>
          </w:tcPr>
          <w:p>
            <w:pPr>
              <w:spacing w:line="280" w:lineRule="exact"/>
              <w:ind w:firstLine="0" w:firstLineChars="0"/>
              <w:jc w:val="center"/>
              <w:rPr>
                <w:rFonts w:eastAsiaTheme="minorEastAsia"/>
              </w:rPr>
            </w:pPr>
            <w:r>
              <w:rPr>
                <w:rFonts w:eastAsiaTheme="minorEastAsia" w:hAnsiTheme="minorEastAsia"/>
              </w:rPr>
              <w:t>高速、</w:t>
            </w:r>
            <w:r>
              <w:rPr>
                <w:rFonts w:eastAsiaTheme="minorEastAsia"/>
              </w:rPr>
              <w:fldChar w:fldCharType="begin"/>
            </w:r>
            <w:r>
              <w:rPr>
                <w:rFonts w:eastAsiaTheme="minorEastAsia"/>
              </w:rPr>
              <w:instrText xml:space="preserve"> = 1 \* ROMAN </w:instrText>
            </w:r>
            <w:r>
              <w:rPr>
                <w:rFonts w:eastAsiaTheme="minorEastAsia"/>
              </w:rPr>
              <w:fldChar w:fldCharType="separate"/>
            </w:r>
            <w:r>
              <w:rPr>
                <w:rFonts w:eastAsiaTheme="minorEastAsia"/>
              </w:rPr>
              <w:t>I</w:t>
            </w:r>
            <w:r>
              <w:rPr>
                <w:rFonts w:eastAsiaTheme="minorEastAsia"/>
              </w:rPr>
              <w:fldChar w:fldCharType="end"/>
            </w:r>
            <w:r>
              <w:rPr>
                <w:rFonts w:eastAsiaTheme="minorEastAsia" w:hAnsiTheme="minorEastAsia"/>
              </w:rPr>
              <w:t>、</w:t>
            </w:r>
            <w:r>
              <w:rPr>
                <w:rFonts w:eastAsiaTheme="minorEastAsia"/>
              </w:rPr>
              <w:fldChar w:fldCharType="begin"/>
            </w:r>
            <w:r>
              <w:rPr>
                <w:rFonts w:eastAsiaTheme="minorEastAsia"/>
              </w:rPr>
              <w:instrText xml:space="preserve"> = 2 \* ROMAN </w:instrText>
            </w:r>
            <w:r>
              <w:rPr>
                <w:rFonts w:eastAsiaTheme="minorEastAsia"/>
              </w:rPr>
              <w:fldChar w:fldCharType="separate"/>
            </w:r>
            <w:r>
              <w:rPr>
                <w:rFonts w:eastAsiaTheme="minorEastAsia"/>
              </w:rPr>
              <w:t>II</w:t>
            </w:r>
            <w:r>
              <w:rPr>
                <w:rFonts w:eastAsiaTheme="minorEastAsia"/>
              </w:rPr>
              <w:fldChar w:fldCharType="end"/>
            </w:r>
            <w:r>
              <w:rPr>
                <w:rFonts w:eastAsiaTheme="minorEastAsia" w:hAnsiTheme="minorEastAsia"/>
              </w:rPr>
              <w:t>级公路、城市快速</w:t>
            </w:r>
          </w:p>
        </w:tc>
        <w:tc>
          <w:tcPr>
            <w:tcW w:w="1798" w:type="dxa"/>
            <w:vAlign w:val="center"/>
          </w:tcPr>
          <w:p>
            <w:pPr>
              <w:spacing w:line="280" w:lineRule="exact"/>
              <w:ind w:firstLine="0" w:firstLineChars="0"/>
              <w:jc w:val="center"/>
              <w:rPr>
                <w:rFonts w:eastAsiaTheme="minorEastAsia"/>
              </w:rPr>
            </w:pPr>
            <w:r>
              <w:rPr>
                <w:rFonts w:eastAsiaTheme="minorEastAsia"/>
              </w:rPr>
              <w:t>25</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无</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11"/>
        </w:trPr>
        <w:tc>
          <w:tcPr>
            <w:tcW w:w="2453" w:type="dxa"/>
            <w:vMerge/>
            <w:tcBorders>
              <w:left w:val="single" w:sz="4" w:space="0" w:color="auto"/>
            </w:tcBorders>
            <w:vAlign w:val="center"/>
          </w:tcPr>
          <w:p>
            <w:pPr>
              <w:spacing w:line="280" w:lineRule="exact"/>
              <w:ind w:firstLine="0" w:firstLineChars="0"/>
              <w:jc w:val="center"/>
              <w:rPr>
                <w:rFonts w:eastAsiaTheme="minorEastAsia"/>
              </w:rPr>
            </w:pPr>
          </w:p>
        </w:tc>
        <w:tc>
          <w:tcPr>
            <w:tcW w:w="2748" w:type="dxa"/>
            <w:gridSpan w:val="2"/>
            <w:vAlign w:val="center"/>
          </w:tcPr>
          <w:p>
            <w:pPr>
              <w:spacing w:line="280" w:lineRule="exact"/>
              <w:ind w:firstLine="0" w:firstLineChars="0"/>
              <w:jc w:val="center"/>
              <w:rPr>
                <w:rFonts w:eastAsiaTheme="minorEastAsia"/>
              </w:rPr>
            </w:pPr>
            <w:r>
              <w:rPr>
                <w:rFonts w:eastAsiaTheme="minorEastAsia" w:hAnsiTheme="minorEastAsia"/>
              </w:rPr>
              <w:t>其他</w:t>
            </w:r>
          </w:p>
        </w:tc>
        <w:tc>
          <w:tcPr>
            <w:tcW w:w="1798" w:type="dxa"/>
            <w:vAlign w:val="center"/>
          </w:tcPr>
          <w:p>
            <w:pPr>
              <w:spacing w:line="280" w:lineRule="exact"/>
              <w:ind w:firstLine="0" w:firstLineChars="0"/>
              <w:jc w:val="center"/>
              <w:rPr>
                <w:rFonts w:eastAsiaTheme="minorEastAsia"/>
              </w:rPr>
            </w:pPr>
            <w:r>
              <w:rPr>
                <w:rFonts w:eastAsiaTheme="minorEastAsia"/>
              </w:rPr>
              <w:t>20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int="eastAsia"/>
              </w:rPr>
              <w:t>45</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11"/>
        </w:trPr>
        <w:tc>
          <w:tcPr>
            <w:tcW w:w="5201" w:type="dxa"/>
            <w:gridSpan w:val="3"/>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架空电力线（中心线）</w:t>
            </w:r>
          </w:p>
        </w:tc>
        <w:tc>
          <w:tcPr>
            <w:tcW w:w="1798" w:type="dxa"/>
            <w:vAlign w:val="center"/>
          </w:tcPr>
          <w:p>
            <w:pPr>
              <w:spacing w:line="280" w:lineRule="exact"/>
              <w:ind w:firstLine="0" w:firstLineChars="0"/>
              <w:jc w:val="center"/>
              <w:rPr>
                <w:rFonts w:eastAsiaTheme="minorEastAsia"/>
              </w:rPr>
            </w:pPr>
            <w:r>
              <w:rPr>
                <w:rFonts w:eastAsiaTheme="minorEastAsia"/>
              </w:rPr>
              <w:t>1.5</w:t>
            </w:r>
            <w:r>
              <w:rPr>
                <w:rFonts w:eastAsiaTheme="minorEastAsia" w:hAnsiTheme="minorEastAsia"/>
              </w:rPr>
              <w:t>倍杆高</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无</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11"/>
        </w:trPr>
        <w:tc>
          <w:tcPr>
            <w:tcW w:w="2453" w:type="dxa"/>
            <w:vMerge w:val="restart"/>
            <w:tcBorders>
              <w:lef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架空通信线（中心线）</w:t>
            </w:r>
          </w:p>
        </w:tc>
        <w:tc>
          <w:tcPr>
            <w:tcW w:w="2748" w:type="dxa"/>
            <w:gridSpan w:val="2"/>
            <w:vAlign w:val="center"/>
          </w:tcPr>
          <w:p>
            <w:pPr>
              <w:spacing w:line="280" w:lineRule="exact"/>
              <w:ind w:firstLine="0" w:firstLineChars="0"/>
              <w:jc w:val="center"/>
              <w:rPr>
                <w:rFonts w:eastAsiaTheme="minorEastAsia"/>
              </w:rPr>
            </w:pPr>
            <w:r>
              <w:rPr>
                <w:rFonts w:eastAsiaTheme="minorEastAsia"/>
              </w:rPr>
              <w:t>Ⅰ</w:t>
            </w:r>
            <w:r>
              <w:rPr>
                <w:rFonts w:eastAsiaTheme="minorEastAsia" w:hAnsiTheme="minorEastAsia"/>
              </w:rPr>
              <w:t>、</w:t>
            </w:r>
            <w:r>
              <w:rPr>
                <w:rFonts w:eastAsiaTheme="minorEastAsia"/>
              </w:rPr>
              <w:t>Ⅱ</w:t>
            </w:r>
            <w:r>
              <w:rPr>
                <w:rFonts w:eastAsiaTheme="minorEastAsia" w:hAnsiTheme="minorEastAsia"/>
              </w:rPr>
              <w:t>级</w:t>
            </w:r>
          </w:p>
        </w:tc>
        <w:tc>
          <w:tcPr>
            <w:tcW w:w="1798" w:type="dxa"/>
            <w:vAlign w:val="center"/>
          </w:tcPr>
          <w:p>
            <w:pPr>
              <w:spacing w:line="280" w:lineRule="exact"/>
              <w:ind w:firstLine="0" w:firstLineChars="0"/>
              <w:jc w:val="center"/>
              <w:rPr>
                <w:rFonts w:eastAsiaTheme="minorEastAsia"/>
              </w:rPr>
            </w:pPr>
            <w:r>
              <w:rPr>
                <w:rFonts w:eastAsiaTheme="minorEastAsia" w:hint="eastAsia"/>
              </w:rPr>
              <w:t>30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无</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64"/>
        </w:trPr>
        <w:tc>
          <w:tcPr>
            <w:tcW w:w="2453" w:type="dxa"/>
            <w:vMerge/>
            <w:tcBorders>
              <w:left w:val="single" w:sz="4" w:space="0" w:color="auto"/>
            </w:tcBorders>
            <w:vAlign w:val="center"/>
          </w:tcPr>
          <w:p>
            <w:pPr>
              <w:spacing w:line="280" w:lineRule="exact"/>
              <w:ind w:firstLine="0" w:firstLineChars="0"/>
              <w:jc w:val="center"/>
              <w:rPr>
                <w:rFonts w:eastAsiaTheme="minorEastAsia"/>
              </w:rPr>
            </w:pPr>
          </w:p>
        </w:tc>
        <w:tc>
          <w:tcPr>
            <w:tcW w:w="2748" w:type="dxa"/>
            <w:gridSpan w:val="2"/>
            <w:vAlign w:val="center"/>
          </w:tcPr>
          <w:p>
            <w:pPr>
              <w:spacing w:line="280" w:lineRule="exact"/>
              <w:ind w:firstLine="0" w:firstLineChars="0"/>
              <w:jc w:val="center"/>
              <w:rPr>
                <w:rFonts w:eastAsiaTheme="minorEastAsia"/>
              </w:rPr>
            </w:pPr>
            <w:r>
              <w:rPr>
                <w:rFonts w:eastAsiaTheme="minorEastAsia" w:hAnsiTheme="minorEastAsia"/>
              </w:rPr>
              <w:t>其他</w:t>
            </w:r>
          </w:p>
        </w:tc>
        <w:tc>
          <w:tcPr>
            <w:tcW w:w="1798" w:type="dxa"/>
            <w:vAlign w:val="center"/>
          </w:tcPr>
          <w:p>
            <w:pPr>
              <w:spacing w:line="280" w:lineRule="exact"/>
              <w:ind w:firstLine="0" w:firstLineChars="0"/>
              <w:jc w:val="center"/>
              <w:rPr>
                <w:rFonts w:eastAsiaTheme="minorEastAsia"/>
              </w:rPr>
            </w:pPr>
            <w:r>
              <w:rPr>
                <w:rFonts w:eastAsiaTheme="minorEastAsia"/>
              </w:rPr>
              <w:t>1.5</w:t>
            </w:r>
            <w:r>
              <w:rPr>
                <w:rFonts w:eastAsiaTheme="minorEastAsia" w:hAnsiTheme="minorEastAsia"/>
              </w:rPr>
              <w:t>倍杆高</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无</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bl>
    <w:p>
      <w:pPr>
        <w:adjustRightInd w:val="0"/>
        <w:snapToGrid w:val="0"/>
        <w:spacing w:before="156" w:beforeLines="50"/>
        <w:ind w:firstLine="480"/>
        <w:rPr>
          <w:sz w:val="24"/>
          <w:szCs w:val="24"/>
        </w:rPr>
      </w:pPr>
      <w:r>
        <w:rPr>
          <w:rFonts w:hint="eastAsia"/>
          <w:sz w:val="24"/>
          <w:szCs w:val="24"/>
        </w:rPr>
        <w:t>项目储罐与站内建筑的防火间距见表1-5。</w:t>
      </w:r>
    </w:p>
    <w:p>
      <w:pPr>
        <w:pStyle w:val="a1"/>
        <w:spacing w:line="240" w:lineRule="auto"/>
        <w:ind w:firstLine="0" w:firstLineChars="0"/>
        <w:jc w:val="center"/>
        <w:rPr>
          <w:rFonts w:eastAsia="黑体"/>
          <w:sz w:val="21"/>
          <w:szCs w:val="21"/>
        </w:rPr>
      </w:pPr>
      <w:r>
        <w:rPr>
          <w:rFonts w:eastAsia="黑体"/>
          <w:sz w:val="21"/>
          <w:szCs w:val="21"/>
        </w:rPr>
        <w:t>表</w:t>
      </w:r>
      <w:r>
        <w:rPr>
          <w:rFonts w:eastAsia="黑体" w:hint="eastAsia"/>
          <w:sz w:val="21"/>
          <w:szCs w:val="21"/>
        </w:rPr>
        <w:t>1-5  全压力式储罐与站内建筑的防火间距</w:t>
      </w:r>
      <w:r>
        <w:rPr>
          <w:rFonts w:eastAsia="黑体"/>
          <w:sz w:val="21"/>
          <w:szCs w:val="21"/>
        </w:rPr>
        <w:t>（m）</w:t>
      </w:r>
    </w:p>
    <w:tbl>
      <w:tblPr>
        <w:tblStyle w:val="TableNormal"/>
        <w:tblW w:w="95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600"/>
        <w:gridCol w:w="2601"/>
        <w:gridCol w:w="1798"/>
        <w:gridCol w:w="1528"/>
        <w:gridCol w:w="988"/>
      </w:tblGrid>
      <w:tr>
        <w:tblPrEx>
          <w:tblW w:w="95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16"/>
        </w:trPr>
        <w:tc>
          <w:tcPr>
            <w:tcW w:w="5201" w:type="dxa"/>
            <w:gridSpan w:val="2"/>
            <w:tcBorders>
              <w:left w:val="single" w:sz="4" w:space="0" w:color="auto"/>
              <w:tl2br w:val="single" w:sz="4" w:space="0" w:color="auto"/>
            </w:tcBorders>
            <w:vAlign w:val="center"/>
          </w:tcPr>
          <w:p>
            <w:pPr>
              <w:spacing w:line="280" w:lineRule="exact"/>
              <w:ind w:firstLine="0" w:firstLineChars="0"/>
              <w:jc w:val="center"/>
              <w:rPr>
                <w:rFonts w:eastAsiaTheme="minorEastAsia"/>
                <w:b/>
              </w:rPr>
            </w:pPr>
            <w:r>
              <w:rPr>
                <w:rFonts w:eastAsiaTheme="minorEastAsia" w:hAnsiTheme="minorEastAsia"/>
                <w:b/>
              </w:rPr>
              <w:t>级别</w:t>
            </w:r>
          </w:p>
          <w:p>
            <w:pPr>
              <w:spacing w:line="280" w:lineRule="exact"/>
              <w:ind w:firstLine="0" w:firstLineChars="0"/>
              <w:jc w:val="center"/>
              <w:rPr>
                <w:rFonts w:eastAsiaTheme="minorEastAsia"/>
                <w:b/>
              </w:rPr>
            </w:pPr>
            <w:r>
              <w:rPr>
                <w:rFonts w:eastAsiaTheme="minorEastAsia" w:hAnsiTheme="minorEastAsia"/>
                <w:b/>
              </w:rPr>
              <w:t>项目</w:t>
            </w:r>
          </w:p>
        </w:tc>
        <w:tc>
          <w:tcPr>
            <w:tcW w:w="1798" w:type="dxa"/>
            <w:vAlign w:val="center"/>
          </w:tcPr>
          <w:p>
            <w:pPr>
              <w:spacing w:line="280" w:lineRule="exact"/>
              <w:ind w:firstLine="0" w:firstLineChars="0"/>
              <w:jc w:val="center"/>
              <w:rPr>
                <w:rFonts w:eastAsiaTheme="minorEastAsia"/>
                <w:b/>
              </w:rPr>
            </w:pPr>
            <w:r>
              <w:rPr>
                <w:rFonts w:eastAsiaTheme="minorEastAsia" w:hAnsiTheme="minorEastAsia"/>
                <w:b/>
              </w:rPr>
              <w:t>规范要求（</w:t>
            </w:r>
            <w:r>
              <w:rPr>
                <w:rFonts w:eastAsiaTheme="minorEastAsia"/>
                <w:b/>
              </w:rPr>
              <w:t>m</w:t>
            </w:r>
            <w:r>
              <w:rPr>
                <w:rFonts w:eastAsiaTheme="minorEastAsia" w:hAnsiTheme="minorEastAsia"/>
                <w:b/>
              </w:rPr>
              <w:t>）</w:t>
            </w:r>
          </w:p>
        </w:tc>
        <w:tc>
          <w:tcPr>
            <w:tcW w:w="1528" w:type="dxa"/>
            <w:tcBorders>
              <w:right w:val="single" w:sz="4" w:space="0" w:color="auto"/>
            </w:tcBorders>
            <w:vAlign w:val="center"/>
          </w:tcPr>
          <w:p>
            <w:pPr>
              <w:spacing w:line="280" w:lineRule="exact"/>
              <w:ind w:firstLine="0" w:firstLineChars="0"/>
              <w:jc w:val="center"/>
              <w:rPr>
                <w:rFonts w:eastAsiaTheme="minorEastAsia"/>
                <w:b/>
              </w:rPr>
            </w:pPr>
            <w:r>
              <w:rPr>
                <w:rFonts w:eastAsiaTheme="minorEastAsia" w:hAnsiTheme="minorEastAsia"/>
                <w:b/>
              </w:rPr>
              <w:t>实际距离（</w:t>
            </w:r>
            <w:r>
              <w:rPr>
                <w:rFonts w:eastAsiaTheme="minorEastAsia"/>
                <w:b/>
              </w:rPr>
              <w:t>m</w:t>
            </w:r>
            <w:r>
              <w:rPr>
                <w:rFonts w:eastAsiaTheme="minorEastAsia" w:hAnsiTheme="minorEastAsia"/>
                <w:b/>
              </w:rPr>
              <w:t>）</w:t>
            </w:r>
          </w:p>
        </w:tc>
        <w:tc>
          <w:tcPr>
            <w:tcW w:w="988" w:type="dxa"/>
            <w:tcBorders>
              <w:right w:val="single" w:sz="4" w:space="0" w:color="auto"/>
            </w:tcBorders>
            <w:vAlign w:val="center"/>
          </w:tcPr>
          <w:p>
            <w:pPr>
              <w:spacing w:line="280" w:lineRule="exact"/>
              <w:ind w:firstLine="0" w:firstLineChars="0"/>
              <w:jc w:val="center"/>
              <w:rPr>
                <w:rFonts w:eastAsiaTheme="minorEastAsia"/>
                <w:b/>
              </w:rPr>
            </w:pPr>
            <w:r>
              <w:rPr>
                <w:rFonts w:eastAsiaTheme="minorEastAsia" w:hAnsiTheme="minorEastAsia"/>
                <w:b/>
              </w:rPr>
              <w:t>结论</w:t>
            </w:r>
          </w:p>
        </w:tc>
      </w:tr>
      <w:tr>
        <w:tblPrEx>
          <w:tblW w:w="9515" w:type="dxa"/>
          <w:tblInd w:w="0" w:type="dxa"/>
          <w:tblLayout w:type="fixed"/>
          <w:tblCellMar>
            <w:top w:w="0" w:type="dxa"/>
            <w:left w:w="108" w:type="dxa"/>
            <w:bottom w:w="0" w:type="dxa"/>
            <w:right w:w="108" w:type="dxa"/>
          </w:tblCellMar>
        </w:tblPrEx>
        <w:trPr>
          <w:cantSplit/>
          <w:trHeight w:val="457"/>
        </w:trPr>
        <w:tc>
          <w:tcPr>
            <w:tcW w:w="5201" w:type="dxa"/>
            <w:gridSpan w:val="2"/>
            <w:tcBorders>
              <w:left w:val="single" w:sz="4" w:space="0" w:color="auto"/>
            </w:tcBorders>
            <w:vAlign w:val="center"/>
          </w:tcPr>
          <w:p>
            <w:pPr>
              <w:spacing w:line="280" w:lineRule="exact"/>
              <w:ind w:firstLine="0" w:firstLineChars="0"/>
              <w:jc w:val="center"/>
              <w:rPr>
                <w:rFonts w:eastAsiaTheme="minorEastAsia"/>
              </w:rPr>
            </w:pPr>
            <w:r>
              <w:rPr>
                <w:rFonts w:eastAsiaTheme="minorEastAsia"/>
              </w:rPr>
              <w:t>明火</w:t>
            </w:r>
            <w:r>
              <w:rPr>
                <w:rFonts w:eastAsiaTheme="minorEastAsia" w:hint="eastAsia"/>
              </w:rPr>
              <w:t>、</w:t>
            </w:r>
            <w:r>
              <w:rPr>
                <w:rFonts w:eastAsiaTheme="minorEastAsia"/>
              </w:rPr>
              <w:t>散发火花地点</w:t>
            </w:r>
          </w:p>
        </w:tc>
        <w:tc>
          <w:tcPr>
            <w:tcW w:w="1798" w:type="dxa"/>
            <w:vAlign w:val="center"/>
          </w:tcPr>
          <w:p>
            <w:pPr>
              <w:spacing w:line="280" w:lineRule="exact"/>
              <w:ind w:firstLine="0" w:firstLineChars="0"/>
              <w:jc w:val="center"/>
              <w:rPr>
                <w:rFonts w:eastAsiaTheme="minorEastAsia"/>
              </w:rPr>
            </w:pPr>
            <w:r>
              <w:rPr>
                <w:rFonts w:eastAsiaTheme="minorEastAsia" w:hint="eastAsia"/>
              </w:rPr>
              <w:t>50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rPr>
              <w:t>5</w:t>
            </w:r>
            <w:r>
              <w:rPr>
                <w:rFonts w:eastAsiaTheme="minorEastAsia" w:hint="eastAsia"/>
              </w:rPr>
              <w:t>0</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11"/>
        </w:trPr>
        <w:tc>
          <w:tcPr>
            <w:tcW w:w="5201" w:type="dxa"/>
            <w:gridSpan w:val="2"/>
            <w:tcBorders>
              <w:left w:val="single" w:sz="4" w:space="0" w:color="auto"/>
            </w:tcBorders>
            <w:vAlign w:val="center"/>
          </w:tcPr>
          <w:p>
            <w:pPr>
              <w:spacing w:line="280" w:lineRule="exact"/>
              <w:ind w:firstLine="0" w:firstLineChars="0"/>
              <w:jc w:val="center"/>
              <w:rPr>
                <w:rFonts w:eastAsiaTheme="minorEastAsia"/>
              </w:rPr>
            </w:pPr>
            <w:r>
              <w:rPr>
                <w:rFonts w:eastAsiaTheme="minorEastAsia"/>
              </w:rPr>
              <w:t>天然气储罐</w:t>
            </w:r>
          </w:p>
        </w:tc>
        <w:tc>
          <w:tcPr>
            <w:tcW w:w="1798" w:type="dxa"/>
            <w:tcBorders>
              <w:bottom w:val="single" w:sz="4" w:space="0" w:color="auto"/>
            </w:tcBorders>
            <w:vAlign w:val="center"/>
          </w:tcPr>
          <w:p>
            <w:pPr>
              <w:spacing w:line="280" w:lineRule="exact"/>
              <w:ind w:firstLine="0" w:firstLineChars="0"/>
              <w:jc w:val="center"/>
              <w:rPr>
                <w:rFonts w:eastAsiaTheme="minorEastAsia"/>
              </w:rPr>
            </w:pPr>
            <w:r>
              <w:rPr>
                <w:rFonts w:eastAsiaTheme="minorEastAsia" w:hint="eastAsia"/>
              </w:rPr>
              <w:t>20</w:t>
            </w:r>
          </w:p>
        </w:tc>
        <w:tc>
          <w:tcPr>
            <w:tcW w:w="1528" w:type="dxa"/>
            <w:tcBorders>
              <w:bottom w:val="single" w:sz="4" w:space="0" w:color="auto"/>
              <w:right w:val="single" w:sz="4" w:space="0" w:color="auto"/>
            </w:tcBorders>
            <w:vAlign w:val="center"/>
          </w:tcPr>
          <w:p>
            <w:pPr>
              <w:spacing w:line="280" w:lineRule="exact"/>
              <w:ind w:firstLine="0" w:firstLineChars="0"/>
              <w:jc w:val="center"/>
              <w:rPr>
                <w:rFonts w:eastAsiaTheme="minorEastAsia"/>
              </w:rPr>
            </w:pPr>
            <w:r>
              <w:rPr>
                <w:rFonts w:eastAsiaTheme="minorEastAsia" w:hint="eastAsia"/>
              </w:rPr>
              <w:t>无</w:t>
            </w:r>
          </w:p>
        </w:tc>
        <w:tc>
          <w:tcPr>
            <w:tcW w:w="988" w:type="dxa"/>
            <w:tcBorders>
              <w:bottom w:val="single" w:sz="4" w:space="0" w:color="auto"/>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21"/>
        </w:trPr>
        <w:tc>
          <w:tcPr>
            <w:tcW w:w="5201" w:type="dxa"/>
            <w:gridSpan w:val="2"/>
            <w:tcBorders>
              <w:left w:val="single" w:sz="4" w:space="0" w:color="auto"/>
            </w:tcBorders>
            <w:vAlign w:val="center"/>
          </w:tcPr>
          <w:p>
            <w:pPr>
              <w:spacing w:line="280" w:lineRule="exact"/>
              <w:ind w:firstLine="0" w:firstLineChars="0"/>
              <w:jc w:val="center"/>
              <w:rPr>
                <w:rFonts w:eastAsiaTheme="minorEastAsia"/>
              </w:rPr>
            </w:pPr>
            <w:r>
              <w:rPr>
                <w:rFonts w:eastAsiaTheme="minorEastAsia"/>
              </w:rPr>
              <w:t>办公用房</w:t>
            </w:r>
          </w:p>
        </w:tc>
        <w:tc>
          <w:tcPr>
            <w:tcW w:w="1798" w:type="dxa"/>
            <w:vAlign w:val="center"/>
          </w:tcPr>
          <w:p>
            <w:pPr>
              <w:spacing w:line="280" w:lineRule="exact"/>
              <w:ind w:firstLine="0" w:firstLineChars="0"/>
              <w:jc w:val="center"/>
              <w:rPr>
                <w:rFonts w:eastAsiaTheme="minorEastAsia"/>
              </w:rPr>
            </w:pPr>
            <w:r>
              <w:rPr>
                <w:rFonts w:eastAsiaTheme="minorEastAsia" w:hint="eastAsia"/>
              </w:rPr>
              <w:t>30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rPr>
              <w:t>48</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21"/>
        </w:trPr>
        <w:tc>
          <w:tcPr>
            <w:tcW w:w="5201" w:type="dxa"/>
            <w:gridSpan w:val="2"/>
            <w:tcBorders>
              <w:left w:val="single" w:sz="4" w:space="0" w:color="auto"/>
            </w:tcBorders>
            <w:vAlign w:val="center"/>
          </w:tcPr>
          <w:p>
            <w:pPr>
              <w:spacing w:line="280" w:lineRule="exact"/>
              <w:ind w:firstLine="0" w:firstLineChars="0"/>
              <w:jc w:val="center"/>
              <w:rPr>
                <w:rFonts w:eastAsiaTheme="minorEastAsia"/>
              </w:rPr>
            </w:pPr>
            <w:r>
              <w:rPr>
                <w:rFonts w:eastAsiaTheme="minorEastAsia"/>
              </w:rPr>
              <w:t>汽车库</w:t>
            </w:r>
            <w:r>
              <w:rPr>
                <w:rFonts w:eastAsiaTheme="minorEastAsia" w:hint="eastAsia"/>
              </w:rPr>
              <w:t>、</w:t>
            </w:r>
            <w:r>
              <w:rPr>
                <w:rFonts w:eastAsiaTheme="minorEastAsia"/>
              </w:rPr>
              <w:t>机修间</w:t>
            </w:r>
          </w:p>
        </w:tc>
        <w:tc>
          <w:tcPr>
            <w:tcW w:w="1798" w:type="dxa"/>
            <w:vAlign w:val="center"/>
          </w:tcPr>
          <w:p>
            <w:pPr>
              <w:spacing w:line="280" w:lineRule="exact"/>
              <w:ind w:firstLine="0" w:firstLineChars="0"/>
              <w:jc w:val="center"/>
              <w:rPr>
                <w:rFonts w:eastAsiaTheme="minorEastAsia"/>
              </w:rPr>
            </w:pPr>
            <w:r>
              <w:rPr>
                <w:rFonts w:eastAsiaTheme="minorEastAsia" w:hint="eastAsia"/>
              </w:rPr>
              <w:t>30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rPr>
              <w:t>36</w:t>
            </w:r>
          </w:p>
        </w:tc>
        <w:tc>
          <w:tcPr>
            <w:tcW w:w="98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21"/>
        </w:trPr>
        <w:tc>
          <w:tcPr>
            <w:tcW w:w="5201" w:type="dxa"/>
            <w:gridSpan w:val="2"/>
            <w:tcBorders>
              <w:left w:val="single" w:sz="4" w:space="0" w:color="auto"/>
            </w:tcBorders>
            <w:vAlign w:val="center"/>
          </w:tcPr>
          <w:p>
            <w:pPr>
              <w:spacing w:line="280" w:lineRule="exact"/>
              <w:ind w:firstLine="0" w:firstLineChars="0"/>
              <w:jc w:val="center"/>
              <w:rPr>
                <w:rFonts w:eastAsiaTheme="minorEastAsia"/>
              </w:rPr>
            </w:pPr>
            <w:r>
              <w:rPr>
                <w:rFonts w:eastAsiaTheme="minorEastAsia"/>
              </w:rPr>
              <w:t>罐瓶间</w:t>
            </w:r>
            <w:r>
              <w:rPr>
                <w:rFonts w:eastAsiaTheme="minorEastAsia" w:hint="eastAsia"/>
              </w:rPr>
              <w:t>、</w:t>
            </w:r>
            <w:r>
              <w:rPr>
                <w:rFonts w:eastAsiaTheme="minorEastAsia"/>
              </w:rPr>
              <w:t>瓶库</w:t>
            </w:r>
            <w:r>
              <w:rPr>
                <w:rFonts w:eastAsiaTheme="minorEastAsia" w:hint="eastAsia"/>
              </w:rPr>
              <w:t>、</w:t>
            </w:r>
            <w:r>
              <w:rPr>
                <w:rFonts w:eastAsiaTheme="minorEastAsia"/>
              </w:rPr>
              <w:t>压缩机室</w:t>
            </w:r>
            <w:r>
              <w:rPr>
                <w:rFonts w:eastAsiaTheme="minorEastAsia" w:hint="eastAsia"/>
              </w:rPr>
              <w:t>、</w:t>
            </w:r>
            <w:r>
              <w:rPr>
                <w:rFonts w:eastAsiaTheme="minorEastAsia"/>
              </w:rPr>
              <w:t>仪表间</w:t>
            </w:r>
            <w:r>
              <w:rPr>
                <w:rFonts w:eastAsiaTheme="minorEastAsia" w:hint="eastAsia"/>
              </w:rPr>
              <w:t>、值班室</w:t>
            </w:r>
          </w:p>
        </w:tc>
        <w:tc>
          <w:tcPr>
            <w:tcW w:w="1798" w:type="dxa"/>
            <w:vAlign w:val="center"/>
          </w:tcPr>
          <w:p>
            <w:pPr>
              <w:spacing w:line="280" w:lineRule="exact"/>
              <w:ind w:firstLine="0" w:firstLineChars="0"/>
              <w:jc w:val="center"/>
              <w:rPr>
                <w:rFonts w:eastAsiaTheme="minorEastAsia"/>
              </w:rPr>
            </w:pPr>
            <w:r>
              <w:rPr>
                <w:rFonts w:eastAsiaTheme="minorEastAsia" w:hint="eastAsia"/>
              </w:rPr>
              <w:t>20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int="eastAsia"/>
              </w:rPr>
              <w:t>28</w:t>
            </w:r>
          </w:p>
        </w:tc>
        <w:tc>
          <w:tcPr>
            <w:tcW w:w="988" w:type="dxa"/>
            <w:tcBorders>
              <w:right w:val="single" w:sz="4" w:space="0" w:color="auto"/>
            </w:tcBorders>
            <w:vAlign w:val="center"/>
          </w:tcPr>
          <w:p>
            <w:pPr>
              <w:spacing w:line="280" w:lineRule="exact"/>
              <w:ind w:firstLine="0" w:firstLineChars="0"/>
              <w:jc w:val="center"/>
              <w:rPr>
                <w:rFonts w:eastAsiaTheme="minorEastAsia" w:hAnsi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21"/>
        </w:trPr>
        <w:tc>
          <w:tcPr>
            <w:tcW w:w="5201" w:type="dxa"/>
            <w:gridSpan w:val="2"/>
            <w:tcBorders>
              <w:left w:val="single" w:sz="4" w:space="0" w:color="auto"/>
            </w:tcBorders>
            <w:vAlign w:val="center"/>
          </w:tcPr>
          <w:p>
            <w:pPr>
              <w:spacing w:line="280" w:lineRule="exact"/>
              <w:ind w:firstLine="0" w:firstLineChars="0"/>
              <w:jc w:val="center"/>
              <w:rPr>
                <w:rFonts w:eastAsiaTheme="minorEastAsia"/>
              </w:rPr>
            </w:pPr>
            <w:r>
              <w:rPr>
                <w:rFonts w:eastAsiaTheme="minorEastAsia"/>
              </w:rPr>
              <w:t>汽车槽车库</w:t>
            </w:r>
            <w:r>
              <w:rPr>
                <w:rFonts w:eastAsiaTheme="minorEastAsia" w:hint="eastAsia"/>
              </w:rPr>
              <w:t>、</w:t>
            </w:r>
            <w:r>
              <w:rPr>
                <w:rFonts w:eastAsiaTheme="minorEastAsia"/>
              </w:rPr>
              <w:t>汽车槽车装卸台柱</w:t>
            </w:r>
            <w:r>
              <w:rPr>
                <w:rFonts w:eastAsiaTheme="minorEastAsia" w:hint="eastAsia"/>
              </w:rPr>
              <w:t>（装卸口）、汽车衡及其计量室、门卫</w:t>
            </w:r>
          </w:p>
        </w:tc>
        <w:tc>
          <w:tcPr>
            <w:tcW w:w="1798" w:type="dxa"/>
            <w:vAlign w:val="center"/>
          </w:tcPr>
          <w:p>
            <w:pPr>
              <w:spacing w:line="280" w:lineRule="exact"/>
              <w:ind w:firstLine="0" w:firstLineChars="0"/>
              <w:jc w:val="center"/>
              <w:rPr>
                <w:rFonts w:eastAsiaTheme="minorEastAsia"/>
              </w:rPr>
            </w:pPr>
            <w:r>
              <w:rPr>
                <w:rFonts w:eastAsiaTheme="minorEastAsia" w:hint="eastAsia"/>
              </w:rPr>
              <w:t>20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int="eastAsia"/>
              </w:rPr>
              <w:t>20</w:t>
            </w:r>
          </w:p>
        </w:tc>
        <w:tc>
          <w:tcPr>
            <w:tcW w:w="988" w:type="dxa"/>
            <w:tcBorders>
              <w:right w:val="single" w:sz="4" w:space="0" w:color="auto"/>
            </w:tcBorders>
            <w:vAlign w:val="center"/>
          </w:tcPr>
          <w:p>
            <w:pPr>
              <w:spacing w:line="280" w:lineRule="exact"/>
              <w:ind w:firstLine="0" w:firstLineChars="0"/>
              <w:jc w:val="center"/>
              <w:rPr>
                <w:rFonts w:eastAsiaTheme="minorEastAsia" w:hAnsi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21"/>
        </w:trPr>
        <w:tc>
          <w:tcPr>
            <w:tcW w:w="5201" w:type="dxa"/>
            <w:gridSpan w:val="2"/>
            <w:tcBorders>
              <w:left w:val="single" w:sz="4" w:space="0" w:color="auto"/>
            </w:tcBorders>
            <w:vAlign w:val="center"/>
          </w:tcPr>
          <w:p>
            <w:pPr>
              <w:spacing w:line="280" w:lineRule="exact"/>
              <w:ind w:firstLine="0" w:firstLineChars="0"/>
              <w:jc w:val="center"/>
              <w:rPr>
                <w:rFonts w:eastAsiaTheme="minorEastAsia"/>
              </w:rPr>
            </w:pPr>
            <w:r>
              <w:rPr>
                <w:rFonts w:eastAsiaTheme="minorEastAsia"/>
              </w:rPr>
              <w:t>铁路槽车装卸线</w:t>
            </w:r>
            <w:r>
              <w:rPr>
                <w:rFonts w:eastAsiaTheme="minorEastAsia" w:hint="eastAsia"/>
              </w:rPr>
              <w:t>（中心线）</w:t>
            </w:r>
          </w:p>
        </w:tc>
        <w:tc>
          <w:tcPr>
            <w:tcW w:w="1798" w:type="dxa"/>
            <w:vAlign w:val="center"/>
          </w:tcPr>
          <w:p>
            <w:pPr>
              <w:spacing w:line="280" w:lineRule="exact"/>
              <w:ind w:firstLine="0" w:firstLineChars="0"/>
              <w:jc w:val="center"/>
              <w:rPr>
                <w:rFonts w:eastAsiaTheme="minorEastAsia"/>
              </w:rPr>
            </w:pPr>
            <w:r>
              <w:rPr>
                <w:rFonts w:eastAsiaTheme="minorEastAsia" w:hint="eastAsia"/>
              </w:rPr>
              <w:t>/</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int="eastAsia"/>
              </w:rPr>
              <w:t>/</w:t>
            </w:r>
          </w:p>
        </w:tc>
        <w:tc>
          <w:tcPr>
            <w:tcW w:w="988" w:type="dxa"/>
            <w:tcBorders>
              <w:right w:val="single" w:sz="4" w:space="0" w:color="auto"/>
            </w:tcBorders>
            <w:vAlign w:val="center"/>
          </w:tcPr>
          <w:p>
            <w:pPr>
              <w:spacing w:line="280" w:lineRule="exact"/>
              <w:ind w:firstLine="0" w:firstLineChars="0"/>
              <w:jc w:val="center"/>
              <w:rPr>
                <w:rFonts w:eastAsiaTheme="minorEastAsia" w:hAnsiTheme="minorEastAsia"/>
              </w:rPr>
            </w:pPr>
            <w:r>
              <w:rPr>
                <w:rFonts w:eastAsiaTheme="minorEastAsia" w:hAnsiTheme="minorEastAsia" w:hint="eastAsia"/>
              </w:rPr>
              <w:t>/</w:t>
            </w:r>
          </w:p>
        </w:tc>
      </w:tr>
      <w:tr>
        <w:tblPrEx>
          <w:tblW w:w="9515" w:type="dxa"/>
          <w:tblInd w:w="0" w:type="dxa"/>
          <w:tblLayout w:type="fixed"/>
          <w:tblCellMar>
            <w:top w:w="0" w:type="dxa"/>
            <w:left w:w="108" w:type="dxa"/>
            <w:bottom w:w="0" w:type="dxa"/>
            <w:right w:w="108" w:type="dxa"/>
          </w:tblCellMar>
        </w:tblPrEx>
        <w:trPr>
          <w:cantSplit/>
          <w:trHeight w:val="421"/>
        </w:trPr>
        <w:tc>
          <w:tcPr>
            <w:tcW w:w="5201" w:type="dxa"/>
            <w:gridSpan w:val="2"/>
            <w:tcBorders>
              <w:left w:val="single" w:sz="4" w:space="0" w:color="auto"/>
            </w:tcBorders>
            <w:vAlign w:val="center"/>
          </w:tcPr>
          <w:p>
            <w:pPr>
              <w:spacing w:line="280" w:lineRule="exact"/>
              <w:ind w:firstLine="0" w:firstLineChars="0"/>
              <w:jc w:val="center"/>
              <w:rPr>
                <w:rFonts w:eastAsiaTheme="minorEastAsia"/>
              </w:rPr>
            </w:pPr>
            <w:r>
              <w:rPr>
                <w:rFonts w:eastAsiaTheme="minorEastAsia"/>
              </w:rPr>
              <w:t>空压机室</w:t>
            </w:r>
            <w:r>
              <w:rPr>
                <w:rFonts w:eastAsiaTheme="minorEastAsia" w:hint="eastAsia"/>
              </w:rPr>
              <w:t>、</w:t>
            </w:r>
            <w:r>
              <w:rPr>
                <w:rFonts w:eastAsiaTheme="minorEastAsia"/>
              </w:rPr>
              <w:t>变配电室</w:t>
            </w:r>
            <w:r>
              <w:rPr>
                <w:rFonts w:eastAsiaTheme="minorEastAsia" w:hint="eastAsia"/>
              </w:rPr>
              <w:t>、</w:t>
            </w:r>
            <w:r>
              <w:rPr>
                <w:rFonts w:eastAsiaTheme="minorEastAsia"/>
              </w:rPr>
              <w:t>柴油发电机房</w:t>
            </w:r>
            <w:r>
              <w:rPr>
                <w:rFonts w:eastAsiaTheme="minorEastAsia" w:hint="eastAsia"/>
              </w:rPr>
              <w:t>、</w:t>
            </w:r>
            <w:r>
              <w:rPr>
                <w:rFonts w:eastAsiaTheme="minorEastAsia"/>
              </w:rPr>
              <w:t>备件库</w:t>
            </w:r>
          </w:p>
        </w:tc>
        <w:tc>
          <w:tcPr>
            <w:tcW w:w="1798" w:type="dxa"/>
            <w:vAlign w:val="center"/>
          </w:tcPr>
          <w:p>
            <w:pPr>
              <w:spacing w:line="280" w:lineRule="exact"/>
              <w:ind w:firstLine="0" w:firstLineChars="0"/>
              <w:jc w:val="center"/>
              <w:rPr>
                <w:rFonts w:eastAsiaTheme="minorEastAsia"/>
              </w:rPr>
            </w:pPr>
            <w:r>
              <w:rPr>
                <w:rFonts w:eastAsiaTheme="minorEastAsia" w:hint="eastAsia"/>
              </w:rPr>
              <w:t>20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rPr>
              <w:t>42</w:t>
            </w:r>
          </w:p>
        </w:tc>
        <w:tc>
          <w:tcPr>
            <w:tcW w:w="988" w:type="dxa"/>
            <w:tcBorders>
              <w:right w:val="single" w:sz="4" w:space="0" w:color="auto"/>
            </w:tcBorders>
            <w:vAlign w:val="center"/>
          </w:tcPr>
          <w:p>
            <w:pPr>
              <w:spacing w:line="280" w:lineRule="exact"/>
              <w:ind w:firstLine="0" w:firstLineChars="0"/>
              <w:jc w:val="center"/>
              <w:rPr>
                <w:rFonts w:eastAsiaTheme="minorEastAsia" w:hAnsi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21"/>
        </w:trPr>
        <w:tc>
          <w:tcPr>
            <w:tcW w:w="5201" w:type="dxa"/>
            <w:gridSpan w:val="2"/>
            <w:tcBorders>
              <w:left w:val="single" w:sz="4" w:space="0" w:color="auto"/>
            </w:tcBorders>
            <w:vAlign w:val="center"/>
          </w:tcPr>
          <w:p>
            <w:pPr>
              <w:spacing w:line="280" w:lineRule="exact"/>
              <w:ind w:firstLine="0" w:firstLineChars="0"/>
              <w:jc w:val="center"/>
              <w:rPr>
                <w:rFonts w:eastAsiaTheme="minorEastAsia"/>
              </w:rPr>
            </w:pPr>
            <w:r>
              <w:rPr>
                <w:rFonts w:eastAsiaTheme="minorEastAsia"/>
              </w:rPr>
              <w:t>消防泵房</w:t>
            </w:r>
            <w:r>
              <w:rPr>
                <w:rFonts w:eastAsiaTheme="minorEastAsia" w:hint="eastAsia"/>
              </w:rPr>
              <w:t>、</w:t>
            </w:r>
            <w:r>
              <w:rPr>
                <w:rFonts w:eastAsiaTheme="minorEastAsia"/>
              </w:rPr>
              <w:t>消防水池</w:t>
            </w:r>
            <w:r>
              <w:rPr>
                <w:rFonts w:eastAsiaTheme="minorEastAsia" w:hint="eastAsia"/>
              </w:rPr>
              <w:t>（罐）取水口</w:t>
            </w:r>
          </w:p>
        </w:tc>
        <w:tc>
          <w:tcPr>
            <w:tcW w:w="1798" w:type="dxa"/>
            <w:vAlign w:val="center"/>
          </w:tcPr>
          <w:p>
            <w:pPr>
              <w:spacing w:line="280" w:lineRule="exact"/>
              <w:ind w:firstLine="0" w:firstLineChars="0"/>
              <w:jc w:val="center"/>
              <w:rPr>
                <w:rFonts w:eastAsiaTheme="minorEastAsia"/>
              </w:rPr>
            </w:pPr>
            <w:r>
              <w:rPr>
                <w:rFonts w:eastAsiaTheme="minorEastAsia" w:hint="eastAsia"/>
              </w:rPr>
              <w:t>40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int="eastAsia"/>
              </w:rPr>
              <w:t>40</w:t>
            </w:r>
          </w:p>
        </w:tc>
        <w:tc>
          <w:tcPr>
            <w:tcW w:w="988" w:type="dxa"/>
            <w:tcBorders>
              <w:right w:val="single" w:sz="4" w:space="0" w:color="auto"/>
            </w:tcBorders>
            <w:vAlign w:val="center"/>
          </w:tcPr>
          <w:p>
            <w:pPr>
              <w:spacing w:line="280" w:lineRule="exact"/>
              <w:ind w:firstLine="0" w:firstLineChars="0"/>
              <w:jc w:val="center"/>
              <w:rPr>
                <w:rFonts w:eastAsiaTheme="minorEastAsia" w:hAnsi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21"/>
        </w:trPr>
        <w:tc>
          <w:tcPr>
            <w:tcW w:w="2600" w:type="dxa"/>
            <w:vMerge w:val="restart"/>
            <w:tcBorders>
              <w:left w:val="single" w:sz="4" w:space="0" w:color="auto"/>
            </w:tcBorders>
            <w:vAlign w:val="center"/>
          </w:tcPr>
          <w:p>
            <w:pPr>
              <w:spacing w:line="280" w:lineRule="exact"/>
              <w:ind w:firstLine="0" w:firstLineChars="0"/>
              <w:jc w:val="center"/>
              <w:rPr>
                <w:rFonts w:eastAsiaTheme="minorEastAsia"/>
              </w:rPr>
            </w:pPr>
            <w:r>
              <w:rPr>
                <w:rFonts w:eastAsiaTheme="minorEastAsia"/>
              </w:rPr>
              <w:t>站内道路</w:t>
            </w:r>
            <w:r>
              <w:rPr>
                <w:rFonts w:eastAsiaTheme="minorEastAsia" w:hint="eastAsia"/>
              </w:rPr>
              <w:t>（路边）</w:t>
            </w:r>
          </w:p>
        </w:tc>
        <w:tc>
          <w:tcPr>
            <w:tcW w:w="2601" w:type="dxa"/>
            <w:tcBorders>
              <w:left w:val="single" w:sz="4" w:space="0" w:color="auto"/>
            </w:tcBorders>
            <w:vAlign w:val="center"/>
          </w:tcPr>
          <w:p>
            <w:pPr>
              <w:spacing w:line="280" w:lineRule="exact"/>
              <w:ind w:firstLine="0" w:firstLineChars="0"/>
              <w:jc w:val="center"/>
              <w:rPr>
                <w:rFonts w:eastAsiaTheme="minorEastAsia"/>
              </w:rPr>
            </w:pPr>
            <w:r>
              <w:rPr>
                <w:rFonts w:eastAsiaTheme="minorEastAsia"/>
              </w:rPr>
              <w:t>主要</w:t>
            </w:r>
          </w:p>
        </w:tc>
        <w:tc>
          <w:tcPr>
            <w:tcW w:w="1798" w:type="dxa"/>
            <w:vAlign w:val="center"/>
          </w:tcPr>
          <w:p>
            <w:pPr>
              <w:spacing w:line="280" w:lineRule="exact"/>
              <w:ind w:firstLine="0" w:firstLineChars="0"/>
              <w:jc w:val="center"/>
              <w:rPr>
                <w:rFonts w:eastAsiaTheme="minorEastAsia"/>
              </w:rPr>
            </w:pPr>
            <w:r>
              <w:rPr>
                <w:rFonts w:eastAsiaTheme="minorEastAsia" w:hint="eastAsia"/>
              </w:rPr>
              <w:t>15</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rPr>
              <w:t>28</w:t>
            </w:r>
          </w:p>
        </w:tc>
        <w:tc>
          <w:tcPr>
            <w:tcW w:w="988" w:type="dxa"/>
            <w:tcBorders>
              <w:right w:val="single" w:sz="4" w:space="0" w:color="auto"/>
            </w:tcBorders>
            <w:vAlign w:val="center"/>
          </w:tcPr>
          <w:p>
            <w:pPr>
              <w:spacing w:line="280" w:lineRule="exact"/>
              <w:ind w:firstLine="0" w:firstLineChars="0"/>
              <w:jc w:val="center"/>
              <w:rPr>
                <w:rFonts w:eastAsiaTheme="minorEastAsia" w:hAnsi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21"/>
        </w:trPr>
        <w:tc>
          <w:tcPr>
            <w:tcW w:w="2600" w:type="dxa"/>
            <w:vMerge/>
            <w:tcBorders>
              <w:left w:val="single" w:sz="4" w:space="0" w:color="auto"/>
            </w:tcBorders>
            <w:vAlign w:val="center"/>
          </w:tcPr>
          <w:p>
            <w:pPr>
              <w:spacing w:line="280" w:lineRule="exact"/>
              <w:ind w:firstLine="0" w:firstLineChars="0"/>
              <w:jc w:val="center"/>
              <w:rPr>
                <w:rFonts w:eastAsiaTheme="minorEastAsia"/>
              </w:rPr>
            </w:pPr>
          </w:p>
        </w:tc>
        <w:tc>
          <w:tcPr>
            <w:tcW w:w="2601" w:type="dxa"/>
            <w:tcBorders>
              <w:left w:val="single" w:sz="4" w:space="0" w:color="auto"/>
            </w:tcBorders>
            <w:vAlign w:val="center"/>
          </w:tcPr>
          <w:p>
            <w:pPr>
              <w:spacing w:line="280" w:lineRule="exact"/>
              <w:ind w:firstLine="0" w:firstLineChars="0"/>
              <w:jc w:val="center"/>
              <w:rPr>
                <w:rFonts w:eastAsiaTheme="minorEastAsia"/>
              </w:rPr>
            </w:pPr>
            <w:r>
              <w:rPr>
                <w:rFonts w:eastAsiaTheme="minorEastAsia"/>
              </w:rPr>
              <w:t>次要</w:t>
            </w:r>
          </w:p>
        </w:tc>
        <w:tc>
          <w:tcPr>
            <w:tcW w:w="1798" w:type="dxa"/>
            <w:vAlign w:val="center"/>
          </w:tcPr>
          <w:p>
            <w:pPr>
              <w:spacing w:line="280" w:lineRule="exact"/>
              <w:ind w:firstLine="0" w:firstLineChars="0"/>
              <w:jc w:val="center"/>
              <w:rPr>
                <w:rFonts w:eastAsiaTheme="minorEastAsia"/>
              </w:rPr>
            </w:pPr>
            <w:r>
              <w:rPr>
                <w:rFonts w:eastAsiaTheme="minorEastAsia" w:hint="eastAsia"/>
              </w:rPr>
              <w:t>10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int="eastAsia"/>
              </w:rPr>
              <w:t>30</w:t>
            </w:r>
          </w:p>
        </w:tc>
        <w:tc>
          <w:tcPr>
            <w:tcW w:w="988" w:type="dxa"/>
            <w:tcBorders>
              <w:right w:val="single" w:sz="4" w:space="0" w:color="auto"/>
            </w:tcBorders>
            <w:vAlign w:val="center"/>
          </w:tcPr>
          <w:p>
            <w:pPr>
              <w:spacing w:line="280" w:lineRule="exact"/>
              <w:ind w:firstLine="0" w:firstLineChars="0"/>
              <w:jc w:val="center"/>
              <w:rPr>
                <w:rFonts w:eastAsiaTheme="minorEastAsia" w:hAnsiTheme="minorEastAsia"/>
              </w:rPr>
            </w:pPr>
            <w:r>
              <w:rPr>
                <w:rFonts w:eastAsiaTheme="minorEastAsia" w:hAnsiTheme="minorEastAsia"/>
              </w:rPr>
              <w:t>合格</w:t>
            </w:r>
          </w:p>
        </w:tc>
      </w:tr>
      <w:tr>
        <w:tblPrEx>
          <w:tblW w:w="9515" w:type="dxa"/>
          <w:tblInd w:w="0" w:type="dxa"/>
          <w:tblLayout w:type="fixed"/>
          <w:tblCellMar>
            <w:top w:w="0" w:type="dxa"/>
            <w:left w:w="108" w:type="dxa"/>
            <w:bottom w:w="0" w:type="dxa"/>
            <w:right w:w="108" w:type="dxa"/>
          </w:tblCellMar>
        </w:tblPrEx>
        <w:trPr>
          <w:cantSplit/>
          <w:trHeight w:val="421"/>
        </w:trPr>
        <w:tc>
          <w:tcPr>
            <w:tcW w:w="5201" w:type="dxa"/>
            <w:gridSpan w:val="2"/>
            <w:tcBorders>
              <w:left w:val="single" w:sz="4" w:space="0" w:color="auto"/>
            </w:tcBorders>
            <w:vAlign w:val="center"/>
          </w:tcPr>
          <w:p>
            <w:pPr>
              <w:spacing w:line="280" w:lineRule="exact"/>
              <w:ind w:firstLine="0" w:firstLineChars="0"/>
              <w:jc w:val="center"/>
              <w:rPr>
                <w:rFonts w:eastAsiaTheme="minorEastAsia"/>
              </w:rPr>
            </w:pPr>
            <w:r>
              <w:rPr>
                <w:rFonts w:eastAsiaTheme="minorEastAsia"/>
              </w:rPr>
              <w:t>围墙</w:t>
            </w:r>
          </w:p>
        </w:tc>
        <w:tc>
          <w:tcPr>
            <w:tcW w:w="1798" w:type="dxa"/>
            <w:vAlign w:val="center"/>
          </w:tcPr>
          <w:p>
            <w:pPr>
              <w:spacing w:line="280" w:lineRule="exact"/>
              <w:ind w:firstLine="0" w:firstLineChars="0"/>
              <w:jc w:val="center"/>
              <w:rPr>
                <w:rFonts w:eastAsiaTheme="minorEastAsia"/>
              </w:rPr>
            </w:pPr>
            <w:r>
              <w:rPr>
                <w:rFonts w:eastAsiaTheme="minorEastAsia" w:hint="eastAsia"/>
              </w:rPr>
              <w:t>20</w:t>
            </w:r>
          </w:p>
        </w:tc>
        <w:tc>
          <w:tcPr>
            <w:tcW w:w="1528" w:type="dxa"/>
            <w:tcBorders>
              <w:right w:val="single" w:sz="4" w:space="0" w:color="auto"/>
            </w:tcBorders>
            <w:vAlign w:val="center"/>
          </w:tcPr>
          <w:p>
            <w:pPr>
              <w:spacing w:line="280" w:lineRule="exact"/>
              <w:ind w:firstLine="0" w:firstLineChars="0"/>
              <w:jc w:val="center"/>
              <w:rPr>
                <w:rFonts w:eastAsiaTheme="minorEastAsia"/>
              </w:rPr>
            </w:pPr>
            <w:r>
              <w:rPr>
                <w:rFonts w:eastAsiaTheme="minorEastAsia" w:hint="eastAsia"/>
              </w:rPr>
              <w:t>20</w:t>
            </w:r>
          </w:p>
        </w:tc>
        <w:tc>
          <w:tcPr>
            <w:tcW w:w="988" w:type="dxa"/>
            <w:tcBorders>
              <w:right w:val="single" w:sz="4" w:space="0" w:color="auto"/>
            </w:tcBorders>
            <w:vAlign w:val="center"/>
          </w:tcPr>
          <w:p>
            <w:pPr>
              <w:spacing w:line="280" w:lineRule="exact"/>
              <w:ind w:firstLine="0" w:firstLineChars="0"/>
              <w:jc w:val="center"/>
              <w:rPr>
                <w:rFonts w:eastAsiaTheme="minorEastAsia" w:hAnsiTheme="minorEastAsia"/>
              </w:rPr>
            </w:pPr>
            <w:r>
              <w:rPr>
                <w:rFonts w:eastAsiaTheme="minorEastAsia" w:hAnsiTheme="minorEastAsia"/>
              </w:rPr>
              <w:t>合格</w:t>
            </w:r>
          </w:p>
        </w:tc>
      </w:tr>
    </w:tbl>
    <w:p>
      <w:pPr>
        <w:adjustRightInd w:val="0"/>
        <w:snapToGrid w:val="0"/>
        <w:spacing w:before="156" w:beforeLines="50"/>
        <w:ind w:firstLine="480"/>
        <w:rPr>
          <w:sz w:val="24"/>
          <w:szCs w:val="24"/>
        </w:rPr>
        <w:sectPr>
          <w:headerReference w:type="even" r:id="rId110"/>
          <w:headerReference w:type="default" r:id="rId111"/>
          <w:footerReference w:type="even" r:id="rId112"/>
          <w:footerReference w:type="default" r:id="rId113"/>
          <w:headerReference w:type="first" r:id="rId114"/>
          <w:footerReference w:type="first" r:id="rId115"/>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9"/>
          <w:cols w:num="1" w:space="720"/>
          <w:titlePg w:val="0"/>
          <w:docGrid w:type="linesAndChars" w:linePitch="312" w:charSpace="0"/>
        </w:sectPr>
      </w:pPr>
    </w:p>
    <w:p>
      <w:pPr>
        <w:sectPr>
          <w:headerReference w:type="even" r:id="rId116"/>
          <w:headerReference w:type="default" r:id="rId117"/>
          <w:footerReference w:type="even" r:id="rId118"/>
          <w:footerReference w:type="default" r:id="rId119"/>
          <w:headerReference w:type="first" r:id="rId120"/>
          <w:footerReference w:type="first" r:id="rId121"/>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adjustRightInd w:val="0"/>
        <w:snapToGrid w:val="0"/>
        <w:spacing w:before="156" w:beforeLines="50"/>
        <w:ind w:firstLine="480"/>
        <w:rPr>
          <w:sz w:val="24"/>
          <w:szCs w:val="24"/>
        </w:rPr>
      </w:pPr>
      <w:r>
        <w:rPr>
          <w:rFonts w:hint="eastAsia"/>
          <w:sz w:val="24"/>
          <w:szCs w:val="24"/>
        </w:rPr>
        <w:t>根据上述分析，本项目的平面布置及外环境关系均满足《城镇燃气设计规范》（DB50028-2006）、《液化石油气供应工程设计规范》（GB51142-2015）和《石油天然气工程设计防火规范》（GB50183-2004）相关要求。项目运营期水污染物主要为生活污水和食堂废水，食堂废水经隔油装置处理后与生活污水一同经化粪池处理后定期由周边农户清掏用于其农地施肥，对周边环境影响较小；大气污染物主要为卸车、灌装过程中排放的非甲烷总烃，食堂油烟等；食堂油烟经油烟净化器处理后高于屋顶排放；槽车卸气、灌装时的非甲烷总烃产生量较小且为无组织排放，对周边环境影响较小；噪声主要为压缩机等设备运行产生的噪声及交通噪声，经采取合理布局、房间隔声、减振等措施后可实现厂界达标排放，不会改变当地声环境质量类别；固废可实现妥善、有效的处置，不会对环境造成二次污染，因此本项目产生的“三废”和噪声对周围外环境的影响较小。</w:t>
      </w:r>
    </w:p>
    <w:p>
      <w:pPr>
        <w:pStyle w:val="a1"/>
        <w:ind w:firstLine="482"/>
        <w:rPr>
          <w:b/>
          <w:szCs w:val="24"/>
        </w:rPr>
      </w:pPr>
      <w:r>
        <w:rPr>
          <w:rFonts w:hint="eastAsia"/>
          <w:b/>
          <w:szCs w:val="24"/>
        </w:rPr>
        <w:t>综上所述，评价认为项目选址与平面布置基本合理。</w:t>
      </w:r>
    </w:p>
    <w:p>
      <w:pPr>
        <w:pStyle w:val="a1"/>
        <w:ind w:firstLine="560"/>
        <w:outlineLvl w:val="0"/>
        <w:rPr>
          <w:rFonts w:eastAsia="黑体"/>
          <w:sz w:val="28"/>
        </w:rPr>
      </w:pPr>
      <w:r>
        <w:rPr>
          <w:rFonts w:eastAsia="黑体" w:hint="eastAsia"/>
          <w:sz w:val="28"/>
        </w:rPr>
        <w:t>五</w:t>
      </w:r>
      <w:r>
        <w:rPr>
          <w:rFonts w:eastAsia="黑体"/>
          <w:sz w:val="28"/>
        </w:rPr>
        <w:t>、</w:t>
      </w:r>
      <w:r>
        <w:rPr>
          <w:rFonts w:eastAsia="黑体" w:hint="eastAsia"/>
          <w:sz w:val="28"/>
        </w:rPr>
        <w:t>建设项目概况</w:t>
      </w:r>
      <w:bookmarkStart w:id="1" w:name="_Toc417565743"/>
      <w:bookmarkStart w:id="2" w:name="_Toc417566280"/>
      <w:bookmarkStart w:id="3" w:name="_Toc198220706"/>
      <w:bookmarkStart w:id="4" w:name="_Toc414115990"/>
      <w:bookmarkStart w:id="5" w:name="_Toc420055897"/>
    </w:p>
    <w:p>
      <w:pPr>
        <w:pStyle w:val="a1"/>
        <w:ind w:firstLine="480"/>
        <w:outlineLvl w:val="1"/>
        <w:rPr>
          <w:rFonts w:eastAsia="黑体"/>
        </w:rPr>
      </w:pPr>
      <w:r>
        <w:rPr>
          <w:rFonts w:eastAsia="黑体"/>
        </w:rPr>
        <w:t>1</w:t>
      </w:r>
      <w:r>
        <w:rPr>
          <w:rFonts w:eastAsia="黑体" w:hint="eastAsia"/>
        </w:rPr>
        <w:t>、</w:t>
      </w:r>
      <w:r>
        <w:rPr>
          <w:rFonts w:eastAsia="黑体"/>
        </w:rPr>
        <w:t>项目名称、性质及地点</w:t>
      </w:r>
      <w:bookmarkEnd w:id="1"/>
      <w:bookmarkEnd w:id="2"/>
      <w:bookmarkEnd w:id="3"/>
      <w:bookmarkEnd w:id="4"/>
      <w:bookmarkEnd w:id="5"/>
    </w:p>
    <w:p>
      <w:pPr>
        <w:adjustRightInd w:val="0"/>
        <w:snapToGrid w:val="0"/>
        <w:ind w:firstLine="480"/>
        <w:rPr>
          <w:sz w:val="24"/>
        </w:rPr>
      </w:pPr>
      <w:r>
        <w:rPr>
          <w:sz w:val="24"/>
        </w:rPr>
        <w:t>项目名称：</w:t>
      </w:r>
      <w:r>
        <w:rPr>
          <w:rFonts w:hint="eastAsia"/>
          <w:kern w:val="0"/>
          <w:sz w:val="24"/>
          <w:szCs w:val="24"/>
        </w:rPr>
        <w:t>中国石化销售有限公司海南文昌文教供气站改建项目</w:t>
      </w:r>
    </w:p>
    <w:p>
      <w:pPr>
        <w:adjustRightInd w:val="0"/>
        <w:snapToGrid w:val="0"/>
        <w:ind w:firstLine="480"/>
        <w:rPr>
          <w:sz w:val="24"/>
        </w:rPr>
      </w:pPr>
      <w:r>
        <w:rPr>
          <w:sz w:val="24"/>
        </w:rPr>
        <w:t>建设性质：改扩建</w:t>
      </w:r>
    </w:p>
    <w:p>
      <w:pPr>
        <w:adjustRightInd w:val="0"/>
        <w:snapToGrid w:val="0"/>
        <w:ind w:firstLine="480"/>
        <w:rPr>
          <w:sz w:val="24"/>
        </w:rPr>
      </w:pPr>
      <w:r>
        <w:rPr>
          <w:sz w:val="24"/>
        </w:rPr>
        <w:t>建设地点：</w:t>
      </w:r>
      <w:r>
        <w:rPr>
          <w:rFonts w:hint="eastAsia"/>
          <w:sz w:val="24"/>
        </w:rPr>
        <w:t>海南省文昌市文教镇宝藏解放坡</w:t>
      </w:r>
    </w:p>
    <w:p>
      <w:pPr>
        <w:adjustRightInd w:val="0"/>
        <w:snapToGrid w:val="0"/>
        <w:ind w:firstLine="480"/>
        <w:rPr>
          <w:sz w:val="24"/>
        </w:rPr>
      </w:pPr>
      <w:r>
        <w:rPr>
          <w:rFonts w:hint="eastAsia"/>
          <w:sz w:val="24"/>
        </w:rPr>
        <w:t>建设单位：中国石化销售股份有限公司海南文昌文教供气站</w:t>
      </w:r>
    </w:p>
    <w:p>
      <w:pPr>
        <w:adjustRightInd w:val="0"/>
        <w:snapToGrid w:val="0"/>
        <w:ind w:firstLine="480"/>
        <w:rPr>
          <w:sz w:val="24"/>
        </w:rPr>
      </w:pPr>
      <w:r>
        <w:rPr>
          <w:sz w:val="24"/>
        </w:rPr>
        <w:t>总投资：8.2500万</w:t>
      </w:r>
    </w:p>
    <w:p>
      <w:pPr>
        <w:pStyle w:val="a1"/>
        <w:ind w:firstLine="480"/>
        <w:outlineLvl w:val="1"/>
        <w:rPr>
          <w:rFonts w:eastAsia="黑体"/>
        </w:rPr>
      </w:pPr>
      <w:bookmarkStart w:id="6" w:name="_Toc198220710"/>
      <w:bookmarkStart w:id="7" w:name="_Toc417566281"/>
      <w:bookmarkStart w:id="8" w:name="_Toc420055898"/>
      <w:bookmarkStart w:id="9" w:name="_Toc417565744"/>
      <w:bookmarkStart w:id="10" w:name="_Toc414115991"/>
      <w:r>
        <w:rPr>
          <w:rFonts w:eastAsia="黑体" w:hint="eastAsia"/>
        </w:rPr>
        <w:t>2、建设内容及规模</w:t>
      </w:r>
    </w:p>
    <w:p>
      <w:pPr>
        <w:adjustRightInd w:val="0"/>
        <w:snapToGrid w:val="0"/>
        <w:ind w:firstLine="480"/>
        <w:rPr>
          <w:sz w:val="24"/>
          <w:szCs w:val="24"/>
        </w:rPr>
      </w:pPr>
      <w:r>
        <w:rPr>
          <w:rFonts w:hint="eastAsia"/>
          <w:sz w:val="24"/>
          <w:szCs w:val="24"/>
        </w:rPr>
        <w:t>项目总投资</w:t>
      </w:r>
      <w:r>
        <w:rPr>
          <w:sz w:val="24"/>
          <w:szCs w:val="24"/>
        </w:rPr>
        <w:t>8.2500万</w:t>
      </w:r>
      <w:r>
        <w:rPr>
          <w:rFonts w:hint="eastAsia"/>
          <w:sz w:val="24"/>
          <w:szCs w:val="24"/>
        </w:rPr>
        <w:t>元，总用地面积3</w:t>
      </w:r>
      <w:r>
        <w:rPr>
          <w:sz w:val="24"/>
          <w:szCs w:val="24"/>
        </w:rPr>
        <w:t>890.4m</w:t>
      </w:r>
      <w:r>
        <w:rPr>
          <w:sz w:val="24"/>
          <w:szCs w:val="24"/>
          <w:vertAlign w:val="superscript"/>
        </w:rPr>
        <w:t>2</w:t>
      </w:r>
      <w:r>
        <w:rPr>
          <w:rFonts w:hint="eastAsia"/>
          <w:sz w:val="24"/>
          <w:szCs w:val="24"/>
        </w:rPr>
        <w:t>，总建筑面积为</w:t>
      </w:r>
      <w:r>
        <w:rPr>
          <w:sz w:val="24"/>
          <w:szCs w:val="24"/>
        </w:rPr>
        <w:t>626.78m</w:t>
      </w:r>
      <w:r>
        <w:rPr>
          <w:sz w:val="24"/>
          <w:szCs w:val="24"/>
          <w:vertAlign w:val="superscript"/>
        </w:rPr>
        <w:t>2</w:t>
      </w:r>
      <w:r>
        <w:rPr>
          <w:rFonts w:hint="eastAsia"/>
          <w:sz w:val="24"/>
          <w:szCs w:val="24"/>
        </w:rPr>
        <w:t>，</w:t>
      </w:r>
      <w:r>
        <w:rPr>
          <w:sz w:val="24"/>
          <w:szCs w:val="24"/>
        </w:rPr>
        <w:t>总建筑占地面积591.68m</w:t>
      </w:r>
      <w:r>
        <w:rPr>
          <w:sz w:val="24"/>
          <w:szCs w:val="24"/>
          <w:vertAlign w:val="superscript"/>
        </w:rPr>
        <w:t>2</w:t>
      </w:r>
      <w:r>
        <w:rPr>
          <w:rFonts w:hint="eastAsia"/>
          <w:sz w:val="24"/>
          <w:szCs w:val="24"/>
        </w:rPr>
        <w:t>，主要建设内容为对原有的2个</w:t>
      </w:r>
      <w:r>
        <w:rPr>
          <w:sz w:val="24"/>
          <w:szCs w:val="24"/>
        </w:rPr>
        <w:t>10.</w:t>
      </w:r>
      <w:r>
        <w:rPr>
          <w:rFonts w:hint="eastAsia"/>
          <w:sz w:val="24"/>
          <w:szCs w:val="24"/>
        </w:rPr>
        <w:t>5m</w:t>
      </w:r>
      <w:r>
        <w:rPr>
          <w:rFonts w:hint="eastAsia"/>
          <w:sz w:val="24"/>
          <w:szCs w:val="24"/>
          <w:vertAlign w:val="superscript"/>
        </w:rPr>
        <w:t>3</w:t>
      </w:r>
      <w:r>
        <w:rPr>
          <w:rFonts w:hint="eastAsia"/>
          <w:sz w:val="24"/>
          <w:szCs w:val="24"/>
        </w:rPr>
        <w:t>液化石油气储罐改扩建为2个50m</w:t>
      </w:r>
      <w:r>
        <w:rPr>
          <w:rFonts w:hint="eastAsia"/>
          <w:sz w:val="24"/>
          <w:szCs w:val="24"/>
          <w:vertAlign w:val="superscript"/>
        </w:rPr>
        <w:t>3</w:t>
      </w:r>
      <w:r>
        <w:rPr>
          <w:rFonts w:hint="eastAsia"/>
          <w:sz w:val="24"/>
          <w:szCs w:val="24"/>
        </w:rPr>
        <w:t>液化石油气储罐，同时储罐由原有的地面式改为地埋式，其余设施均未发生改变，未新增其它构筑物建设。建成后，项目年充装供应液化石油气量从1200t/a提高至2000t/a。项目综合经济技术指标见表1-6。</w:t>
      </w:r>
    </w:p>
    <w:p>
      <w:pPr>
        <w:widowControl/>
        <w:spacing w:line="240" w:lineRule="auto"/>
        <w:ind w:firstLine="0" w:firstLineChars="0"/>
        <w:jc w:val="center"/>
        <w:rPr>
          <w:rFonts w:eastAsia="黑体"/>
        </w:rPr>
      </w:pPr>
      <w:r>
        <w:rPr>
          <w:rFonts w:eastAsia="黑体"/>
        </w:rPr>
        <w:t>表1-</w:t>
      </w:r>
      <w:r>
        <w:rPr>
          <w:rFonts w:eastAsia="黑体" w:hint="eastAsia"/>
        </w:rPr>
        <w:t xml:space="preserve">6  </w:t>
      </w:r>
      <w:r>
        <w:rPr>
          <w:rFonts w:eastAsia="黑体"/>
        </w:rPr>
        <w:t>综合经济技术指标</w:t>
      </w:r>
    </w:p>
    <w:tbl>
      <w:tblPr>
        <w:tblStyle w:val="TableNormal"/>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28"/>
        <w:gridCol w:w="609"/>
        <w:gridCol w:w="4000"/>
        <w:gridCol w:w="1275"/>
        <w:gridCol w:w="1418"/>
        <w:gridCol w:w="1185"/>
      </w:tblGrid>
      <w:tr>
        <w:tblPrEx>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7"/>
          <w:jc w:val="center"/>
        </w:trPr>
        <w:tc>
          <w:tcPr>
            <w:tcW w:w="1028" w:type="dxa"/>
            <w:vAlign w:val="center"/>
          </w:tcPr>
          <w:p>
            <w:pPr>
              <w:spacing w:line="280" w:lineRule="exact"/>
              <w:ind w:firstLine="0" w:firstLineChars="0"/>
              <w:jc w:val="center"/>
              <w:rPr>
                <w:b/>
                <w:bCs/>
              </w:rPr>
            </w:pPr>
            <w:r>
              <w:rPr>
                <w:rFonts w:hAnsi="宋体"/>
                <w:b/>
                <w:bCs/>
              </w:rPr>
              <w:t>序号</w:t>
            </w:r>
          </w:p>
        </w:tc>
        <w:tc>
          <w:tcPr>
            <w:tcW w:w="4609" w:type="dxa"/>
            <w:gridSpan w:val="2"/>
            <w:vAlign w:val="center"/>
          </w:tcPr>
          <w:p>
            <w:pPr>
              <w:spacing w:line="280" w:lineRule="exact"/>
              <w:ind w:firstLine="0" w:firstLineChars="0"/>
              <w:jc w:val="center"/>
              <w:rPr>
                <w:b/>
                <w:bCs/>
              </w:rPr>
            </w:pPr>
            <w:r>
              <w:rPr>
                <w:rFonts w:hAnsi="宋体"/>
                <w:b/>
                <w:bCs/>
              </w:rPr>
              <w:t>项目</w:t>
            </w:r>
          </w:p>
        </w:tc>
        <w:tc>
          <w:tcPr>
            <w:tcW w:w="1275" w:type="dxa"/>
            <w:vAlign w:val="center"/>
          </w:tcPr>
          <w:p>
            <w:pPr>
              <w:spacing w:line="280" w:lineRule="exact"/>
              <w:ind w:firstLine="0" w:firstLineChars="0"/>
              <w:jc w:val="center"/>
              <w:rPr>
                <w:b/>
                <w:bCs/>
              </w:rPr>
            </w:pPr>
            <w:r>
              <w:rPr>
                <w:rFonts w:hAnsi="宋体"/>
                <w:b/>
                <w:bCs/>
              </w:rPr>
              <w:t>单位</w:t>
            </w:r>
          </w:p>
        </w:tc>
        <w:tc>
          <w:tcPr>
            <w:tcW w:w="1418" w:type="dxa"/>
            <w:vAlign w:val="center"/>
          </w:tcPr>
          <w:p>
            <w:pPr>
              <w:spacing w:line="280" w:lineRule="exact"/>
              <w:ind w:firstLine="0" w:firstLineChars="0"/>
              <w:jc w:val="center"/>
              <w:rPr>
                <w:b/>
                <w:bCs/>
              </w:rPr>
            </w:pPr>
            <w:r>
              <w:rPr>
                <w:rFonts w:hAnsi="宋体"/>
                <w:b/>
                <w:bCs/>
              </w:rPr>
              <w:t>数量</w:t>
            </w:r>
          </w:p>
        </w:tc>
        <w:tc>
          <w:tcPr>
            <w:tcW w:w="1185" w:type="dxa"/>
            <w:vAlign w:val="center"/>
          </w:tcPr>
          <w:p>
            <w:pPr>
              <w:spacing w:line="280" w:lineRule="exact"/>
              <w:ind w:firstLine="0" w:firstLineChars="0"/>
              <w:jc w:val="center"/>
              <w:rPr>
                <w:b/>
                <w:bCs/>
              </w:rPr>
            </w:pPr>
            <w:r>
              <w:rPr>
                <w:rFonts w:hAnsi="宋体"/>
                <w:b/>
                <w:bCs/>
              </w:rPr>
              <w:t>备注</w:t>
            </w:r>
          </w:p>
        </w:tc>
      </w:tr>
      <w:tr>
        <w:tblPrEx>
          <w:tblW w:w="9515" w:type="dxa"/>
          <w:jc w:val="center"/>
          <w:tblLayout w:type="fixed"/>
          <w:tblCellMar>
            <w:top w:w="0" w:type="dxa"/>
            <w:left w:w="108" w:type="dxa"/>
            <w:bottom w:w="0" w:type="dxa"/>
            <w:right w:w="108" w:type="dxa"/>
          </w:tblCellMar>
        </w:tblPrEx>
        <w:trPr>
          <w:trHeight w:hRule="exact" w:val="399"/>
          <w:jc w:val="center"/>
        </w:trPr>
        <w:tc>
          <w:tcPr>
            <w:tcW w:w="1028" w:type="dxa"/>
            <w:vAlign w:val="center"/>
          </w:tcPr>
          <w:p>
            <w:pPr>
              <w:spacing w:line="280" w:lineRule="exact"/>
              <w:ind w:firstLine="0" w:firstLineChars="0"/>
              <w:jc w:val="center"/>
            </w:pPr>
            <w:r>
              <w:t>1</w:t>
            </w:r>
          </w:p>
        </w:tc>
        <w:tc>
          <w:tcPr>
            <w:tcW w:w="4609" w:type="dxa"/>
            <w:gridSpan w:val="2"/>
            <w:vAlign w:val="center"/>
          </w:tcPr>
          <w:p>
            <w:pPr>
              <w:spacing w:line="280" w:lineRule="exact"/>
              <w:ind w:firstLine="0" w:firstLineChars="0"/>
              <w:jc w:val="center"/>
            </w:pPr>
            <w:r>
              <w:rPr>
                <w:rFonts w:hAnsi="宋体"/>
              </w:rPr>
              <w:t>用地面积</w:t>
            </w:r>
          </w:p>
        </w:tc>
        <w:tc>
          <w:tcPr>
            <w:tcW w:w="1275" w:type="dxa"/>
            <w:vAlign w:val="center"/>
          </w:tcPr>
          <w:p>
            <w:pPr>
              <w:spacing w:line="280" w:lineRule="exact"/>
              <w:ind w:firstLine="0" w:firstLineChars="0"/>
              <w:jc w:val="center"/>
            </w:pPr>
            <w:r>
              <w:t>m</w:t>
            </w:r>
            <w:r>
              <w:rPr>
                <w:vertAlign w:val="superscript"/>
              </w:rPr>
              <w:t>2</w:t>
            </w:r>
          </w:p>
        </w:tc>
        <w:tc>
          <w:tcPr>
            <w:tcW w:w="1418" w:type="dxa"/>
            <w:vAlign w:val="center"/>
          </w:tcPr>
          <w:p>
            <w:pPr>
              <w:spacing w:line="280" w:lineRule="exact"/>
              <w:ind w:firstLine="0" w:firstLineChars="0"/>
              <w:jc w:val="center"/>
            </w:pPr>
            <w:r>
              <w:t>3890.4</w:t>
            </w:r>
          </w:p>
        </w:tc>
        <w:tc>
          <w:tcPr>
            <w:tcW w:w="1185" w:type="dxa"/>
            <w:vAlign w:val="center"/>
          </w:tcPr>
          <w:p>
            <w:pPr>
              <w:spacing w:line="280" w:lineRule="exact"/>
              <w:ind w:firstLine="0" w:firstLineChars="0"/>
              <w:jc w:val="center"/>
            </w:pPr>
          </w:p>
        </w:tc>
      </w:tr>
      <w:tr>
        <w:tblPrEx>
          <w:tblW w:w="9515" w:type="dxa"/>
          <w:jc w:val="center"/>
          <w:tblLayout w:type="fixed"/>
          <w:tblCellMar>
            <w:top w:w="0" w:type="dxa"/>
            <w:left w:w="108" w:type="dxa"/>
            <w:bottom w:w="0" w:type="dxa"/>
            <w:right w:w="108" w:type="dxa"/>
          </w:tblCellMar>
        </w:tblPrEx>
        <w:trPr>
          <w:trHeight w:hRule="exact" w:val="414"/>
          <w:jc w:val="center"/>
        </w:trPr>
        <w:tc>
          <w:tcPr>
            <w:tcW w:w="1028" w:type="dxa"/>
            <w:vMerge w:val="restart"/>
            <w:vAlign w:val="center"/>
          </w:tcPr>
          <w:p>
            <w:pPr>
              <w:spacing w:line="280" w:lineRule="exact"/>
              <w:ind w:firstLine="0" w:firstLineChars="0"/>
              <w:jc w:val="center"/>
            </w:pPr>
            <w:r>
              <w:t>2</w:t>
            </w:r>
          </w:p>
        </w:tc>
        <w:tc>
          <w:tcPr>
            <w:tcW w:w="4609" w:type="dxa"/>
            <w:gridSpan w:val="2"/>
            <w:vAlign w:val="center"/>
          </w:tcPr>
          <w:p>
            <w:pPr>
              <w:spacing w:line="280" w:lineRule="exact"/>
              <w:ind w:firstLine="0" w:firstLineChars="0"/>
              <w:jc w:val="center"/>
            </w:pPr>
            <w:r>
              <w:rPr>
                <w:rFonts w:hAnsi="宋体"/>
              </w:rPr>
              <w:t>总建筑占地面积</w:t>
            </w:r>
          </w:p>
        </w:tc>
        <w:tc>
          <w:tcPr>
            <w:tcW w:w="1275" w:type="dxa"/>
            <w:vAlign w:val="center"/>
          </w:tcPr>
          <w:p>
            <w:pPr>
              <w:spacing w:line="280" w:lineRule="exact"/>
              <w:ind w:firstLine="0" w:firstLineChars="0"/>
              <w:jc w:val="center"/>
            </w:pPr>
            <w:r>
              <w:t>m</w:t>
            </w:r>
            <w:r>
              <w:rPr>
                <w:vertAlign w:val="superscript"/>
              </w:rPr>
              <w:t>2</w:t>
            </w:r>
          </w:p>
        </w:tc>
        <w:tc>
          <w:tcPr>
            <w:tcW w:w="1418" w:type="dxa"/>
            <w:vAlign w:val="center"/>
          </w:tcPr>
          <w:p>
            <w:pPr>
              <w:spacing w:line="280" w:lineRule="exact"/>
              <w:ind w:firstLine="0" w:firstLineChars="0"/>
              <w:jc w:val="center"/>
            </w:pPr>
            <w:r>
              <w:t>591.68</w:t>
            </w:r>
          </w:p>
        </w:tc>
        <w:tc>
          <w:tcPr>
            <w:tcW w:w="1185" w:type="dxa"/>
            <w:vAlign w:val="center"/>
          </w:tcPr>
          <w:p>
            <w:pPr>
              <w:spacing w:line="280" w:lineRule="exact"/>
              <w:ind w:firstLine="0" w:firstLineChars="0"/>
              <w:jc w:val="center"/>
            </w:pPr>
          </w:p>
        </w:tc>
      </w:tr>
      <w:tr>
        <w:tblPrEx>
          <w:tblW w:w="9515" w:type="dxa"/>
          <w:jc w:val="center"/>
          <w:tblLayout w:type="fixed"/>
          <w:tblCellMar>
            <w:top w:w="0" w:type="dxa"/>
            <w:left w:w="108" w:type="dxa"/>
            <w:bottom w:w="0" w:type="dxa"/>
            <w:right w:w="108" w:type="dxa"/>
          </w:tblCellMar>
        </w:tblPrEx>
        <w:trPr>
          <w:trHeight w:hRule="exact" w:val="429"/>
          <w:jc w:val="center"/>
        </w:trPr>
        <w:tc>
          <w:tcPr>
            <w:tcW w:w="1028" w:type="dxa"/>
            <w:vMerge/>
            <w:vAlign w:val="center"/>
          </w:tcPr>
          <w:p>
            <w:pPr>
              <w:spacing w:line="280" w:lineRule="exact"/>
              <w:ind w:firstLine="0" w:firstLineChars="0"/>
              <w:jc w:val="center"/>
            </w:pPr>
          </w:p>
        </w:tc>
        <w:tc>
          <w:tcPr>
            <w:tcW w:w="609" w:type="dxa"/>
            <w:vMerge w:val="restart"/>
            <w:vAlign w:val="center"/>
          </w:tcPr>
          <w:p>
            <w:pPr>
              <w:spacing w:line="280" w:lineRule="exact"/>
              <w:ind w:firstLine="0" w:firstLineChars="0"/>
              <w:jc w:val="center"/>
            </w:pPr>
            <w:r>
              <w:rPr>
                <w:rFonts w:hAnsi="宋体"/>
              </w:rPr>
              <w:t>其中</w:t>
            </w:r>
          </w:p>
        </w:tc>
        <w:tc>
          <w:tcPr>
            <w:tcW w:w="4000" w:type="dxa"/>
            <w:vAlign w:val="center"/>
          </w:tcPr>
          <w:p>
            <w:pPr>
              <w:spacing w:line="280" w:lineRule="exact"/>
              <w:ind w:firstLine="0" w:firstLineChars="0"/>
              <w:jc w:val="center"/>
            </w:pPr>
            <w:r>
              <w:rPr>
                <w:rFonts w:hAnsi="宋体" w:hint="eastAsia"/>
              </w:rPr>
              <w:t>储罐区</w:t>
            </w:r>
          </w:p>
        </w:tc>
        <w:tc>
          <w:tcPr>
            <w:tcW w:w="1275" w:type="dxa"/>
            <w:vAlign w:val="center"/>
          </w:tcPr>
          <w:p>
            <w:pPr>
              <w:spacing w:line="280" w:lineRule="exact"/>
              <w:ind w:firstLine="0" w:firstLineChars="0"/>
              <w:jc w:val="center"/>
            </w:pPr>
            <w:r>
              <w:t>m</w:t>
            </w:r>
            <w:r>
              <w:rPr>
                <w:vertAlign w:val="superscript"/>
              </w:rPr>
              <w:t>2</w:t>
            </w:r>
          </w:p>
        </w:tc>
        <w:tc>
          <w:tcPr>
            <w:tcW w:w="1418" w:type="dxa"/>
            <w:vAlign w:val="center"/>
          </w:tcPr>
          <w:p>
            <w:pPr>
              <w:spacing w:line="280" w:lineRule="exact"/>
              <w:ind w:firstLine="0" w:firstLineChars="0"/>
              <w:jc w:val="center"/>
            </w:pPr>
            <w:r>
              <w:t>177.78</w:t>
            </w:r>
          </w:p>
        </w:tc>
        <w:tc>
          <w:tcPr>
            <w:tcW w:w="1185" w:type="dxa"/>
            <w:vAlign w:val="center"/>
          </w:tcPr>
          <w:p>
            <w:pPr>
              <w:spacing w:line="280" w:lineRule="exact"/>
              <w:ind w:firstLine="0" w:firstLineChars="0"/>
              <w:jc w:val="center"/>
            </w:pPr>
          </w:p>
        </w:tc>
      </w:tr>
      <w:tr>
        <w:tblPrEx>
          <w:tblW w:w="9515" w:type="dxa"/>
          <w:jc w:val="center"/>
          <w:tblLayout w:type="fixed"/>
          <w:tblCellMar>
            <w:top w:w="0" w:type="dxa"/>
            <w:left w:w="108" w:type="dxa"/>
            <w:bottom w:w="0" w:type="dxa"/>
            <w:right w:w="108" w:type="dxa"/>
          </w:tblCellMar>
        </w:tblPrEx>
        <w:trPr>
          <w:trHeight w:hRule="exact" w:val="579"/>
          <w:jc w:val="center"/>
        </w:trPr>
        <w:tc>
          <w:tcPr>
            <w:tcW w:w="1028" w:type="dxa"/>
            <w:vMerge/>
            <w:vAlign w:val="center"/>
          </w:tcPr>
          <w:p>
            <w:pPr>
              <w:spacing w:line="280" w:lineRule="exact"/>
              <w:ind w:firstLine="0" w:firstLineChars="0"/>
              <w:jc w:val="center"/>
            </w:pPr>
          </w:p>
        </w:tc>
        <w:tc>
          <w:tcPr>
            <w:tcW w:w="609" w:type="dxa"/>
            <w:vMerge/>
            <w:vAlign w:val="center"/>
          </w:tcPr>
          <w:p>
            <w:pPr>
              <w:spacing w:line="280" w:lineRule="exact"/>
              <w:ind w:firstLine="0" w:firstLineChars="0"/>
              <w:jc w:val="center"/>
              <w:rPr>
                <w:rFonts w:hAnsi="宋体"/>
              </w:rPr>
            </w:pPr>
          </w:p>
        </w:tc>
        <w:tc>
          <w:tcPr>
            <w:tcW w:w="4000" w:type="dxa"/>
            <w:vAlign w:val="center"/>
          </w:tcPr>
          <w:p>
            <w:pPr>
              <w:spacing w:line="280" w:lineRule="exact"/>
              <w:ind w:firstLine="0" w:firstLineChars="0"/>
              <w:jc w:val="center"/>
              <w:rPr>
                <w:rFonts w:hAnsi="宋体"/>
              </w:rPr>
            </w:pPr>
            <w:r>
              <w:rPr>
                <w:rFonts w:hAnsi="宋体" w:hint="eastAsia"/>
              </w:rPr>
              <w:t>压缩机房、充装间</w:t>
            </w:r>
          </w:p>
        </w:tc>
        <w:tc>
          <w:tcPr>
            <w:tcW w:w="1275" w:type="dxa"/>
            <w:vAlign w:val="center"/>
          </w:tcPr>
          <w:p>
            <w:pPr>
              <w:spacing w:line="280" w:lineRule="exact"/>
              <w:ind w:firstLine="0" w:firstLineChars="0"/>
              <w:jc w:val="center"/>
            </w:pPr>
            <w:r>
              <w:t>m</w:t>
            </w:r>
            <w:r>
              <w:rPr>
                <w:vertAlign w:val="superscript"/>
              </w:rPr>
              <w:t>2</w:t>
            </w:r>
          </w:p>
        </w:tc>
        <w:tc>
          <w:tcPr>
            <w:tcW w:w="1418" w:type="dxa"/>
            <w:vAlign w:val="center"/>
          </w:tcPr>
          <w:p>
            <w:pPr>
              <w:spacing w:line="280" w:lineRule="exact"/>
              <w:ind w:firstLine="0" w:firstLineChars="0"/>
              <w:jc w:val="center"/>
            </w:pPr>
            <w:r>
              <w:t>88.82</w:t>
            </w:r>
          </w:p>
        </w:tc>
        <w:tc>
          <w:tcPr>
            <w:tcW w:w="1185" w:type="dxa"/>
            <w:vAlign w:val="center"/>
          </w:tcPr>
          <w:p>
            <w:pPr>
              <w:spacing w:line="280" w:lineRule="exact"/>
              <w:ind w:firstLine="0" w:firstLineChars="0"/>
              <w:jc w:val="center"/>
              <w:rPr>
                <w:rFonts w:hAnsi="宋体"/>
              </w:rPr>
            </w:pPr>
          </w:p>
        </w:tc>
      </w:tr>
      <w:tr>
        <w:tblPrEx>
          <w:tblW w:w="9515" w:type="dxa"/>
          <w:jc w:val="center"/>
          <w:tblLayout w:type="fixed"/>
          <w:tblCellMar>
            <w:top w:w="0" w:type="dxa"/>
            <w:left w:w="108" w:type="dxa"/>
            <w:bottom w:w="0" w:type="dxa"/>
            <w:right w:w="108" w:type="dxa"/>
          </w:tblCellMar>
        </w:tblPrEx>
        <w:trPr>
          <w:trHeight w:hRule="exact" w:val="373"/>
          <w:jc w:val="center"/>
        </w:trPr>
        <w:tc>
          <w:tcPr>
            <w:tcW w:w="1028" w:type="dxa"/>
            <w:vMerge/>
            <w:vAlign w:val="center"/>
          </w:tcPr>
          <w:p>
            <w:pPr>
              <w:spacing w:line="280" w:lineRule="exact"/>
              <w:ind w:firstLine="0" w:firstLineChars="0"/>
              <w:jc w:val="center"/>
            </w:pPr>
          </w:p>
        </w:tc>
        <w:tc>
          <w:tcPr>
            <w:tcW w:w="609" w:type="dxa"/>
            <w:vMerge/>
            <w:vAlign w:val="center"/>
          </w:tcPr>
          <w:p>
            <w:pPr>
              <w:spacing w:line="280" w:lineRule="exact"/>
              <w:ind w:firstLine="0" w:firstLineChars="0"/>
              <w:jc w:val="center"/>
            </w:pPr>
          </w:p>
        </w:tc>
        <w:tc>
          <w:tcPr>
            <w:tcW w:w="4000" w:type="dxa"/>
            <w:vAlign w:val="center"/>
          </w:tcPr>
          <w:p>
            <w:pPr>
              <w:spacing w:line="280" w:lineRule="exact"/>
              <w:ind w:firstLine="0" w:firstLineChars="0"/>
              <w:jc w:val="center"/>
            </w:pPr>
            <w:r>
              <w:rPr>
                <w:rFonts w:hint="eastAsia"/>
              </w:rPr>
              <w:t>消防泵房、配电室、备件库</w:t>
            </w:r>
          </w:p>
        </w:tc>
        <w:tc>
          <w:tcPr>
            <w:tcW w:w="1275" w:type="dxa"/>
            <w:vAlign w:val="center"/>
          </w:tcPr>
          <w:p>
            <w:pPr>
              <w:spacing w:line="280" w:lineRule="exact"/>
              <w:ind w:firstLine="0" w:firstLineChars="0"/>
              <w:jc w:val="center"/>
            </w:pPr>
            <w:r>
              <w:t>m</w:t>
            </w:r>
            <w:r>
              <w:rPr>
                <w:vertAlign w:val="superscript"/>
              </w:rPr>
              <w:t>2</w:t>
            </w:r>
          </w:p>
        </w:tc>
        <w:tc>
          <w:tcPr>
            <w:tcW w:w="1418" w:type="dxa"/>
            <w:vAlign w:val="center"/>
          </w:tcPr>
          <w:p>
            <w:pPr>
              <w:spacing w:line="280" w:lineRule="exact"/>
              <w:ind w:firstLine="0" w:firstLineChars="0"/>
              <w:jc w:val="center"/>
            </w:pPr>
            <w:r>
              <w:t>76.86</w:t>
            </w:r>
          </w:p>
        </w:tc>
        <w:tc>
          <w:tcPr>
            <w:tcW w:w="1185" w:type="dxa"/>
            <w:vAlign w:val="center"/>
          </w:tcPr>
          <w:p>
            <w:pPr>
              <w:spacing w:line="280" w:lineRule="exact"/>
              <w:ind w:firstLine="0" w:firstLineChars="0"/>
              <w:jc w:val="center"/>
            </w:pPr>
          </w:p>
        </w:tc>
      </w:tr>
      <w:tr>
        <w:tblPrEx>
          <w:tblW w:w="9515" w:type="dxa"/>
          <w:jc w:val="center"/>
          <w:tblLayout w:type="fixed"/>
          <w:tblCellMar>
            <w:top w:w="0" w:type="dxa"/>
            <w:left w:w="108" w:type="dxa"/>
            <w:bottom w:w="0" w:type="dxa"/>
            <w:right w:w="108" w:type="dxa"/>
          </w:tblCellMar>
        </w:tblPrEx>
        <w:trPr>
          <w:trHeight w:hRule="exact" w:val="373"/>
          <w:jc w:val="center"/>
        </w:trPr>
        <w:tc>
          <w:tcPr>
            <w:tcW w:w="1028" w:type="dxa"/>
            <w:vMerge/>
            <w:vAlign w:val="center"/>
          </w:tcPr>
          <w:p>
            <w:pPr>
              <w:spacing w:line="280" w:lineRule="exact"/>
              <w:ind w:firstLine="0" w:firstLineChars="0"/>
              <w:jc w:val="center"/>
            </w:pPr>
          </w:p>
        </w:tc>
        <w:tc>
          <w:tcPr>
            <w:tcW w:w="609" w:type="dxa"/>
            <w:vMerge/>
            <w:vAlign w:val="center"/>
          </w:tcPr>
          <w:p>
            <w:pPr>
              <w:spacing w:line="280" w:lineRule="exact"/>
              <w:ind w:firstLine="0" w:firstLineChars="0"/>
              <w:jc w:val="center"/>
            </w:pPr>
          </w:p>
        </w:tc>
        <w:tc>
          <w:tcPr>
            <w:tcW w:w="4000" w:type="dxa"/>
            <w:vAlign w:val="center"/>
          </w:tcPr>
          <w:p>
            <w:pPr>
              <w:spacing w:line="280" w:lineRule="exact"/>
              <w:ind w:firstLine="0" w:firstLineChars="0"/>
              <w:jc w:val="center"/>
            </w:pPr>
            <w:r>
              <w:rPr>
                <w:rFonts w:hint="eastAsia"/>
              </w:rPr>
              <w:t>办公室</w:t>
            </w:r>
          </w:p>
        </w:tc>
        <w:tc>
          <w:tcPr>
            <w:tcW w:w="1275" w:type="dxa"/>
            <w:vAlign w:val="center"/>
          </w:tcPr>
          <w:p>
            <w:pPr>
              <w:spacing w:line="280" w:lineRule="exact"/>
              <w:ind w:firstLine="0" w:firstLineChars="0"/>
              <w:jc w:val="center"/>
            </w:pPr>
            <w:r>
              <w:t>m</w:t>
            </w:r>
            <w:r>
              <w:rPr>
                <w:vertAlign w:val="superscript"/>
              </w:rPr>
              <w:t>2</w:t>
            </w:r>
          </w:p>
        </w:tc>
        <w:tc>
          <w:tcPr>
            <w:tcW w:w="1418" w:type="dxa"/>
            <w:vAlign w:val="center"/>
          </w:tcPr>
          <w:p>
            <w:pPr>
              <w:spacing w:line="280" w:lineRule="exact"/>
              <w:ind w:firstLine="0" w:firstLineChars="0"/>
              <w:jc w:val="center"/>
            </w:pPr>
            <w:r>
              <w:rPr>
                <w:rFonts w:hint="eastAsia"/>
              </w:rPr>
              <w:t>35.1</w:t>
            </w:r>
          </w:p>
        </w:tc>
        <w:tc>
          <w:tcPr>
            <w:tcW w:w="1185" w:type="dxa"/>
            <w:vAlign w:val="center"/>
          </w:tcPr>
          <w:p>
            <w:pPr>
              <w:spacing w:line="280" w:lineRule="exact"/>
              <w:ind w:firstLine="0" w:firstLineChars="0"/>
              <w:jc w:val="center"/>
            </w:pPr>
            <w:r>
              <w:rPr>
                <w:rFonts w:hint="eastAsia"/>
              </w:rPr>
              <w:t>2层</w:t>
            </w:r>
          </w:p>
        </w:tc>
      </w:tr>
      <w:tr>
        <w:tblPrEx>
          <w:tblW w:w="9515" w:type="dxa"/>
          <w:jc w:val="center"/>
          <w:tblLayout w:type="fixed"/>
          <w:tblCellMar>
            <w:top w:w="0" w:type="dxa"/>
            <w:left w:w="108" w:type="dxa"/>
            <w:bottom w:w="0" w:type="dxa"/>
            <w:right w:w="108" w:type="dxa"/>
          </w:tblCellMar>
        </w:tblPrEx>
        <w:trPr>
          <w:trHeight w:hRule="exact" w:val="373"/>
          <w:jc w:val="center"/>
        </w:trPr>
        <w:tc>
          <w:tcPr>
            <w:tcW w:w="1028" w:type="dxa"/>
            <w:vMerge/>
            <w:vAlign w:val="center"/>
          </w:tcPr>
          <w:p>
            <w:pPr>
              <w:spacing w:line="280" w:lineRule="exact"/>
              <w:ind w:firstLine="0" w:firstLineChars="0"/>
              <w:jc w:val="center"/>
            </w:pPr>
          </w:p>
        </w:tc>
        <w:tc>
          <w:tcPr>
            <w:tcW w:w="609" w:type="dxa"/>
            <w:vMerge/>
            <w:vAlign w:val="center"/>
          </w:tcPr>
          <w:p>
            <w:pPr>
              <w:spacing w:line="280" w:lineRule="exact"/>
              <w:ind w:firstLine="0" w:firstLineChars="0"/>
              <w:jc w:val="center"/>
            </w:pPr>
          </w:p>
        </w:tc>
        <w:tc>
          <w:tcPr>
            <w:tcW w:w="4000" w:type="dxa"/>
            <w:vAlign w:val="center"/>
          </w:tcPr>
          <w:p>
            <w:pPr>
              <w:spacing w:line="280" w:lineRule="exact"/>
              <w:ind w:firstLine="0" w:firstLineChars="0"/>
              <w:jc w:val="center"/>
            </w:pPr>
            <w:r>
              <w:rPr>
                <w:rFonts w:hint="eastAsia"/>
              </w:rPr>
              <w:t>卫生间</w:t>
            </w:r>
            <w:r>
              <w:t>、</w:t>
            </w:r>
            <w:r>
              <w:rPr>
                <w:rFonts w:hint="eastAsia"/>
              </w:rPr>
              <w:t>食堂、</w:t>
            </w:r>
            <w:r>
              <w:t>宿舍、值班室</w:t>
            </w:r>
          </w:p>
        </w:tc>
        <w:tc>
          <w:tcPr>
            <w:tcW w:w="1275" w:type="dxa"/>
            <w:vAlign w:val="center"/>
          </w:tcPr>
          <w:p>
            <w:pPr>
              <w:spacing w:line="280" w:lineRule="exact"/>
              <w:ind w:firstLine="0" w:firstLineChars="0"/>
              <w:jc w:val="center"/>
            </w:pPr>
            <w:r>
              <w:t>m</w:t>
            </w:r>
            <w:r>
              <w:rPr>
                <w:vertAlign w:val="superscript"/>
              </w:rPr>
              <w:t>2</w:t>
            </w:r>
          </w:p>
        </w:tc>
        <w:tc>
          <w:tcPr>
            <w:tcW w:w="1418" w:type="dxa"/>
            <w:vAlign w:val="center"/>
          </w:tcPr>
          <w:p>
            <w:pPr>
              <w:spacing w:line="280" w:lineRule="exact"/>
              <w:ind w:firstLine="0" w:firstLineChars="0"/>
              <w:jc w:val="center"/>
            </w:pPr>
            <w:r>
              <w:t>124.33</w:t>
            </w:r>
          </w:p>
        </w:tc>
        <w:tc>
          <w:tcPr>
            <w:tcW w:w="1185" w:type="dxa"/>
            <w:vAlign w:val="center"/>
          </w:tcPr>
          <w:p>
            <w:pPr>
              <w:spacing w:line="280" w:lineRule="exact"/>
              <w:ind w:firstLine="0" w:firstLineChars="0"/>
              <w:jc w:val="center"/>
            </w:pPr>
          </w:p>
        </w:tc>
      </w:tr>
    </w:tbl>
    <w:p>
      <w:pPr>
        <w:sectPr>
          <w:headerReference w:type="even" r:id="rId122"/>
          <w:headerReference w:type="default" r:id="rId123"/>
          <w:footerReference w:type="even" r:id="rId124"/>
          <w:footerReference w:type="default" r:id="rId125"/>
          <w:headerReference w:type="first" r:id="rId126"/>
          <w:footerReference w:type="first" r:id="rId127"/>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10"/>
          <w:cols w:num="1" w:space="720"/>
          <w:titlePg w:val="0"/>
          <w:docGrid w:type="linesAndChars" w:linePitch="312" w:charSpace="0"/>
        </w:sectPr>
      </w:pPr>
    </w:p>
    <w:p>
      <w:pPr>
        <w:sectPr>
          <w:headerReference w:type="even" r:id="rId128"/>
          <w:headerReference w:type="default" r:id="rId129"/>
          <w:footerReference w:type="even" r:id="rId130"/>
          <w:footerReference w:type="default" r:id="rId131"/>
          <w:headerReference w:type="first" r:id="rId132"/>
          <w:footerReference w:type="first" r:id="rId133"/>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28"/>
        <w:gridCol w:w="609"/>
        <w:gridCol w:w="4000"/>
        <w:gridCol w:w="1275"/>
        <w:gridCol w:w="1418"/>
        <w:gridCol w:w="1185"/>
      </w:tblGrid>
      <w:tr>
        <w:tblPrEx>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73"/>
          <w:jc w:val="center"/>
        </w:trPr>
        <w:tc>
          <w:tcPr>
            <w:tcW w:w="1028" w:type="dxa"/>
            <w:vAlign w:val="center"/>
          </w:tcPr>
          <w:p>
            <w:pPr>
              <w:spacing w:line="280" w:lineRule="exact"/>
              <w:ind w:firstLine="0" w:firstLineChars="0"/>
              <w:jc w:val="center"/>
            </w:pPr>
          </w:p>
        </w:tc>
        <w:tc>
          <w:tcPr>
            <w:tcW w:w="609" w:type="dxa"/>
            <w:vAlign w:val="center"/>
          </w:tcPr>
          <w:p>
            <w:pPr>
              <w:spacing w:line="280" w:lineRule="exact"/>
              <w:ind w:firstLine="0" w:firstLineChars="0"/>
              <w:jc w:val="center"/>
            </w:pPr>
          </w:p>
        </w:tc>
        <w:tc>
          <w:tcPr>
            <w:tcW w:w="4000" w:type="dxa"/>
            <w:vAlign w:val="center"/>
          </w:tcPr>
          <w:p>
            <w:pPr>
              <w:spacing w:line="280" w:lineRule="exact"/>
              <w:ind w:firstLine="0" w:firstLineChars="0"/>
              <w:jc w:val="center"/>
            </w:pPr>
            <w:r>
              <w:rPr>
                <w:rFonts w:hAnsi="宋体"/>
              </w:rPr>
              <w:t>其它配套设施</w:t>
            </w:r>
          </w:p>
        </w:tc>
        <w:tc>
          <w:tcPr>
            <w:tcW w:w="1275" w:type="dxa"/>
            <w:vAlign w:val="center"/>
          </w:tcPr>
          <w:p>
            <w:pPr>
              <w:spacing w:line="280" w:lineRule="exact"/>
              <w:ind w:firstLine="0" w:firstLineChars="0"/>
              <w:jc w:val="center"/>
            </w:pPr>
            <w:r>
              <w:t>m</w:t>
            </w:r>
            <w:r>
              <w:rPr>
                <w:vertAlign w:val="superscript"/>
              </w:rPr>
              <w:t>2</w:t>
            </w:r>
          </w:p>
        </w:tc>
        <w:tc>
          <w:tcPr>
            <w:tcW w:w="1418" w:type="dxa"/>
            <w:vAlign w:val="center"/>
          </w:tcPr>
          <w:p>
            <w:pPr>
              <w:spacing w:line="280" w:lineRule="exact"/>
              <w:ind w:firstLine="0" w:firstLineChars="0"/>
              <w:jc w:val="center"/>
            </w:pPr>
            <w:r>
              <w:t>88.79</w:t>
            </w:r>
          </w:p>
        </w:tc>
        <w:tc>
          <w:tcPr>
            <w:tcW w:w="1185" w:type="dxa"/>
            <w:vAlign w:val="center"/>
          </w:tcPr>
          <w:p>
            <w:pPr>
              <w:spacing w:line="280" w:lineRule="exact"/>
              <w:ind w:firstLine="0" w:firstLineChars="0"/>
              <w:jc w:val="center"/>
            </w:pPr>
          </w:p>
        </w:tc>
      </w:tr>
      <w:tr>
        <w:tblPrEx>
          <w:tblW w:w="9515" w:type="dxa"/>
          <w:jc w:val="center"/>
          <w:tblLayout w:type="fixed"/>
          <w:tblCellMar>
            <w:top w:w="0" w:type="dxa"/>
            <w:left w:w="108" w:type="dxa"/>
            <w:bottom w:w="0" w:type="dxa"/>
            <w:right w:w="108" w:type="dxa"/>
          </w:tblCellMar>
        </w:tblPrEx>
        <w:trPr>
          <w:trHeight w:hRule="exact" w:val="426"/>
          <w:jc w:val="center"/>
        </w:trPr>
        <w:tc>
          <w:tcPr>
            <w:tcW w:w="1028" w:type="dxa"/>
            <w:vAlign w:val="center"/>
          </w:tcPr>
          <w:p>
            <w:pPr>
              <w:spacing w:line="280" w:lineRule="exact"/>
              <w:ind w:firstLine="0" w:firstLineChars="0"/>
              <w:jc w:val="center"/>
            </w:pPr>
            <w:r>
              <w:rPr>
                <w:rFonts w:hint="eastAsia"/>
              </w:rPr>
              <w:t>3</w:t>
            </w:r>
          </w:p>
        </w:tc>
        <w:tc>
          <w:tcPr>
            <w:tcW w:w="4609" w:type="dxa"/>
            <w:gridSpan w:val="2"/>
            <w:vAlign w:val="center"/>
          </w:tcPr>
          <w:p>
            <w:pPr>
              <w:spacing w:line="280" w:lineRule="exact"/>
              <w:ind w:firstLine="0" w:firstLineChars="0"/>
              <w:jc w:val="center"/>
            </w:pPr>
            <w:r>
              <w:rPr>
                <w:rFonts w:hAnsi="宋体"/>
              </w:rPr>
              <w:t>绿地面积</w:t>
            </w:r>
          </w:p>
        </w:tc>
        <w:tc>
          <w:tcPr>
            <w:tcW w:w="1275" w:type="dxa"/>
            <w:vAlign w:val="center"/>
          </w:tcPr>
          <w:p>
            <w:pPr>
              <w:spacing w:line="280" w:lineRule="exact"/>
              <w:ind w:firstLine="0" w:firstLineChars="0"/>
              <w:jc w:val="center"/>
            </w:pPr>
            <w:r>
              <w:t>m</w:t>
            </w:r>
            <w:r>
              <w:rPr>
                <w:vertAlign w:val="superscript"/>
              </w:rPr>
              <w:t>2</w:t>
            </w:r>
          </w:p>
        </w:tc>
        <w:tc>
          <w:tcPr>
            <w:tcW w:w="1418" w:type="dxa"/>
            <w:vAlign w:val="center"/>
          </w:tcPr>
          <w:p>
            <w:pPr>
              <w:spacing w:line="280" w:lineRule="exact"/>
              <w:ind w:firstLine="0" w:firstLineChars="0"/>
              <w:jc w:val="center"/>
            </w:pPr>
            <w:r>
              <w:t>860</w:t>
            </w:r>
          </w:p>
        </w:tc>
        <w:tc>
          <w:tcPr>
            <w:tcW w:w="1185" w:type="dxa"/>
            <w:vAlign w:val="center"/>
          </w:tcPr>
          <w:p>
            <w:pPr>
              <w:spacing w:line="280" w:lineRule="exact"/>
              <w:ind w:firstLine="0" w:firstLineChars="0"/>
              <w:jc w:val="center"/>
            </w:pPr>
          </w:p>
        </w:tc>
      </w:tr>
      <w:bookmarkEnd w:id="6"/>
      <w:bookmarkEnd w:id="7"/>
      <w:bookmarkEnd w:id="8"/>
      <w:bookmarkEnd w:id="9"/>
      <w:bookmarkEnd w:id="10"/>
    </w:tbl>
    <w:p>
      <w:pPr>
        <w:pStyle w:val="a1"/>
        <w:spacing w:before="156" w:beforeLines="50"/>
        <w:ind w:firstLine="480"/>
        <w:outlineLvl w:val="1"/>
        <w:rPr>
          <w:rFonts w:eastAsia="黑体"/>
        </w:rPr>
      </w:pPr>
      <w:bookmarkStart w:id="11" w:name="_Toc414115995"/>
      <w:bookmarkStart w:id="12" w:name="_Toc417565749"/>
      <w:bookmarkStart w:id="13" w:name="_Toc420055902"/>
      <w:bookmarkStart w:id="14" w:name="_Toc417566286"/>
      <w:bookmarkStart w:id="15" w:name="_Toc198220711"/>
      <w:r>
        <w:rPr>
          <w:rFonts w:eastAsia="黑体" w:hint="eastAsia"/>
        </w:rPr>
        <w:t>3、</w:t>
      </w:r>
      <w:r>
        <w:rPr>
          <w:rFonts w:eastAsia="黑体"/>
        </w:rPr>
        <w:t>项目组成及</w:t>
      </w:r>
      <w:r>
        <w:rPr>
          <w:rFonts w:eastAsia="黑体" w:hint="eastAsia"/>
        </w:rPr>
        <w:t>主要环境问题</w:t>
      </w:r>
    </w:p>
    <w:p>
      <w:pPr>
        <w:pStyle w:val="a1"/>
        <w:ind w:firstLine="480"/>
      </w:pPr>
      <w:r>
        <w:t>本项目组成见表1-</w:t>
      </w:r>
      <w:r>
        <w:rPr>
          <w:rFonts w:hint="eastAsia"/>
        </w:rPr>
        <w:t>7</w:t>
      </w:r>
      <w:r>
        <w:t>。</w:t>
      </w:r>
    </w:p>
    <w:p>
      <w:pPr>
        <w:widowControl/>
        <w:spacing w:line="240" w:lineRule="auto"/>
        <w:ind w:firstLine="0" w:firstLineChars="0"/>
        <w:jc w:val="center"/>
        <w:rPr>
          <w:rFonts w:eastAsia="黑体"/>
        </w:rPr>
      </w:pPr>
      <w:r>
        <w:rPr>
          <w:rFonts w:eastAsia="黑体" w:hint="eastAsia"/>
        </w:rPr>
        <w:t>表1-7  项目组成及主要环境问题</w:t>
      </w:r>
    </w:p>
    <w:tbl>
      <w:tblPr>
        <w:tblStyle w:val="TableNormal"/>
        <w:tblW w:w="951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117"/>
        <w:gridCol w:w="725"/>
        <w:gridCol w:w="725"/>
        <w:gridCol w:w="3994"/>
        <w:gridCol w:w="1060"/>
        <w:gridCol w:w="1062"/>
        <w:gridCol w:w="832"/>
      </w:tblGrid>
      <w:tr>
        <w:tblPrEx>
          <w:tblW w:w="951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0"/>
          <w:jc w:val="center"/>
        </w:trPr>
        <w:tc>
          <w:tcPr>
            <w:tcW w:w="2567" w:type="dxa"/>
            <w:gridSpan w:val="3"/>
            <w:vMerge w:val="restart"/>
            <w:tcBorders>
              <w:top w:val="single" w:sz="12" w:space="0" w:color="auto"/>
              <w:bottom w:val="single" w:sz="4" w:space="0" w:color="auto"/>
            </w:tcBorders>
            <w:vAlign w:val="center"/>
          </w:tcPr>
          <w:p>
            <w:pPr>
              <w:pStyle w:val="113"/>
              <w:adjustRightInd w:val="0"/>
              <w:snapToGrid w:val="0"/>
              <w:spacing w:line="280" w:lineRule="exact"/>
              <w:jc w:val="center"/>
              <w:rPr>
                <w:b/>
              </w:rPr>
            </w:pPr>
            <w:r>
              <w:rPr>
                <w:b/>
              </w:rPr>
              <w:t>工程分类</w:t>
            </w:r>
          </w:p>
        </w:tc>
        <w:tc>
          <w:tcPr>
            <w:tcW w:w="3994" w:type="dxa"/>
            <w:vMerge w:val="restart"/>
            <w:tcBorders>
              <w:top w:val="single" w:sz="12" w:space="0" w:color="auto"/>
              <w:bottom w:val="single" w:sz="4" w:space="0" w:color="auto"/>
            </w:tcBorders>
            <w:vAlign w:val="center"/>
          </w:tcPr>
          <w:p>
            <w:pPr>
              <w:pStyle w:val="113"/>
              <w:adjustRightInd w:val="0"/>
              <w:snapToGrid w:val="0"/>
              <w:spacing w:line="280" w:lineRule="exact"/>
              <w:jc w:val="center"/>
              <w:rPr>
                <w:b/>
              </w:rPr>
            </w:pPr>
            <w:r>
              <w:rPr>
                <w:b/>
              </w:rPr>
              <w:t>建设内容及规模</w:t>
            </w:r>
          </w:p>
        </w:tc>
        <w:tc>
          <w:tcPr>
            <w:tcW w:w="2122" w:type="dxa"/>
            <w:gridSpan w:val="2"/>
            <w:tcBorders>
              <w:top w:val="single" w:sz="12" w:space="0" w:color="auto"/>
              <w:bottom w:val="single" w:sz="4" w:space="0" w:color="auto"/>
            </w:tcBorders>
            <w:vAlign w:val="center"/>
          </w:tcPr>
          <w:p>
            <w:pPr>
              <w:pStyle w:val="113"/>
              <w:adjustRightInd w:val="0"/>
              <w:snapToGrid w:val="0"/>
              <w:spacing w:line="280" w:lineRule="exact"/>
              <w:jc w:val="center"/>
              <w:rPr>
                <w:b/>
              </w:rPr>
            </w:pPr>
            <w:r>
              <w:rPr>
                <w:b/>
              </w:rPr>
              <w:t>主要环境问题</w:t>
            </w:r>
          </w:p>
        </w:tc>
        <w:tc>
          <w:tcPr>
            <w:tcW w:w="832" w:type="dxa"/>
            <w:vMerge w:val="restart"/>
            <w:tcBorders>
              <w:top w:val="single" w:sz="12" w:space="0" w:color="auto"/>
              <w:bottom w:val="single" w:sz="4" w:space="0" w:color="auto"/>
            </w:tcBorders>
            <w:vAlign w:val="center"/>
          </w:tcPr>
          <w:p>
            <w:pPr>
              <w:pStyle w:val="113"/>
              <w:adjustRightInd w:val="0"/>
              <w:snapToGrid w:val="0"/>
              <w:spacing w:line="280" w:lineRule="exact"/>
              <w:jc w:val="center"/>
              <w:rPr>
                <w:b/>
              </w:rPr>
            </w:pPr>
            <w:r>
              <w:rPr>
                <w:b/>
              </w:rPr>
              <w:t>备注</w:t>
            </w:r>
          </w:p>
        </w:tc>
      </w:tr>
      <w:tr>
        <w:tblPrEx>
          <w:tblW w:w="9515" w:type="dxa"/>
          <w:jc w:val="center"/>
          <w:tblLayout w:type="fixed"/>
          <w:tblCellMar>
            <w:top w:w="0" w:type="dxa"/>
            <w:left w:w="108" w:type="dxa"/>
            <w:bottom w:w="0" w:type="dxa"/>
            <w:right w:w="108" w:type="dxa"/>
          </w:tblCellMar>
        </w:tblPrEx>
        <w:trPr>
          <w:trHeight w:val="20"/>
          <w:jc w:val="center"/>
        </w:trPr>
        <w:tc>
          <w:tcPr>
            <w:tcW w:w="2567" w:type="dxa"/>
            <w:gridSpan w:val="3"/>
            <w:vMerge/>
            <w:tcBorders>
              <w:top w:val="single" w:sz="4" w:space="0" w:color="auto"/>
            </w:tcBorders>
            <w:vAlign w:val="center"/>
          </w:tcPr>
          <w:p>
            <w:pPr>
              <w:pStyle w:val="113"/>
              <w:adjustRightInd w:val="0"/>
              <w:snapToGrid w:val="0"/>
              <w:spacing w:line="280" w:lineRule="exact"/>
              <w:jc w:val="center"/>
            </w:pPr>
          </w:p>
        </w:tc>
        <w:tc>
          <w:tcPr>
            <w:tcW w:w="3994" w:type="dxa"/>
            <w:vMerge/>
            <w:tcBorders>
              <w:top w:val="single" w:sz="4" w:space="0" w:color="auto"/>
            </w:tcBorders>
            <w:vAlign w:val="center"/>
          </w:tcPr>
          <w:p>
            <w:pPr>
              <w:pStyle w:val="113"/>
              <w:adjustRightInd w:val="0"/>
              <w:snapToGrid w:val="0"/>
              <w:spacing w:line="280" w:lineRule="exact"/>
              <w:jc w:val="center"/>
            </w:pPr>
          </w:p>
        </w:tc>
        <w:tc>
          <w:tcPr>
            <w:tcW w:w="1060" w:type="dxa"/>
            <w:tcBorders>
              <w:top w:val="single" w:sz="4" w:space="0" w:color="auto"/>
            </w:tcBorders>
            <w:vAlign w:val="center"/>
          </w:tcPr>
          <w:p>
            <w:pPr>
              <w:pStyle w:val="113"/>
              <w:adjustRightInd w:val="0"/>
              <w:snapToGrid w:val="0"/>
              <w:spacing w:line="280" w:lineRule="exact"/>
              <w:jc w:val="center"/>
              <w:rPr>
                <w:b/>
              </w:rPr>
            </w:pPr>
            <w:r>
              <w:rPr>
                <w:b/>
              </w:rPr>
              <w:t>施工期</w:t>
            </w:r>
          </w:p>
        </w:tc>
        <w:tc>
          <w:tcPr>
            <w:tcW w:w="1062" w:type="dxa"/>
            <w:tcBorders>
              <w:top w:val="single" w:sz="4" w:space="0" w:color="auto"/>
            </w:tcBorders>
            <w:vAlign w:val="center"/>
          </w:tcPr>
          <w:p>
            <w:pPr>
              <w:pStyle w:val="113"/>
              <w:adjustRightInd w:val="0"/>
              <w:snapToGrid w:val="0"/>
              <w:spacing w:line="280" w:lineRule="exact"/>
              <w:jc w:val="center"/>
              <w:rPr>
                <w:b/>
              </w:rPr>
            </w:pPr>
            <w:r>
              <w:rPr>
                <w:b/>
              </w:rPr>
              <w:t>营运期</w:t>
            </w:r>
          </w:p>
        </w:tc>
        <w:tc>
          <w:tcPr>
            <w:tcW w:w="832" w:type="dxa"/>
            <w:vMerge/>
            <w:tcBorders>
              <w:top w:val="single" w:sz="4" w:space="0" w:color="auto"/>
            </w:tcBorders>
            <w:vAlign w:val="center"/>
          </w:tcPr>
          <w:p>
            <w:pPr>
              <w:pStyle w:val="113"/>
              <w:adjustRightInd w:val="0"/>
              <w:snapToGrid w:val="0"/>
              <w:spacing w:line="280" w:lineRule="exact"/>
              <w:jc w:val="center"/>
              <w:rPr>
                <w:b/>
              </w:rPr>
            </w:pPr>
          </w:p>
        </w:tc>
      </w:tr>
      <w:tr>
        <w:tblPrEx>
          <w:tblW w:w="9515" w:type="dxa"/>
          <w:jc w:val="center"/>
          <w:tblLayout w:type="fixed"/>
          <w:tblCellMar>
            <w:top w:w="0" w:type="dxa"/>
            <w:left w:w="108" w:type="dxa"/>
            <w:bottom w:w="0" w:type="dxa"/>
            <w:right w:w="108" w:type="dxa"/>
          </w:tblCellMar>
        </w:tblPrEx>
        <w:trPr>
          <w:trHeight w:val="590"/>
          <w:jc w:val="center"/>
        </w:trPr>
        <w:tc>
          <w:tcPr>
            <w:tcW w:w="1117" w:type="dxa"/>
            <w:vMerge w:val="restart"/>
            <w:vAlign w:val="center"/>
          </w:tcPr>
          <w:p>
            <w:pPr>
              <w:pStyle w:val="113"/>
              <w:adjustRightInd w:val="0"/>
              <w:snapToGrid w:val="0"/>
              <w:spacing w:line="280" w:lineRule="exact"/>
              <w:jc w:val="center"/>
            </w:pPr>
            <w:r>
              <w:t>主体工程</w:t>
            </w:r>
          </w:p>
        </w:tc>
        <w:tc>
          <w:tcPr>
            <w:tcW w:w="1450" w:type="dxa"/>
            <w:gridSpan w:val="2"/>
            <w:vAlign w:val="center"/>
          </w:tcPr>
          <w:p>
            <w:pPr>
              <w:pStyle w:val="113"/>
              <w:adjustRightInd w:val="0"/>
              <w:snapToGrid w:val="0"/>
              <w:spacing w:line="280" w:lineRule="exact"/>
              <w:jc w:val="center"/>
            </w:pPr>
            <w:r>
              <w:t>储罐区</w:t>
            </w:r>
          </w:p>
        </w:tc>
        <w:tc>
          <w:tcPr>
            <w:tcW w:w="3994" w:type="dxa"/>
            <w:vAlign w:val="center"/>
          </w:tcPr>
          <w:p>
            <w:pPr>
              <w:pStyle w:val="113"/>
              <w:adjustRightInd w:val="0"/>
              <w:snapToGrid w:val="0"/>
              <w:spacing w:line="280" w:lineRule="exact"/>
              <w:jc w:val="center"/>
            </w:pPr>
            <w:r>
              <w:t>位于项目北侧</w:t>
            </w:r>
            <w:r>
              <w:rPr>
                <w:rFonts w:hint="eastAsia"/>
              </w:rPr>
              <w:t>，占地面积1</w:t>
            </w:r>
            <w:r>
              <w:t>77.78</w:t>
            </w:r>
            <w:r>
              <w:rPr>
                <w:rFonts w:hint="eastAsia"/>
              </w:rPr>
              <w:t>m</w:t>
            </w:r>
            <w:r>
              <w:rPr>
                <w:rFonts w:hint="eastAsia"/>
                <w:vertAlign w:val="superscript"/>
              </w:rPr>
              <w:t>2</w:t>
            </w:r>
            <w:r>
              <w:rPr>
                <w:rFonts w:hint="eastAsia"/>
              </w:rPr>
              <w:t>；其中50m</w:t>
            </w:r>
            <w:r>
              <w:rPr>
                <w:rFonts w:hint="eastAsia"/>
                <w:vertAlign w:val="superscript"/>
              </w:rPr>
              <w:t>3</w:t>
            </w:r>
            <w:r>
              <w:rPr>
                <w:rFonts w:hint="eastAsia"/>
              </w:rPr>
              <w:t>液化石油气储罐2个，5m</w:t>
            </w:r>
            <w:r>
              <w:rPr>
                <w:rFonts w:hint="eastAsia"/>
                <w:vertAlign w:val="superscript"/>
              </w:rPr>
              <w:t>3</w:t>
            </w:r>
            <w:r>
              <w:rPr>
                <w:rFonts w:hint="eastAsia"/>
              </w:rPr>
              <w:t>液化石油气残液罐1个，均为地埋卧式储罐。</w:t>
            </w:r>
          </w:p>
        </w:tc>
        <w:tc>
          <w:tcPr>
            <w:tcW w:w="1060" w:type="dxa"/>
            <w:vMerge w:val="restart"/>
            <w:vAlign w:val="center"/>
          </w:tcPr>
          <w:p>
            <w:pPr>
              <w:pStyle w:val="113"/>
              <w:adjustRightInd w:val="0"/>
              <w:snapToGrid w:val="0"/>
              <w:spacing w:line="280" w:lineRule="exact"/>
              <w:jc w:val="center"/>
            </w:pPr>
            <w:r>
              <w:t>项目施工期已结束</w:t>
            </w:r>
            <w:r>
              <w:rPr>
                <w:rFonts w:hint="eastAsia"/>
              </w:rPr>
              <w:t>，</w:t>
            </w:r>
            <w:r>
              <w:t>无遗留环境问题</w:t>
            </w:r>
          </w:p>
        </w:tc>
        <w:tc>
          <w:tcPr>
            <w:tcW w:w="1062" w:type="dxa"/>
            <w:vMerge w:val="restart"/>
            <w:vAlign w:val="center"/>
          </w:tcPr>
          <w:p>
            <w:pPr>
              <w:pStyle w:val="113"/>
              <w:adjustRightInd w:val="0"/>
              <w:snapToGrid w:val="0"/>
              <w:spacing w:line="280" w:lineRule="exact"/>
              <w:jc w:val="center"/>
            </w:pPr>
            <w:r>
              <w:t>非甲烷总烃</w:t>
            </w:r>
          </w:p>
        </w:tc>
        <w:tc>
          <w:tcPr>
            <w:tcW w:w="832" w:type="dxa"/>
            <w:vAlign w:val="center"/>
          </w:tcPr>
          <w:p>
            <w:pPr>
              <w:pStyle w:val="113"/>
              <w:adjustRightInd w:val="0"/>
              <w:snapToGrid w:val="0"/>
              <w:spacing w:line="280" w:lineRule="exact"/>
              <w:jc w:val="center"/>
            </w:pPr>
            <w:r>
              <w:t>改扩建</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pStyle w:val="113"/>
              <w:adjustRightInd w:val="0"/>
              <w:snapToGrid w:val="0"/>
              <w:spacing w:line="280" w:lineRule="exact"/>
              <w:jc w:val="center"/>
              <w:rPr>
                <w:szCs w:val="24"/>
              </w:rPr>
            </w:pPr>
            <w:r>
              <w:rPr>
                <w:szCs w:val="24"/>
              </w:rPr>
              <w:t>充装</w:t>
            </w:r>
            <w:r>
              <w:rPr>
                <w:rFonts w:hint="eastAsia"/>
                <w:szCs w:val="24"/>
              </w:rPr>
              <w:t>间、</w:t>
            </w:r>
            <w:r>
              <w:rPr>
                <w:szCs w:val="24"/>
              </w:rPr>
              <w:t>压缩机房</w:t>
            </w:r>
          </w:p>
        </w:tc>
        <w:tc>
          <w:tcPr>
            <w:tcW w:w="3994" w:type="dxa"/>
            <w:vAlign w:val="center"/>
          </w:tcPr>
          <w:p>
            <w:pPr>
              <w:pStyle w:val="113"/>
              <w:adjustRightInd w:val="0"/>
              <w:snapToGrid w:val="0"/>
              <w:spacing w:line="280" w:lineRule="exact"/>
              <w:jc w:val="center"/>
              <w:rPr>
                <w:szCs w:val="24"/>
              </w:rPr>
            </w:pPr>
            <w:r>
              <w:rPr>
                <w:rFonts w:hint="eastAsia"/>
                <w:szCs w:val="24"/>
              </w:rPr>
              <w:t>位于项目中心，1层，砖混结构，建筑面积为</w:t>
            </w:r>
            <w:r>
              <w:rPr>
                <w:szCs w:val="24"/>
              </w:rPr>
              <w:t>88.82</w:t>
            </w:r>
            <w:r>
              <w:rPr>
                <w:rFonts w:hint="eastAsia"/>
              </w:rPr>
              <w:t>m</w:t>
            </w:r>
            <w:r>
              <w:rPr>
                <w:rFonts w:hint="eastAsia"/>
                <w:vertAlign w:val="superscript"/>
              </w:rPr>
              <w:t>2</w:t>
            </w:r>
          </w:p>
        </w:tc>
        <w:tc>
          <w:tcPr>
            <w:tcW w:w="1060" w:type="dxa"/>
            <w:vMerge/>
            <w:vAlign w:val="center"/>
          </w:tcPr>
          <w:p>
            <w:pPr>
              <w:pStyle w:val="113"/>
              <w:adjustRightInd w:val="0"/>
              <w:snapToGrid w:val="0"/>
              <w:spacing w:line="280" w:lineRule="exact"/>
              <w:jc w:val="center"/>
            </w:pPr>
          </w:p>
        </w:tc>
        <w:tc>
          <w:tcPr>
            <w:tcW w:w="1062" w:type="dxa"/>
            <w:vMerge/>
            <w:vAlign w:val="center"/>
          </w:tcPr>
          <w:p>
            <w:pPr>
              <w:pStyle w:val="113"/>
              <w:adjustRightInd w:val="0"/>
              <w:snapToGrid w:val="0"/>
              <w:spacing w:line="280" w:lineRule="exact"/>
              <w:jc w:val="center"/>
            </w:pP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pStyle w:val="113"/>
              <w:adjustRightInd w:val="0"/>
              <w:snapToGrid w:val="0"/>
              <w:spacing w:line="280" w:lineRule="exact"/>
              <w:jc w:val="center"/>
              <w:rPr>
                <w:szCs w:val="24"/>
              </w:rPr>
            </w:pPr>
            <w:r>
              <w:rPr>
                <w:szCs w:val="24"/>
              </w:rPr>
              <w:t>瓶区</w:t>
            </w:r>
          </w:p>
        </w:tc>
        <w:tc>
          <w:tcPr>
            <w:tcW w:w="3994" w:type="dxa"/>
            <w:vAlign w:val="center"/>
          </w:tcPr>
          <w:p>
            <w:pPr>
              <w:pStyle w:val="113"/>
              <w:adjustRightInd w:val="0"/>
              <w:snapToGrid w:val="0"/>
              <w:spacing w:line="280" w:lineRule="exact"/>
              <w:jc w:val="center"/>
              <w:rPr>
                <w:szCs w:val="24"/>
              </w:rPr>
            </w:pPr>
            <w:r>
              <w:rPr>
                <w:rFonts w:hint="eastAsia"/>
                <w:szCs w:val="24"/>
              </w:rPr>
              <w:t>位于项目南侧，敞开式钢架结构，面积为</w:t>
            </w:r>
            <w:r>
              <w:rPr>
                <w:szCs w:val="24"/>
              </w:rPr>
              <w:t>26</w:t>
            </w:r>
            <w:r>
              <w:rPr>
                <w:rFonts w:hint="eastAsia"/>
              </w:rPr>
              <w:t xml:space="preserve"> m</w:t>
            </w:r>
            <w:r>
              <w:rPr>
                <w:rFonts w:hint="eastAsia"/>
                <w:vertAlign w:val="superscript"/>
              </w:rPr>
              <w:t>2</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rPr>
                <w:rFonts w:hint="eastAsia"/>
              </w:rPr>
              <w:t>/</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restart"/>
            <w:vAlign w:val="center"/>
          </w:tcPr>
          <w:p>
            <w:pPr>
              <w:pStyle w:val="113"/>
              <w:adjustRightInd w:val="0"/>
              <w:snapToGrid w:val="0"/>
              <w:spacing w:line="280" w:lineRule="exact"/>
              <w:jc w:val="center"/>
            </w:pPr>
            <w:r>
              <w:t>辅助工程</w:t>
            </w:r>
          </w:p>
        </w:tc>
        <w:tc>
          <w:tcPr>
            <w:tcW w:w="1450" w:type="dxa"/>
            <w:gridSpan w:val="2"/>
            <w:vAlign w:val="center"/>
          </w:tcPr>
          <w:p>
            <w:pPr>
              <w:adjustRightInd w:val="0"/>
              <w:snapToGrid w:val="0"/>
              <w:spacing w:line="280" w:lineRule="exact"/>
              <w:ind w:firstLine="0" w:firstLineChars="0"/>
              <w:jc w:val="center"/>
            </w:pPr>
            <w:r>
              <w:t>办公</w:t>
            </w:r>
            <w:r>
              <w:rPr>
                <w:rFonts w:hint="eastAsia"/>
              </w:rPr>
              <w:t>室</w:t>
            </w:r>
          </w:p>
        </w:tc>
        <w:tc>
          <w:tcPr>
            <w:tcW w:w="3994" w:type="dxa"/>
            <w:vAlign w:val="center"/>
          </w:tcPr>
          <w:p>
            <w:pPr>
              <w:adjustRightInd w:val="0"/>
              <w:snapToGrid w:val="0"/>
              <w:spacing w:line="280" w:lineRule="exact"/>
              <w:ind w:firstLine="0" w:firstLineChars="0"/>
              <w:jc w:val="center"/>
            </w:pPr>
            <w:r>
              <w:rPr>
                <w:rFonts w:hint="eastAsia"/>
              </w:rPr>
              <w:t>位于项目东南侧，2层，砖混结构，占地面积</w:t>
            </w:r>
            <w:r>
              <w:t>35.1</w:t>
            </w:r>
            <w:r>
              <w:rPr>
                <w:rFonts w:hint="eastAsia"/>
              </w:rPr>
              <w:t>m</w:t>
            </w:r>
            <w:r>
              <w:rPr>
                <w:rFonts w:hint="eastAsia"/>
                <w:vertAlign w:val="superscript"/>
              </w:rPr>
              <w:t>2</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t>生活垃圾</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adjustRightInd w:val="0"/>
              <w:snapToGrid w:val="0"/>
              <w:spacing w:line="280" w:lineRule="exact"/>
              <w:ind w:firstLine="0" w:firstLineChars="0"/>
              <w:jc w:val="center"/>
            </w:pPr>
            <w:r>
              <w:t>食堂</w:t>
            </w:r>
          </w:p>
        </w:tc>
        <w:tc>
          <w:tcPr>
            <w:tcW w:w="3994" w:type="dxa"/>
            <w:vAlign w:val="center"/>
          </w:tcPr>
          <w:p>
            <w:pPr>
              <w:adjustRightInd w:val="0"/>
              <w:snapToGrid w:val="0"/>
              <w:spacing w:line="280" w:lineRule="exact"/>
              <w:ind w:firstLine="0" w:firstLineChars="0"/>
              <w:jc w:val="center"/>
            </w:pPr>
            <w:r>
              <w:rPr>
                <w:rFonts w:hint="eastAsia"/>
              </w:rPr>
              <w:t>位于项目东南侧，</w:t>
            </w:r>
            <w:r>
              <w:rPr>
                <w:rFonts w:hint="eastAsia"/>
                <w:szCs w:val="24"/>
              </w:rPr>
              <w:t>1层，砖混结构，占地面积为</w:t>
            </w:r>
            <w:r>
              <w:rPr>
                <w:szCs w:val="24"/>
              </w:rPr>
              <w:t>18.5</w:t>
            </w:r>
            <w:r>
              <w:rPr>
                <w:rFonts w:hint="eastAsia"/>
              </w:rPr>
              <w:t>m</w:t>
            </w:r>
            <w:r>
              <w:rPr>
                <w:rFonts w:hint="eastAsia"/>
                <w:vertAlign w:val="superscript"/>
              </w:rPr>
              <w:t>2</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t>生活垃圾</w:t>
            </w:r>
            <w:r>
              <w:rPr>
                <w:rFonts w:hint="eastAsia"/>
              </w:rPr>
              <w:t>、</w:t>
            </w:r>
            <w:r>
              <w:t>食堂废水</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adjustRightInd w:val="0"/>
              <w:snapToGrid w:val="0"/>
              <w:spacing w:line="280" w:lineRule="exact"/>
              <w:ind w:firstLine="0" w:firstLineChars="0"/>
              <w:jc w:val="center"/>
            </w:pPr>
            <w:r>
              <w:rPr>
                <w:rFonts w:hint="eastAsia"/>
              </w:rPr>
              <w:t>员工宿舍</w:t>
            </w:r>
          </w:p>
        </w:tc>
        <w:tc>
          <w:tcPr>
            <w:tcW w:w="3994" w:type="dxa"/>
            <w:vAlign w:val="center"/>
          </w:tcPr>
          <w:p>
            <w:pPr>
              <w:adjustRightInd w:val="0"/>
              <w:snapToGrid w:val="0"/>
              <w:spacing w:line="280" w:lineRule="exact"/>
              <w:ind w:firstLine="0" w:firstLineChars="0"/>
              <w:jc w:val="center"/>
            </w:pPr>
            <w:r>
              <w:rPr>
                <w:rFonts w:hint="eastAsia"/>
              </w:rPr>
              <w:t>位于项目东南侧，</w:t>
            </w:r>
            <w:r>
              <w:rPr>
                <w:rFonts w:hint="eastAsia"/>
                <w:szCs w:val="24"/>
              </w:rPr>
              <w:t>1层，砖混结构，占地面积为</w:t>
            </w:r>
            <w:r>
              <w:rPr>
                <w:szCs w:val="24"/>
              </w:rPr>
              <w:t>83.62</w:t>
            </w:r>
            <w:r>
              <w:rPr>
                <w:rFonts w:hint="eastAsia"/>
              </w:rPr>
              <w:t>m</w:t>
            </w:r>
            <w:r>
              <w:rPr>
                <w:rFonts w:hint="eastAsia"/>
                <w:vertAlign w:val="superscript"/>
              </w:rPr>
              <w:t>2</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t>生活垃圾</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adjustRightInd w:val="0"/>
              <w:snapToGrid w:val="0"/>
              <w:spacing w:line="280" w:lineRule="exact"/>
              <w:ind w:firstLine="0" w:firstLineChars="0"/>
              <w:jc w:val="center"/>
            </w:pPr>
            <w:r>
              <w:rPr>
                <w:rFonts w:hint="eastAsia"/>
              </w:rPr>
              <w:t>值班室</w:t>
            </w:r>
          </w:p>
        </w:tc>
        <w:tc>
          <w:tcPr>
            <w:tcW w:w="3994" w:type="dxa"/>
            <w:vAlign w:val="center"/>
          </w:tcPr>
          <w:p>
            <w:pPr>
              <w:adjustRightInd w:val="0"/>
              <w:snapToGrid w:val="0"/>
              <w:spacing w:line="280" w:lineRule="exact"/>
              <w:ind w:firstLine="0" w:firstLineChars="0"/>
              <w:jc w:val="center"/>
            </w:pPr>
            <w:r>
              <w:rPr>
                <w:rFonts w:hint="eastAsia"/>
              </w:rPr>
              <w:t>位于项目东南侧，</w:t>
            </w:r>
            <w:r>
              <w:rPr>
                <w:rFonts w:hint="eastAsia"/>
                <w:szCs w:val="24"/>
              </w:rPr>
              <w:t>1层，砖混结构，占地面积为</w:t>
            </w:r>
            <w:r>
              <w:rPr>
                <w:szCs w:val="24"/>
              </w:rPr>
              <w:t>12.21</w:t>
            </w:r>
            <w:r>
              <w:rPr>
                <w:rFonts w:hint="eastAsia"/>
              </w:rPr>
              <w:t>m</w:t>
            </w:r>
            <w:r>
              <w:rPr>
                <w:rFonts w:hint="eastAsia"/>
                <w:vertAlign w:val="superscript"/>
              </w:rPr>
              <w:t>2</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t>生活垃圾</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adjustRightInd w:val="0"/>
              <w:snapToGrid w:val="0"/>
              <w:spacing w:line="280" w:lineRule="exact"/>
              <w:ind w:firstLine="0" w:firstLineChars="0"/>
              <w:jc w:val="center"/>
            </w:pPr>
            <w:r>
              <w:rPr>
                <w:rFonts w:hint="eastAsia"/>
              </w:rPr>
              <w:t>卫生间</w:t>
            </w:r>
          </w:p>
        </w:tc>
        <w:tc>
          <w:tcPr>
            <w:tcW w:w="3994" w:type="dxa"/>
            <w:vAlign w:val="center"/>
          </w:tcPr>
          <w:p>
            <w:pPr>
              <w:adjustRightInd w:val="0"/>
              <w:snapToGrid w:val="0"/>
              <w:spacing w:line="280" w:lineRule="exact"/>
              <w:ind w:firstLine="0" w:firstLineChars="0"/>
              <w:jc w:val="center"/>
            </w:pPr>
            <w:r>
              <w:rPr>
                <w:rFonts w:hint="eastAsia"/>
              </w:rPr>
              <w:t>位于项目东南侧，</w:t>
            </w:r>
            <w:r>
              <w:rPr>
                <w:rFonts w:hint="eastAsia"/>
                <w:szCs w:val="24"/>
              </w:rPr>
              <w:t>1层，砖混结构，占地面积为</w:t>
            </w:r>
            <w:r>
              <w:rPr>
                <w:szCs w:val="24"/>
              </w:rPr>
              <w:t>10</w:t>
            </w:r>
            <w:r>
              <w:rPr>
                <w:rFonts w:hint="eastAsia"/>
              </w:rPr>
              <w:t>m</w:t>
            </w:r>
            <w:r>
              <w:rPr>
                <w:rFonts w:hint="eastAsia"/>
                <w:vertAlign w:val="superscript"/>
              </w:rPr>
              <w:t>2</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t>生活垃圾</w:t>
            </w:r>
            <w:r>
              <w:rPr>
                <w:rFonts w:hint="eastAsia"/>
              </w:rPr>
              <w:t>、</w:t>
            </w:r>
            <w:r>
              <w:t>生活污水</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adjustRightInd w:val="0"/>
              <w:snapToGrid w:val="0"/>
              <w:spacing w:line="280" w:lineRule="exact"/>
              <w:ind w:firstLine="0" w:firstLineChars="0"/>
              <w:jc w:val="center"/>
            </w:pPr>
            <w:r>
              <w:rPr>
                <w:rFonts w:hint="eastAsia"/>
              </w:rPr>
              <w:t>备件库</w:t>
            </w:r>
          </w:p>
        </w:tc>
        <w:tc>
          <w:tcPr>
            <w:tcW w:w="3994" w:type="dxa"/>
            <w:vAlign w:val="center"/>
          </w:tcPr>
          <w:p>
            <w:pPr>
              <w:adjustRightInd w:val="0"/>
              <w:snapToGrid w:val="0"/>
              <w:spacing w:line="280" w:lineRule="exact"/>
              <w:ind w:firstLine="0" w:firstLineChars="0"/>
              <w:jc w:val="center"/>
            </w:pPr>
            <w:r>
              <w:rPr>
                <w:rFonts w:hint="eastAsia"/>
              </w:rPr>
              <w:t>位于项目东南侧，</w:t>
            </w:r>
            <w:r>
              <w:rPr>
                <w:rFonts w:hint="eastAsia"/>
                <w:szCs w:val="24"/>
              </w:rPr>
              <w:t>1层，砖混结构，占地面积为</w:t>
            </w:r>
            <w:r>
              <w:rPr>
                <w:szCs w:val="24"/>
              </w:rPr>
              <w:t>25</w:t>
            </w:r>
            <w:r>
              <w:rPr>
                <w:rFonts w:hint="eastAsia"/>
              </w:rPr>
              <w:t>m</w:t>
            </w:r>
            <w:r>
              <w:rPr>
                <w:rFonts w:hint="eastAsia"/>
                <w:vertAlign w:val="superscript"/>
              </w:rPr>
              <w:t>2</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rPr>
                <w:rFonts w:hint="eastAsia"/>
              </w:rPr>
              <w:t>/</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adjustRightInd w:val="0"/>
              <w:snapToGrid w:val="0"/>
              <w:spacing w:line="280" w:lineRule="exact"/>
              <w:ind w:firstLine="0" w:firstLineChars="0"/>
              <w:jc w:val="center"/>
            </w:pPr>
            <w:r>
              <w:t>配电室</w:t>
            </w:r>
          </w:p>
        </w:tc>
        <w:tc>
          <w:tcPr>
            <w:tcW w:w="3994" w:type="dxa"/>
            <w:vAlign w:val="center"/>
          </w:tcPr>
          <w:p>
            <w:pPr>
              <w:adjustRightInd w:val="0"/>
              <w:snapToGrid w:val="0"/>
              <w:spacing w:line="280" w:lineRule="exact"/>
              <w:ind w:firstLine="0" w:firstLineChars="0"/>
              <w:jc w:val="center"/>
            </w:pPr>
            <w:r>
              <w:rPr>
                <w:rFonts w:hint="eastAsia"/>
              </w:rPr>
              <w:t>位于项目东南侧，</w:t>
            </w:r>
            <w:r>
              <w:rPr>
                <w:rFonts w:hint="eastAsia"/>
                <w:szCs w:val="24"/>
              </w:rPr>
              <w:t>1层，砖混结构，占地面积为</w:t>
            </w:r>
            <w:r>
              <w:rPr>
                <w:szCs w:val="24"/>
              </w:rPr>
              <w:t>25.65</w:t>
            </w:r>
            <w:r>
              <w:rPr>
                <w:rFonts w:hint="eastAsia"/>
              </w:rPr>
              <w:t>m</w:t>
            </w:r>
            <w:r>
              <w:rPr>
                <w:rFonts w:hint="eastAsia"/>
                <w:vertAlign w:val="superscript"/>
              </w:rPr>
              <w:t>2</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rPr>
                <w:rFonts w:hint="eastAsia"/>
              </w:rPr>
              <w:t>/</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adjustRightInd w:val="0"/>
              <w:snapToGrid w:val="0"/>
              <w:spacing w:line="280" w:lineRule="exact"/>
              <w:ind w:firstLine="0" w:firstLineChars="0"/>
              <w:jc w:val="center"/>
            </w:pPr>
            <w:r>
              <w:t>消防泵房</w:t>
            </w:r>
          </w:p>
        </w:tc>
        <w:tc>
          <w:tcPr>
            <w:tcW w:w="3994" w:type="dxa"/>
            <w:vAlign w:val="center"/>
          </w:tcPr>
          <w:p>
            <w:pPr>
              <w:adjustRightInd w:val="0"/>
              <w:snapToGrid w:val="0"/>
              <w:spacing w:line="280" w:lineRule="exact"/>
              <w:ind w:firstLine="0" w:firstLineChars="0"/>
              <w:jc w:val="center"/>
            </w:pPr>
            <w:r>
              <w:rPr>
                <w:rFonts w:hint="eastAsia"/>
              </w:rPr>
              <w:t>位于项目东南侧，</w:t>
            </w:r>
            <w:r>
              <w:rPr>
                <w:rFonts w:hint="eastAsia"/>
                <w:szCs w:val="24"/>
              </w:rPr>
              <w:t>1层，砖混结构，占地面积为</w:t>
            </w:r>
            <w:r>
              <w:rPr>
                <w:szCs w:val="24"/>
              </w:rPr>
              <w:t>26.21</w:t>
            </w:r>
            <w:r>
              <w:rPr>
                <w:rFonts w:hint="eastAsia"/>
              </w:rPr>
              <w:t>m</w:t>
            </w:r>
            <w:r>
              <w:rPr>
                <w:rFonts w:hint="eastAsia"/>
                <w:vertAlign w:val="superscript"/>
              </w:rPr>
              <w:t>2</w:t>
            </w:r>
          </w:p>
        </w:tc>
        <w:tc>
          <w:tcPr>
            <w:tcW w:w="1060" w:type="dxa"/>
            <w:vMerge/>
            <w:vAlign w:val="center"/>
          </w:tcPr>
          <w:p>
            <w:pPr>
              <w:pStyle w:val="113"/>
              <w:adjustRightInd w:val="0"/>
              <w:snapToGrid w:val="0"/>
              <w:spacing w:line="280" w:lineRule="exact"/>
              <w:jc w:val="center"/>
            </w:pPr>
          </w:p>
        </w:tc>
        <w:tc>
          <w:tcPr>
            <w:tcW w:w="1062" w:type="dxa"/>
            <w:vAlign w:val="center"/>
          </w:tcPr>
          <w:p>
            <w:pPr>
              <w:adjustRightInd w:val="0"/>
              <w:snapToGrid w:val="0"/>
              <w:spacing w:line="280" w:lineRule="exact"/>
              <w:ind w:firstLine="0" w:firstLineChars="0"/>
              <w:jc w:val="center"/>
            </w:pPr>
            <w:r>
              <w:rPr>
                <w:rFonts w:hint="eastAsia"/>
              </w:rPr>
              <w:t>/</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adjustRightInd w:val="0"/>
              <w:snapToGrid w:val="0"/>
              <w:spacing w:line="280" w:lineRule="exact"/>
              <w:ind w:firstLine="0" w:firstLineChars="0"/>
              <w:jc w:val="center"/>
            </w:pPr>
            <w:r>
              <w:t>消防水池</w:t>
            </w:r>
          </w:p>
        </w:tc>
        <w:tc>
          <w:tcPr>
            <w:tcW w:w="3994" w:type="dxa"/>
            <w:vAlign w:val="center"/>
          </w:tcPr>
          <w:p>
            <w:pPr>
              <w:adjustRightInd w:val="0"/>
              <w:snapToGrid w:val="0"/>
              <w:spacing w:line="280" w:lineRule="exact"/>
              <w:ind w:firstLine="0" w:firstLineChars="0"/>
              <w:jc w:val="center"/>
            </w:pPr>
            <w:r>
              <w:rPr>
                <w:rFonts w:hint="eastAsia"/>
              </w:rPr>
              <w:t>位于项目西南侧，</w:t>
            </w:r>
            <w:r>
              <w:t>砖混结构</w:t>
            </w:r>
            <w:r>
              <w:rPr>
                <w:rFonts w:hint="eastAsia"/>
              </w:rPr>
              <w:t>，</w:t>
            </w:r>
            <w:r>
              <w:t>水泥抹面</w:t>
            </w:r>
            <w:r>
              <w:rPr>
                <w:rFonts w:hint="eastAsia"/>
              </w:rPr>
              <w:t>，尺寸：13m×</w:t>
            </w:r>
            <w:r>
              <w:t>3.5</w:t>
            </w:r>
            <w:r>
              <w:rPr>
                <w:rFonts w:hint="eastAsia"/>
              </w:rPr>
              <w:t>m×</w:t>
            </w:r>
            <w:r>
              <w:t>4.4</w:t>
            </w:r>
            <w:r>
              <w:rPr>
                <w:rFonts w:hint="eastAsia"/>
              </w:rPr>
              <w:t>m，容积为2</w:t>
            </w:r>
            <w:r>
              <w:t>00</w:t>
            </w:r>
            <w:r>
              <w:rPr>
                <w:rFonts w:hint="eastAsia"/>
              </w:rPr>
              <w:t>m</w:t>
            </w:r>
            <w:r>
              <w:rPr>
                <w:rFonts w:hint="eastAsia"/>
                <w:vertAlign w:val="superscript"/>
              </w:rPr>
              <w:t>3</w:t>
            </w:r>
          </w:p>
        </w:tc>
        <w:tc>
          <w:tcPr>
            <w:tcW w:w="1060" w:type="dxa"/>
            <w:vMerge/>
            <w:vAlign w:val="center"/>
          </w:tcPr>
          <w:p>
            <w:pPr>
              <w:pStyle w:val="113"/>
              <w:adjustRightInd w:val="0"/>
              <w:snapToGrid w:val="0"/>
              <w:spacing w:line="280" w:lineRule="exact"/>
              <w:jc w:val="center"/>
            </w:pPr>
          </w:p>
        </w:tc>
        <w:tc>
          <w:tcPr>
            <w:tcW w:w="1062" w:type="dxa"/>
            <w:vAlign w:val="center"/>
          </w:tcPr>
          <w:p>
            <w:pPr>
              <w:adjustRightInd w:val="0"/>
              <w:snapToGrid w:val="0"/>
              <w:spacing w:line="280" w:lineRule="exact"/>
              <w:ind w:firstLine="0" w:firstLineChars="0"/>
              <w:jc w:val="center"/>
            </w:pPr>
            <w:r>
              <w:rPr>
                <w:rFonts w:hint="eastAsia"/>
              </w:rPr>
              <w:t>/</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adjustRightInd w:val="0"/>
              <w:snapToGrid w:val="0"/>
              <w:spacing w:line="280" w:lineRule="exact"/>
              <w:ind w:firstLine="0" w:firstLineChars="0"/>
              <w:jc w:val="center"/>
            </w:pPr>
            <w:r>
              <w:t>事故水池</w:t>
            </w:r>
          </w:p>
        </w:tc>
        <w:tc>
          <w:tcPr>
            <w:tcW w:w="3994" w:type="dxa"/>
            <w:vAlign w:val="center"/>
          </w:tcPr>
          <w:p>
            <w:pPr>
              <w:adjustRightInd w:val="0"/>
              <w:snapToGrid w:val="0"/>
              <w:spacing w:line="280" w:lineRule="exact"/>
              <w:ind w:firstLine="0" w:firstLineChars="0"/>
              <w:jc w:val="center"/>
            </w:pPr>
            <w:r>
              <w:rPr>
                <w:rFonts w:hint="eastAsia"/>
              </w:rPr>
              <w:t>位于项目西南侧，</w:t>
            </w:r>
            <w:r>
              <w:t>砖混结构</w:t>
            </w:r>
            <w:r>
              <w:rPr>
                <w:rFonts w:hint="eastAsia"/>
              </w:rPr>
              <w:t>，</w:t>
            </w:r>
            <w:r>
              <w:t>水泥抹面</w:t>
            </w:r>
            <w:r>
              <w:rPr>
                <w:rFonts w:hint="eastAsia"/>
              </w:rPr>
              <w:t>，尺寸：13m×</w:t>
            </w:r>
            <w:r>
              <w:t>3.33</w:t>
            </w:r>
            <w:r>
              <w:rPr>
                <w:rFonts w:hint="eastAsia"/>
              </w:rPr>
              <w:t>m×</w:t>
            </w:r>
            <w:r>
              <w:t>4.4</w:t>
            </w:r>
            <w:r>
              <w:rPr>
                <w:rFonts w:hint="eastAsia"/>
              </w:rPr>
              <w:t>m，容积为</w:t>
            </w:r>
            <w:r>
              <w:t>190</w:t>
            </w:r>
            <w:r>
              <w:rPr>
                <w:rFonts w:hint="eastAsia"/>
              </w:rPr>
              <w:t>m</w:t>
            </w:r>
            <w:r>
              <w:rPr>
                <w:rFonts w:hint="eastAsia"/>
                <w:vertAlign w:val="superscript"/>
              </w:rPr>
              <w:t>3</w:t>
            </w:r>
          </w:p>
        </w:tc>
        <w:tc>
          <w:tcPr>
            <w:tcW w:w="1060" w:type="dxa"/>
            <w:vMerge/>
            <w:vAlign w:val="center"/>
          </w:tcPr>
          <w:p>
            <w:pPr>
              <w:pStyle w:val="113"/>
              <w:adjustRightInd w:val="0"/>
              <w:snapToGrid w:val="0"/>
              <w:spacing w:line="280" w:lineRule="exact"/>
              <w:jc w:val="center"/>
            </w:pPr>
          </w:p>
        </w:tc>
        <w:tc>
          <w:tcPr>
            <w:tcW w:w="1062" w:type="dxa"/>
            <w:vAlign w:val="center"/>
          </w:tcPr>
          <w:p>
            <w:pPr>
              <w:adjustRightInd w:val="0"/>
              <w:snapToGrid w:val="0"/>
              <w:spacing w:line="280" w:lineRule="exact"/>
              <w:ind w:firstLine="0" w:firstLineChars="0"/>
              <w:jc w:val="center"/>
            </w:pPr>
            <w:r>
              <w:rPr>
                <w:rFonts w:hint="eastAsia"/>
              </w:rPr>
              <w:t>事故废水</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restart"/>
            <w:vAlign w:val="center"/>
          </w:tcPr>
          <w:p>
            <w:pPr>
              <w:pStyle w:val="113"/>
              <w:adjustRightInd w:val="0"/>
              <w:snapToGrid w:val="0"/>
              <w:spacing w:line="280" w:lineRule="exact"/>
              <w:jc w:val="center"/>
            </w:pPr>
            <w:r>
              <w:t>公用工程</w:t>
            </w:r>
          </w:p>
        </w:tc>
        <w:tc>
          <w:tcPr>
            <w:tcW w:w="1450" w:type="dxa"/>
            <w:gridSpan w:val="2"/>
            <w:vAlign w:val="center"/>
          </w:tcPr>
          <w:p>
            <w:pPr>
              <w:adjustRightInd w:val="0"/>
              <w:snapToGrid w:val="0"/>
              <w:spacing w:line="280" w:lineRule="exact"/>
              <w:ind w:firstLine="0" w:firstLineChars="0"/>
              <w:jc w:val="center"/>
            </w:pPr>
            <w:r>
              <w:t>供水</w:t>
            </w:r>
          </w:p>
        </w:tc>
        <w:tc>
          <w:tcPr>
            <w:tcW w:w="3994" w:type="dxa"/>
            <w:vAlign w:val="center"/>
          </w:tcPr>
          <w:p>
            <w:pPr>
              <w:adjustRightInd w:val="0"/>
              <w:snapToGrid w:val="0"/>
              <w:spacing w:line="280" w:lineRule="exact"/>
              <w:ind w:firstLine="0" w:firstLineChars="0"/>
              <w:jc w:val="center"/>
            </w:pPr>
            <w:r>
              <w:t>市政供水管网</w:t>
            </w:r>
          </w:p>
        </w:tc>
        <w:tc>
          <w:tcPr>
            <w:tcW w:w="1060" w:type="dxa"/>
            <w:vMerge/>
            <w:vAlign w:val="center"/>
          </w:tcPr>
          <w:p>
            <w:pPr>
              <w:pStyle w:val="113"/>
              <w:adjustRightInd w:val="0"/>
              <w:snapToGrid w:val="0"/>
              <w:spacing w:line="280" w:lineRule="exact"/>
              <w:jc w:val="center"/>
            </w:pPr>
          </w:p>
        </w:tc>
        <w:tc>
          <w:tcPr>
            <w:tcW w:w="1062" w:type="dxa"/>
            <w:vAlign w:val="center"/>
          </w:tcPr>
          <w:p>
            <w:pPr>
              <w:adjustRightInd w:val="0"/>
              <w:snapToGrid w:val="0"/>
              <w:spacing w:line="280" w:lineRule="exact"/>
              <w:ind w:firstLine="0" w:firstLineChars="0"/>
              <w:jc w:val="center"/>
            </w:pPr>
            <w:r>
              <w:rPr>
                <w:rFonts w:hint="eastAsia"/>
              </w:rPr>
              <w:t>/</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adjustRightInd w:val="0"/>
              <w:snapToGrid w:val="0"/>
              <w:spacing w:line="280" w:lineRule="exact"/>
              <w:ind w:firstLine="0" w:firstLineChars="0"/>
              <w:jc w:val="center"/>
            </w:pPr>
            <w:r>
              <w:t>供电</w:t>
            </w:r>
          </w:p>
        </w:tc>
        <w:tc>
          <w:tcPr>
            <w:tcW w:w="3994" w:type="dxa"/>
            <w:vAlign w:val="center"/>
          </w:tcPr>
          <w:p>
            <w:pPr>
              <w:adjustRightInd w:val="0"/>
              <w:snapToGrid w:val="0"/>
              <w:spacing w:line="280" w:lineRule="exact"/>
              <w:ind w:firstLine="0" w:firstLineChars="0"/>
              <w:jc w:val="center"/>
            </w:pPr>
            <w:r>
              <w:t>市政电网</w:t>
            </w:r>
            <w:r>
              <w:rPr>
                <w:rFonts w:hint="eastAsia"/>
              </w:rPr>
              <w:t>、</w:t>
            </w:r>
            <w:r>
              <w:t>柴油发电机</w:t>
            </w:r>
          </w:p>
        </w:tc>
        <w:tc>
          <w:tcPr>
            <w:tcW w:w="1060" w:type="dxa"/>
            <w:vMerge/>
            <w:vAlign w:val="center"/>
          </w:tcPr>
          <w:p>
            <w:pPr>
              <w:pStyle w:val="113"/>
              <w:adjustRightInd w:val="0"/>
              <w:snapToGrid w:val="0"/>
              <w:spacing w:line="280" w:lineRule="exact"/>
              <w:jc w:val="center"/>
            </w:pPr>
          </w:p>
        </w:tc>
        <w:tc>
          <w:tcPr>
            <w:tcW w:w="1062" w:type="dxa"/>
            <w:vAlign w:val="center"/>
          </w:tcPr>
          <w:p>
            <w:pPr>
              <w:adjustRightInd w:val="0"/>
              <w:snapToGrid w:val="0"/>
              <w:spacing w:line="280" w:lineRule="exact"/>
              <w:ind w:firstLine="0" w:firstLineChars="0"/>
              <w:jc w:val="center"/>
            </w:pPr>
            <w:r>
              <w:rPr>
                <w:rFonts w:hint="eastAsia"/>
              </w:rPr>
              <w:t>/</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restart"/>
            <w:vAlign w:val="center"/>
          </w:tcPr>
          <w:p>
            <w:pPr>
              <w:pStyle w:val="113"/>
              <w:adjustRightInd w:val="0"/>
              <w:snapToGrid w:val="0"/>
              <w:spacing w:line="280" w:lineRule="exact"/>
              <w:jc w:val="center"/>
            </w:pPr>
            <w:r>
              <w:t>环保工程</w:t>
            </w:r>
          </w:p>
        </w:tc>
        <w:tc>
          <w:tcPr>
            <w:tcW w:w="725" w:type="dxa"/>
            <w:vAlign w:val="center"/>
          </w:tcPr>
          <w:p>
            <w:pPr>
              <w:adjustRightInd w:val="0"/>
              <w:snapToGrid w:val="0"/>
              <w:spacing w:line="280" w:lineRule="exact"/>
              <w:ind w:firstLine="0" w:firstLineChars="0"/>
              <w:jc w:val="center"/>
            </w:pPr>
            <w:r>
              <w:t>废气</w:t>
            </w:r>
          </w:p>
        </w:tc>
        <w:tc>
          <w:tcPr>
            <w:tcW w:w="725" w:type="dxa"/>
            <w:vAlign w:val="center"/>
          </w:tcPr>
          <w:p>
            <w:pPr>
              <w:adjustRightInd w:val="0"/>
              <w:snapToGrid w:val="0"/>
              <w:spacing w:line="280" w:lineRule="exact"/>
              <w:ind w:firstLine="0" w:firstLineChars="0"/>
              <w:jc w:val="center"/>
            </w:pPr>
            <w:r>
              <w:t>食堂油烟</w:t>
            </w:r>
          </w:p>
        </w:tc>
        <w:tc>
          <w:tcPr>
            <w:tcW w:w="3994" w:type="dxa"/>
            <w:vAlign w:val="center"/>
          </w:tcPr>
          <w:p>
            <w:pPr>
              <w:adjustRightInd w:val="0"/>
              <w:snapToGrid w:val="0"/>
              <w:spacing w:line="280" w:lineRule="exact"/>
              <w:ind w:firstLine="0" w:firstLineChars="0"/>
              <w:jc w:val="center"/>
            </w:pPr>
            <w:r>
              <w:rPr>
                <w:rFonts w:eastAsia="瀹嬩綋" w:hint="eastAsia"/>
              </w:rPr>
              <w:t>设置油烟净化器，食堂油烟经油烟净化器处理后直接引至屋顶排放</w:t>
            </w:r>
          </w:p>
        </w:tc>
        <w:tc>
          <w:tcPr>
            <w:tcW w:w="1060" w:type="dxa"/>
            <w:vMerge/>
            <w:vAlign w:val="center"/>
          </w:tcPr>
          <w:p>
            <w:pPr>
              <w:pStyle w:val="113"/>
              <w:adjustRightInd w:val="0"/>
              <w:snapToGrid w:val="0"/>
              <w:spacing w:line="280" w:lineRule="exact"/>
              <w:jc w:val="center"/>
            </w:pPr>
          </w:p>
        </w:tc>
        <w:tc>
          <w:tcPr>
            <w:tcW w:w="1062" w:type="dxa"/>
            <w:vAlign w:val="center"/>
          </w:tcPr>
          <w:p>
            <w:pPr>
              <w:adjustRightInd w:val="0"/>
              <w:snapToGrid w:val="0"/>
              <w:spacing w:line="280" w:lineRule="exact"/>
              <w:ind w:firstLine="0" w:firstLineChars="0"/>
              <w:jc w:val="center"/>
            </w:pPr>
            <w:r>
              <w:rPr>
                <w:rFonts w:hint="eastAsia"/>
              </w:rPr>
              <w:t>食堂油烟</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725" w:type="dxa"/>
            <w:vMerge w:val="restart"/>
            <w:vAlign w:val="center"/>
          </w:tcPr>
          <w:p>
            <w:pPr>
              <w:pStyle w:val="113"/>
              <w:adjustRightInd w:val="0"/>
              <w:snapToGrid w:val="0"/>
              <w:spacing w:line="280" w:lineRule="exact"/>
              <w:jc w:val="center"/>
            </w:pPr>
            <w:r>
              <w:t>废水</w:t>
            </w:r>
          </w:p>
        </w:tc>
        <w:tc>
          <w:tcPr>
            <w:tcW w:w="725" w:type="dxa"/>
            <w:vAlign w:val="center"/>
          </w:tcPr>
          <w:p>
            <w:pPr>
              <w:pStyle w:val="113"/>
              <w:adjustRightInd w:val="0"/>
              <w:snapToGrid w:val="0"/>
              <w:spacing w:line="280" w:lineRule="exact"/>
              <w:jc w:val="center"/>
            </w:pPr>
            <w:r>
              <w:rPr>
                <w:rFonts w:hint="eastAsia"/>
              </w:rPr>
              <w:t>食堂</w:t>
            </w:r>
            <w:r>
              <w:t>废水</w:t>
            </w:r>
          </w:p>
        </w:tc>
        <w:tc>
          <w:tcPr>
            <w:tcW w:w="3994" w:type="dxa"/>
            <w:vAlign w:val="center"/>
          </w:tcPr>
          <w:p>
            <w:pPr>
              <w:pStyle w:val="113"/>
              <w:adjustRightInd w:val="0"/>
              <w:snapToGrid w:val="0"/>
              <w:spacing w:line="280" w:lineRule="exact"/>
              <w:jc w:val="center"/>
              <w:rPr>
                <w:rFonts w:eastAsia="瀹嬩綋"/>
              </w:rPr>
            </w:pPr>
            <w:r>
              <w:rPr>
                <w:rFonts w:eastAsia="瀹嬩綋" w:hint="eastAsia"/>
              </w:rPr>
              <w:t>食堂废水出口处设置隔油装置（0.5m</w:t>
            </w:r>
            <w:r>
              <w:rPr>
                <w:rFonts w:eastAsia="瀹嬩綋" w:hint="eastAsia"/>
                <w:vertAlign w:val="superscript"/>
              </w:rPr>
              <w:t>3</w:t>
            </w:r>
            <w:r>
              <w:rPr>
                <w:rFonts w:eastAsia="瀹嬩綋" w:hint="eastAsia"/>
              </w:rPr>
              <w:t>），经隔油处理后同生活污水一同经化粪池（</w:t>
            </w:r>
            <w:r>
              <w:rPr>
                <w:rFonts w:eastAsia="瀹嬩綋"/>
              </w:rPr>
              <w:t>20.28</w:t>
            </w:r>
            <w:r>
              <w:rPr>
                <w:rFonts w:eastAsia="瀹嬩綋" w:hint="eastAsia"/>
              </w:rPr>
              <w:t>m</w:t>
            </w:r>
            <w:r>
              <w:rPr>
                <w:rFonts w:eastAsia="瀹嬩綋" w:hint="eastAsia"/>
                <w:vertAlign w:val="superscript"/>
              </w:rPr>
              <w:t>3</w:t>
            </w:r>
            <w:r>
              <w:rPr>
                <w:rFonts w:eastAsia="瀹嬩綋" w:hint="eastAsia"/>
              </w:rPr>
              <w:t>）处理后定期（约每周）由周边农户清掏用于其农地施肥。</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rPr>
                <w:rFonts w:hint="eastAsia"/>
              </w:rPr>
              <w:t>隔油装置油泥</w:t>
            </w:r>
          </w:p>
        </w:tc>
        <w:tc>
          <w:tcPr>
            <w:tcW w:w="832" w:type="dxa"/>
            <w:vAlign w:val="center"/>
          </w:tcPr>
          <w:p>
            <w:pPr>
              <w:pStyle w:val="113"/>
              <w:adjustRightInd w:val="0"/>
              <w:snapToGrid w:val="0"/>
              <w:spacing w:line="280" w:lineRule="exact"/>
              <w:jc w:val="center"/>
            </w:pPr>
            <w:r>
              <w:t>新建</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725" w:type="dxa"/>
            <w:vMerge/>
            <w:vAlign w:val="center"/>
          </w:tcPr>
          <w:p>
            <w:pPr>
              <w:pStyle w:val="113"/>
              <w:adjustRightInd w:val="0"/>
              <w:snapToGrid w:val="0"/>
              <w:spacing w:line="280" w:lineRule="exact"/>
              <w:jc w:val="center"/>
            </w:pPr>
          </w:p>
        </w:tc>
        <w:tc>
          <w:tcPr>
            <w:tcW w:w="725" w:type="dxa"/>
            <w:vAlign w:val="center"/>
          </w:tcPr>
          <w:p>
            <w:pPr>
              <w:pStyle w:val="113"/>
              <w:adjustRightInd w:val="0"/>
              <w:snapToGrid w:val="0"/>
              <w:spacing w:line="280" w:lineRule="exact"/>
              <w:jc w:val="center"/>
            </w:pPr>
            <w:r>
              <w:t>生活污水</w:t>
            </w:r>
          </w:p>
        </w:tc>
        <w:tc>
          <w:tcPr>
            <w:tcW w:w="3994" w:type="dxa"/>
            <w:vAlign w:val="center"/>
          </w:tcPr>
          <w:p>
            <w:pPr>
              <w:pStyle w:val="113"/>
              <w:adjustRightInd w:val="0"/>
              <w:snapToGrid w:val="0"/>
              <w:spacing w:line="280" w:lineRule="exact"/>
              <w:jc w:val="center"/>
              <w:rPr>
                <w:rFonts w:eastAsia="瀹嬩綋"/>
              </w:rPr>
            </w:pPr>
            <w:r>
              <w:rPr>
                <w:rFonts w:eastAsia="瀹嬩綋" w:hint="eastAsia"/>
              </w:rPr>
              <w:t>经化粪池（</w:t>
            </w:r>
            <w:r>
              <w:rPr>
                <w:rFonts w:eastAsia="瀹嬩綋"/>
              </w:rPr>
              <w:t>20.28</w:t>
            </w:r>
            <w:r>
              <w:rPr>
                <w:rFonts w:eastAsia="瀹嬩綋" w:hint="eastAsia"/>
              </w:rPr>
              <w:t>m</w:t>
            </w:r>
            <w:r>
              <w:rPr>
                <w:rFonts w:eastAsia="瀹嬩綋" w:hint="eastAsia"/>
                <w:vertAlign w:val="superscript"/>
              </w:rPr>
              <w:t>3</w:t>
            </w:r>
            <w:r>
              <w:rPr>
                <w:rFonts w:eastAsia="瀹嬩綋" w:hint="eastAsia"/>
              </w:rPr>
              <w:t>）处理后定期（约每周）由周边农户清掏用于其农地施肥。</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rPr>
                <w:rFonts w:hint="eastAsia"/>
              </w:rPr>
              <w:t>/</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pStyle w:val="113"/>
              <w:adjustRightInd w:val="0"/>
              <w:snapToGrid w:val="0"/>
              <w:spacing w:line="280" w:lineRule="exact"/>
              <w:jc w:val="center"/>
            </w:pPr>
            <w:r>
              <w:t>噪声</w:t>
            </w:r>
          </w:p>
        </w:tc>
        <w:tc>
          <w:tcPr>
            <w:tcW w:w="3994" w:type="dxa"/>
            <w:vAlign w:val="center"/>
          </w:tcPr>
          <w:p>
            <w:pPr>
              <w:pStyle w:val="113"/>
              <w:adjustRightInd w:val="0"/>
              <w:snapToGrid w:val="0"/>
              <w:spacing w:line="280" w:lineRule="exact"/>
              <w:jc w:val="center"/>
              <w:rPr>
                <w:rFonts w:eastAsia="瀹嬩綋"/>
              </w:rPr>
            </w:pPr>
            <w:r>
              <w:rPr>
                <w:rFonts w:eastAsia="瀹嬩綋" w:hint="eastAsia"/>
              </w:rPr>
              <w:t>房间屏蔽、基础减震等措施</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rPr>
                <w:rFonts w:hint="eastAsia"/>
              </w:rPr>
              <w:t>/</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725" w:type="dxa"/>
            <w:vAlign w:val="center"/>
          </w:tcPr>
          <w:p>
            <w:pPr>
              <w:pStyle w:val="113"/>
              <w:adjustRightInd w:val="0"/>
              <w:snapToGrid w:val="0"/>
              <w:spacing w:after="0" w:line="280" w:lineRule="exact"/>
              <w:jc w:val="center"/>
            </w:pPr>
          </w:p>
        </w:tc>
        <w:tc>
          <w:tcPr>
            <w:tcW w:w="725" w:type="dxa"/>
            <w:vAlign w:val="center"/>
          </w:tcPr>
          <w:p>
            <w:pPr>
              <w:pStyle w:val="113"/>
              <w:adjustRightInd w:val="0"/>
              <w:snapToGrid w:val="0"/>
              <w:spacing w:after="0" w:line="280" w:lineRule="exact"/>
              <w:jc w:val="center"/>
            </w:pPr>
          </w:p>
        </w:tc>
        <w:tc>
          <w:tcPr>
            <w:tcW w:w="3994" w:type="dxa"/>
            <w:vAlign w:val="center"/>
          </w:tcPr>
          <w:p>
            <w:pPr>
              <w:pStyle w:val="113"/>
              <w:adjustRightInd w:val="0"/>
              <w:snapToGrid w:val="0"/>
              <w:spacing w:after="0" w:line="280" w:lineRule="exact"/>
              <w:jc w:val="center"/>
              <w:rPr>
                <w:rFonts w:eastAsia="瀹嬩綋"/>
              </w:rPr>
            </w:pP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rPr>
                <w:rFonts w:hint="eastAsia"/>
              </w:rPr>
              <w:t>/</w:t>
            </w:r>
          </w:p>
        </w:tc>
        <w:tc>
          <w:tcPr>
            <w:tcW w:w="832" w:type="dxa"/>
            <w:vAlign w:val="center"/>
          </w:tcPr>
          <w:p>
            <w:pPr>
              <w:pStyle w:val="113"/>
              <w:adjustRightInd w:val="0"/>
              <w:snapToGrid w:val="0"/>
              <w:spacing w:line="280" w:lineRule="exact"/>
              <w:jc w:val="center"/>
            </w:pPr>
            <w:r>
              <w:rPr>
                <w:rFonts w:hint="eastAsia"/>
              </w:rPr>
              <w:t>利旧</w:t>
            </w:r>
          </w:p>
        </w:tc>
      </w:tr>
    </w:tbl>
    <w:p>
      <w:pPr>
        <w:sectPr>
          <w:headerReference w:type="even" r:id="rId134"/>
          <w:headerReference w:type="default" r:id="rId135"/>
          <w:footerReference w:type="even" r:id="rId136"/>
          <w:footerReference w:type="default" r:id="rId137"/>
          <w:headerReference w:type="first" r:id="rId138"/>
          <w:footerReference w:type="first" r:id="rId139"/>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11"/>
          <w:cols w:num="1" w:space="720"/>
          <w:titlePg w:val="0"/>
          <w:docGrid w:type="linesAndChars" w:linePitch="312" w:charSpace="0"/>
        </w:sectPr>
      </w:pPr>
    </w:p>
    <w:p>
      <w:pPr>
        <w:sectPr>
          <w:headerReference w:type="even" r:id="rId140"/>
          <w:headerReference w:type="default" r:id="rId141"/>
          <w:footerReference w:type="even" r:id="rId142"/>
          <w:footerReference w:type="default" r:id="rId143"/>
          <w:headerReference w:type="first" r:id="rId144"/>
          <w:footerReference w:type="first" r:id="rId145"/>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51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117"/>
        <w:gridCol w:w="725"/>
        <w:gridCol w:w="725"/>
        <w:gridCol w:w="3994"/>
        <w:gridCol w:w="1060"/>
        <w:gridCol w:w="1062"/>
        <w:gridCol w:w="832"/>
      </w:tblGrid>
      <w:tr>
        <w:tblPrEx>
          <w:tblW w:w="951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0"/>
          <w:jc w:val="center"/>
        </w:trPr>
        <w:tc>
          <w:tcPr>
            <w:tcW w:w="1117" w:type="dxa"/>
            <w:vMerge w:val="restart"/>
            <w:vAlign w:val="center"/>
          </w:tcPr>
          <w:p/>
        </w:tc>
        <w:tc>
          <w:tcPr>
            <w:tcW w:w="725" w:type="dxa"/>
            <w:vMerge w:val="restart"/>
            <w:vAlign w:val="center"/>
          </w:tcPr>
          <w:p>
            <w:pPr>
              <w:pStyle w:val="113"/>
              <w:adjustRightInd w:val="0"/>
              <w:snapToGrid w:val="0"/>
              <w:spacing w:before="0" w:line="280" w:lineRule="exact"/>
              <w:jc w:val="center"/>
            </w:pPr>
            <w:r>
              <w:t>固体废物</w:t>
            </w:r>
          </w:p>
        </w:tc>
        <w:tc>
          <w:tcPr>
            <w:tcW w:w="725" w:type="dxa"/>
            <w:vAlign w:val="center"/>
          </w:tcPr>
          <w:p>
            <w:pPr>
              <w:pStyle w:val="113"/>
              <w:adjustRightInd w:val="0"/>
              <w:snapToGrid w:val="0"/>
              <w:spacing w:before="0" w:line="280" w:lineRule="exact"/>
              <w:jc w:val="center"/>
            </w:pPr>
            <w:r>
              <w:t>液化石油气残液</w:t>
            </w:r>
          </w:p>
        </w:tc>
        <w:tc>
          <w:tcPr>
            <w:tcW w:w="3994" w:type="dxa"/>
            <w:vAlign w:val="center"/>
          </w:tcPr>
          <w:p>
            <w:pPr>
              <w:pStyle w:val="113"/>
              <w:adjustRightInd w:val="0"/>
              <w:snapToGrid w:val="0"/>
              <w:spacing w:before="0" w:line="280" w:lineRule="exact"/>
              <w:jc w:val="center"/>
              <w:rPr>
                <w:rFonts w:eastAsia="瀹嬩綋"/>
              </w:rPr>
            </w:pPr>
            <w:r>
              <w:rPr>
                <w:rFonts w:eastAsiaTheme="minorEastAsia" w:hAnsiTheme="minorEastAsia" w:hint="eastAsia"/>
              </w:rPr>
              <w:t>暂存于残液罐中，由海南宝来工贸有限公司定期收集处置。</w:t>
            </w:r>
          </w:p>
        </w:tc>
        <w:tc>
          <w:tcPr>
            <w:tcW w:w="1060" w:type="dxa"/>
            <w:vMerge w:val="restart"/>
            <w:vAlign w:val="center"/>
          </w:tcPr>
          <w:p/>
        </w:tc>
        <w:tc>
          <w:tcPr>
            <w:tcW w:w="1062" w:type="dxa"/>
            <w:vAlign w:val="center"/>
          </w:tcPr>
          <w:p/>
        </w:tc>
        <w:tc>
          <w:tcPr>
            <w:tcW w:w="832" w:type="dxa"/>
            <w:vAlign w:val="center"/>
          </w:tcP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725" w:type="dxa"/>
            <w:vMerge/>
            <w:vAlign w:val="center"/>
          </w:tcPr>
          <w:p>
            <w:pPr>
              <w:pStyle w:val="113"/>
              <w:adjustRightInd w:val="0"/>
              <w:snapToGrid w:val="0"/>
              <w:spacing w:line="280" w:lineRule="exact"/>
              <w:jc w:val="center"/>
            </w:pPr>
          </w:p>
        </w:tc>
        <w:tc>
          <w:tcPr>
            <w:tcW w:w="725" w:type="dxa"/>
            <w:vAlign w:val="center"/>
          </w:tcPr>
          <w:p>
            <w:pPr>
              <w:pStyle w:val="113"/>
              <w:adjustRightInd w:val="0"/>
              <w:snapToGrid w:val="0"/>
              <w:spacing w:line="280" w:lineRule="exact"/>
              <w:jc w:val="center"/>
            </w:pPr>
            <w:r>
              <w:t>报废钢瓶</w:t>
            </w:r>
          </w:p>
        </w:tc>
        <w:tc>
          <w:tcPr>
            <w:tcW w:w="3994" w:type="dxa"/>
            <w:vAlign w:val="center"/>
          </w:tcPr>
          <w:p>
            <w:pPr>
              <w:pStyle w:val="113"/>
              <w:adjustRightInd w:val="0"/>
              <w:snapToGrid w:val="0"/>
              <w:spacing w:line="280" w:lineRule="exact"/>
              <w:jc w:val="center"/>
              <w:rPr>
                <w:rFonts w:eastAsia="瀹嬩綋"/>
              </w:rPr>
            </w:pPr>
            <w:r>
              <w:rPr>
                <w:rFonts w:eastAsiaTheme="minorEastAsia" w:hAnsiTheme="minorEastAsia" w:hint="eastAsia"/>
              </w:rPr>
              <w:t>暂存于</w:t>
            </w:r>
            <w:r>
              <w:rPr>
                <w:rFonts w:eastAsiaTheme="minorEastAsia" w:hAnsiTheme="minorEastAsia" w:hint="eastAsia"/>
                <w:bCs/>
              </w:rPr>
              <w:t>报废钢瓶暂存区（</w:t>
            </w:r>
            <w:r>
              <w:rPr>
                <w:rFonts w:eastAsiaTheme="minorEastAsia" w:hAnsiTheme="minorEastAsia"/>
                <w:bCs/>
              </w:rPr>
              <w:t>2</w:t>
            </w:r>
            <w:r>
              <w:rPr>
                <w:rFonts w:eastAsiaTheme="minorEastAsia" w:hAnsiTheme="minorEastAsia" w:hint="eastAsia"/>
                <w:bCs/>
              </w:rPr>
              <w:t>0</w:t>
            </w:r>
            <w:r>
              <w:rPr>
                <w:rFonts w:eastAsiaTheme="minorEastAsia" w:hAnsiTheme="minorEastAsia"/>
                <w:bCs/>
              </w:rPr>
              <w:t>m</w:t>
            </w:r>
            <w:r>
              <w:rPr>
                <w:rFonts w:eastAsiaTheme="minorEastAsia" w:hAnsiTheme="minorEastAsia"/>
                <w:bCs/>
                <w:vertAlign w:val="superscript"/>
              </w:rPr>
              <w:t>2</w:t>
            </w:r>
            <w:r>
              <w:rPr>
                <w:rFonts w:eastAsiaTheme="minorEastAsia" w:hAnsiTheme="minorEastAsia" w:hint="eastAsia"/>
                <w:bCs/>
              </w:rPr>
              <w:t>）</w:t>
            </w:r>
            <w:r>
              <w:rPr>
                <w:rFonts w:eastAsiaTheme="minorEastAsia" w:hAnsiTheme="minorEastAsia" w:hint="eastAsia"/>
              </w:rPr>
              <w:t>，定期交由中国石化销售股份有限公司海口钢瓶检测站检测回收处置</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rPr>
                <w:rFonts w:hint="eastAsia"/>
              </w:rPr>
              <w:t>/</w:t>
            </w:r>
          </w:p>
        </w:tc>
        <w:tc>
          <w:tcPr>
            <w:tcW w:w="832" w:type="dxa"/>
            <w:vAlign w:val="center"/>
          </w:tcPr>
          <w:p>
            <w:pPr>
              <w:pStyle w:val="113"/>
              <w:adjustRightInd w:val="0"/>
              <w:snapToGrid w:val="0"/>
              <w:spacing w:line="280" w:lineRule="exact"/>
              <w:jc w:val="center"/>
            </w:pPr>
            <w:r>
              <w:rPr>
                <w:rFonts w:hint="eastAsia"/>
              </w:rPr>
              <w:t>利</w:t>
            </w:r>
            <w:r>
              <w:t>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725" w:type="dxa"/>
            <w:vMerge/>
            <w:vAlign w:val="center"/>
          </w:tcPr>
          <w:p>
            <w:pPr>
              <w:pStyle w:val="113"/>
              <w:adjustRightInd w:val="0"/>
              <w:snapToGrid w:val="0"/>
              <w:spacing w:line="280" w:lineRule="exact"/>
              <w:jc w:val="center"/>
            </w:pPr>
          </w:p>
        </w:tc>
        <w:tc>
          <w:tcPr>
            <w:tcW w:w="725" w:type="dxa"/>
            <w:vAlign w:val="center"/>
          </w:tcPr>
          <w:p>
            <w:pPr>
              <w:pStyle w:val="113"/>
              <w:adjustRightInd w:val="0"/>
              <w:snapToGrid w:val="0"/>
              <w:spacing w:line="280" w:lineRule="exact"/>
              <w:jc w:val="center"/>
            </w:pPr>
            <w:r>
              <w:rPr>
                <w:rFonts w:hint="eastAsia"/>
              </w:rPr>
              <w:t>隔油装置</w:t>
            </w:r>
            <w:r>
              <w:t>油泥</w:t>
            </w:r>
          </w:p>
        </w:tc>
        <w:tc>
          <w:tcPr>
            <w:tcW w:w="3994" w:type="dxa"/>
            <w:vAlign w:val="center"/>
          </w:tcPr>
          <w:p>
            <w:pPr>
              <w:pStyle w:val="113"/>
              <w:adjustRightInd w:val="0"/>
              <w:snapToGrid w:val="0"/>
              <w:spacing w:line="280" w:lineRule="exact"/>
              <w:jc w:val="center"/>
              <w:rPr>
                <w:rFonts w:eastAsia="瀹嬩綋"/>
              </w:rPr>
            </w:pPr>
            <w:r>
              <w:rPr>
                <w:rFonts w:eastAsiaTheme="minorEastAsia" w:hAnsiTheme="minorEastAsia" w:hint="eastAsia"/>
              </w:rPr>
              <w:t>由有资质的单位定期清掏处置</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rPr>
                <w:rFonts w:hint="eastAsia"/>
              </w:rPr>
              <w:t>/</w:t>
            </w:r>
          </w:p>
        </w:tc>
        <w:tc>
          <w:tcPr>
            <w:tcW w:w="832" w:type="dxa"/>
            <w:vAlign w:val="center"/>
          </w:tcPr>
          <w:p>
            <w:pPr>
              <w:pStyle w:val="113"/>
              <w:adjustRightInd w:val="0"/>
              <w:snapToGrid w:val="0"/>
              <w:spacing w:line="280" w:lineRule="exact"/>
              <w:jc w:val="center"/>
            </w:pPr>
            <w:r>
              <w:t>新建</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725" w:type="dxa"/>
            <w:vMerge/>
            <w:vAlign w:val="center"/>
          </w:tcPr>
          <w:p>
            <w:pPr>
              <w:pStyle w:val="113"/>
              <w:adjustRightInd w:val="0"/>
              <w:snapToGrid w:val="0"/>
              <w:spacing w:line="280" w:lineRule="exact"/>
              <w:jc w:val="center"/>
            </w:pPr>
          </w:p>
        </w:tc>
        <w:tc>
          <w:tcPr>
            <w:tcW w:w="725" w:type="dxa"/>
            <w:vAlign w:val="center"/>
          </w:tcPr>
          <w:p>
            <w:pPr>
              <w:pStyle w:val="113"/>
              <w:adjustRightInd w:val="0"/>
              <w:snapToGrid w:val="0"/>
              <w:spacing w:line="280" w:lineRule="exact"/>
              <w:jc w:val="center"/>
            </w:pPr>
            <w:r>
              <w:t>生活垃圾</w:t>
            </w:r>
          </w:p>
        </w:tc>
        <w:tc>
          <w:tcPr>
            <w:tcW w:w="3994" w:type="dxa"/>
            <w:vAlign w:val="center"/>
          </w:tcPr>
          <w:p>
            <w:pPr>
              <w:pStyle w:val="113"/>
              <w:adjustRightInd w:val="0"/>
              <w:snapToGrid w:val="0"/>
              <w:spacing w:line="280" w:lineRule="exact"/>
              <w:jc w:val="center"/>
              <w:rPr>
                <w:rFonts w:eastAsia="瀹嬩綋"/>
              </w:rPr>
            </w:pPr>
            <w:r>
              <w:rPr>
                <w:rFonts w:hint="eastAsia"/>
                <w:szCs w:val="24"/>
              </w:rPr>
              <w:t>经站区垃圾桶收集后，定期交由当地环卫部门统一清运处理</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rPr>
                <w:rFonts w:hint="eastAsia"/>
              </w:rPr>
              <w:t>/</w:t>
            </w:r>
          </w:p>
        </w:tc>
        <w:tc>
          <w:tcPr>
            <w:tcW w:w="832" w:type="dxa"/>
            <w:vAlign w:val="center"/>
          </w:tcPr>
          <w:p>
            <w:pPr>
              <w:pStyle w:val="113"/>
              <w:adjustRightInd w:val="0"/>
              <w:snapToGrid w:val="0"/>
              <w:spacing w:line="280" w:lineRule="exact"/>
              <w:jc w:val="center"/>
            </w:pPr>
            <w:r>
              <w:rPr>
                <w:rFonts w:hint="eastAsia"/>
              </w:rPr>
              <w:t>利旧</w:t>
            </w:r>
          </w:p>
        </w:tc>
      </w:tr>
      <w:tr>
        <w:tblPrEx>
          <w:tblW w:w="9515" w:type="dxa"/>
          <w:jc w:val="center"/>
          <w:tblLayout w:type="fixed"/>
          <w:tblCellMar>
            <w:top w:w="0" w:type="dxa"/>
            <w:left w:w="108" w:type="dxa"/>
            <w:bottom w:w="0" w:type="dxa"/>
            <w:right w:w="108" w:type="dxa"/>
          </w:tblCellMar>
        </w:tblPrEx>
        <w:trPr>
          <w:trHeight w:val="20"/>
          <w:jc w:val="center"/>
        </w:trPr>
        <w:tc>
          <w:tcPr>
            <w:tcW w:w="1117" w:type="dxa"/>
            <w:vMerge/>
            <w:vAlign w:val="center"/>
          </w:tcPr>
          <w:p>
            <w:pPr>
              <w:pStyle w:val="113"/>
              <w:adjustRightInd w:val="0"/>
              <w:snapToGrid w:val="0"/>
              <w:spacing w:line="280" w:lineRule="exact"/>
              <w:jc w:val="center"/>
            </w:pPr>
          </w:p>
        </w:tc>
        <w:tc>
          <w:tcPr>
            <w:tcW w:w="1450" w:type="dxa"/>
            <w:gridSpan w:val="2"/>
            <w:vAlign w:val="center"/>
          </w:tcPr>
          <w:p>
            <w:pPr>
              <w:pStyle w:val="113"/>
              <w:adjustRightInd w:val="0"/>
              <w:snapToGrid w:val="0"/>
              <w:spacing w:line="280" w:lineRule="exact"/>
              <w:jc w:val="center"/>
            </w:pPr>
            <w:r>
              <w:t>绿化</w:t>
            </w:r>
          </w:p>
        </w:tc>
        <w:tc>
          <w:tcPr>
            <w:tcW w:w="3994" w:type="dxa"/>
            <w:vAlign w:val="center"/>
          </w:tcPr>
          <w:p>
            <w:pPr>
              <w:pStyle w:val="113"/>
              <w:adjustRightInd w:val="0"/>
              <w:snapToGrid w:val="0"/>
              <w:spacing w:line="280" w:lineRule="exact"/>
              <w:jc w:val="center"/>
              <w:rPr>
                <w:rFonts w:eastAsia="瀹嬩綋"/>
              </w:rPr>
            </w:pPr>
            <w:r>
              <w:rPr>
                <w:rFonts w:eastAsia="瀹嬩綋"/>
              </w:rPr>
              <w:t>绿化面积860</w:t>
            </w:r>
            <w:r>
              <w:rPr>
                <w:rFonts w:eastAsia="瀹嬩綋" w:hint="eastAsia"/>
              </w:rPr>
              <w:t>m</w:t>
            </w:r>
            <w:r>
              <w:rPr>
                <w:rFonts w:eastAsia="瀹嬩綋" w:hint="eastAsia"/>
                <w:vertAlign w:val="superscript"/>
              </w:rPr>
              <w:t>2</w:t>
            </w:r>
          </w:p>
        </w:tc>
        <w:tc>
          <w:tcPr>
            <w:tcW w:w="1060" w:type="dxa"/>
            <w:vMerge/>
            <w:vAlign w:val="center"/>
          </w:tcPr>
          <w:p>
            <w:pPr>
              <w:pStyle w:val="113"/>
              <w:adjustRightInd w:val="0"/>
              <w:snapToGrid w:val="0"/>
              <w:spacing w:line="280" w:lineRule="exact"/>
              <w:jc w:val="center"/>
            </w:pPr>
          </w:p>
        </w:tc>
        <w:tc>
          <w:tcPr>
            <w:tcW w:w="1062" w:type="dxa"/>
            <w:vAlign w:val="center"/>
          </w:tcPr>
          <w:p>
            <w:pPr>
              <w:pStyle w:val="113"/>
              <w:adjustRightInd w:val="0"/>
              <w:snapToGrid w:val="0"/>
              <w:spacing w:line="280" w:lineRule="exact"/>
              <w:jc w:val="center"/>
            </w:pPr>
            <w:r>
              <w:rPr>
                <w:rFonts w:hint="eastAsia"/>
              </w:rPr>
              <w:t>/</w:t>
            </w:r>
          </w:p>
        </w:tc>
        <w:tc>
          <w:tcPr>
            <w:tcW w:w="832" w:type="dxa"/>
            <w:vAlign w:val="center"/>
          </w:tcPr>
          <w:p>
            <w:pPr>
              <w:pStyle w:val="113"/>
              <w:adjustRightInd w:val="0"/>
              <w:snapToGrid w:val="0"/>
              <w:spacing w:line="280" w:lineRule="exact"/>
              <w:jc w:val="center"/>
            </w:pPr>
            <w:r>
              <w:rPr>
                <w:rFonts w:hint="eastAsia"/>
              </w:rPr>
              <w:t>利旧</w:t>
            </w:r>
          </w:p>
        </w:tc>
      </w:tr>
    </w:tbl>
    <w:p>
      <w:pPr>
        <w:pStyle w:val="a1"/>
        <w:spacing w:before="156" w:beforeLines="50"/>
        <w:ind w:firstLine="480"/>
        <w:outlineLvl w:val="1"/>
        <w:rPr>
          <w:rFonts w:eastAsia="黑体"/>
        </w:rPr>
      </w:pPr>
      <w:bookmarkStart w:id="16" w:name="_Toc198220712"/>
      <w:bookmarkStart w:id="17" w:name="_Toc414116076"/>
      <w:bookmarkStart w:id="18" w:name="_Toc417566370"/>
      <w:bookmarkStart w:id="19" w:name="_Toc420055983"/>
      <w:bookmarkStart w:id="20" w:name="_Toc417565833"/>
      <w:r>
        <w:rPr>
          <w:rFonts w:eastAsia="黑体" w:hint="eastAsia"/>
        </w:rPr>
        <w:t>4、</w:t>
      </w:r>
      <w:bookmarkEnd w:id="16"/>
      <w:bookmarkEnd w:id="17"/>
      <w:bookmarkEnd w:id="18"/>
      <w:bookmarkEnd w:id="19"/>
      <w:bookmarkEnd w:id="20"/>
      <w:r>
        <w:rPr>
          <w:rFonts w:eastAsia="黑体" w:hint="eastAsia"/>
        </w:rPr>
        <w:t>产品方案、</w:t>
      </w:r>
      <w:r>
        <w:rPr>
          <w:rFonts w:eastAsia="黑体"/>
        </w:rPr>
        <w:t>原辅材料及理化性质</w:t>
      </w:r>
    </w:p>
    <w:p>
      <w:pPr>
        <w:pStyle w:val="a1"/>
        <w:ind w:firstLine="480"/>
      </w:pPr>
      <w:r>
        <w:rPr>
          <w:rFonts w:hint="eastAsia"/>
        </w:rPr>
        <w:t>（1）产品方案及规格</w:t>
      </w:r>
    </w:p>
    <w:p>
      <w:pPr>
        <w:pStyle w:val="a1"/>
        <w:ind w:firstLine="480"/>
      </w:pPr>
      <w:r>
        <w:rPr>
          <w:rFonts w:hint="eastAsia"/>
        </w:rPr>
        <w:t>项目产品主要是液化石油气储配，钢瓶装运，年充装量为2</w:t>
      </w:r>
      <w:r>
        <w:t>0</w:t>
      </w:r>
      <w:r>
        <w:rPr>
          <w:rFonts w:hint="eastAsia"/>
        </w:rPr>
        <w:t>00t/a（钢瓶规格</w:t>
      </w:r>
      <w:r>
        <w:t>有</w:t>
      </w:r>
      <w:r>
        <w:rPr>
          <w:rFonts w:hint="eastAsia"/>
        </w:rPr>
        <w:t>5</w:t>
      </w:r>
      <w:r>
        <w:t>kg</w:t>
      </w:r>
      <w:r>
        <w:rPr>
          <w:rFonts w:hint="eastAsia"/>
        </w:rPr>
        <w:t>、15</w:t>
      </w:r>
      <w:r>
        <w:t>kg、50kg，</w:t>
      </w:r>
      <w:r>
        <w:rPr>
          <w:rFonts w:hint="eastAsia"/>
        </w:rPr>
        <w:t>年充装量约1</w:t>
      </w:r>
      <w:r>
        <w:t>4600</w:t>
      </w:r>
      <w:r>
        <w:rPr>
          <w:rFonts w:hint="eastAsia"/>
        </w:rPr>
        <w:t>0瓶，每瓶充装量平均约</w:t>
      </w:r>
      <w:r>
        <w:t>13.7</w:t>
      </w:r>
      <w:r>
        <w:rPr>
          <w:rFonts w:hint="eastAsia"/>
        </w:rPr>
        <w:t>kg）。</w:t>
      </w:r>
    </w:p>
    <w:p>
      <w:pPr>
        <w:pStyle w:val="a1"/>
        <w:ind w:firstLine="480"/>
      </w:pPr>
      <w:r>
        <w:rPr>
          <w:rFonts w:hint="eastAsia"/>
        </w:rPr>
        <w:t>（2）原辅材料及理化性质</w:t>
      </w:r>
    </w:p>
    <w:p>
      <w:pPr>
        <w:pStyle w:val="a1"/>
        <w:ind w:firstLine="480"/>
      </w:pPr>
      <w:r>
        <w:rPr>
          <w:rFonts w:hint="eastAsia"/>
        </w:rPr>
        <w:t>项目运营期采用槽车运输液化石油气，卸车与灌装采用液化石油气泵或采用压缩机和液化石油气泵组合系统。项目主要原料消耗见表1-8。</w:t>
      </w:r>
    </w:p>
    <w:p>
      <w:pPr>
        <w:pStyle w:val="a1"/>
        <w:ind w:firstLine="0" w:firstLineChars="0"/>
        <w:jc w:val="center"/>
        <w:rPr>
          <w:rFonts w:eastAsia="黑体"/>
          <w:sz w:val="21"/>
          <w:szCs w:val="21"/>
        </w:rPr>
      </w:pPr>
      <w:r>
        <w:rPr>
          <w:rFonts w:eastAsia="黑体"/>
          <w:sz w:val="21"/>
          <w:szCs w:val="21"/>
        </w:rPr>
        <w:t>表1-</w:t>
      </w:r>
      <w:r>
        <w:rPr>
          <w:rFonts w:eastAsia="黑体" w:hint="eastAsia"/>
          <w:sz w:val="21"/>
          <w:szCs w:val="21"/>
        </w:rPr>
        <w:t xml:space="preserve">8  </w:t>
      </w:r>
      <w:r>
        <w:rPr>
          <w:rFonts w:eastAsia="黑体"/>
          <w:sz w:val="21"/>
          <w:szCs w:val="21"/>
        </w:rPr>
        <w:t>项目主要原料消耗一览表</w:t>
      </w:r>
    </w:p>
    <w:tbl>
      <w:tblPr>
        <w:tblStyle w:val="TableNormal"/>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3"/>
        <w:gridCol w:w="2169"/>
        <w:gridCol w:w="1056"/>
        <w:gridCol w:w="1418"/>
        <w:gridCol w:w="1418"/>
        <w:gridCol w:w="2461"/>
      </w:tblGrid>
      <w:tr>
        <w:tblPrEx>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77"/>
          <w:jc w:val="center"/>
        </w:trPr>
        <w:tc>
          <w:tcPr>
            <w:tcW w:w="993" w:type="dxa"/>
            <w:vMerge w:val="restart"/>
            <w:vAlign w:val="center"/>
          </w:tcPr>
          <w:p>
            <w:pPr>
              <w:spacing w:line="280" w:lineRule="exact"/>
              <w:ind w:firstLine="0" w:firstLineChars="0"/>
              <w:jc w:val="center"/>
              <w:rPr>
                <w:b/>
              </w:rPr>
            </w:pPr>
            <w:r>
              <w:rPr>
                <w:b/>
              </w:rPr>
              <w:t>序号</w:t>
            </w:r>
          </w:p>
        </w:tc>
        <w:tc>
          <w:tcPr>
            <w:tcW w:w="2169" w:type="dxa"/>
            <w:vMerge w:val="restart"/>
            <w:vAlign w:val="center"/>
          </w:tcPr>
          <w:p>
            <w:pPr>
              <w:spacing w:line="280" w:lineRule="exact"/>
              <w:ind w:firstLine="0" w:firstLineChars="0"/>
              <w:jc w:val="center"/>
              <w:rPr>
                <w:b/>
              </w:rPr>
            </w:pPr>
            <w:r>
              <w:rPr>
                <w:b/>
              </w:rPr>
              <w:t>名称</w:t>
            </w:r>
          </w:p>
        </w:tc>
        <w:tc>
          <w:tcPr>
            <w:tcW w:w="1056" w:type="dxa"/>
            <w:vMerge w:val="restart"/>
            <w:vAlign w:val="center"/>
          </w:tcPr>
          <w:p>
            <w:pPr>
              <w:spacing w:line="280" w:lineRule="exact"/>
              <w:ind w:firstLine="0" w:firstLineChars="0"/>
              <w:jc w:val="center"/>
              <w:rPr>
                <w:b/>
              </w:rPr>
            </w:pPr>
            <w:r>
              <w:rPr>
                <w:b/>
              </w:rPr>
              <w:t>单位</w:t>
            </w:r>
          </w:p>
        </w:tc>
        <w:tc>
          <w:tcPr>
            <w:tcW w:w="2836" w:type="dxa"/>
            <w:gridSpan w:val="2"/>
            <w:vAlign w:val="center"/>
          </w:tcPr>
          <w:p>
            <w:pPr>
              <w:spacing w:line="280" w:lineRule="exact"/>
              <w:ind w:firstLine="0" w:firstLineChars="0"/>
              <w:jc w:val="center"/>
              <w:rPr>
                <w:b/>
              </w:rPr>
            </w:pPr>
            <w:r>
              <w:rPr>
                <w:b/>
              </w:rPr>
              <w:t>数量</w:t>
            </w:r>
          </w:p>
        </w:tc>
        <w:tc>
          <w:tcPr>
            <w:tcW w:w="2461" w:type="dxa"/>
            <w:vMerge w:val="restart"/>
            <w:vAlign w:val="center"/>
          </w:tcPr>
          <w:p>
            <w:pPr>
              <w:spacing w:line="280" w:lineRule="exact"/>
              <w:ind w:firstLine="0" w:firstLineChars="0"/>
              <w:jc w:val="center"/>
              <w:rPr>
                <w:b/>
              </w:rPr>
            </w:pPr>
            <w:r>
              <w:rPr>
                <w:b/>
              </w:rPr>
              <w:t>备注</w:t>
            </w:r>
          </w:p>
        </w:tc>
      </w:tr>
      <w:tr>
        <w:tblPrEx>
          <w:tblW w:w="9515" w:type="dxa"/>
          <w:jc w:val="center"/>
          <w:tblLayout w:type="fixed"/>
          <w:tblCellMar>
            <w:top w:w="0" w:type="dxa"/>
            <w:left w:w="108" w:type="dxa"/>
            <w:bottom w:w="0" w:type="dxa"/>
            <w:right w:w="108" w:type="dxa"/>
          </w:tblCellMar>
        </w:tblPrEx>
        <w:trPr>
          <w:trHeight w:val="276"/>
          <w:jc w:val="center"/>
        </w:trPr>
        <w:tc>
          <w:tcPr>
            <w:tcW w:w="993" w:type="dxa"/>
            <w:vMerge/>
            <w:vAlign w:val="center"/>
          </w:tcPr>
          <w:p>
            <w:pPr>
              <w:spacing w:line="280" w:lineRule="exact"/>
              <w:ind w:firstLine="0" w:firstLineChars="0"/>
              <w:jc w:val="center"/>
              <w:rPr>
                <w:b/>
              </w:rPr>
            </w:pPr>
          </w:p>
        </w:tc>
        <w:tc>
          <w:tcPr>
            <w:tcW w:w="2169" w:type="dxa"/>
            <w:vMerge/>
            <w:vAlign w:val="center"/>
          </w:tcPr>
          <w:p>
            <w:pPr>
              <w:spacing w:line="280" w:lineRule="exact"/>
              <w:ind w:firstLine="0" w:firstLineChars="0"/>
              <w:jc w:val="center"/>
              <w:rPr>
                <w:b/>
              </w:rPr>
            </w:pPr>
          </w:p>
        </w:tc>
        <w:tc>
          <w:tcPr>
            <w:tcW w:w="1056" w:type="dxa"/>
            <w:vMerge/>
            <w:vAlign w:val="center"/>
          </w:tcPr>
          <w:p>
            <w:pPr>
              <w:spacing w:line="280" w:lineRule="exact"/>
              <w:ind w:firstLine="0" w:firstLineChars="0"/>
              <w:jc w:val="center"/>
              <w:rPr>
                <w:b/>
              </w:rPr>
            </w:pPr>
          </w:p>
        </w:tc>
        <w:tc>
          <w:tcPr>
            <w:tcW w:w="1418" w:type="dxa"/>
          </w:tcPr>
          <w:p>
            <w:pPr>
              <w:spacing w:line="280" w:lineRule="exact"/>
              <w:ind w:firstLine="0" w:firstLineChars="0"/>
              <w:jc w:val="center"/>
              <w:rPr>
                <w:b/>
              </w:rPr>
            </w:pPr>
            <w:r>
              <w:rPr>
                <w:b/>
              </w:rPr>
              <w:t>改扩建前</w:t>
            </w:r>
          </w:p>
        </w:tc>
        <w:tc>
          <w:tcPr>
            <w:tcW w:w="1418" w:type="dxa"/>
            <w:vAlign w:val="center"/>
          </w:tcPr>
          <w:p>
            <w:pPr>
              <w:spacing w:line="280" w:lineRule="exact"/>
              <w:ind w:firstLine="0" w:firstLineChars="0"/>
              <w:jc w:val="center"/>
              <w:rPr>
                <w:b/>
              </w:rPr>
            </w:pPr>
            <w:r>
              <w:rPr>
                <w:b/>
              </w:rPr>
              <w:t>改扩建后</w:t>
            </w:r>
          </w:p>
        </w:tc>
        <w:tc>
          <w:tcPr>
            <w:tcW w:w="2461" w:type="dxa"/>
            <w:vMerge/>
            <w:vAlign w:val="center"/>
          </w:tcPr>
          <w:p>
            <w:pPr>
              <w:spacing w:line="280" w:lineRule="exact"/>
              <w:ind w:firstLine="0" w:firstLineChars="0"/>
              <w:jc w:val="center"/>
              <w:rPr>
                <w:b/>
              </w:rPr>
            </w:pPr>
          </w:p>
        </w:tc>
      </w:tr>
      <w:tr>
        <w:tblPrEx>
          <w:tblW w:w="9515" w:type="dxa"/>
          <w:jc w:val="center"/>
          <w:tblLayout w:type="fixed"/>
          <w:tblCellMar>
            <w:top w:w="0" w:type="dxa"/>
            <w:left w:w="108" w:type="dxa"/>
            <w:bottom w:w="0" w:type="dxa"/>
            <w:right w:w="108" w:type="dxa"/>
          </w:tblCellMar>
        </w:tblPrEx>
        <w:trPr>
          <w:trHeight w:val="729"/>
          <w:jc w:val="center"/>
        </w:trPr>
        <w:tc>
          <w:tcPr>
            <w:tcW w:w="993" w:type="dxa"/>
            <w:vAlign w:val="center"/>
          </w:tcPr>
          <w:p>
            <w:pPr>
              <w:spacing w:line="280" w:lineRule="exact"/>
              <w:ind w:firstLine="0" w:firstLineChars="0"/>
              <w:jc w:val="center"/>
            </w:pPr>
            <w:r>
              <w:t>1</w:t>
            </w:r>
          </w:p>
        </w:tc>
        <w:tc>
          <w:tcPr>
            <w:tcW w:w="2169" w:type="dxa"/>
            <w:vAlign w:val="center"/>
          </w:tcPr>
          <w:p>
            <w:pPr>
              <w:spacing w:line="280" w:lineRule="exact"/>
              <w:ind w:firstLine="0" w:firstLineChars="0"/>
              <w:jc w:val="center"/>
            </w:pPr>
            <w:r>
              <w:t>液化石油气</w:t>
            </w:r>
            <w:r>
              <w:rPr>
                <w:rFonts w:hint="eastAsia"/>
              </w:rPr>
              <w:t>（LPG）</w:t>
            </w:r>
          </w:p>
        </w:tc>
        <w:tc>
          <w:tcPr>
            <w:tcW w:w="1056" w:type="dxa"/>
            <w:vAlign w:val="center"/>
          </w:tcPr>
          <w:p>
            <w:pPr>
              <w:spacing w:line="280" w:lineRule="exact"/>
              <w:ind w:firstLine="0" w:firstLineChars="0"/>
              <w:jc w:val="center"/>
            </w:pPr>
            <w:r>
              <w:rPr>
                <w:rFonts w:hint="eastAsia"/>
              </w:rPr>
              <w:t>t/a</w:t>
            </w:r>
          </w:p>
        </w:tc>
        <w:tc>
          <w:tcPr>
            <w:tcW w:w="1418" w:type="dxa"/>
            <w:vAlign w:val="center"/>
          </w:tcPr>
          <w:p>
            <w:pPr>
              <w:spacing w:line="280" w:lineRule="exact"/>
              <w:ind w:firstLine="0" w:firstLineChars="0"/>
              <w:jc w:val="center"/>
            </w:pPr>
            <w:r>
              <w:rPr>
                <w:rFonts w:hint="eastAsia"/>
              </w:rPr>
              <w:t>1200</w:t>
            </w:r>
          </w:p>
        </w:tc>
        <w:tc>
          <w:tcPr>
            <w:tcW w:w="1418" w:type="dxa"/>
            <w:vAlign w:val="center"/>
          </w:tcPr>
          <w:p>
            <w:pPr>
              <w:spacing w:line="280" w:lineRule="exact"/>
              <w:ind w:firstLine="0" w:firstLineChars="0"/>
              <w:jc w:val="center"/>
            </w:pPr>
            <w:r>
              <w:rPr>
                <w:rFonts w:hint="eastAsia"/>
              </w:rPr>
              <w:t>2000</w:t>
            </w:r>
          </w:p>
        </w:tc>
        <w:tc>
          <w:tcPr>
            <w:tcW w:w="2461" w:type="dxa"/>
            <w:vAlign w:val="center"/>
          </w:tcPr>
          <w:p>
            <w:pPr>
              <w:spacing w:line="280" w:lineRule="exact"/>
              <w:ind w:firstLine="0" w:firstLineChars="0"/>
              <w:jc w:val="center"/>
            </w:pPr>
            <w:r>
              <w:rPr>
                <w:rFonts w:hint="eastAsia"/>
              </w:rPr>
              <w:t>中国石化销售有限公司海南石油分公司配送</w:t>
            </w:r>
          </w:p>
        </w:tc>
      </w:tr>
    </w:tbl>
    <w:p>
      <w:pPr>
        <w:pStyle w:val="a1"/>
        <w:spacing w:before="156" w:beforeLines="50"/>
        <w:ind w:firstLine="480"/>
        <w:sectPr>
          <w:headerReference w:type="even" r:id="rId146"/>
          <w:headerReference w:type="default" r:id="rId147"/>
          <w:footerReference w:type="even" r:id="rId148"/>
          <w:footerReference w:type="default" r:id="rId149"/>
          <w:headerReference w:type="first" r:id="rId150"/>
          <w:footerReference w:type="first" r:id="rId151"/>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12"/>
          <w:cols w:num="1" w:space="720"/>
          <w:titlePg w:val="0"/>
          <w:docGrid w:type="linesAndChars" w:linePitch="312" w:charSpace="0"/>
        </w:sectPr>
      </w:pPr>
      <w:r>
        <w:rPr>
          <w:rFonts w:hint="eastAsia"/>
        </w:rPr>
        <w:t>液化石油气（LPG）是在提炼原油时生产出来的，或从石油或天然气开采过程挥发出的气体。主要是丙烷和丁烷的混合物，通常伴有少量的丙烯和丁烯（具体成分见附件9）。液化石油气外观为无色气体或黄棕色油状液体有特殊臭味。液态液化石油气密度580kg/立方米，气态密度为：2.35kg/立方米，闪点为-74℃，引燃温度为426～537℃，爆炸上限9.5%(V/V），爆炸下限1.5%(V/V），燃烧值为10650kJ/m</w:t>
      </w:r>
      <w:r>
        <w:rPr>
          <w:rFonts w:hint="eastAsia"/>
          <w:vertAlign w:val="superscript"/>
        </w:rPr>
        <w:t>3</w:t>
      </w:r>
    </w:p>
    <w:p>
      <w:pPr>
        <w:sectPr>
          <w:headerReference w:type="even" r:id="rId152"/>
          <w:headerReference w:type="default" r:id="rId153"/>
          <w:footerReference w:type="even" r:id="rId154"/>
          <w:footerReference w:type="default" r:id="rId155"/>
          <w:headerReference w:type="first" r:id="rId156"/>
          <w:footerReference w:type="first" r:id="rId157"/>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spacing w:before="156" w:beforeLines="50"/>
        <w:ind w:firstLine="480"/>
      </w:pPr>
      <w:r>
        <w:rPr>
          <w:rFonts w:hint="eastAsia"/>
        </w:rPr>
        <w:t>，液化石油气中的碳氢化合物都容易液化，将它们压缩到只占原体积的1/250～l/33，贮存于耐高压的钢罐中，使用时拧开液化气罐的阀门，可燃性的碳氢化合物气体就会通过管道进入燃烧器。点燃后形成淡蓝色火焰，燃烧过程中产生大量热。并可根据需要，调整火力，使用起来既方便又卫生。液化石油气虽然使用方便，但也有不安全的隐患。万一管道漏气或阀门未关严，液化石油气向室内扩散，当含量达到爆炸极限（1.7%～10%）时，遇到火星或电火花就会发生爆炸。为了提醒人们及时发现液化气是否泄漏，加工厂常向液化气中混入少量有恶臭味的硫醇或硫醚类化合物。一旦有液化气泄漏，立即闻到这种气味而采取应急措施。具体成分分析如下：</w:t>
      </w:r>
    </w:p>
    <w:p>
      <w:pPr>
        <w:pStyle w:val="a1"/>
        <w:ind w:firstLine="0" w:firstLineChars="0"/>
        <w:jc w:val="center"/>
        <w:rPr>
          <w:rFonts w:eastAsia="黑体"/>
          <w:sz w:val="21"/>
          <w:szCs w:val="21"/>
        </w:rPr>
      </w:pPr>
      <w:r>
        <w:rPr>
          <w:rFonts w:eastAsia="黑体"/>
          <w:sz w:val="21"/>
          <w:szCs w:val="21"/>
        </w:rPr>
        <w:t>表1-</w:t>
      </w:r>
      <w:r>
        <w:rPr>
          <w:rFonts w:eastAsia="黑体" w:hint="eastAsia"/>
          <w:sz w:val="21"/>
          <w:szCs w:val="21"/>
        </w:rPr>
        <w:t>9  液化石油气成分分析</w:t>
      </w:r>
    </w:p>
    <w:tbl>
      <w:tblPr>
        <w:tblStyle w:val="TableNormal"/>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4219"/>
        <w:gridCol w:w="1559"/>
        <w:gridCol w:w="1134"/>
        <w:gridCol w:w="2603"/>
      </w:tblGrid>
      <w:tr>
        <w:tblPrEx>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277"/>
          <w:jc w:val="center"/>
        </w:trPr>
        <w:tc>
          <w:tcPr>
            <w:tcW w:w="2217" w:type="pct"/>
            <w:vAlign w:val="center"/>
          </w:tcPr>
          <w:p>
            <w:pPr>
              <w:spacing w:line="280" w:lineRule="exact"/>
              <w:ind w:firstLine="0" w:firstLineChars="0"/>
              <w:jc w:val="center"/>
              <w:rPr>
                <w:b/>
              </w:rPr>
            </w:pPr>
            <w:r>
              <w:rPr>
                <w:b/>
              </w:rPr>
              <w:t>分析项目</w:t>
            </w:r>
          </w:p>
        </w:tc>
        <w:tc>
          <w:tcPr>
            <w:tcW w:w="819" w:type="pct"/>
            <w:vAlign w:val="center"/>
          </w:tcPr>
          <w:p>
            <w:pPr>
              <w:spacing w:line="280" w:lineRule="exact"/>
              <w:ind w:firstLine="0" w:firstLineChars="0"/>
              <w:jc w:val="center"/>
              <w:rPr>
                <w:b/>
              </w:rPr>
            </w:pPr>
            <w:r>
              <w:rPr>
                <w:b/>
              </w:rPr>
              <w:t>质量指标</w:t>
            </w:r>
          </w:p>
        </w:tc>
        <w:tc>
          <w:tcPr>
            <w:tcW w:w="596" w:type="pct"/>
            <w:vAlign w:val="center"/>
          </w:tcPr>
          <w:p>
            <w:pPr>
              <w:spacing w:line="280" w:lineRule="exact"/>
              <w:ind w:firstLine="0" w:firstLineChars="0"/>
              <w:jc w:val="center"/>
              <w:rPr>
                <w:b/>
              </w:rPr>
            </w:pPr>
            <w:r>
              <w:rPr>
                <w:rFonts w:hint="eastAsia"/>
                <w:b/>
              </w:rPr>
              <w:t>检</w:t>
            </w:r>
            <w:r>
              <w:rPr>
                <w:b/>
              </w:rPr>
              <w:t>测结果</w:t>
            </w:r>
          </w:p>
        </w:tc>
        <w:tc>
          <w:tcPr>
            <w:tcW w:w="1368" w:type="pct"/>
            <w:vAlign w:val="center"/>
          </w:tcPr>
          <w:p>
            <w:pPr>
              <w:spacing w:line="280" w:lineRule="exact"/>
              <w:ind w:firstLine="0" w:firstLineChars="0"/>
              <w:jc w:val="center"/>
              <w:rPr>
                <w:b/>
              </w:rPr>
            </w:pPr>
            <w:r>
              <w:rPr>
                <w:rFonts w:hint="eastAsia"/>
                <w:b/>
              </w:rPr>
              <w:t>试验方法</w:t>
            </w:r>
          </w:p>
        </w:tc>
      </w:tr>
      <w:tr>
        <w:tblPrEx>
          <w:tblW w:w="5000" w:type="pct"/>
          <w:jc w:val="center"/>
          <w:tblCellMar>
            <w:top w:w="0" w:type="dxa"/>
            <w:left w:w="108" w:type="dxa"/>
            <w:bottom w:w="0" w:type="dxa"/>
            <w:right w:w="108" w:type="dxa"/>
          </w:tblCellMar>
        </w:tblPrEx>
        <w:trPr>
          <w:trHeight w:val="277"/>
          <w:jc w:val="center"/>
        </w:trPr>
        <w:tc>
          <w:tcPr>
            <w:tcW w:w="2217" w:type="pct"/>
            <w:vAlign w:val="center"/>
          </w:tcPr>
          <w:p>
            <w:pPr>
              <w:pStyle w:val="a1"/>
              <w:spacing w:line="280" w:lineRule="exact"/>
              <w:ind w:firstLine="0" w:firstLineChars="0"/>
              <w:jc w:val="center"/>
              <w:outlineLvl w:val="1"/>
              <w:rPr>
                <w:rFonts w:eastAsia="黑体"/>
              </w:rPr>
            </w:pPr>
            <w:r>
              <w:rPr>
                <w:rFonts w:hint="eastAsia"/>
                <w:sz w:val="21"/>
                <w:szCs w:val="21"/>
              </w:rPr>
              <w:t>密度（15℃），kg/m</w:t>
            </w:r>
            <w:r>
              <w:rPr>
                <w:rFonts w:hint="eastAsia"/>
                <w:sz w:val="21"/>
                <w:szCs w:val="21"/>
                <w:vertAlign w:val="superscript"/>
              </w:rPr>
              <w:t>3</w:t>
            </w:r>
          </w:p>
        </w:tc>
        <w:tc>
          <w:tcPr>
            <w:tcW w:w="819" w:type="pct"/>
            <w:vAlign w:val="center"/>
          </w:tcPr>
          <w:p>
            <w:pPr>
              <w:pStyle w:val="a1"/>
              <w:spacing w:line="280" w:lineRule="exact"/>
              <w:ind w:firstLine="0" w:firstLineChars="0"/>
              <w:jc w:val="center"/>
              <w:outlineLvl w:val="1"/>
              <w:rPr>
                <w:sz w:val="21"/>
                <w:szCs w:val="21"/>
              </w:rPr>
            </w:pPr>
            <w:r>
              <w:rPr>
                <w:rFonts w:hint="eastAsia"/>
                <w:sz w:val="21"/>
                <w:szCs w:val="21"/>
              </w:rPr>
              <w:t>报告</w:t>
            </w:r>
          </w:p>
        </w:tc>
        <w:tc>
          <w:tcPr>
            <w:tcW w:w="596" w:type="pct"/>
            <w:vAlign w:val="center"/>
          </w:tcPr>
          <w:p>
            <w:pPr>
              <w:pStyle w:val="a1"/>
              <w:spacing w:line="280" w:lineRule="exact"/>
              <w:ind w:firstLine="0" w:firstLineChars="0"/>
              <w:jc w:val="center"/>
              <w:outlineLvl w:val="1"/>
              <w:rPr>
                <w:sz w:val="21"/>
                <w:szCs w:val="21"/>
              </w:rPr>
            </w:pPr>
            <w:r>
              <w:rPr>
                <w:rFonts w:hint="eastAsia"/>
                <w:sz w:val="21"/>
                <w:szCs w:val="21"/>
              </w:rPr>
              <w:t>551.9</w:t>
            </w:r>
          </w:p>
        </w:tc>
        <w:tc>
          <w:tcPr>
            <w:tcW w:w="1368" w:type="pct"/>
            <w:vAlign w:val="center"/>
          </w:tcPr>
          <w:p>
            <w:pPr>
              <w:pStyle w:val="a1"/>
              <w:spacing w:line="280" w:lineRule="exact"/>
              <w:ind w:firstLine="0" w:firstLineChars="0"/>
              <w:jc w:val="center"/>
              <w:outlineLvl w:val="1"/>
              <w:rPr>
                <w:rFonts w:eastAsia="黑体"/>
              </w:rPr>
            </w:pPr>
            <w:r>
              <w:rPr>
                <w:rFonts w:hint="eastAsia"/>
                <w:sz w:val="21"/>
                <w:szCs w:val="21"/>
              </w:rPr>
              <w:t>GB/T 12576-1996</w:t>
            </w:r>
          </w:p>
        </w:tc>
      </w:tr>
      <w:tr>
        <w:tblPrEx>
          <w:tblW w:w="5000" w:type="pct"/>
          <w:jc w:val="center"/>
          <w:tblCellMar>
            <w:top w:w="0" w:type="dxa"/>
            <w:left w:w="108" w:type="dxa"/>
            <w:bottom w:w="0" w:type="dxa"/>
            <w:right w:w="108" w:type="dxa"/>
          </w:tblCellMar>
        </w:tblPrEx>
        <w:trPr>
          <w:trHeight w:val="277"/>
          <w:jc w:val="center"/>
        </w:trPr>
        <w:tc>
          <w:tcPr>
            <w:tcW w:w="2217" w:type="pct"/>
            <w:vAlign w:val="center"/>
          </w:tcPr>
          <w:p>
            <w:pPr>
              <w:pStyle w:val="a1"/>
              <w:spacing w:line="280" w:lineRule="exact"/>
              <w:ind w:firstLine="0" w:firstLineChars="0"/>
              <w:jc w:val="center"/>
              <w:outlineLvl w:val="1"/>
              <w:rPr>
                <w:rFonts w:eastAsia="黑体"/>
              </w:rPr>
            </w:pPr>
            <w:r>
              <w:rPr>
                <w:rFonts w:hint="eastAsia"/>
                <w:sz w:val="21"/>
                <w:szCs w:val="21"/>
              </w:rPr>
              <w:t>蒸气压（37.8℃）/kPa</w:t>
            </w:r>
          </w:p>
        </w:tc>
        <w:tc>
          <w:tcPr>
            <w:tcW w:w="819" w:type="pct"/>
            <w:vAlign w:val="center"/>
          </w:tcPr>
          <w:p>
            <w:pPr>
              <w:pStyle w:val="a1"/>
              <w:spacing w:line="280" w:lineRule="exact"/>
              <w:ind w:firstLine="0" w:firstLineChars="0"/>
              <w:jc w:val="center"/>
              <w:outlineLvl w:val="1"/>
              <w:rPr>
                <w:sz w:val="21"/>
                <w:szCs w:val="21"/>
              </w:rPr>
            </w:pPr>
            <w:r>
              <w:rPr>
                <w:rFonts w:hint="eastAsia"/>
                <w:sz w:val="21"/>
                <w:szCs w:val="21"/>
              </w:rPr>
              <w:t>不大于1380</w:t>
            </w:r>
          </w:p>
        </w:tc>
        <w:tc>
          <w:tcPr>
            <w:tcW w:w="596" w:type="pct"/>
            <w:vAlign w:val="center"/>
          </w:tcPr>
          <w:p>
            <w:pPr>
              <w:pStyle w:val="a1"/>
              <w:spacing w:line="280" w:lineRule="exact"/>
              <w:ind w:firstLine="0" w:firstLineChars="0"/>
              <w:jc w:val="center"/>
              <w:outlineLvl w:val="1"/>
              <w:rPr>
                <w:sz w:val="21"/>
                <w:szCs w:val="21"/>
              </w:rPr>
            </w:pPr>
            <w:r>
              <w:rPr>
                <w:rFonts w:hint="eastAsia"/>
                <w:sz w:val="21"/>
                <w:szCs w:val="21"/>
              </w:rPr>
              <w:t>652</w:t>
            </w:r>
          </w:p>
        </w:tc>
        <w:tc>
          <w:tcPr>
            <w:tcW w:w="1368" w:type="pct"/>
            <w:vAlign w:val="center"/>
          </w:tcPr>
          <w:p>
            <w:pPr>
              <w:pStyle w:val="a1"/>
              <w:spacing w:line="280" w:lineRule="exact"/>
              <w:ind w:firstLine="0" w:firstLineChars="0"/>
              <w:jc w:val="center"/>
              <w:outlineLvl w:val="1"/>
              <w:rPr>
                <w:rFonts w:eastAsia="黑体"/>
              </w:rPr>
            </w:pPr>
            <w:r>
              <w:rPr>
                <w:rFonts w:hint="eastAsia"/>
                <w:sz w:val="21"/>
                <w:szCs w:val="21"/>
              </w:rPr>
              <w:t>GB/T 12576-1996</w:t>
            </w:r>
          </w:p>
        </w:tc>
      </w:tr>
      <w:tr>
        <w:tblPrEx>
          <w:tblW w:w="5000" w:type="pct"/>
          <w:jc w:val="center"/>
          <w:tblCellMar>
            <w:top w:w="0" w:type="dxa"/>
            <w:left w:w="108" w:type="dxa"/>
            <w:bottom w:w="0" w:type="dxa"/>
            <w:right w:w="108" w:type="dxa"/>
          </w:tblCellMar>
        </w:tblPrEx>
        <w:trPr>
          <w:trHeight w:val="277"/>
          <w:jc w:val="center"/>
        </w:trPr>
        <w:tc>
          <w:tcPr>
            <w:tcW w:w="2217" w:type="pct"/>
            <w:vMerge w:val="restart"/>
            <w:vAlign w:val="center"/>
          </w:tcPr>
          <w:p>
            <w:pPr>
              <w:spacing w:line="280" w:lineRule="exact"/>
              <w:ind w:firstLine="0" w:firstLineChars="0"/>
              <w:jc w:val="center"/>
            </w:pPr>
            <w:r>
              <w:rPr>
                <w:rFonts w:hint="eastAsia"/>
              </w:rPr>
              <w:t>组分：</w:t>
            </w:r>
          </w:p>
          <w:p>
            <w:pPr>
              <w:spacing w:line="280" w:lineRule="exact"/>
              <w:ind w:firstLine="0" w:firstLineChars="0"/>
              <w:jc w:val="center"/>
            </w:pPr>
            <w:r>
              <w:rPr>
                <w:rFonts w:hint="eastAsia"/>
              </w:rPr>
              <w:t>（C3+C4）烃类组分/%（体积分数）</w:t>
            </w:r>
          </w:p>
          <w:p>
            <w:pPr>
              <w:spacing w:line="280" w:lineRule="exact"/>
              <w:ind w:firstLine="420"/>
              <w:jc w:val="center"/>
            </w:pPr>
            <w:r>
              <w:rPr>
                <w:rFonts w:hint="eastAsia"/>
              </w:rPr>
              <w:t>C5及C5以上烃类组分/%（体积分数）</w:t>
            </w:r>
          </w:p>
        </w:tc>
        <w:tc>
          <w:tcPr>
            <w:tcW w:w="819" w:type="pct"/>
            <w:vAlign w:val="center"/>
          </w:tcPr>
          <w:p>
            <w:pPr>
              <w:spacing w:line="280" w:lineRule="exact"/>
              <w:ind w:firstLine="0" w:firstLineChars="0"/>
              <w:jc w:val="center"/>
            </w:pPr>
            <w:r>
              <w:t>不大于</w:t>
            </w:r>
            <w:r>
              <w:rPr>
                <w:rFonts w:hint="eastAsia"/>
              </w:rPr>
              <w:t>95</w:t>
            </w:r>
          </w:p>
        </w:tc>
        <w:tc>
          <w:tcPr>
            <w:tcW w:w="596" w:type="pct"/>
            <w:vAlign w:val="center"/>
          </w:tcPr>
          <w:p>
            <w:pPr>
              <w:spacing w:line="280" w:lineRule="exact"/>
              <w:ind w:firstLine="0" w:firstLineChars="0"/>
              <w:jc w:val="center"/>
            </w:pPr>
            <w:r>
              <w:rPr>
                <w:rFonts w:hint="eastAsia"/>
              </w:rPr>
              <w:t>97.59</w:t>
            </w:r>
          </w:p>
        </w:tc>
        <w:tc>
          <w:tcPr>
            <w:tcW w:w="1368" w:type="pct"/>
            <w:vMerge w:val="restart"/>
            <w:vAlign w:val="center"/>
          </w:tcPr>
          <w:p>
            <w:pPr>
              <w:spacing w:line="280" w:lineRule="exact"/>
              <w:ind w:firstLine="0" w:firstLineChars="0"/>
              <w:jc w:val="center"/>
            </w:pPr>
            <w:r>
              <w:t>NB/SH/T 0230-2019</w:t>
            </w:r>
          </w:p>
        </w:tc>
      </w:tr>
      <w:tr>
        <w:tblPrEx>
          <w:tblW w:w="5000" w:type="pct"/>
          <w:jc w:val="center"/>
          <w:tblCellMar>
            <w:top w:w="0" w:type="dxa"/>
            <w:left w:w="108" w:type="dxa"/>
            <w:bottom w:w="0" w:type="dxa"/>
            <w:right w:w="108" w:type="dxa"/>
          </w:tblCellMar>
        </w:tblPrEx>
        <w:trPr>
          <w:trHeight w:val="277"/>
          <w:jc w:val="center"/>
        </w:trPr>
        <w:tc>
          <w:tcPr>
            <w:tcW w:w="2217" w:type="pct"/>
            <w:vMerge/>
            <w:vAlign w:val="center"/>
          </w:tcPr>
          <w:p>
            <w:pPr>
              <w:spacing w:line="280" w:lineRule="exact"/>
              <w:ind w:firstLine="0" w:firstLineChars="0"/>
              <w:jc w:val="center"/>
            </w:pPr>
          </w:p>
        </w:tc>
        <w:tc>
          <w:tcPr>
            <w:tcW w:w="819" w:type="pct"/>
            <w:vAlign w:val="center"/>
          </w:tcPr>
          <w:p>
            <w:pPr>
              <w:spacing w:line="280" w:lineRule="exact"/>
              <w:ind w:firstLine="0" w:firstLineChars="0"/>
              <w:jc w:val="center"/>
            </w:pPr>
            <w:r>
              <w:t>不大于</w:t>
            </w:r>
            <w:r>
              <w:rPr>
                <w:rFonts w:hint="eastAsia"/>
              </w:rPr>
              <w:t>2</w:t>
            </w:r>
          </w:p>
        </w:tc>
        <w:tc>
          <w:tcPr>
            <w:tcW w:w="596" w:type="pct"/>
            <w:vAlign w:val="center"/>
          </w:tcPr>
          <w:p>
            <w:pPr>
              <w:spacing w:line="280" w:lineRule="exact"/>
              <w:ind w:firstLine="0" w:firstLineChars="0"/>
              <w:jc w:val="center"/>
            </w:pPr>
            <w:r>
              <w:rPr>
                <w:rFonts w:hint="eastAsia"/>
              </w:rPr>
              <w:t>1.50</w:t>
            </w:r>
          </w:p>
        </w:tc>
        <w:tc>
          <w:tcPr>
            <w:tcW w:w="1368" w:type="pct"/>
            <w:vMerge/>
            <w:vAlign w:val="center"/>
          </w:tcPr>
          <w:p>
            <w:pPr>
              <w:spacing w:line="280" w:lineRule="exact"/>
              <w:ind w:firstLine="0" w:firstLineChars="0"/>
              <w:jc w:val="center"/>
            </w:pPr>
          </w:p>
        </w:tc>
      </w:tr>
      <w:tr>
        <w:tblPrEx>
          <w:tblW w:w="5000" w:type="pct"/>
          <w:jc w:val="center"/>
          <w:tblCellMar>
            <w:top w:w="0" w:type="dxa"/>
            <w:left w:w="108" w:type="dxa"/>
            <w:bottom w:w="0" w:type="dxa"/>
            <w:right w:w="108" w:type="dxa"/>
          </w:tblCellMar>
        </w:tblPrEx>
        <w:trPr>
          <w:trHeight w:val="277"/>
          <w:jc w:val="center"/>
        </w:trPr>
        <w:tc>
          <w:tcPr>
            <w:tcW w:w="2217" w:type="pct"/>
            <w:vMerge w:val="restart"/>
            <w:vAlign w:val="center"/>
          </w:tcPr>
          <w:p>
            <w:pPr>
              <w:pStyle w:val="a1"/>
              <w:spacing w:line="280" w:lineRule="exact"/>
              <w:ind w:firstLine="0" w:firstLineChars="0"/>
              <w:jc w:val="center"/>
              <w:outlineLvl w:val="1"/>
            </w:pPr>
            <w:r>
              <w:t>残留物</w:t>
            </w:r>
            <w:r>
              <w:rPr>
                <w:rFonts w:hint="eastAsia"/>
              </w:rPr>
              <w:t>：</w:t>
            </w:r>
          </w:p>
          <w:p>
            <w:pPr>
              <w:pStyle w:val="a1"/>
              <w:spacing w:line="280" w:lineRule="exact"/>
              <w:ind w:firstLine="0" w:firstLineChars="0"/>
              <w:jc w:val="center"/>
              <w:outlineLvl w:val="1"/>
              <w:rPr>
                <w:sz w:val="21"/>
                <w:szCs w:val="21"/>
              </w:rPr>
            </w:pPr>
            <w:r>
              <w:rPr>
                <w:rFonts w:hint="eastAsia"/>
                <w:sz w:val="21"/>
                <w:szCs w:val="21"/>
              </w:rPr>
              <w:t>蒸发残留物/（ml/100ml）</w:t>
            </w:r>
          </w:p>
          <w:p>
            <w:pPr>
              <w:spacing w:line="280" w:lineRule="exact"/>
              <w:ind w:firstLine="0" w:firstLineChars="0"/>
              <w:jc w:val="center"/>
            </w:pPr>
            <w:r>
              <w:rPr>
                <w:rFonts w:hint="eastAsia"/>
              </w:rPr>
              <w:t>油渍观察</w:t>
            </w:r>
          </w:p>
        </w:tc>
        <w:tc>
          <w:tcPr>
            <w:tcW w:w="819" w:type="pct"/>
            <w:vAlign w:val="center"/>
          </w:tcPr>
          <w:p>
            <w:pPr>
              <w:pStyle w:val="a1"/>
              <w:spacing w:line="280" w:lineRule="exact"/>
              <w:ind w:firstLine="0" w:firstLineChars="0"/>
              <w:jc w:val="center"/>
              <w:outlineLvl w:val="1"/>
              <w:rPr>
                <w:sz w:val="21"/>
                <w:szCs w:val="21"/>
              </w:rPr>
            </w:pPr>
            <w:r>
              <w:rPr>
                <w:rFonts w:hint="eastAsia"/>
                <w:sz w:val="21"/>
                <w:szCs w:val="21"/>
              </w:rPr>
              <w:t>不大于0.05</w:t>
            </w:r>
          </w:p>
        </w:tc>
        <w:tc>
          <w:tcPr>
            <w:tcW w:w="596" w:type="pct"/>
            <w:vAlign w:val="center"/>
          </w:tcPr>
          <w:p>
            <w:pPr>
              <w:pStyle w:val="a1"/>
              <w:spacing w:line="280" w:lineRule="exact"/>
              <w:ind w:firstLine="0" w:firstLineChars="0"/>
              <w:jc w:val="center"/>
              <w:outlineLvl w:val="1"/>
              <w:rPr>
                <w:sz w:val="21"/>
                <w:szCs w:val="21"/>
              </w:rPr>
            </w:pPr>
            <w:r>
              <w:rPr>
                <w:rFonts w:hint="eastAsia"/>
                <w:sz w:val="21"/>
                <w:szCs w:val="21"/>
              </w:rPr>
              <w:t>＜0.05</w:t>
            </w:r>
          </w:p>
        </w:tc>
        <w:tc>
          <w:tcPr>
            <w:tcW w:w="1368" w:type="pct"/>
            <w:vMerge w:val="restart"/>
            <w:vAlign w:val="center"/>
          </w:tcPr>
          <w:p>
            <w:pPr>
              <w:spacing w:line="280" w:lineRule="exact"/>
              <w:ind w:firstLine="0" w:firstLineChars="0"/>
              <w:jc w:val="center"/>
            </w:pPr>
            <w:r>
              <w:rPr>
                <w:rFonts w:hint="eastAsia"/>
              </w:rPr>
              <w:t>SY/T 7509-2014</w:t>
            </w:r>
          </w:p>
        </w:tc>
      </w:tr>
      <w:tr>
        <w:tblPrEx>
          <w:tblW w:w="5000" w:type="pct"/>
          <w:jc w:val="center"/>
          <w:tblCellMar>
            <w:top w:w="0" w:type="dxa"/>
            <w:left w:w="108" w:type="dxa"/>
            <w:bottom w:w="0" w:type="dxa"/>
            <w:right w:w="108" w:type="dxa"/>
          </w:tblCellMar>
        </w:tblPrEx>
        <w:trPr>
          <w:trHeight w:val="277"/>
          <w:jc w:val="center"/>
        </w:trPr>
        <w:tc>
          <w:tcPr>
            <w:tcW w:w="2217" w:type="pct"/>
            <w:vMerge/>
            <w:vAlign w:val="center"/>
          </w:tcPr>
          <w:p>
            <w:pPr>
              <w:pStyle w:val="a1"/>
              <w:spacing w:line="280" w:lineRule="exact"/>
              <w:ind w:firstLine="0" w:firstLineChars="0"/>
              <w:jc w:val="center"/>
              <w:outlineLvl w:val="1"/>
            </w:pPr>
          </w:p>
        </w:tc>
        <w:tc>
          <w:tcPr>
            <w:tcW w:w="819" w:type="pct"/>
            <w:vAlign w:val="center"/>
          </w:tcPr>
          <w:p>
            <w:pPr>
              <w:pStyle w:val="a1"/>
              <w:spacing w:line="280" w:lineRule="exact"/>
              <w:ind w:firstLine="0" w:firstLineChars="0"/>
              <w:jc w:val="center"/>
              <w:outlineLvl w:val="1"/>
              <w:rPr>
                <w:sz w:val="21"/>
                <w:szCs w:val="21"/>
              </w:rPr>
            </w:pPr>
            <w:r>
              <w:rPr>
                <w:rFonts w:hint="eastAsia"/>
                <w:sz w:val="21"/>
                <w:szCs w:val="21"/>
              </w:rPr>
              <w:t>通过</w:t>
            </w:r>
          </w:p>
        </w:tc>
        <w:tc>
          <w:tcPr>
            <w:tcW w:w="596" w:type="pct"/>
            <w:vAlign w:val="center"/>
          </w:tcPr>
          <w:p>
            <w:pPr>
              <w:pStyle w:val="a1"/>
              <w:spacing w:line="280" w:lineRule="exact"/>
              <w:ind w:firstLine="0" w:firstLineChars="0"/>
              <w:jc w:val="center"/>
              <w:outlineLvl w:val="1"/>
              <w:rPr>
                <w:sz w:val="21"/>
                <w:szCs w:val="21"/>
              </w:rPr>
            </w:pPr>
            <w:r>
              <w:rPr>
                <w:rFonts w:hint="eastAsia"/>
                <w:sz w:val="21"/>
                <w:szCs w:val="21"/>
              </w:rPr>
              <w:t>通过</w:t>
            </w:r>
          </w:p>
        </w:tc>
        <w:tc>
          <w:tcPr>
            <w:tcW w:w="1368" w:type="pct"/>
            <w:vMerge/>
            <w:vAlign w:val="center"/>
          </w:tcPr>
          <w:p>
            <w:pPr>
              <w:spacing w:line="280" w:lineRule="exact"/>
              <w:ind w:firstLine="0" w:firstLineChars="0"/>
              <w:jc w:val="center"/>
            </w:pPr>
          </w:p>
        </w:tc>
      </w:tr>
      <w:tr>
        <w:tblPrEx>
          <w:tblW w:w="5000" w:type="pct"/>
          <w:jc w:val="center"/>
          <w:tblCellMar>
            <w:top w:w="0" w:type="dxa"/>
            <w:left w:w="108" w:type="dxa"/>
            <w:bottom w:w="0" w:type="dxa"/>
            <w:right w:w="108" w:type="dxa"/>
          </w:tblCellMar>
        </w:tblPrEx>
        <w:trPr>
          <w:trHeight w:val="277"/>
          <w:jc w:val="center"/>
        </w:trPr>
        <w:tc>
          <w:tcPr>
            <w:tcW w:w="2217" w:type="pct"/>
            <w:vAlign w:val="center"/>
          </w:tcPr>
          <w:p>
            <w:pPr>
              <w:pStyle w:val="a1"/>
              <w:spacing w:line="280" w:lineRule="exact"/>
              <w:ind w:firstLine="0" w:firstLineChars="0"/>
              <w:jc w:val="center"/>
              <w:outlineLvl w:val="1"/>
              <w:rPr>
                <w:sz w:val="21"/>
                <w:szCs w:val="21"/>
              </w:rPr>
            </w:pPr>
            <w:r>
              <w:rPr>
                <w:rFonts w:hint="eastAsia"/>
                <w:sz w:val="21"/>
                <w:szCs w:val="21"/>
              </w:rPr>
              <w:t>铜片腐蚀（40℃，1h）/级</w:t>
            </w:r>
          </w:p>
        </w:tc>
        <w:tc>
          <w:tcPr>
            <w:tcW w:w="819" w:type="pct"/>
            <w:vAlign w:val="center"/>
          </w:tcPr>
          <w:p>
            <w:pPr>
              <w:pStyle w:val="a1"/>
              <w:spacing w:line="280" w:lineRule="exact"/>
              <w:ind w:firstLine="0" w:firstLineChars="0"/>
              <w:jc w:val="center"/>
              <w:outlineLvl w:val="1"/>
              <w:rPr>
                <w:sz w:val="21"/>
                <w:szCs w:val="21"/>
              </w:rPr>
            </w:pPr>
            <w:r>
              <w:rPr>
                <w:rFonts w:hint="eastAsia"/>
                <w:sz w:val="21"/>
                <w:szCs w:val="21"/>
              </w:rPr>
              <w:t>不大于1</w:t>
            </w:r>
          </w:p>
        </w:tc>
        <w:tc>
          <w:tcPr>
            <w:tcW w:w="596" w:type="pct"/>
            <w:vAlign w:val="center"/>
          </w:tcPr>
          <w:p>
            <w:pPr>
              <w:pStyle w:val="a1"/>
              <w:spacing w:line="280" w:lineRule="exact"/>
              <w:ind w:firstLine="0" w:firstLineChars="0"/>
              <w:jc w:val="center"/>
              <w:outlineLvl w:val="1"/>
              <w:rPr>
                <w:sz w:val="21"/>
                <w:szCs w:val="21"/>
              </w:rPr>
            </w:pPr>
            <w:r>
              <w:rPr>
                <w:rFonts w:hint="eastAsia"/>
                <w:sz w:val="21"/>
                <w:szCs w:val="21"/>
              </w:rPr>
              <w:t>1a</w:t>
            </w:r>
          </w:p>
        </w:tc>
        <w:tc>
          <w:tcPr>
            <w:tcW w:w="1368" w:type="pct"/>
            <w:vMerge w:val="restart"/>
            <w:vAlign w:val="center"/>
          </w:tcPr>
          <w:p>
            <w:pPr>
              <w:spacing w:line="280" w:lineRule="exact"/>
              <w:ind w:firstLine="0" w:firstLineChars="0"/>
              <w:jc w:val="center"/>
            </w:pPr>
            <w:r>
              <w:rPr>
                <w:rFonts w:hint="eastAsia"/>
              </w:rPr>
              <w:t>SH/T0232-1992（2004）</w:t>
            </w:r>
          </w:p>
        </w:tc>
      </w:tr>
      <w:tr>
        <w:tblPrEx>
          <w:tblW w:w="5000" w:type="pct"/>
          <w:jc w:val="center"/>
          <w:tblCellMar>
            <w:top w:w="0" w:type="dxa"/>
            <w:left w:w="108" w:type="dxa"/>
            <w:bottom w:w="0" w:type="dxa"/>
            <w:right w:w="108" w:type="dxa"/>
          </w:tblCellMar>
        </w:tblPrEx>
        <w:trPr>
          <w:trHeight w:val="277"/>
          <w:jc w:val="center"/>
        </w:trPr>
        <w:tc>
          <w:tcPr>
            <w:tcW w:w="2217" w:type="pct"/>
            <w:vAlign w:val="center"/>
          </w:tcPr>
          <w:p>
            <w:pPr>
              <w:spacing w:line="280" w:lineRule="exact"/>
              <w:ind w:firstLine="0" w:firstLineChars="0"/>
              <w:jc w:val="center"/>
            </w:pPr>
            <w:r>
              <w:rPr>
                <w:rFonts w:hint="eastAsia"/>
              </w:rPr>
              <w:t>总硫含量，mg/m</w:t>
            </w:r>
            <w:r>
              <w:rPr>
                <w:rFonts w:hint="eastAsia"/>
                <w:vertAlign w:val="superscript"/>
              </w:rPr>
              <w:t>3</w:t>
            </w:r>
          </w:p>
        </w:tc>
        <w:tc>
          <w:tcPr>
            <w:tcW w:w="819" w:type="pct"/>
            <w:vAlign w:val="center"/>
          </w:tcPr>
          <w:p>
            <w:pPr>
              <w:pStyle w:val="a1"/>
              <w:spacing w:line="280" w:lineRule="exact"/>
              <w:ind w:firstLine="0" w:firstLineChars="0"/>
              <w:jc w:val="center"/>
              <w:outlineLvl w:val="1"/>
              <w:rPr>
                <w:sz w:val="21"/>
                <w:szCs w:val="21"/>
              </w:rPr>
            </w:pPr>
            <w:r>
              <w:rPr>
                <w:rFonts w:hint="eastAsia"/>
                <w:sz w:val="21"/>
                <w:szCs w:val="21"/>
              </w:rPr>
              <w:t>不大于343</w:t>
            </w:r>
          </w:p>
        </w:tc>
        <w:tc>
          <w:tcPr>
            <w:tcW w:w="596" w:type="pct"/>
            <w:vAlign w:val="center"/>
          </w:tcPr>
          <w:p>
            <w:pPr>
              <w:pStyle w:val="a1"/>
              <w:spacing w:line="280" w:lineRule="exact"/>
              <w:ind w:firstLine="0" w:firstLineChars="0"/>
              <w:jc w:val="center"/>
              <w:outlineLvl w:val="1"/>
              <w:rPr>
                <w:sz w:val="21"/>
                <w:szCs w:val="21"/>
              </w:rPr>
            </w:pPr>
            <w:r>
              <w:rPr>
                <w:rFonts w:hint="eastAsia"/>
                <w:sz w:val="21"/>
                <w:szCs w:val="21"/>
              </w:rPr>
              <w:t>21.1</w:t>
            </w:r>
          </w:p>
        </w:tc>
        <w:tc>
          <w:tcPr>
            <w:tcW w:w="1368" w:type="pct"/>
            <w:vMerge/>
            <w:vAlign w:val="center"/>
          </w:tcPr>
          <w:p>
            <w:pPr>
              <w:spacing w:line="280" w:lineRule="exact"/>
              <w:ind w:firstLine="0" w:firstLineChars="0"/>
              <w:jc w:val="center"/>
            </w:pPr>
          </w:p>
        </w:tc>
      </w:tr>
      <w:tr>
        <w:tblPrEx>
          <w:tblW w:w="5000" w:type="pct"/>
          <w:jc w:val="center"/>
          <w:tblCellMar>
            <w:top w:w="0" w:type="dxa"/>
            <w:left w:w="108" w:type="dxa"/>
            <w:bottom w:w="0" w:type="dxa"/>
            <w:right w:w="108" w:type="dxa"/>
          </w:tblCellMar>
        </w:tblPrEx>
        <w:trPr>
          <w:trHeight w:val="277"/>
          <w:jc w:val="center"/>
        </w:trPr>
        <w:tc>
          <w:tcPr>
            <w:tcW w:w="2217" w:type="pct"/>
            <w:vAlign w:val="center"/>
          </w:tcPr>
          <w:p>
            <w:pPr>
              <w:spacing w:line="280" w:lineRule="exact"/>
              <w:ind w:firstLine="0" w:firstLineChars="0"/>
              <w:jc w:val="center"/>
            </w:pPr>
            <w:r>
              <w:rPr>
                <w:rFonts w:hint="eastAsia"/>
              </w:rPr>
              <w:t>硫化氢：乙酸铅法</w:t>
            </w:r>
          </w:p>
        </w:tc>
        <w:tc>
          <w:tcPr>
            <w:tcW w:w="819" w:type="pct"/>
            <w:vAlign w:val="center"/>
          </w:tcPr>
          <w:p>
            <w:pPr>
              <w:spacing w:line="280" w:lineRule="exact"/>
              <w:ind w:firstLine="0" w:firstLineChars="0"/>
              <w:jc w:val="center"/>
            </w:pPr>
            <w:r>
              <w:t>无</w:t>
            </w:r>
          </w:p>
        </w:tc>
        <w:tc>
          <w:tcPr>
            <w:tcW w:w="596" w:type="pct"/>
            <w:vAlign w:val="center"/>
          </w:tcPr>
          <w:p>
            <w:pPr>
              <w:spacing w:line="280" w:lineRule="exact"/>
              <w:ind w:firstLine="0" w:firstLineChars="0"/>
              <w:jc w:val="center"/>
            </w:pPr>
            <w:r>
              <w:rPr>
                <w:rFonts w:hint="eastAsia"/>
              </w:rPr>
              <w:t>无</w:t>
            </w:r>
          </w:p>
        </w:tc>
        <w:tc>
          <w:tcPr>
            <w:tcW w:w="1368" w:type="pct"/>
            <w:vAlign w:val="center"/>
          </w:tcPr>
          <w:p>
            <w:pPr>
              <w:spacing w:line="280" w:lineRule="exact"/>
              <w:ind w:firstLine="0" w:firstLineChars="0"/>
              <w:jc w:val="center"/>
            </w:pPr>
            <w:r>
              <w:rPr>
                <w:rFonts w:hint="eastAsia"/>
              </w:rPr>
              <w:t>SH/T 0125-1992（2004）</w:t>
            </w:r>
          </w:p>
        </w:tc>
      </w:tr>
      <w:tr>
        <w:tblPrEx>
          <w:tblW w:w="5000" w:type="pct"/>
          <w:jc w:val="center"/>
          <w:tblCellMar>
            <w:top w:w="0" w:type="dxa"/>
            <w:left w:w="108" w:type="dxa"/>
            <w:bottom w:w="0" w:type="dxa"/>
            <w:right w:w="108" w:type="dxa"/>
          </w:tblCellMar>
        </w:tblPrEx>
        <w:trPr>
          <w:trHeight w:val="277"/>
          <w:jc w:val="center"/>
        </w:trPr>
        <w:tc>
          <w:tcPr>
            <w:tcW w:w="2217" w:type="pct"/>
            <w:vAlign w:val="center"/>
          </w:tcPr>
          <w:p>
            <w:pPr>
              <w:pStyle w:val="a1"/>
              <w:spacing w:line="280" w:lineRule="exact"/>
              <w:ind w:firstLine="0" w:firstLineChars="0"/>
              <w:jc w:val="center"/>
              <w:outlineLvl w:val="1"/>
              <w:rPr>
                <w:sz w:val="21"/>
                <w:szCs w:val="21"/>
              </w:rPr>
            </w:pPr>
            <w:r>
              <w:rPr>
                <w:rFonts w:hint="eastAsia"/>
                <w:sz w:val="21"/>
                <w:szCs w:val="21"/>
              </w:rPr>
              <w:t>游离水</w:t>
            </w:r>
          </w:p>
        </w:tc>
        <w:tc>
          <w:tcPr>
            <w:tcW w:w="819" w:type="pct"/>
            <w:vAlign w:val="center"/>
          </w:tcPr>
          <w:p>
            <w:pPr>
              <w:pStyle w:val="a1"/>
              <w:spacing w:line="280" w:lineRule="exact"/>
              <w:ind w:firstLine="0" w:firstLineChars="0"/>
              <w:jc w:val="center"/>
              <w:outlineLvl w:val="1"/>
              <w:rPr>
                <w:sz w:val="21"/>
                <w:szCs w:val="21"/>
              </w:rPr>
            </w:pPr>
            <w:r>
              <w:rPr>
                <w:rFonts w:hint="eastAsia"/>
                <w:sz w:val="21"/>
                <w:szCs w:val="21"/>
              </w:rPr>
              <w:t>无</w:t>
            </w:r>
          </w:p>
        </w:tc>
        <w:tc>
          <w:tcPr>
            <w:tcW w:w="596" w:type="pct"/>
            <w:vAlign w:val="center"/>
          </w:tcPr>
          <w:p>
            <w:pPr>
              <w:pStyle w:val="a1"/>
              <w:spacing w:line="280" w:lineRule="exact"/>
              <w:ind w:firstLine="0" w:firstLineChars="0"/>
              <w:jc w:val="center"/>
              <w:outlineLvl w:val="1"/>
              <w:rPr>
                <w:sz w:val="21"/>
                <w:szCs w:val="21"/>
              </w:rPr>
            </w:pPr>
            <w:r>
              <w:rPr>
                <w:rFonts w:hint="eastAsia"/>
                <w:sz w:val="21"/>
                <w:szCs w:val="21"/>
              </w:rPr>
              <w:t>无</w:t>
            </w:r>
          </w:p>
        </w:tc>
        <w:tc>
          <w:tcPr>
            <w:tcW w:w="1368" w:type="pct"/>
            <w:vAlign w:val="center"/>
          </w:tcPr>
          <w:p>
            <w:pPr>
              <w:pStyle w:val="a1"/>
              <w:spacing w:line="280" w:lineRule="exact"/>
              <w:ind w:firstLine="840" w:firstLineChars="400"/>
              <w:outlineLvl w:val="1"/>
              <w:rPr>
                <w:rFonts w:eastAsia="黑体"/>
              </w:rPr>
            </w:pPr>
            <w:r>
              <w:rPr>
                <w:rFonts w:hint="eastAsia"/>
                <w:sz w:val="21"/>
                <w:szCs w:val="21"/>
              </w:rPr>
              <w:t>目测</w:t>
            </w:r>
          </w:p>
        </w:tc>
      </w:tr>
    </w:tbl>
    <w:p>
      <w:pPr>
        <w:pStyle w:val="a1"/>
        <w:spacing w:before="156" w:beforeLines="50"/>
        <w:ind w:firstLine="480"/>
      </w:pPr>
      <w:r>
        <w:rPr>
          <w:rFonts w:hAnsi="宋体"/>
        </w:rPr>
        <w:t>根据上述检测结果</w:t>
      </w:r>
      <w:r>
        <w:rPr>
          <w:rFonts w:hAnsi="宋体" w:hint="eastAsia"/>
        </w:rPr>
        <w:t>（附件9），本项目产品各项检测指标均满足《液化石油气》（GB11174-2011）中要求。</w:t>
      </w:r>
    </w:p>
    <w:p>
      <w:pPr>
        <w:pStyle w:val="a1"/>
        <w:ind w:firstLine="480"/>
        <w:outlineLvl w:val="1"/>
        <w:rPr>
          <w:rFonts w:eastAsia="黑体"/>
        </w:rPr>
      </w:pPr>
      <w:r>
        <w:rPr>
          <w:rFonts w:eastAsia="黑体" w:hint="eastAsia"/>
        </w:rPr>
        <w:t>5、主要</w:t>
      </w:r>
      <w:bookmarkEnd w:id="11"/>
      <w:bookmarkEnd w:id="12"/>
      <w:bookmarkEnd w:id="13"/>
      <w:bookmarkEnd w:id="14"/>
      <w:bookmarkEnd w:id="15"/>
      <w:r>
        <w:rPr>
          <w:rFonts w:eastAsia="黑体" w:hint="eastAsia"/>
        </w:rPr>
        <w:t>生产设备</w:t>
      </w:r>
    </w:p>
    <w:p>
      <w:pPr>
        <w:pStyle w:val="a1"/>
        <w:ind w:firstLine="480"/>
      </w:pPr>
      <w:r>
        <w:rPr>
          <w:rFonts w:hint="eastAsia"/>
        </w:rPr>
        <w:t>项目改扩建前后主要生产</w:t>
      </w:r>
      <w:r>
        <w:t>设备见表</w:t>
      </w:r>
      <w:r>
        <w:rPr>
          <w:rFonts w:hint="eastAsia"/>
        </w:rPr>
        <w:t>1-10</w:t>
      </w:r>
      <w:r>
        <w:t>。</w:t>
      </w:r>
    </w:p>
    <w:p>
      <w:pPr>
        <w:pStyle w:val="a1"/>
        <w:ind w:firstLine="0" w:firstLineChars="0"/>
        <w:jc w:val="center"/>
        <w:rPr>
          <w:rFonts w:eastAsia="黑体"/>
          <w:sz w:val="21"/>
          <w:szCs w:val="21"/>
        </w:rPr>
      </w:pPr>
      <w:r>
        <w:rPr>
          <w:rFonts w:eastAsia="黑体" w:hint="eastAsia"/>
          <w:sz w:val="21"/>
          <w:szCs w:val="21"/>
        </w:rPr>
        <w:t>表1-10  项目改扩建前后主要生产设备</w:t>
      </w:r>
      <w:r>
        <w:rPr>
          <w:rFonts w:eastAsia="黑体"/>
          <w:sz w:val="21"/>
          <w:szCs w:val="21"/>
        </w:rPr>
        <w:t>表</w:t>
      </w:r>
    </w:p>
    <w:tbl>
      <w:tblPr>
        <w:tblStyle w:val="TableNormal"/>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34"/>
        <w:gridCol w:w="1418"/>
        <w:gridCol w:w="851"/>
        <w:gridCol w:w="708"/>
        <w:gridCol w:w="1984"/>
        <w:gridCol w:w="1276"/>
        <w:gridCol w:w="708"/>
        <w:gridCol w:w="2036"/>
      </w:tblGrid>
      <w:tr>
        <w:tblPrEx>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9"/>
          <w:jc w:val="center"/>
        </w:trPr>
        <w:tc>
          <w:tcPr>
            <w:tcW w:w="534" w:type="dxa"/>
            <w:vMerge w:val="restart"/>
            <w:vAlign w:val="center"/>
          </w:tcPr>
          <w:p>
            <w:pPr>
              <w:spacing w:line="280" w:lineRule="exact"/>
              <w:ind w:firstLine="0" w:firstLineChars="0"/>
              <w:jc w:val="center"/>
              <w:rPr>
                <w:b/>
              </w:rPr>
            </w:pPr>
            <w:r>
              <w:rPr>
                <w:b/>
              </w:rPr>
              <w:t>序号</w:t>
            </w:r>
          </w:p>
        </w:tc>
        <w:tc>
          <w:tcPr>
            <w:tcW w:w="1418" w:type="dxa"/>
            <w:vMerge w:val="restart"/>
            <w:vAlign w:val="center"/>
          </w:tcPr>
          <w:p>
            <w:pPr>
              <w:spacing w:line="280" w:lineRule="exact"/>
              <w:ind w:firstLine="0" w:firstLineChars="0"/>
              <w:jc w:val="center"/>
              <w:rPr>
                <w:b/>
              </w:rPr>
            </w:pPr>
            <w:r>
              <w:rPr>
                <w:b/>
              </w:rPr>
              <w:t>设备名称</w:t>
            </w:r>
          </w:p>
        </w:tc>
        <w:tc>
          <w:tcPr>
            <w:tcW w:w="3543" w:type="dxa"/>
            <w:gridSpan w:val="3"/>
          </w:tcPr>
          <w:p>
            <w:pPr>
              <w:spacing w:line="280" w:lineRule="exact"/>
              <w:ind w:firstLine="0" w:firstLineChars="0"/>
              <w:jc w:val="center"/>
              <w:rPr>
                <w:b/>
              </w:rPr>
            </w:pPr>
            <w:r>
              <w:rPr>
                <w:b/>
              </w:rPr>
              <w:t>改扩建前</w:t>
            </w:r>
          </w:p>
        </w:tc>
        <w:tc>
          <w:tcPr>
            <w:tcW w:w="4020" w:type="dxa"/>
            <w:gridSpan w:val="3"/>
            <w:vAlign w:val="center"/>
          </w:tcPr>
          <w:p>
            <w:pPr>
              <w:spacing w:line="280" w:lineRule="exact"/>
              <w:ind w:firstLine="0" w:firstLineChars="0"/>
              <w:jc w:val="center"/>
              <w:rPr>
                <w:b/>
              </w:rPr>
            </w:pPr>
            <w:r>
              <w:rPr>
                <w:b/>
              </w:rPr>
              <w:t>改扩建后</w:t>
            </w:r>
          </w:p>
        </w:tc>
      </w:tr>
      <w:tr>
        <w:tblPrEx>
          <w:tblW w:w="9515" w:type="dxa"/>
          <w:jc w:val="center"/>
          <w:tblLayout w:type="fixed"/>
          <w:tblCellMar>
            <w:top w:w="0" w:type="dxa"/>
            <w:left w:w="108" w:type="dxa"/>
            <w:bottom w:w="0" w:type="dxa"/>
            <w:right w:w="108" w:type="dxa"/>
          </w:tblCellMar>
        </w:tblPrEx>
        <w:trPr>
          <w:trHeight w:val="389"/>
          <w:jc w:val="center"/>
        </w:trPr>
        <w:tc>
          <w:tcPr>
            <w:tcW w:w="534" w:type="dxa"/>
            <w:vMerge/>
            <w:vAlign w:val="center"/>
          </w:tcPr>
          <w:p>
            <w:pPr>
              <w:spacing w:line="280" w:lineRule="exact"/>
              <w:ind w:firstLine="0" w:firstLineChars="0"/>
              <w:jc w:val="center"/>
              <w:rPr>
                <w:b/>
              </w:rPr>
            </w:pPr>
          </w:p>
        </w:tc>
        <w:tc>
          <w:tcPr>
            <w:tcW w:w="1418" w:type="dxa"/>
            <w:vMerge/>
            <w:vAlign w:val="center"/>
          </w:tcPr>
          <w:p>
            <w:pPr>
              <w:spacing w:line="280" w:lineRule="exact"/>
              <w:ind w:firstLine="0" w:firstLineChars="0"/>
              <w:jc w:val="center"/>
              <w:rPr>
                <w:b/>
              </w:rPr>
            </w:pPr>
          </w:p>
        </w:tc>
        <w:tc>
          <w:tcPr>
            <w:tcW w:w="851" w:type="dxa"/>
            <w:vAlign w:val="center"/>
          </w:tcPr>
          <w:p>
            <w:pPr>
              <w:spacing w:line="280" w:lineRule="exact"/>
              <w:ind w:firstLine="0" w:firstLineChars="0"/>
              <w:jc w:val="center"/>
              <w:rPr>
                <w:b/>
              </w:rPr>
            </w:pPr>
            <w:r>
              <w:rPr>
                <w:b/>
              </w:rPr>
              <w:t>型号</w:t>
            </w:r>
          </w:p>
        </w:tc>
        <w:tc>
          <w:tcPr>
            <w:tcW w:w="708" w:type="dxa"/>
            <w:vAlign w:val="center"/>
          </w:tcPr>
          <w:p>
            <w:pPr>
              <w:spacing w:line="280" w:lineRule="exact"/>
              <w:ind w:firstLine="0" w:firstLineChars="0"/>
              <w:jc w:val="center"/>
              <w:rPr>
                <w:b/>
              </w:rPr>
            </w:pPr>
            <w:r>
              <w:rPr>
                <w:b/>
              </w:rPr>
              <w:t>数量</w:t>
            </w:r>
          </w:p>
        </w:tc>
        <w:tc>
          <w:tcPr>
            <w:tcW w:w="1984" w:type="dxa"/>
            <w:vAlign w:val="center"/>
          </w:tcPr>
          <w:p>
            <w:pPr>
              <w:spacing w:line="280" w:lineRule="exact"/>
              <w:ind w:firstLine="0" w:firstLineChars="0"/>
              <w:jc w:val="center"/>
              <w:rPr>
                <w:b/>
              </w:rPr>
            </w:pPr>
            <w:r>
              <w:rPr>
                <w:b/>
              </w:rPr>
              <w:t>备注</w:t>
            </w:r>
          </w:p>
        </w:tc>
        <w:tc>
          <w:tcPr>
            <w:tcW w:w="1276" w:type="dxa"/>
            <w:vAlign w:val="center"/>
          </w:tcPr>
          <w:p>
            <w:pPr>
              <w:spacing w:line="280" w:lineRule="exact"/>
              <w:ind w:firstLine="0" w:firstLineChars="0"/>
              <w:jc w:val="center"/>
              <w:rPr>
                <w:b/>
              </w:rPr>
            </w:pPr>
            <w:r>
              <w:rPr>
                <w:b/>
              </w:rPr>
              <w:t>型号</w:t>
            </w:r>
          </w:p>
        </w:tc>
        <w:tc>
          <w:tcPr>
            <w:tcW w:w="708" w:type="dxa"/>
            <w:vAlign w:val="center"/>
          </w:tcPr>
          <w:p>
            <w:pPr>
              <w:spacing w:line="280" w:lineRule="exact"/>
              <w:ind w:firstLine="0" w:firstLineChars="0"/>
              <w:jc w:val="center"/>
              <w:rPr>
                <w:b/>
              </w:rPr>
            </w:pPr>
            <w:r>
              <w:rPr>
                <w:b/>
              </w:rPr>
              <w:t>数量</w:t>
            </w:r>
          </w:p>
        </w:tc>
        <w:tc>
          <w:tcPr>
            <w:tcW w:w="2036" w:type="dxa"/>
            <w:vAlign w:val="center"/>
          </w:tcPr>
          <w:p>
            <w:pPr>
              <w:spacing w:line="280" w:lineRule="exact"/>
              <w:ind w:firstLine="0" w:firstLineChars="0"/>
              <w:jc w:val="center"/>
              <w:rPr>
                <w:b/>
              </w:rPr>
            </w:pPr>
            <w:r>
              <w:rPr>
                <w:rFonts w:hint="eastAsia"/>
                <w:b/>
              </w:rPr>
              <w:t>备注</w:t>
            </w:r>
          </w:p>
        </w:tc>
      </w:tr>
      <w:tr>
        <w:tblPrEx>
          <w:tblW w:w="9515" w:type="dxa"/>
          <w:jc w:val="center"/>
          <w:tblLayout w:type="fixed"/>
          <w:tblCellMar>
            <w:top w:w="0" w:type="dxa"/>
            <w:left w:w="108" w:type="dxa"/>
            <w:bottom w:w="0" w:type="dxa"/>
            <w:right w:w="108" w:type="dxa"/>
          </w:tblCellMar>
        </w:tblPrEx>
        <w:trPr>
          <w:trHeight w:val="389"/>
          <w:jc w:val="center"/>
        </w:trPr>
        <w:tc>
          <w:tcPr>
            <w:tcW w:w="534" w:type="dxa"/>
            <w:vAlign w:val="center"/>
          </w:tcPr>
          <w:p>
            <w:pPr>
              <w:spacing w:line="280" w:lineRule="exact"/>
              <w:ind w:firstLine="0" w:firstLineChars="0"/>
              <w:jc w:val="center"/>
            </w:pPr>
            <w:r>
              <w:t>1</w:t>
            </w:r>
          </w:p>
        </w:tc>
        <w:tc>
          <w:tcPr>
            <w:tcW w:w="1418" w:type="dxa"/>
            <w:vAlign w:val="center"/>
          </w:tcPr>
          <w:p>
            <w:pPr>
              <w:spacing w:line="280" w:lineRule="exact"/>
              <w:ind w:firstLine="0" w:firstLineChars="0"/>
              <w:jc w:val="center"/>
            </w:pPr>
            <w:r>
              <w:t>储罐</w:t>
            </w:r>
          </w:p>
        </w:tc>
        <w:tc>
          <w:tcPr>
            <w:tcW w:w="851" w:type="dxa"/>
            <w:vAlign w:val="center"/>
          </w:tcPr>
          <w:p>
            <w:pPr>
              <w:spacing w:line="280" w:lineRule="exact"/>
              <w:ind w:firstLine="0" w:firstLineChars="0"/>
              <w:jc w:val="center"/>
            </w:pPr>
            <w:r>
              <w:t>10.</w:t>
            </w:r>
            <w:r>
              <w:rPr>
                <w:rFonts w:hint="eastAsia"/>
              </w:rPr>
              <w:t>5</w:t>
            </w:r>
            <w:r>
              <w:t>m</w:t>
            </w:r>
            <w:r>
              <w:rPr>
                <w:vertAlign w:val="superscript"/>
              </w:rPr>
              <w:t>3</w:t>
            </w:r>
          </w:p>
        </w:tc>
        <w:tc>
          <w:tcPr>
            <w:tcW w:w="708" w:type="dxa"/>
            <w:vAlign w:val="center"/>
          </w:tcPr>
          <w:p>
            <w:pPr>
              <w:spacing w:line="280" w:lineRule="exact"/>
              <w:ind w:firstLine="0" w:firstLineChars="0"/>
              <w:jc w:val="center"/>
            </w:pPr>
            <w:r>
              <w:rPr>
                <w:rFonts w:hint="eastAsia"/>
              </w:rPr>
              <w:t>2</w:t>
            </w:r>
            <w:r>
              <w:t>个</w:t>
            </w:r>
          </w:p>
        </w:tc>
        <w:tc>
          <w:tcPr>
            <w:tcW w:w="1984" w:type="dxa"/>
            <w:vAlign w:val="center"/>
          </w:tcPr>
          <w:p>
            <w:pPr>
              <w:spacing w:line="280" w:lineRule="exact"/>
              <w:ind w:firstLine="0" w:firstLineChars="0"/>
              <w:jc w:val="center"/>
            </w:pPr>
            <w:r>
              <w:t>储罐方式：</w:t>
            </w:r>
            <w:r>
              <w:rPr>
                <w:rFonts w:hint="eastAsia"/>
              </w:rPr>
              <w:t>地上</w:t>
            </w:r>
            <w:r>
              <w:t>储罐</w:t>
            </w:r>
            <w:r>
              <w:rPr>
                <w:rFonts w:hint="eastAsia"/>
              </w:rPr>
              <w:t>；</w:t>
            </w:r>
          </w:p>
          <w:p>
            <w:pPr>
              <w:spacing w:line="280" w:lineRule="exact"/>
              <w:ind w:firstLine="0" w:firstLineChars="0"/>
              <w:jc w:val="center"/>
            </w:pPr>
            <w:r>
              <w:rPr>
                <w:rFonts w:hint="eastAsia"/>
              </w:rPr>
              <w:t>储罐材质：不锈钢；</w:t>
            </w:r>
          </w:p>
          <w:p>
            <w:pPr>
              <w:spacing w:line="280" w:lineRule="exact"/>
              <w:ind w:firstLine="0" w:firstLineChars="0"/>
              <w:jc w:val="center"/>
            </w:pPr>
            <w:r>
              <w:rPr>
                <w:rFonts w:hint="eastAsia"/>
              </w:rPr>
              <w:t>安装方式：卧式</w:t>
            </w:r>
          </w:p>
        </w:tc>
        <w:tc>
          <w:tcPr>
            <w:tcW w:w="1276" w:type="dxa"/>
            <w:vAlign w:val="center"/>
          </w:tcPr>
          <w:p>
            <w:pPr>
              <w:spacing w:line="280" w:lineRule="exact"/>
              <w:ind w:firstLine="0" w:firstLineChars="0"/>
              <w:jc w:val="center"/>
            </w:pPr>
            <w:r>
              <w:t>50m</w:t>
            </w:r>
            <w:r>
              <w:rPr>
                <w:vertAlign w:val="superscript"/>
              </w:rPr>
              <w:t>3</w:t>
            </w:r>
          </w:p>
        </w:tc>
        <w:tc>
          <w:tcPr>
            <w:tcW w:w="708" w:type="dxa"/>
            <w:vAlign w:val="center"/>
          </w:tcPr>
          <w:p>
            <w:pPr>
              <w:spacing w:line="280" w:lineRule="exact"/>
              <w:ind w:firstLine="0" w:firstLineChars="0"/>
              <w:jc w:val="center"/>
            </w:pPr>
            <w:r>
              <w:rPr>
                <w:rFonts w:hint="eastAsia"/>
              </w:rPr>
              <w:t>2</w:t>
            </w:r>
            <w:r>
              <w:t>个</w:t>
            </w:r>
          </w:p>
        </w:tc>
        <w:tc>
          <w:tcPr>
            <w:tcW w:w="2036" w:type="dxa"/>
            <w:vAlign w:val="center"/>
          </w:tcPr>
          <w:p>
            <w:pPr>
              <w:spacing w:line="280" w:lineRule="exact"/>
              <w:ind w:firstLine="0" w:firstLineChars="0"/>
              <w:jc w:val="center"/>
            </w:pPr>
            <w:r>
              <w:t>储罐方式：</w:t>
            </w:r>
            <w:r>
              <w:rPr>
                <w:rFonts w:hint="eastAsia"/>
              </w:rPr>
              <w:t>地埋压力</w:t>
            </w:r>
            <w:r>
              <w:t>储罐</w:t>
            </w:r>
            <w:r>
              <w:rPr>
                <w:rFonts w:hint="eastAsia"/>
              </w:rPr>
              <w:t>；</w:t>
            </w:r>
          </w:p>
          <w:p>
            <w:pPr>
              <w:spacing w:line="280" w:lineRule="exact"/>
              <w:ind w:firstLine="0" w:firstLineChars="0"/>
              <w:jc w:val="center"/>
            </w:pPr>
            <w:r>
              <w:rPr>
                <w:rFonts w:hint="eastAsia"/>
              </w:rPr>
              <w:t>储罐材质：无碳钢材；</w:t>
            </w:r>
          </w:p>
          <w:p>
            <w:pPr>
              <w:spacing w:line="280" w:lineRule="exact"/>
              <w:ind w:firstLine="0" w:firstLineChars="0"/>
              <w:jc w:val="center"/>
            </w:pPr>
            <w:r>
              <w:rPr>
                <w:rFonts w:hint="eastAsia"/>
              </w:rPr>
              <w:t>安装方式：卧式</w:t>
            </w:r>
          </w:p>
        </w:tc>
      </w:tr>
      <w:tr>
        <w:tblPrEx>
          <w:tblW w:w="9515" w:type="dxa"/>
          <w:jc w:val="center"/>
          <w:tblLayout w:type="fixed"/>
          <w:tblCellMar>
            <w:top w:w="0" w:type="dxa"/>
            <w:left w:w="108" w:type="dxa"/>
            <w:bottom w:w="0" w:type="dxa"/>
            <w:right w:w="108" w:type="dxa"/>
          </w:tblCellMar>
        </w:tblPrEx>
        <w:trPr>
          <w:trHeight w:val="500"/>
          <w:jc w:val="center"/>
        </w:trPr>
        <w:tc>
          <w:tcPr>
            <w:tcW w:w="534" w:type="dxa"/>
            <w:vAlign w:val="center"/>
          </w:tcPr>
          <w:p>
            <w:pPr>
              <w:spacing w:line="280" w:lineRule="exact"/>
              <w:ind w:firstLine="0" w:firstLineChars="0"/>
              <w:jc w:val="center"/>
            </w:pPr>
            <w:r>
              <w:t>2</w:t>
            </w:r>
          </w:p>
        </w:tc>
        <w:tc>
          <w:tcPr>
            <w:tcW w:w="1418" w:type="dxa"/>
            <w:vAlign w:val="center"/>
          </w:tcPr>
          <w:p>
            <w:pPr>
              <w:spacing w:line="280" w:lineRule="exact"/>
              <w:ind w:firstLine="0" w:firstLineChars="0"/>
              <w:jc w:val="center"/>
            </w:pPr>
            <w:r>
              <w:t>残液罐</w:t>
            </w:r>
          </w:p>
        </w:tc>
        <w:tc>
          <w:tcPr>
            <w:tcW w:w="851" w:type="dxa"/>
            <w:vAlign w:val="center"/>
          </w:tcPr>
          <w:p>
            <w:pPr>
              <w:spacing w:line="280" w:lineRule="exact"/>
              <w:ind w:firstLine="0" w:firstLineChars="0"/>
              <w:jc w:val="center"/>
            </w:pPr>
            <w:r>
              <w:t>5 m</w:t>
            </w:r>
            <w:r>
              <w:rPr>
                <w:vertAlign w:val="superscript"/>
              </w:rPr>
              <w:t>3</w:t>
            </w:r>
          </w:p>
        </w:tc>
        <w:tc>
          <w:tcPr>
            <w:tcW w:w="708" w:type="dxa"/>
            <w:vAlign w:val="center"/>
          </w:tcPr>
          <w:p>
            <w:pPr>
              <w:spacing w:line="280" w:lineRule="exact"/>
              <w:ind w:firstLine="0" w:firstLineChars="0"/>
              <w:jc w:val="center"/>
            </w:pPr>
            <w:r>
              <w:t>1个</w:t>
            </w:r>
          </w:p>
        </w:tc>
        <w:tc>
          <w:tcPr>
            <w:tcW w:w="1984" w:type="dxa"/>
            <w:vAlign w:val="center"/>
          </w:tcPr>
          <w:p>
            <w:pPr>
              <w:spacing w:line="280" w:lineRule="exact"/>
              <w:ind w:firstLine="0" w:firstLineChars="0"/>
              <w:jc w:val="center"/>
            </w:pPr>
            <w:r>
              <w:rPr>
                <w:rFonts w:hint="eastAsia"/>
              </w:rPr>
              <w:t>储罐方式：地上储罐；</w:t>
            </w:r>
          </w:p>
          <w:p>
            <w:pPr>
              <w:spacing w:line="280" w:lineRule="exact"/>
              <w:ind w:firstLine="0" w:firstLineChars="0"/>
              <w:jc w:val="center"/>
            </w:pPr>
            <w:r>
              <w:rPr>
                <w:rFonts w:hint="eastAsia"/>
              </w:rPr>
              <w:t>储罐材质：不锈钢；</w:t>
            </w:r>
          </w:p>
          <w:p>
            <w:pPr>
              <w:spacing w:line="280" w:lineRule="exact"/>
              <w:ind w:firstLine="0" w:firstLineChars="0"/>
              <w:jc w:val="center"/>
            </w:pPr>
            <w:r>
              <w:rPr>
                <w:rFonts w:hint="eastAsia"/>
              </w:rPr>
              <w:t>安装方式：卧式</w:t>
            </w:r>
          </w:p>
        </w:tc>
        <w:tc>
          <w:tcPr>
            <w:tcW w:w="1276" w:type="dxa"/>
            <w:vAlign w:val="center"/>
          </w:tcPr>
          <w:p>
            <w:pPr>
              <w:spacing w:line="280" w:lineRule="exact"/>
              <w:ind w:firstLine="0" w:firstLineChars="0"/>
              <w:jc w:val="center"/>
            </w:pPr>
            <w:r>
              <w:t>5 m</w:t>
            </w:r>
            <w:r>
              <w:rPr>
                <w:vertAlign w:val="superscript"/>
              </w:rPr>
              <w:t>3</w:t>
            </w:r>
          </w:p>
        </w:tc>
        <w:tc>
          <w:tcPr>
            <w:tcW w:w="708" w:type="dxa"/>
            <w:vAlign w:val="center"/>
          </w:tcPr>
          <w:p>
            <w:pPr>
              <w:spacing w:line="280" w:lineRule="exact"/>
              <w:ind w:firstLine="0" w:firstLineChars="0"/>
              <w:jc w:val="center"/>
            </w:pPr>
            <w:r>
              <w:t>1个</w:t>
            </w:r>
          </w:p>
        </w:tc>
        <w:tc>
          <w:tcPr>
            <w:tcW w:w="2036" w:type="dxa"/>
            <w:vAlign w:val="center"/>
          </w:tcPr>
          <w:p>
            <w:pPr>
              <w:spacing w:line="280" w:lineRule="exact"/>
              <w:ind w:firstLine="0" w:firstLineChars="0"/>
              <w:jc w:val="center"/>
            </w:pPr>
            <w:r>
              <w:t>储罐方式：</w:t>
            </w:r>
            <w:r>
              <w:rPr>
                <w:rFonts w:hint="eastAsia"/>
              </w:rPr>
              <w:t>地埋压力</w:t>
            </w:r>
            <w:r>
              <w:t>储罐</w:t>
            </w:r>
            <w:r>
              <w:rPr>
                <w:rFonts w:hint="eastAsia"/>
              </w:rPr>
              <w:t>；</w:t>
            </w:r>
          </w:p>
          <w:p>
            <w:pPr>
              <w:spacing w:line="280" w:lineRule="exact"/>
              <w:ind w:firstLine="0" w:firstLineChars="0"/>
              <w:jc w:val="center"/>
            </w:pPr>
            <w:r>
              <w:rPr>
                <w:rFonts w:hint="eastAsia"/>
              </w:rPr>
              <w:t>储罐材质：无碳钢材；</w:t>
            </w:r>
          </w:p>
          <w:p>
            <w:pPr>
              <w:spacing w:line="280" w:lineRule="exact"/>
              <w:ind w:firstLine="0" w:firstLineChars="0"/>
              <w:jc w:val="center"/>
            </w:pPr>
            <w:r>
              <w:rPr>
                <w:rFonts w:hint="eastAsia"/>
              </w:rPr>
              <w:t>安装方式：卧式</w:t>
            </w:r>
          </w:p>
        </w:tc>
      </w:tr>
      <w:tr>
        <w:tblPrEx>
          <w:tblW w:w="9515" w:type="dxa"/>
          <w:jc w:val="center"/>
          <w:tblLayout w:type="fixed"/>
          <w:tblCellMar>
            <w:top w:w="0" w:type="dxa"/>
            <w:left w:w="108" w:type="dxa"/>
            <w:bottom w:w="0" w:type="dxa"/>
            <w:right w:w="108" w:type="dxa"/>
          </w:tblCellMar>
        </w:tblPrEx>
        <w:trPr>
          <w:trHeight w:val="389"/>
          <w:jc w:val="center"/>
        </w:trPr>
        <w:tc>
          <w:tcPr>
            <w:tcW w:w="534" w:type="dxa"/>
            <w:vAlign w:val="center"/>
          </w:tcPr>
          <w:p>
            <w:pPr>
              <w:spacing w:line="280" w:lineRule="exact"/>
              <w:ind w:firstLine="0" w:firstLineChars="0"/>
              <w:jc w:val="center"/>
            </w:pPr>
            <w:r>
              <w:rPr>
                <w:rFonts w:hint="eastAsia"/>
              </w:rPr>
              <w:t>3</w:t>
            </w:r>
          </w:p>
        </w:tc>
        <w:tc>
          <w:tcPr>
            <w:tcW w:w="1418" w:type="dxa"/>
            <w:vAlign w:val="center"/>
          </w:tcPr>
          <w:p>
            <w:pPr>
              <w:spacing w:line="280" w:lineRule="exact"/>
              <w:ind w:firstLine="0" w:firstLineChars="0"/>
              <w:jc w:val="center"/>
            </w:pPr>
            <w:r>
              <w:rPr>
                <w:rFonts w:hint="eastAsia"/>
              </w:rPr>
              <w:t>加气机</w:t>
            </w:r>
          </w:p>
        </w:tc>
        <w:tc>
          <w:tcPr>
            <w:tcW w:w="851" w:type="dxa"/>
            <w:vAlign w:val="center"/>
          </w:tcPr>
          <w:p>
            <w:pPr>
              <w:spacing w:line="280" w:lineRule="exact"/>
              <w:ind w:firstLine="0" w:firstLineChars="0"/>
              <w:jc w:val="center"/>
            </w:pPr>
            <w:r>
              <w:t>DCS-120</w:t>
            </w:r>
          </w:p>
        </w:tc>
        <w:tc>
          <w:tcPr>
            <w:tcW w:w="708" w:type="dxa"/>
            <w:vAlign w:val="center"/>
          </w:tcPr>
          <w:p>
            <w:pPr>
              <w:spacing w:line="280" w:lineRule="exact"/>
              <w:ind w:firstLine="0" w:firstLineChars="0"/>
              <w:jc w:val="center"/>
            </w:pPr>
            <w:r>
              <w:rPr>
                <w:rFonts w:hint="eastAsia"/>
              </w:rPr>
              <w:t>4套</w:t>
            </w:r>
          </w:p>
        </w:tc>
        <w:tc>
          <w:tcPr>
            <w:tcW w:w="1984" w:type="dxa"/>
            <w:vAlign w:val="center"/>
          </w:tcPr>
          <w:p>
            <w:pPr>
              <w:spacing w:line="280" w:lineRule="exact"/>
              <w:ind w:firstLine="0" w:firstLineChars="0"/>
              <w:jc w:val="center"/>
            </w:pPr>
            <w:r>
              <w:rPr>
                <w:rFonts w:hint="eastAsia"/>
              </w:rPr>
              <w:t>/</w:t>
            </w:r>
          </w:p>
        </w:tc>
        <w:tc>
          <w:tcPr>
            <w:tcW w:w="1276" w:type="dxa"/>
            <w:vAlign w:val="center"/>
          </w:tcPr>
          <w:p>
            <w:pPr>
              <w:spacing w:line="280" w:lineRule="exact"/>
              <w:ind w:firstLine="0" w:firstLineChars="0"/>
              <w:jc w:val="center"/>
            </w:pPr>
            <w:r>
              <w:t>DCS-120</w:t>
            </w:r>
          </w:p>
        </w:tc>
        <w:tc>
          <w:tcPr>
            <w:tcW w:w="708" w:type="dxa"/>
            <w:vAlign w:val="center"/>
          </w:tcPr>
          <w:p>
            <w:pPr>
              <w:spacing w:line="280" w:lineRule="exact"/>
              <w:ind w:firstLine="0" w:firstLineChars="0"/>
              <w:jc w:val="center"/>
            </w:pPr>
            <w:r>
              <w:rPr>
                <w:rFonts w:hint="eastAsia"/>
              </w:rPr>
              <w:t>4套</w:t>
            </w:r>
          </w:p>
        </w:tc>
        <w:tc>
          <w:tcPr>
            <w:tcW w:w="2036" w:type="dxa"/>
            <w:vAlign w:val="center"/>
          </w:tcPr>
          <w:p>
            <w:pPr>
              <w:spacing w:line="280" w:lineRule="exact"/>
              <w:ind w:firstLine="0" w:firstLineChars="0"/>
              <w:jc w:val="center"/>
            </w:pPr>
            <w:r>
              <w:rPr>
                <w:rFonts w:hint="eastAsia"/>
              </w:rPr>
              <w:t>/</w:t>
            </w:r>
          </w:p>
        </w:tc>
      </w:tr>
      <w:tr>
        <w:tblPrEx>
          <w:tblW w:w="9515" w:type="dxa"/>
          <w:jc w:val="center"/>
          <w:tblLayout w:type="fixed"/>
          <w:tblCellMar>
            <w:top w:w="0" w:type="dxa"/>
            <w:left w:w="108" w:type="dxa"/>
            <w:bottom w:w="0" w:type="dxa"/>
            <w:right w:w="108" w:type="dxa"/>
          </w:tblCellMar>
        </w:tblPrEx>
        <w:trPr>
          <w:trHeight w:val="389"/>
          <w:jc w:val="center"/>
        </w:trPr>
        <w:tc>
          <w:tcPr>
            <w:tcW w:w="534" w:type="dxa"/>
            <w:vAlign w:val="center"/>
          </w:tcPr>
          <w:p>
            <w:pPr>
              <w:spacing w:line="280" w:lineRule="exact"/>
              <w:ind w:firstLine="0" w:firstLineChars="0"/>
              <w:jc w:val="center"/>
            </w:pPr>
            <w:r>
              <w:t>4</w:t>
            </w:r>
          </w:p>
        </w:tc>
        <w:tc>
          <w:tcPr>
            <w:tcW w:w="1418" w:type="dxa"/>
            <w:vAlign w:val="center"/>
          </w:tcPr>
          <w:p>
            <w:pPr>
              <w:spacing w:line="280" w:lineRule="exact"/>
              <w:ind w:firstLine="0" w:firstLineChars="0"/>
              <w:jc w:val="center"/>
            </w:pPr>
            <w:r>
              <w:rPr>
                <w:rFonts w:hint="eastAsia"/>
              </w:rPr>
              <w:t>液化石油气专用压缩机</w:t>
            </w:r>
          </w:p>
        </w:tc>
        <w:tc>
          <w:tcPr>
            <w:tcW w:w="851" w:type="dxa"/>
            <w:vAlign w:val="center"/>
          </w:tcPr>
          <w:p>
            <w:pPr>
              <w:spacing w:line="280" w:lineRule="exact"/>
              <w:ind w:firstLine="0" w:firstLineChars="0"/>
              <w:jc w:val="center"/>
            </w:pPr>
            <w:r>
              <w:rPr>
                <w:rFonts w:hint="eastAsia"/>
              </w:rPr>
              <w:t>ZW0.8/10-16和ZW1.1/10-16</w:t>
            </w:r>
          </w:p>
        </w:tc>
        <w:tc>
          <w:tcPr>
            <w:tcW w:w="708" w:type="dxa"/>
            <w:vAlign w:val="center"/>
          </w:tcPr>
          <w:p>
            <w:pPr>
              <w:spacing w:line="280" w:lineRule="exact"/>
              <w:ind w:firstLine="0" w:firstLineChars="0"/>
              <w:jc w:val="center"/>
            </w:pPr>
            <w:r>
              <w:rPr>
                <w:rFonts w:hint="eastAsia"/>
              </w:rPr>
              <w:t>2套</w:t>
            </w:r>
          </w:p>
        </w:tc>
        <w:tc>
          <w:tcPr>
            <w:tcW w:w="1984" w:type="dxa"/>
            <w:vAlign w:val="center"/>
          </w:tcPr>
          <w:p>
            <w:pPr>
              <w:spacing w:line="280" w:lineRule="exact"/>
              <w:ind w:firstLine="0" w:firstLineChars="0"/>
              <w:jc w:val="center"/>
            </w:pPr>
            <w:r>
              <w:rPr>
                <w:rFonts w:hint="eastAsia"/>
              </w:rPr>
              <w:t>/</w:t>
            </w:r>
          </w:p>
        </w:tc>
        <w:tc>
          <w:tcPr>
            <w:tcW w:w="1276" w:type="dxa"/>
            <w:vAlign w:val="center"/>
          </w:tcPr>
          <w:p>
            <w:pPr>
              <w:spacing w:line="280" w:lineRule="exact"/>
              <w:ind w:firstLine="0" w:firstLineChars="0"/>
              <w:jc w:val="center"/>
            </w:pPr>
            <w:r>
              <w:rPr>
                <w:rFonts w:hint="eastAsia"/>
              </w:rPr>
              <w:t>ZW0.8/10-16和ZW1.1/10-16</w:t>
            </w:r>
          </w:p>
        </w:tc>
        <w:tc>
          <w:tcPr>
            <w:tcW w:w="708" w:type="dxa"/>
            <w:vAlign w:val="center"/>
          </w:tcPr>
          <w:p>
            <w:pPr>
              <w:spacing w:line="280" w:lineRule="exact"/>
              <w:ind w:firstLine="0" w:firstLineChars="0"/>
              <w:jc w:val="center"/>
            </w:pPr>
            <w:r>
              <w:rPr>
                <w:rFonts w:hint="eastAsia"/>
              </w:rPr>
              <w:t>2套</w:t>
            </w:r>
          </w:p>
        </w:tc>
        <w:tc>
          <w:tcPr>
            <w:tcW w:w="2036" w:type="dxa"/>
            <w:vAlign w:val="center"/>
          </w:tcPr>
          <w:p>
            <w:pPr>
              <w:spacing w:line="280" w:lineRule="exact"/>
              <w:ind w:firstLine="0" w:firstLineChars="0"/>
              <w:jc w:val="center"/>
            </w:pPr>
            <w:r>
              <w:rPr>
                <w:rFonts w:hint="eastAsia"/>
              </w:rPr>
              <w:t>/</w:t>
            </w:r>
          </w:p>
        </w:tc>
      </w:tr>
      <w:tr>
        <w:tblPrEx>
          <w:tblW w:w="9515" w:type="dxa"/>
          <w:jc w:val="center"/>
          <w:tblLayout w:type="fixed"/>
          <w:tblCellMar>
            <w:top w:w="0" w:type="dxa"/>
            <w:left w:w="108" w:type="dxa"/>
            <w:bottom w:w="0" w:type="dxa"/>
            <w:right w:w="108" w:type="dxa"/>
          </w:tblCellMar>
        </w:tblPrEx>
        <w:trPr>
          <w:trHeight w:val="389"/>
          <w:jc w:val="center"/>
        </w:trPr>
        <w:tc>
          <w:tcPr>
            <w:tcW w:w="534" w:type="dxa"/>
            <w:vAlign w:val="center"/>
          </w:tcPr>
          <w:p>
            <w:pPr>
              <w:spacing w:line="280" w:lineRule="exact"/>
              <w:ind w:firstLine="0" w:firstLineChars="0"/>
              <w:jc w:val="center"/>
            </w:pPr>
            <w:r>
              <w:rPr>
                <w:rFonts w:hint="eastAsia"/>
              </w:rPr>
              <w:t>5</w:t>
            </w:r>
          </w:p>
        </w:tc>
        <w:tc>
          <w:tcPr>
            <w:tcW w:w="1418" w:type="dxa"/>
            <w:vAlign w:val="center"/>
          </w:tcPr>
          <w:p>
            <w:pPr>
              <w:spacing w:line="280" w:lineRule="exact"/>
              <w:ind w:firstLine="0" w:firstLineChars="0"/>
              <w:jc w:val="center"/>
            </w:pPr>
            <w:r>
              <w:rPr>
                <w:rFonts w:hint="eastAsia"/>
              </w:rPr>
              <w:t>柴油发电机</w:t>
            </w:r>
          </w:p>
        </w:tc>
        <w:tc>
          <w:tcPr>
            <w:tcW w:w="851" w:type="dxa"/>
            <w:vAlign w:val="center"/>
          </w:tcPr>
          <w:p>
            <w:pPr>
              <w:spacing w:line="280" w:lineRule="exact"/>
              <w:ind w:firstLine="0" w:firstLineChars="0"/>
              <w:jc w:val="center"/>
            </w:pPr>
            <w:r>
              <w:rPr>
                <w:rFonts w:hint="eastAsia"/>
              </w:rPr>
              <w:t>50kW</w:t>
            </w:r>
          </w:p>
        </w:tc>
        <w:tc>
          <w:tcPr>
            <w:tcW w:w="708" w:type="dxa"/>
            <w:vAlign w:val="center"/>
          </w:tcPr>
          <w:p>
            <w:pPr>
              <w:spacing w:line="280" w:lineRule="exact"/>
              <w:ind w:firstLine="0" w:firstLineChars="0"/>
              <w:jc w:val="center"/>
            </w:pPr>
            <w:r>
              <w:rPr>
                <w:rFonts w:hint="eastAsia"/>
              </w:rPr>
              <w:t>1台</w:t>
            </w:r>
          </w:p>
        </w:tc>
        <w:tc>
          <w:tcPr>
            <w:tcW w:w="1984" w:type="dxa"/>
            <w:vAlign w:val="center"/>
          </w:tcPr>
          <w:p>
            <w:pPr>
              <w:spacing w:line="280" w:lineRule="exact"/>
              <w:ind w:firstLine="0" w:firstLineChars="0"/>
              <w:jc w:val="center"/>
            </w:pPr>
            <w:r>
              <w:rPr>
                <w:rFonts w:hint="eastAsia"/>
              </w:rPr>
              <w:t>/</w:t>
            </w:r>
          </w:p>
        </w:tc>
        <w:tc>
          <w:tcPr>
            <w:tcW w:w="1276" w:type="dxa"/>
            <w:vAlign w:val="center"/>
          </w:tcPr>
          <w:p>
            <w:pPr>
              <w:spacing w:line="280" w:lineRule="exact"/>
              <w:ind w:firstLine="0" w:firstLineChars="0"/>
              <w:jc w:val="center"/>
            </w:pPr>
            <w:r>
              <w:rPr>
                <w:rFonts w:hint="eastAsia"/>
              </w:rPr>
              <w:t>50kW</w:t>
            </w:r>
          </w:p>
        </w:tc>
        <w:tc>
          <w:tcPr>
            <w:tcW w:w="708" w:type="dxa"/>
            <w:vAlign w:val="center"/>
          </w:tcPr>
          <w:p>
            <w:pPr>
              <w:spacing w:line="280" w:lineRule="exact"/>
              <w:ind w:firstLine="0" w:firstLineChars="0"/>
              <w:jc w:val="center"/>
            </w:pPr>
            <w:r>
              <w:rPr>
                <w:rFonts w:hint="eastAsia"/>
              </w:rPr>
              <w:t>1台</w:t>
            </w:r>
          </w:p>
        </w:tc>
        <w:tc>
          <w:tcPr>
            <w:tcW w:w="2036" w:type="dxa"/>
            <w:vAlign w:val="center"/>
          </w:tcPr>
          <w:p>
            <w:pPr>
              <w:spacing w:line="280" w:lineRule="exact"/>
              <w:ind w:firstLine="0" w:firstLineChars="0"/>
              <w:jc w:val="center"/>
            </w:pPr>
            <w:r>
              <w:rPr>
                <w:rFonts w:hint="eastAsia"/>
              </w:rPr>
              <w:t>/</w:t>
            </w:r>
          </w:p>
        </w:tc>
      </w:tr>
      <w:tr>
        <w:tblPrEx>
          <w:tblW w:w="9515" w:type="dxa"/>
          <w:jc w:val="center"/>
          <w:tblLayout w:type="fixed"/>
          <w:tblCellMar>
            <w:top w:w="0" w:type="dxa"/>
            <w:left w:w="108" w:type="dxa"/>
            <w:bottom w:w="0" w:type="dxa"/>
            <w:right w:w="108" w:type="dxa"/>
          </w:tblCellMar>
        </w:tblPrEx>
        <w:trPr>
          <w:trHeight w:val="389"/>
          <w:jc w:val="center"/>
        </w:trPr>
        <w:tc>
          <w:tcPr>
            <w:tcW w:w="534" w:type="dxa"/>
            <w:vAlign w:val="center"/>
          </w:tcPr>
          <w:p>
            <w:pPr>
              <w:spacing w:line="280" w:lineRule="exact"/>
              <w:ind w:firstLine="0" w:firstLineChars="0"/>
              <w:jc w:val="center"/>
            </w:pPr>
            <w:r>
              <w:rPr>
                <w:rFonts w:hint="eastAsia"/>
              </w:rPr>
              <w:t>6</w:t>
            </w:r>
          </w:p>
        </w:tc>
        <w:tc>
          <w:tcPr>
            <w:tcW w:w="1418" w:type="dxa"/>
            <w:vAlign w:val="center"/>
          </w:tcPr>
          <w:p>
            <w:pPr>
              <w:spacing w:line="280" w:lineRule="exact"/>
              <w:ind w:firstLine="0" w:firstLineChars="0"/>
              <w:jc w:val="center"/>
            </w:pPr>
            <w:r>
              <w:t>消防水泵</w:t>
            </w:r>
          </w:p>
        </w:tc>
        <w:tc>
          <w:tcPr>
            <w:tcW w:w="851" w:type="dxa"/>
            <w:vAlign w:val="center"/>
          </w:tcPr>
          <w:p>
            <w:pPr>
              <w:spacing w:line="280" w:lineRule="exact"/>
              <w:ind w:firstLine="0" w:firstLineChars="0"/>
              <w:jc w:val="center"/>
            </w:pPr>
            <w:r>
              <w:t>15</w:t>
            </w:r>
            <w:r>
              <w:rPr>
                <w:rFonts w:hint="eastAsia"/>
              </w:rPr>
              <w:t>kW</w:t>
            </w:r>
          </w:p>
        </w:tc>
        <w:tc>
          <w:tcPr>
            <w:tcW w:w="708" w:type="dxa"/>
            <w:vAlign w:val="center"/>
          </w:tcPr>
          <w:p>
            <w:pPr>
              <w:spacing w:line="280" w:lineRule="exact"/>
              <w:ind w:firstLine="0" w:firstLineChars="0"/>
              <w:jc w:val="center"/>
            </w:pPr>
            <w:r>
              <w:rPr>
                <w:rFonts w:hint="eastAsia"/>
              </w:rPr>
              <w:t>2</w:t>
            </w:r>
            <w:r>
              <w:t>台</w:t>
            </w:r>
          </w:p>
        </w:tc>
        <w:tc>
          <w:tcPr>
            <w:tcW w:w="1984" w:type="dxa"/>
            <w:vAlign w:val="center"/>
          </w:tcPr>
          <w:p>
            <w:pPr>
              <w:spacing w:line="280" w:lineRule="exact"/>
              <w:ind w:firstLine="0" w:firstLineChars="0"/>
              <w:jc w:val="center"/>
            </w:pPr>
            <w:r>
              <w:rPr>
                <w:rFonts w:hint="eastAsia"/>
              </w:rPr>
              <w:t>/</w:t>
            </w:r>
          </w:p>
        </w:tc>
        <w:tc>
          <w:tcPr>
            <w:tcW w:w="1276" w:type="dxa"/>
            <w:vAlign w:val="center"/>
          </w:tcPr>
          <w:p>
            <w:pPr>
              <w:spacing w:line="280" w:lineRule="exact"/>
              <w:ind w:firstLine="0" w:firstLineChars="0"/>
              <w:jc w:val="center"/>
            </w:pPr>
            <w:r>
              <w:t>15</w:t>
            </w:r>
            <w:r>
              <w:rPr>
                <w:rFonts w:hint="eastAsia"/>
              </w:rPr>
              <w:t>kW</w:t>
            </w:r>
          </w:p>
        </w:tc>
        <w:tc>
          <w:tcPr>
            <w:tcW w:w="708" w:type="dxa"/>
            <w:vAlign w:val="center"/>
          </w:tcPr>
          <w:p>
            <w:pPr>
              <w:spacing w:line="280" w:lineRule="exact"/>
              <w:ind w:firstLine="0" w:firstLineChars="0"/>
              <w:jc w:val="center"/>
            </w:pPr>
            <w:r>
              <w:rPr>
                <w:rFonts w:hint="eastAsia"/>
              </w:rPr>
              <w:t>2</w:t>
            </w:r>
            <w:r>
              <w:t>台</w:t>
            </w:r>
          </w:p>
        </w:tc>
        <w:tc>
          <w:tcPr>
            <w:tcW w:w="2036" w:type="dxa"/>
            <w:vAlign w:val="center"/>
          </w:tcPr>
          <w:p>
            <w:pPr>
              <w:spacing w:line="280" w:lineRule="exact"/>
              <w:ind w:firstLine="0" w:firstLineChars="0"/>
              <w:jc w:val="center"/>
            </w:pPr>
            <w:r>
              <w:rPr>
                <w:rFonts w:hint="eastAsia"/>
              </w:rPr>
              <w:t>/</w:t>
            </w:r>
          </w:p>
        </w:tc>
      </w:tr>
      <w:tr>
        <w:tblPrEx>
          <w:tblW w:w="9515" w:type="dxa"/>
          <w:jc w:val="center"/>
          <w:tblLayout w:type="fixed"/>
          <w:tblCellMar>
            <w:top w:w="0" w:type="dxa"/>
            <w:left w:w="108" w:type="dxa"/>
            <w:bottom w:w="0" w:type="dxa"/>
            <w:right w:w="108" w:type="dxa"/>
          </w:tblCellMar>
        </w:tblPrEx>
        <w:trPr>
          <w:trHeight w:val="389"/>
          <w:jc w:val="center"/>
        </w:trPr>
        <w:tc>
          <w:tcPr>
            <w:tcW w:w="534" w:type="dxa"/>
            <w:vAlign w:val="center"/>
          </w:tcPr>
          <w:p>
            <w:pPr>
              <w:spacing w:line="280" w:lineRule="exact"/>
              <w:ind w:firstLine="0" w:firstLineChars="0"/>
              <w:jc w:val="center"/>
            </w:pPr>
            <w:r>
              <w:rPr>
                <w:rFonts w:hint="eastAsia"/>
              </w:rPr>
              <w:t>7</w:t>
            </w:r>
          </w:p>
        </w:tc>
        <w:tc>
          <w:tcPr>
            <w:tcW w:w="1418" w:type="dxa"/>
            <w:vAlign w:val="center"/>
          </w:tcPr>
          <w:p>
            <w:pPr>
              <w:spacing w:line="280" w:lineRule="exact"/>
              <w:ind w:firstLine="0" w:firstLineChars="0"/>
              <w:jc w:val="center"/>
            </w:pPr>
            <w:r>
              <w:rPr>
                <w:rFonts w:hint="eastAsia"/>
              </w:rPr>
              <w:t>潜污泵</w:t>
            </w:r>
          </w:p>
        </w:tc>
        <w:tc>
          <w:tcPr>
            <w:tcW w:w="851" w:type="dxa"/>
            <w:vAlign w:val="center"/>
          </w:tcPr>
          <w:p>
            <w:pPr>
              <w:spacing w:line="280" w:lineRule="exact"/>
              <w:ind w:firstLine="0" w:firstLineChars="0"/>
              <w:jc w:val="center"/>
            </w:pPr>
            <w:r>
              <w:rPr>
                <w:rFonts w:hint="eastAsia"/>
              </w:rPr>
              <w:t>/</w:t>
            </w:r>
          </w:p>
        </w:tc>
        <w:tc>
          <w:tcPr>
            <w:tcW w:w="708" w:type="dxa"/>
            <w:vAlign w:val="center"/>
          </w:tcPr>
          <w:p>
            <w:pPr>
              <w:spacing w:line="280" w:lineRule="exact"/>
              <w:ind w:firstLine="0" w:firstLineChars="0"/>
              <w:jc w:val="center"/>
            </w:pPr>
            <w:r>
              <w:rPr>
                <w:rFonts w:hint="eastAsia"/>
              </w:rPr>
              <w:t>1台</w:t>
            </w:r>
          </w:p>
        </w:tc>
        <w:tc>
          <w:tcPr>
            <w:tcW w:w="1984" w:type="dxa"/>
            <w:vAlign w:val="center"/>
          </w:tcPr>
          <w:p>
            <w:pPr>
              <w:spacing w:line="280" w:lineRule="exact"/>
              <w:ind w:firstLine="0" w:firstLineChars="0"/>
              <w:jc w:val="center"/>
            </w:pPr>
            <w:r>
              <w:rPr>
                <w:rFonts w:hint="eastAsia"/>
              </w:rPr>
              <w:t>/</w:t>
            </w:r>
          </w:p>
        </w:tc>
        <w:tc>
          <w:tcPr>
            <w:tcW w:w="1276" w:type="dxa"/>
            <w:vAlign w:val="center"/>
          </w:tcPr>
          <w:p>
            <w:pPr>
              <w:spacing w:line="280" w:lineRule="exact"/>
              <w:ind w:firstLine="0" w:firstLineChars="0"/>
              <w:jc w:val="center"/>
            </w:pPr>
            <w:r>
              <w:rPr>
                <w:rFonts w:hint="eastAsia"/>
              </w:rPr>
              <w:t>/</w:t>
            </w:r>
          </w:p>
        </w:tc>
        <w:tc>
          <w:tcPr>
            <w:tcW w:w="708" w:type="dxa"/>
            <w:vAlign w:val="center"/>
          </w:tcPr>
          <w:p>
            <w:pPr>
              <w:spacing w:line="280" w:lineRule="exact"/>
              <w:ind w:firstLine="0" w:firstLineChars="0"/>
              <w:jc w:val="center"/>
            </w:pPr>
            <w:r>
              <w:rPr>
                <w:rFonts w:hint="eastAsia"/>
              </w:rPr>
              <w:t>1台</w:t>
            </w:r>
          </w:p>
        </w:tc>
        <w:tc>
          <w:tcPr>
            <w:tcW w:w="2036" w:type="dxa"/>
            <w:vAlign w:val="center"/>
          </w:tcPr>
          <w:p>
            <w:pPr>
              <w:spacing w:line="280" w:lineRule="exact"/>
              <w:ind w:firstLine="0" w:firstLineChars="0"/>
              <w:jc w:val="center"/>
            </w:pPr>
            <w:r>
              <w:rPr>
                <w:rFonts w:hint="eastAsia"/>
              </w:rPr>
              <w:t>/</w:t>
            </w:r>
          </w:p>
        </w:tc>
      </w:tr>
      <w:tr>
        <w:tblPrEx>
          <w:tblW w:w="9515" w:type="dxa"/>
          <w:jc w:val="center"/>
          <w:tblLayout w:type="fixed"/>
          <w:tblCellMar>
            <w:top w:w="0" w:type="dxa"/>
            <w:left w:w="108" w:type="dxa"/>
            <w:bottom w:w="0" w:type="dxa"/>
            <w:right w:w="108" w:type="dxa"/>
          </w:tblCellMar>
        </w:tblPrEx>
        <w:trPr>
          <w:trHeight w:val="389"/>
          <w:jc w:val="center"/>
        </w:trPr>
        <w:tc>
          <w:tcPr>
            <w:tcW w:w="534" w:type="dxa"/>
            <w:vAlign w:val="center"/>
          </w:tcPr>
          <w:p>
            <w:pPr>
              <w:spacing w:line="280" w:lineRule="exact"/>
              <w:ind w:firstLine="0" w:firstLineChars="0"/>
              <w:jc w:val="center"/>
            </w:pPr>
            <w:r>
              <w:rPr>
                <w:rFonts w:hint="eastAsia"/>
              </w:rPr>
              <w:t>8</w:t>
            </w:r>
          </w:p>
        </w:tc>
        <w:tc>
          <w:tcPr>
            <w:tcW w:w="1418" w:type="dxa"/>
            <w:vAlign w:val="center"/>
          </w:tcPr>
          <w:p>
            <w:pPr>
              <w:spacing w:line="280" w:lineRule="exact"/>
              <w:ind w:firstLine="0" w:firstLineChars="0"/>
              <w:jc w:val="center"/>
            </w:pPr>
            <w:r>
              <w:rPr>
                <w:rFonts w:hint="eastAsia"/>
              </w:rPr>
              <w:t>电子灌装秤</w:t>
            </w:r>
          </w:p>
        </w:tc>
        <w:tc>
          <w:tcPr>
            <w:tcW w:w="851" w:type="dxa"/>
            <w:vAlign w:val="center"/>
          </w:tcPr>
          <w:p>
            <w:pPr>
              <w:spacing w:line="280" w:lineRule="exact"/>
              <w:ind w:firstLine="0" w:firstLineChars="0"/>
              <w:jc w:val="center"/>
            </w:pPr>
            <w:r>
              <w:t>TCS-120</w:t>
            </w:r>
          </w:p>
        </w:tc>
        <w:tc>
          <w:tcPr>
            <w:tcW w:w="708" w:type="dxa"/>
            <w:vAlign w:val="center"/>
          </w:tcPr>
          <w:p>
            <w:pPr>
              <w:spacing w:line="280" w:lineRule="exact"/>
              <w:ind w:firstLine="0" w:firstLineChars="0"/>
              <w:jc w:val="center"/>
            </w:pPr>
            <w:r>
              <w:t>3</w:t>
            </w:r>
            <w:r>
              <w:rPr>
                <w:rFonts w:hint="eastAsia"/>
              </w:rPr>
              <w:t>台</w:t>
            </w:r>
          </w:p>
        </w:tc>
        <w:tc>
          <w:tcPr>
            <w:tcW w:w="1984" w:type="dxa"/>
            <w:vAlign w:val="center"/>
          </w:tcPr>
          <w:p>
            <w:pPr>
              <w:spacing w:line="280" w:lineRule="exact"/>
              <w:ind w:firstLine="0" w:firstLineChars="0"/>
              <w:jc w:val="center"/>
            </w:pPr>
            <w:r>
              <w:rPr>
                <w:rFonts w:hint="eastAsia"/>
              </w:rPr>
              <w:t>/</w:t>
            </w:r>
          </w:p>
        </w:tc>
        <w:tc>
          <w:tcPr>
            <w:tcW w:w="1276" w:type="dxa"/>
            <w:vAlign w:val="center"/>
          </w:tcPr>
          <w:p>
            <w:pPr>
              <w:spacing w:line="280" w:lineRule="exact"/>
              <w:ind w:firstLine="0" w:firstLineChars="0"/>
              <w:jc w:val="center"/>
            </w:pPr>
            <w:r>
              <w:t>TCS-120</w:t>
            </w:r>
          </w:p>
        </w:tc>
        <w:tc>
          <w:tcPr>
            <w:tcW w:w="708" w:type="dxa"/>
            <w:vAlign w:val="center"/>
          </w:tcPr>
          <w:p>
            <w:pPr>
              <w:spacing w:line="280" w:lineRule="exact"/>
              <w:ind w:firstLine="0" w:firstLineChars="0"/>
              <w:jc w:val="center"/>
            </w:pPr>
            <w:r>
              <w:rPr>
                <w:rFonts w:hint="eastAsia"/>
              </w:rPr>
              <w:t>3台</w:t>
            </w:r>
          </w:p>
        </w:tc>
        <w:tc>
          <w:tcPr>
            <w:tcW w:w="2036" w:type="dxa"/>
            <w:vAlign w:val="center"/>
          </w:tcPr>
          <w:p>
            <w:pPr>
              <w:spacing w:line="280" w:lineRule="exact"/>
              <w:ind w:firstLine="0" w:firstLineChars="0"/>
              <w:jc w:val="center"/>
            </w:pPr>
            <w:r>
              <w:rPr>
                <w:rFonts w:hint="eastAsia"/>
              </w:rPr>
              <w:t>/</w:t>
            </w:r>
          </w:p>
        </w:tc>
      </w:tr>
    </w:tbl>
    <w:p>
      <w:pPr>
        <w:sectPr>
          <w:headerReference w:type="even" r:id="rId158"/>
          <w:headerReference w:type="default" r:id="rId159"/>
          <w:footerReference w:type="even" r:id="rId160"/>
          <w:footerReference w:type="default" r:id="rId161"/>
          <w:headerReference w:type="first" r:id="rId162"/>
          <w:footerReference w:type="first" r:id="rId163"/>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13"/>
          <w:cols w:num="1" w:space="720"/>
          <w:titlePg w:val="0"/>
          <w:docGrid w:type="linesAndChars" w:linePitch="312" w:charSpace="0"/>
        </w:sectPr>
      </w:pPr>
    </w:p>
    <w:p>
      <w:pPr>
        <w:sectPr>
          <w:headerReference w:type="even" r:id="rId164"/>
          <w:headerReference w:type="default" r:id="rId165"/>
          <w:footerReference w:type="even" r:id="rId166"/>
          <w:footerReference w:type="default" r:id="rId167"/>
          <w:headerReference w:type="first" r:id="rId168"/>
          <w:footerReference w:type="first" r:id="rId169"/>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34"/>
        <w:gridCol w:w="1418"/>
        <w:gridCol w:w="851"/>
        <w:gridCol w:w="708"/>
        <w:gridCol w:w="1984"/>
        <w:gridCol w:w="1276"/>
        <w:gridCol w:w="708"/>
        <w:gridCol w:w="2036"/>
      </w:tblGrid>
      <w:tr>
        <w:tblPrEx>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9"/>
          <w:jc w:val="center"/>
        </w:trPr>
        <w:tc>
          <w:tcPr>
            <w:tcW w:w="534" w:type="dxa"/>
            <w:vAlign w:val="center"/>
          </w:tcPr>
          <w:p>
            <w:pPr>
              <w:spacing w:line="280" w:lineRule="exact"/>
              <w:ind w:firstLine="0" w:firstLineChars="0"/>
              <w:jc w:val="center"/>
            </w:pPr>
            <w:r>
              <w:t>9</w:t>
            </w:r>
          </w:p>
        </w:tc>
        <w:tc>
          <w:tcPr>
            <w:tcW w:w="1418" w:type="dxa"/>
            <w:vAlign w:val="center"/>
          </w:tcPr>
          <w:p>
            <w:pPr>
              <w:spacing w:line="280" w:lineRule="exact"/>
              <w:ind w:firstLine="0" w:firstLineChars="0"/>
              <w:jc w:val="center"/>
            </w:pPr>
            <w:r>
              <w:rPr>
                <w:rFonts w:hint="eastAsia"/>
              </w:rPr>
              <w:t>小型配送车</w:t>
            </w:r>
          </w:p>
        </w:tc>
        <w:tc>
          <w:tcPr>
            <w:tcW w:w="851" w:type="dxa"/>
            <w:vAlign w:val="center"/>
          </w:tcPr>
          <w:p>
            <w:pPr>
              <w:spacing w:line="280" w:lineRule="exact"/>
              <w:ind w:firstLine="0" w:firstLineChars="0"/>
              <w:jc w:val="center"/>
            </w:pPr>
            <w:r>
              <w:rPr>
                <w:rFonts w:hint="eastAsia"/>
              </w:rPr>
              <w:t>江淮</w:t>
            </w:r>
          </w:p>
        </w:tc>
        <w:tc>
          <w:tcPr>
            <w:tcW w:w="708" w:type="dxa"/>
            <w:vAlign w:val="center"/>
          </w:tcPr>
          <w:p>
            <w:pPr>
              <w:spacing w:line="280" w:lineRule="exact"/>
              <w:ind w:firstLine="0" w:firstLineChars="0"/>
              <w:jc w:val="center"/>
            </w:pPr>
            <w:r>
              <w:t>1</w:t>
            </w:r>
            <w:r>
              <w:rPr>
                <w:rFonts w:hint="eastAsia"/>
              </w:rPr>
              <w:t>辆</w:t>
            </w:r>
          </w:p>
        </w:tc>
        <w:tc>
          <w:tcPr>
            <w:tcW w:w="1984" w:type="dxa"/>
            <w:vAlign w:val="center"/>
          </w:tcPr>
          <w:p>
            <w:pPr>
              <w:spacing w:line="280" w:lineRule="exact"/>
              <w:ind w:firstLine="0" w:firstLineChars="0"/>
              <w:jc w:val="center"/>
            </w:pPr>
            <w:r>
              <w:rPr>
                <w:rFonts w:hint="eastAsia"/>
              </w:rPr>
              <w:t>/</w:t>
            </w:r>
          </w:p>
        </w:tc>
        <w:tc>
          <w:tcPr>
            <w:tcW w:w="1276" w:type="dxa"/>
            <w:vAlign w:val="center"/>
          </w:tcPr>
          <w:p>
            <w:pPr>
              <w:spacing w:line="280" w:lineRule="exact"/>
              <w:ind w:firstLine="0" w:firstLineChars="0"/>
              <w:jc w:val="center"/>
            </w:pPr>
            <w:r>
              <w:rPr>
                <w:rFonts w:hint="eastAsia"/>
              </w:rPr>
              <w:t>江淮</w:t>
            </w:r>
          </w:p>
        </w:tc>
        <w:tc>
          <w:tcPr>
            <w:tcW w:w="708" w:type="dxa"/>
            <w:vAlign w:val="center"/>
          </w:tcPr>
          <w:p>
            <w:pPr>
              <w:spacing w:line="280" w:lineRule="exact"/>
              <w:ind w:firstLine="0" w:firstLineChars="0"/>
              <w:jc w:val="center"/>
            </w:pPr>
            <w:r>
              <w:rPr>
                <w:rFonts w:hint="eastAsia"/>
              </w:rPr>
              <w:t>1辆</w:t>
            </w:r>
          </w:p>
        </w:tc>
        <w:tc>
          <w:tcPr>
            <w:tcW w:w="2036" w:type="dxa"/>
            <w:vAlign w:val="center"/>
          </w:tcPr>
          <w:p>
            <w:pPr>
              <w:spacing w:line="280" w:lineRule="exact"/>
              <w:ind w:firstLine="0" w:firstLineChars="0"/>
              <w:jc w:val="center"/>
            </w:pPr>
            <w:r>
              <w:rPr>
                <w:rFonts w:hint="eastAsia"/>
              </w:rPr>
              <w:t>/</w:t>
            </w:r>
          </w:p>
        </w:tc>
      </w:tr>
    </w:tbl>
    <w:p>
      <w:pPr>
        <w:pStyle w:val="a1"/>
        <w:spacing w:before="156" w:beforeLines="50"/>
        <w:ind w:firstLine="480"/>
        <w:outlineLvl w:val="1"/>
        <w:rPr>
          <w:rFonts w:eastAsia="黑体"/>
        </w:rPr>
      </w:pPr>
      <w:r>
        <w:rPr>
          <w:rFonts w:eastAsia="黑体" w:hint="eastAsia"/>
        </w:rPr>
        <w:t>6、供气站级别</w:t>
      </w:r>
    </w:p>
    <w:p>
      <w:pPr>
        <w:pStyle w:val="a1"/>
        <w:ind w:firstLine="480"/>
      </w:pPr>
      <w:r>
        <w:t>根据</w:t>
      </w:r>
      <w:r>
        <w:rPr>
          <w:rFonts w:hint="eastAsia"/>
        </w:rPr>
        <w:t>《液化石油气供应工程设计规范》（GB51142-2015）规定，液化石油气供应站等级划分依据见表1-11。</w:t>
      </w:r>
    </w:p>
    <w:p>
      <w:pPr>
        <w:pStyle w:val="a1"/>
        <w:spacing w:line="240" w:lineRule="auto"/>
        <w:ind w:firstLine="0" w:firstLineChars="0"/>
        <w:jc w:val="center"/>
        <w:rPr>
          <w:rFonts w:eastAsia="黑体"/>
          <w:sz w:val="21"/>
          <w:szCs w:val="21"/>
        </w:rPr>
      </w:pPr>
      <w:r>
        <w:rPr>
          <w:rFonts w:eastAsia="黑体" w:hint="eastAsia"/>
          <w:sz w:val="21"/>
          <w:szCs w:val="21"/>
        </w:rPr>
        <w:t>表1-11  供气站的等级划分  单位：</w:t>
      </w:r>
      <w:r>
        <w:rPr>
          <w:rFonts w:eastAsia="黑体"/>
          <w:sz w:val="21"/>
          <w:szCs w:val="21"/>
        </w:rPr>
        <w:t>m</w:t>
      </w:r>
      <w:r>
        <w:rPr>
          <w:rFonts w:eastAsia="黑体"/>
          <w:sz w:val="21"/>
          <w:szCs w:val="21"/>
          <w:vertAlign w:val="superscript"/>
        </w:rPr>
        <w:t>3</w:t>
      </w:r>
    </w:p>
    <w:tbl>
      <w:tblPr>
        <w:tblStyle w:val="TableNormal"/>
        <w:tblW w:w="5000" w:type="pct"/>
        <w:tblInd w:w="0" w:type="dxa"/>
        <w:tblBorders>
          <w:top w:val="single" w:sz="8" w:space="0" w:color="000000"/>
          <w:left w:val="none" w:sz="0" w:space="0" w:color="auto"/>
          <w:bottom w:val="single" w:sz="4" w:space="0" w:color="000000"/>
          <w:right w:val="none" w:sz="0" w:space="0" w:color="auto"/>
          <w:insideH w:val="single" w:sz="4" w:space="0" w:color="000000"/>
          <w:insideV w:val="single" w:sz="4" w:space="0" w:color="000000"/>
        </w:tblBorders>
        <w:tblCellMar>
          <w:top w:w="0" w:type="dxa"/>
          <w:left w:w="0" w:type="dxa"/>
          <w:bottom w:w="0" w:type="dxa"/>
          <w:right w:w="0" w:type="dxa"/>
        </w:tblCellMar>
      </w:tblPr>
      <w:tblGrid>
        <w:gridCol w:w="1218"/>
        <w:gridCol w:w="3893"/>
        <w:gridCol w:w="4188"/>
      </w:tblGrid>
      <w:tr>
        <w:tblPrEx>
          <w:tblW w:w="5000" w:type="pct"/>
          <w:tblInd w:w="0" w:type="dxa"/>
          <w:tblBorders>
            <w:top w:val="single" w:sz="8" w:space="0" w:color="000000"/>
            <w:left w:val="none" w:sz="0" w:space="0" w:color="auto"/>
            <w:bottom w:val="single" w:sz="4" w:space="0" w:color="000000"/>
            <w:right w:val="none" w:sz="0" w:space="0" w:color="auto"/>
            <w:insideH w:val="single" w:sz="4" w:space="0" w:color="000000"/>
            <w:insideV w:val="single" w:sz="4" w:space="0" w:color="000000"/>
          </w:tblBorders>
          <w:tblCellMar>
            <w:top w:w="0" w:type="dxa"/>
            <w:left w:w="0" w:type="dxa"/>
            <w:bottom w:w="0" w:type="dxa"/>
            <w:right w:w="0" w:type="dxa"/>
          </w:tblCellMar>
        </w:tblPrEx>
        <w:trPr>
          <w:trHeight w:hRule="exact" w:val="375"/>
        </w:trPr>
        <w:tc>
          <w:tcPr>
            <w:tcW w:w="655" w:type="pct"/>
            <w:vMerge w:val="restart"/>
            <w:vAlign w:val="center"/>
          </w:tcPr>
          <w:p>
            <w:pPr>
              <w:spacing w:line="280" w:lineRule="exact"/>
              <w:ind w:firstLine="0" w:firstLineChars="0"/>
              <w:jc w:val="center"/>
              <w:rPr>
                <w:b/>
                <w:bCs/>
              </w:rPr>
            </w:pPr>
            <w:r>
              <w:rPr>
                <w:b/>
                <w:bCs/>
              </w:rPr>
              <w:t>级别</w:t>
            </w:r>
          </w:p>
        </w:tc>
        <w:tc>
          <w:tcPr>
            <w:tcW w:w="4345" w:type="pct"/>
            <w:gridSpan w:val="2"/>
            <w:vAlign w:val="center"/>
          </w:tcPr>
          <w:p>
            <w:pPr>
              <w:spacing w:line="280" w:lineRule="exact"/>
              <w:ind w:firstLine="0" w:firstLineChars="0"/>
              <w:jc w:val="center"/>
              <w:rPr>
                <w:b/>
                <w:bCs/>
              </w:rPr>
            </w:pPr>
            <w:r>
              <w:rPr>
                <w:b/>
                <w:bCs/>
              </w:rPr>
              <w:t>储罐容积（m</w:t>
            </w:r>
            <w:r>
              <w:rPr>
                <w:b/>
                <w:bCs/>
                <w:vertAlign w:val="superscript"/>
              </w:rPr>
              <w:t>3</w:t>
            </w:r>
            <w:r>
              <w:rPr>
                <w:b/>
                <w:bCs/>
              </w:rPr>
              <w:t>）</w:t>
            </w:r>
          </w:p>
        </w:tc>
      </w:tr>
      <w:tr>
        <w:tblPrEx>
          <w:tblW w:w="5000" w:type="pct"/>
          <w:tblInd w:w="0" w:type="dxa"/>
          <w:tblCellMar>
            <w:top w:w="0" w:type="dxa"/>
            <w:left w:w="0" w:type="dxa"/>
            <w:bottom w:w="0" w:type="dxa"/>
            <w:right w:w="0" w:type="dxa"/>
          </w:tblCellMar>
        </w:tblPrEx>
        <w:trPr>
          <w:trHeight w:hRule="exact" w:val="370"/>
        </w:trPr>
        <w:tc>
          <w:tcPr>
            <w:tcW w:w="655" w:type="pct"/>
            <w:vMerge/>
            <w:vAlign w:val="center"/>
          </w:tcPr>
          <w:p>
            <w:pPr>
              <w:spacing w:line="280" w:lineRule="exact"/>
              <w:ind w:firstLine="0" w:firstLineChars="0"/>
              <w:jc w:val="center"/>
              <w:rPr>
                <w:b/>
                <w:bCs/>
              </w:rPr>
            </w:pPr>
          </w:p>
        </w:tc>
        <w:tc>
          <w:tcPr>
            <w:tcW w:w="2093" w:type="pct"/>
            <w:vAlign w:val="center"/>
          </w:tcPr>
          <w:p>
            <w:pPr>
              <w:spacing w:line="280" w:lineRule="exact"/>
              <w:ind w:firstLine="0" w:firstLineChars="0"/>
              <w:jc w:val="center"/>
              <w:rPr>
                <w:b/>
                <w:bCs/>
              </w:rPr>
            </w:pPr>
            <w:r>
              <w:rPr>
                <w:b/>
                <w:bCs/>
              </w:rPr>
              <w:t>总容积（V）</w:t>
            </w:r>
          </w:p>
        </w:tc>
        <w:tc>
          <w:tcPr>
            <w:tcW w:w="2252" w:type="pct"/>
            <w:vAlign w:val="center"/>
          </w:tcPr>
          <w:p>
            <w:pPr>
              <w:spacing w:line="280" w:lineRule="exact"/>
              <w:ind w:firstLine="0" w:firstLineChars="0"/>
              <w:jc w:val="center"/>
              <w:rPr>
                <w:b/>
                <w:bCs/>
              </w:rPr>
            </w:pPr>
            <w:r>
              <w:rPr>
                <w:b/>
                <w:bCs/>
              </w:rPr>
              <w:t>单罐容积（V'）</w:t>
            </w:r>
          </w:p>
        </w:tc>
      </w:tr>
      <w:tr>
        <w:tblPrEx>
          <w:tblW w:w="5000" w:type="pct"/>
          <w:tblInd w:w="0" w:type="dxa"/>
          <w:tblCellMar>
            <w:top w:w="0" w:type="dxa"/>
            <w:left w:w="0" w:type="dxa"/>
            <w:bottom w:w="0" w:type="dxa"/>
            <w:right w:w="0" w:type="dxa"/>
          </w:tblCellMar>
        </w:tblPrEx>
        <w:trPr>
          <w:trHeight w:hRule="exact" w:val="370"/>
        </w:trPr>
        <w:tc>
          <w:tcPr>
            <w:tcW w:w="655" w:type="pct"/>
            <w:vAlign w:val="center"/>
          </w:tcPr>
          <w:p>
            <w:pPr>
              <w:spacing w:line="280" w:lineRule="exact"/>
              <w:ind w:firstLine="0" w:firstLineChars="0"/>
              <w:jc w:val="center"/>
            </w:pPr>
            <w:r>
              <w:t>一级</w:t>
            </w:r>
          </w:p>
        </w:tc>
        <w:tc>
          <w:tcPr>
            <w:tcW w:w="2093" w:type="pct"/>
            <w:vAlign w:val="center"/>
          </w:tcPr>
          <w:p>
            <w:pPr>
              <w:spacing w:line="280" w:lineRule="exact"/>
              <w:ind w:firstLine="0" w:firstLineChars="0"/>
              <w:jc w:val="center"/>
            </w:pPr>
            <w:r>
              <w:t>5000＜V≤1000</w:t>
            </w:r>
          </w:p>
        </w:tc>
        <w:tc>
          <w:tcPr>
            <w:tcW w:w="2252" w:type="pct"/>
            <w:vAlign w:val="center"/>
          </w:tcPr>
          <w:p>
            <w:pPr>
              <w:spacing w:line="280" w:lineRule="exact"/>
              <w:ind w:firstLine="0" w:firstLineChars="0"/>
              <w:jc w:val="center"/>
            </w:pPr>
            <w:r>
              <w:t>--</w:t>
            </w:r>
          </w:p>
        </w:tc>
      </w:tr>
      <w:tr>
        <w:tblPrEx>
          <w:tblW w:w="5000" w:type="pct"/>
          <w:tblInd w:w="0" w:type="dxa"/>
          <w:tblCellMar>
            <w:top w:w="0" w:type="dxa"/>
            <w:left w:w="0" w:type="dxa"/>
            <w:bottom w:w="0" w:type="dxa"/>
            <w:right w:w="0" w:type="dxa"/>
          </w:tblCellMar>
        </w:tblPrEx>
        <w:trPr>
          <w:trHeight w:hRule="exact" w:val="370"/>
        </w:trPr>
        <w:tc>
          <w:tcPr>
            <w:tcW w:w="655" w:type="pct"/>
            <w:vAlign w:val="center"/>
          </w:tcPr>
          <w:p>
            <w:pPr>
              <w:spacing w:line="280" w:lineRule="exact"/>
              <w:ind w:firstLine="0" w:firstLineChars="0"/>
              <w:jc w:val="center"/>
            </w:pPr>
            <w:r>
              <w:t>二级</w:t>
            </w:r>
          </w:p>
        </w:tc>
        <w:tc>
          <w:tcPr>
            <w:tcW w:w="2093" w:type="pct"/>
            <w:vAlign w:val="center"/>
          </w:tcPr>
          <w:p>
            <w:pPr>
              <w:spacing w:line="280" w:lineRule="exact"/>
              <w:ind w:firstLine="0" w:firstLineChars="0"/>
              <w:jc w:val="center"/>
            </w:pPr>
            <w:r>
              <w:t>2500＜V≤ 5000</w:t>
            </w:r>
          </w:p>
        </w:tc>
        <w:tc>
          <w:tcPr>
            <w:tcW w:w="2252" w:type="pct"/>
            <w:vAlign w:val="center"/>
          </w:tcPr>
          <w:p>
            <w:pPr>
              <w:spacing w:line="280" w:lineRule="exact"/>
              <w:ind w:firstLine="0" w:firstLineChars="0"/>
              <w:jc w:val="center"/>
            </w:pPr>
            <w:r>
              <w:t>V'≤1000</w:t>
            </w:r>
          </w:p>
        </w:tc>
      </w:tr>
      <w:tr>
        <w:tblPrEx>
          <w:tblW w:w="5000" w:type="pct"/>
          <w:tblInd w:w="0" w:type="dxa"/>
          <w:tblCellMar>
            <w:top w:w="0" w:type="dxa"/>
            <w:left w:w="0" w:type="dxa"/>
            <w:bottom w:w="0" w:type="dxa"/>
            <w:right w:w="0" w:type="dxa"/>
          </w:tblCellMar>
        </w:tblPrEx>
        <w:trPr>
          <w:trHeight w:hRule="exact" w:val="370"/>
        </w:trPr>
        <w:tc>
          <w:tcPr>
            <w:tcW w:w="655" w:type="pct"/>
            <w:vAlign w:val="center"/>
          </w:tcPr>
          <w:p>
            <w:pPr>
              <w:spacing w:line="280" w:lineRule="exact"/>
              <w:ind w:firstLine="0" w:firstLineChars="0"/>
              <w:jc w:val="center"/>
            </w:pPr>
            <w:r>
              <w:t>三级</w:t>
            </w:r>
          </w:p>
        </w:tc>
        <w:tc>
          <w:tcPr>
            <w:tcW w:w="2093" w:type="pct"/>
            <w:vAlign w:val="center"/>
          </w:tcPr>
          <w:p>
            <w:pPr>
              <w:spacing w:line="280" w:lineRule="exact"/>
              <w:ind w:firstLine="0" w:firstLineChars="0"/>
              <w:jc w:val="center"/>
            </w:pPr>
            <w:r>
              <w:t>1000＜V≤ 2500</w:t>
            </w:r>
          </w:p>
        </w:tc>
        <w:tc>
          <w:tcPr>
            <w:tcW w:w="2252" w:type="pct"/>
            <w:vAlign w:val="center"/>
          </w:tcPr>
          <w:p>
            <w:pPr>
              <w:spacing w:line="280" w:lineRule="exact"/>
              <w:ind w:firstLine="0" w:firstLineChars="0"/>
              <w:jc w:val="center"/>
            </w:pPr>
            <w:r>
              <w:t>V'≤400</w:t>
            </w:r>
          </w:p>
        </w:tc>
      </w:tr>
      <w:tr>
        <w:tblPrEx>
          <w:tblW w:w="5000" w:type="pct"/>
          <w:tblInd w:w="0" w:type="dxa"/>
          <w:tblCellMar>
            <w:top w:w="0" w:type="dxa"/>
            <w:left w:w="0" w:type="dxa"/>
            <w:bottom w:w="0" w:type="dxa"/>
            <w:right w:w="0" w:type="dxa"/>
          </w:tblCellMar>
        </w:tblPrEx>
        <w:trPr>
          <w:trHeight w:hRule="exact" w:val="370"/>
        </w:trPr>
        <w:tc>
          <w:tcPr>
            <w:tcW w:w="655" w:type="pct"/>
            <w:vAlign w:val="center"/>
          </w:tcPr>
          <w:p>
            <w:pPr>
              <w:spacing w:line="280" w:lineRule="exact"/>
              <w:ind w:firstLine="0" w:firstLineChars="0"/>
              <w:jc w:val="center"/>
            </w:pPr>
            <w:r>
              <w:t>四级</w:t>
            </w:r>
          </w:p>
        </w:tc>
        <w:tc>
          <w:tcPr>
            <w:tcW w:w="2093" w:type="pct"/>
            <w:vAlign w:val="center"/>
          </w:tcPr>
          <w:p>
            <w:pPr>
              <w:spacing w:line="280" w:lineRule="exact"/>
              <w:ind w:firstLine="0" w:firstLineChars="0"/>
              <w:jc w:val="center"/>
            </w:pPr>
            <w:r>
              <w:t>500＜V≤1000</w:t>
            </w:r>
          </w:p>
        </w:tc>
        <w:tc>
          <w:tcPr>
            <w:tcW w:w="2252" w:type="pct"/>
            <w:vAlign w:val="center"/>
          </w:tcPr>
          <w:p>
            <w:pPr>
              <w:spacing w:line="280" w:lineRule="exact"/>
              <w:ind w:firstLine="0" w:firstLineChars="0"/>
              <w:jc w:val="center"/>
            </w:pPr>
            <w:r>
              <w:t>V'≤200</w:t>
            </w:r>
          </w:p>
        </w:tc>
      </w:tr>
      <w:tr>
        <w:tblPrEx>
          <w:tblW w:w="5000" w:type="pct"/>
          <w:tblInd w:w="0" w:type="dxa"/>
          <w:tblCellMar>
            <w:top w:w="0" w:type="dxa"/>
            <w:left w:w="0" w:type="dxa"/>
            <w:bottom w:w="0" w:type="dxa"/>
            <w:right w:w="0" w:type="dxa"/>
          </w:tblCellMar>
        </w:tblPrEx>
        <w:trPr>
          <w:trHeight w:hRule="exact" w:val="370"/>
        </w:trPr>
        <w:tc>
          <w:tcPr>
            <w:tcW w:w="655" w:type="pct"/>
            <w:vAlign w:val="center"/>
          </w:tcPr>
          <w:p>
            <w:pPr>
              <w:spacing w:line="280" w:lineRule="exact"/>
              <w:ind w:firstLine="0" w:firstLineChars="0"/>
              <w:jc w:val="center"/>
            </w:pPr>
            <w:r>
              <w:t>五级</w:t>
            </w:r>
          </w:p>
        </w:tc>
        <w:tc>
          <w:tcPr>
            <w:tcW w:w="2093" w:type="pct"/>
            <w:vAlign w:val="center"/>
          </w:tcPr>
          <w:p>
            <w:pPr>
              <w:spacing w:line="280" w:lineRule="exact"/>
              <w:ind w:firstLine="0" w:firstLineChars="0"/>
              <w:jc w:val="center"/>
            </w:pPr>
            <w:r>
              <w:t>220＜V≤500</w:t>
            </w:r>
          </w:p>
        </w:tc>
        <w:tc>
          <w:tcPr>
            <w:tcW w:w="2252" w:type="pct"/>
            <w:vAlign w:val="center"/>
          </w:tcPr>
          <w:p>
            <w:pPr>
              <w:spacing w:line="280" w:lineRule="exact"/>
              <w:ind w:firstLine="0" w:firstLineChars="0"/>
              <w:jc w:val="center"/>
            </w:pPr>
            <w:r>
              <w:t>V'≤100</w:t>
            </w:r>
          </w:p>
        </w:tc>
      </w:tr>
      <w:tr>
        <w:tblPrEx>
          <w:tblW w:w="5000" w:type="pct"/>
          <w:tblInd w:w="0" w:type="dxa"/>
          <w:tblCellMar>
            <w:top w:w="0" w:type="dxa"/>
            <w:left w:w="0" w:type="dxa"/>
            <w:bottom w:w="0" w:type="dxa"/>
            <w:right w:w="0" w:type="dxa"/>
          </w:tblCellMar>
        </w:tblPrEx>
        <w:trPr>
          <w:trHeight w:hRule="exact" w:val="370"/>
        </w:trPr>
        <w:tc>
          <w:tcPr>
            <w:tcW w:w="655" w:type="pct"/>
            <w:vAlign w:val="center"/>
          </w:tcPr>
          <w:p>
            <w:pPr>
              <w:spacing w:line="280" w:lineRule="exact"/>
              <w:ind w:firstLine="0" w:firstLineChars="0"/>
              <w:jc w:val="center"/>
            </w:pPr>
            <w:r>
              <w:t>六级</w:t>
            </w:r>
          </w:p>
        </w:tc>
        <w:tc>
          <w:tcPr>
            <w:tcW w:w="2093" w:type="pct"/>
            <w:vAlign w:val="center"/>
          </w:tcPr>
          <w:p>
            <w:pPr>
              <w:spacing w:line="280" w:lineRule="exact"/>
              <w:ind w:firstLine="0" w:firstLineChars="0"/>
              <w:jc w:val="center"/>
            </w:pPr>
            <w:r>
              <w:t>50＜V≤220</w:t>
            </w:r>
          </w:p>
        </w:tc>
        <w:tc>
          <w:tcPr>
            <w:tcW w:w="2252" w:type="pct"/>
            <w:vAlign w:val="center"/>
          </w:tcPr>
          <w:p>
            <w:pPr>
              <w:spacing w:line="280" w:lineRule="exact"/>
              <w:ind w:firstLine="0" w:firstLineChars="0"/>
              <w:jc w:val="center"/>
            </w:pPr>
            <w:r>
              <w:t>V'≤50</w:t>
            </w:r>
          </w:p>
        </w:tc>
      </w:tr>
      <w:tr>
        <w:tblPrEx>
          <w:tblW w:w="5000" w:type="pct"/>
          <w:tblInd w:w="0" w:type="dxa"/>
          <w:tblCellMar>
            <w:top w:w="0" w:type="dxa"/>
            <w:left w:w="0" w:type="dxa"/>
            <w:bottom w:w="0" w:type="dxa"/>
            <w:right w:w="0" w:type="dxa"/>
          </w:tblCellMar>
        </w:tblPrEx>
        <w:trPr>
          <w:trHeight w:hRule="exact" w:val="370"/>
        </w:trPr>
        <w:tc>
          <w:tcPr>
            <w:tcW w:w="655" w:type="pct"/>
            <w:vAlign w:val="center"/>
          </w:tcPr>
          <w:p>
            <w:pPr>
              <w:spacing w:line="280" w:lineRule="exact"/>
              <w:ind w:firstLine="0" w:firstLineChars="0"/>
              <w:jc w:val="center"/>
            </w:pPr>
            <w:r>
              <w:t>七级</w:t>
            </w:r>
          </w:p>
        </w:tc>
        <w:tc>
          <w:tcPr>
            <w:tcW w:w="2093" w:type="pct"/>
            <w:vAlign w:val="center"/>
          </w:tcPr>
          <w:p>
            <w:pPr>
              <w:spacing w:line="280" w:lineRule="exact"/>
              <w:ind w:firstLine="0" w:firstLineChars="0"/>
              <w:jc w:val="center"/>
            </w:pPr>
            <w:r>
              <w:t>V≤50</w:t>
            </w:r>
          </w:p>
        </w:tc>
        <w:tc>
          <w:tcPr>
            <w:tcW w:w="2252" w:type="pct"/>
            <w:vAlign w:val="center"/>
          </w:tcPr>
          <w:p>
            <w:pPr>
              <w:spacing w:line="280" w:lineRule="exact"/>
              <w:ind w:firstLine="0" w:firstLineChars="0"/>
              <w:jc w:val="center"/>
            </w:pPr>
            <w:r>
              <w:t>V'≤20</w:t>
            </w:r>
          </w:p>
        </w:tc>
      </w:tr>
      <w:tr>
        <w:tblPrEx>
          <w:tblW w:w="5000" w:type="pct"/>
          <w:tblInd w:w="0" w:type="dxa"/>
          <w:tblCellMar>
            <w:top w:w="0" w:type="dxa"/>
            <w:left w:w="0" w:type="dxa"/>
            <w:bottom w:w="0" w:type="dxa"/>
            <w:right w:w="0" w:type="dxa"/>
          </w:tblCellMar>
        </w:tblPrEx>
        <w:trPr>
          <w:trHeight w:hRule="exact" w:val="370"/>
        </w:trPr>
        <w:tc>
          <w:tcPr>
            <w:tcW w:w="655" w:type="pct"/>
            <w:vAlign w:val="center"/>
          </w:tcPr>
          <w:p>
            <w:pPr>
              <w:spacing w:line="280" w:lineRule="exact"/>
              <w:ind w:firstLine="0" w:firstLineChars="0"/>
              <w:jc w:val="center"/>
            </w:pPr>
            <w:r>
              <w:t>八级</w:t>
            </w:r>
          </w:p>
        </w:tc>
        <w:tc>
          <w:tcPr>
            <w:tcW w:w="2093" w:type="pct"/>
            <w:vAlign w:val="center"/>
          </w:tcPr>
          <w:p>
            <w:pPr>
              <w:spacing w:line="280" w:lineRule="exact"/>
              <w:ind w:firstLine="0" w:firstLineChars="0"/>
              <w:jc w:val="center"/>
            </w:pPr>
            <w:r>
              <w:t>V≤10</w:t>
            </w:r>
          </w:p>
        </w:tc>
        <w:tc>
          <w:tcPr>
            <w:tcW w:w="2252" w:type="pct"/>
            <w:vAlign w:val="center"/>
          </w:tcPr>
          <w:p>
            <w:pPr>
              <w:spacing w:line="280" w:lineRule="exact"/>
              <w:ind w:firstLine="0" w:firstLineChars="0"/>
              <w:jc w:val="center"/>
            </w:pPr>
            <w:r>
              <w:t>--</w:t>
            </w:r>
          </w:p>
        </w:tc>
      </w:tr>
    </w:tbl>
    <w:p>
      <w:pPr>
        <w:pStyle w:val="a1"/>
        <w:ind w:firstLine="480"/>
      </w:pPr>
      <w:r>
        <w:rPr>
          <w:rFonts w:hint="eastAsia"/>
        </w:rPr>
        <w:t>注：当单罐容积大于相应级别的规定，应按相对应等级提高一级的规定执行。</w:t>
      </w:r>
    </w:p>
    <w:p>
      <w:pPr>
        <w:pStyle w:val="a1"/>
        <w:ind w:firstLine="480"/>
      </w:pPr>
      <w:r>
        <w:rPr>
          <w:rFonts w:hint="eastAsia"/>
        </w:rPr>
        <w:t>改扩建后本项目储存能力：2个储存能力为50m</w:t>
      </w:r>
      <w:r>
        <w:rPr>
          <w:rFonts w:hint="eastAsia"/>
          <w:vertAlign w:val="superscript"/>
        </w:rPr>
        <w:t>3</w:t>
      </w:r>
      <w:r>
        <w:rPr>
          <w:rFonts w:hint="eastAsia"/>
        </w:rPr>
        <w:t>的储气罐，1个储存能力为5m</w:t>
      </w:r>
      <w:r>
        <w:rPr>
          <w:rFonts w:hint="eastAsia"/>
          <w:vertAlign w:val="superscript"/>
        </w:rPr>
        <w:t>3</w:t>
      </w:r>
      <w:r>
        <w:rPr>
          <w:rFonts w:hint="eastAsia"/>
        </w:rPr>
        <w:t>的残液罐，站区总储存能力为105m</w:t>
      </w:r>
      <w:r>
        <w:rPr>
          <w:rFonts w:hint="eastAsia"/>
          <w:vertAlign w:val="superscript"/>
        </w:rPr>
        <w:t>3</w:t>
      </w:r>
      <w:r>
        <w:rPr>
          <w:rFonts w:hint="eastAsia"/>
        </w:rPr>
        <w:t>。据上表液化石油气供应站的等级划分可知供气站等级为六级供气站。</w:t>
      </w:r>
    </w:p>
    <w:p>
      <w:pPr>
        <w:pStyle w:val="a1"/>
        <w:spacing w:before="156" w:beforeLines="50"/>
        <w:ind w:firstLine="480"/>
        <w:outlineLvl w:val="1"/>
        <w:rPr>
          <w:rFonts w:eastAsia="黑体"/>
        </w:rPr>
      </w:pPr>
      <w:r>
        <w:rPr>
          <w:rFonts w:eastAsia="黑体" w:hint="eastAsia"/>
        </w:rPr>
        <w:t>7、劳动定员、工作时间及生产工况</w:t>
      </w:r>
    </w:p>
    <w:p>
      <w:pPr>
        <w:pStyle w:val="a1"/>
        <w:ind w:firstLine="480"/>
      </w:pPr>
      <w:r>
        <w:rPr>
          <w:rFonts w:hint="eastAsia"/>
        </w:rPr>
        <w:t>本项目改扩建后不新增劳动定员，全站劳动定员</w:t>
      </w:r>
      <w:r>
        <w:t>6</w:t>
      </w:r>
      <w:r>
        <w:rPr>
          <w:rFonts w:hint="eastAsia"/>
        </w:rPr>
        <w:t>人，年工作365天，每天8小时。</w:t>
      </w:r>
    </w:p>
    <w:p>
      <w:pPr>
        <w:pStyle w:val="a1"/>
        <w:spacing w:before="156" w:beforeLines="50"/>
        <w:ind w:firstLine="480"/>
        <w:outlineLvl w:val="1"/>
        <w:rPr>
          <w:rFonts w:eastAsia="黑体"/>
        </w:rPr>
      </w:pPr>
      <w:r>
        <w:rPr>
          <w:rFonts w:eastAsia="黑体" w:hint="eastAsia"/>
        </w:rPr>
        <w:t>8、公用工程</w:t>
      </w:r>
    </w:p>
    <w:p>
      <w:pPr>
        <w:pStyle w:val="a1"/>
        <w:ind w:firstLine="480"/>
      </w:pPr>
      <w:r>
        <w:rPr>
          <w:rFonts w:hint="eastAsia"/>
        </w:rPr>
        <w:t>（1）供水</w:t>
      </w:r>
    </w:p>
    <w:p>
      <w:pPr>
        <w:pStyle w:val="a1"/>
        <w:ind w:firstLine="480"/>
      </w:pPr>
      <w:r>
        <w:rPr>
          <w:rFonts w:hint="eastAsia"/>
        </w:rPr>
        <w:t>项目区接通市政管网，生活和消防用水由市政管网提供。项目用水主要为生活用水和绿化用水。</w:t>
      </w:r>
    </w:p>
    <w:p>
      <w:pPr>
        <w:pStyle w:val="a1"/>
        <w:ind w:firstLine="480"/>
      </w:pPr>
      <w:r>
        <w:rPr>
          <w:rFonts w:hint="eastAsia"/>
        </w:rPr>
        <w:t>1）生活用水</w:t>
      </w:r>
    </w:p>
    <w:p>
      <w:pPr>
        <w:pStyle w:val="a1"/>
        <w:ind w:firstLine="480"/>
        <w:sectPr>
          <w:headerReference w:type="even" r:id="rId170"/>
          <w:headerReference w:type="default" r:id="rId171"/>
          <w:footerReference w:type="even" r:id="rId172"/>
          <w:footerReference w:type="default" r:id="rId173"/>
          <w:headerReference w:type="first" r:id="rId174"/>
          <w:footerReference w:type="first" r:id="rId175"/>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14"/>
          <w:cols w:num="1" w:space="720"/>
          <w:titlePg w:val="0"/>
          <w:docGrid w:type="linesAndChars" w:linePitch="312" w:charSpace="0"/>
        </w:sectPr>
      </w:pPr>
      <w:r>
        <w:rPr>
          <w:rFonts w:hint="eastAsia"/>
        </w:rPr>
        <w:t>项目改扩建后未新增劳动定员，仍为</w:t>
      </w:r>
      <w:r>
        <w:t>6</w:t>
      </w:r>
      <w:r>
        <w:rPr>
          <w:rFonts w:hint="eastAsia"/>
        </w:rPr>
        <w:t>人，均</w:t>
      </w:r>
      <w:r>
        <w:t>在站区食宿</w:t>
      </w:r>
      <w:r>
        <w:rPr>
          <w:rFonts w:hint="eastAsia"/>
        </w:rPr>
        <w:t>。员工生活用水</w:t>
      </w:r>
      <w:r>
        <w:t>按</w:t>
      </w:r>
      <w:r>
        <w:rPr>
          <w:rFonts w:hint="eastAsia"/>
        </w:rPr>
        <w:t>150L/人·d计，则本项目员工生活用水量为0.</w:t>
      </w:r>
      <w:r>
        <w:t>9</w:t>
      </w:r>
      <w:r>
        <w:rPr>
          <w:rFonts w:hint="eastAsia"/>
        </w:rPr>
        <w:t>m</w:t>
      </w:r>
      <w:r>
        <w:rPr>
          <w:rFonts w:hint="eastAsia"/>
          <w:vertAlign w:val="superscript"/>
        </w:rPr>
        <w:t>3</w:t>
      </w:r>
      <w:r>
        <w:rPr>
          <w:rFonts w:hint="eastAsia"/>
        </w:rPr>
        <w:t>/d（</w:t>
      </w:r>
      <w:r>
        <w:t>328.5</w:t>
      </w:r>
      <w:r>
        <w:rPr>
          <w:rFonts w:hint="eastAsia"/>
        </w:rPr>
        <w:t>m</w:t>
      </w:r>
      <w:r>
        <w:rPr>
          <w:rFonts w:hint="eastAsia"/>
          <w:vertAlign w:val="superscript"/>
        </w:rPr>
        <w:t>3</w:t>
      </w:r>
      <w:r>
        <w:rPr>
          <w:rFonts w:hint="eastAsia"/>
        </w:rPr>
        <w:t>/a）；根据建设单位提供资料，客流量平均</w:t>
      </w:r>
      <w:r>
        <w:t>8</w:t>
      </w:r>
      <w:r>
        <w:rPr>
          <w:rFonts w:hint="eastAsia"/>
        </w:rPr>
        <w:t>0人/d，客人用水参考《海南省用水定额》（DB46/T499-2017）中的“公厕”以15L/人·d计，则客人用水量为1.</w:t>
      </w:r>
      <w:r>
        <w:t>2</w:t>
      </w:r>
      <w:r>
        <w:rPr>
          <w:rFonts w:hint="eastAsia"/>
        </w:rPr>
        <w:t>m</w:t>
      </w:r>
      <w:r>
        <w:rPr>
          <w:rFonts w:hint="eastAsia"/>
          <w:vertAlign w:val="superscript"/>
        </w:rPr>
        <w:t>3</w:t>
      </w:r>
      <w:r>
        <w:rPr>
          <w:rFonts w:hint="eastAsia"/>
        </w:rPr>
        <w:t>/d（</w:t>
      </w:r>
      <w:r>
        <w:t>438</w:t>
      </w:r>
      <w:r>
        <w:rPr>
          <w:rFonts w:hint="eastAsia"/>
        </w:rPr>
        <w:t>m</w:t>
      </w:r>
      <w:r>
        <w:rPr>
          <w:rFonts w:hint="eastAsia"/>
          <w:vertAlign w:val="superscript"/>
        </w:rPr>
        <w:t>3</w:t>
      </w:r>
      <w:r>
        <w:rPr>
          <w:rFonts w:hint="eastAsia"/>
        </w:rPr>
        <w:t>/a）。综上所述，本项目生活用水总量为</w:t>
      </w:r>
      <w:r>
        <w:t>2.1</w:t>
      </w:r>
      <w:r>
        <w:rPr>
          <w:rFonts w:hint="eastAsia"/>
        </w:rPr>
        <w:t>m</w:t>
      </w:r>
      <w:r>
        <w:rPr>
          <w:rFonts w:hint="eastAsia"/>
          <w:vertAlign w:val="superscript"/>
        </w:rPr>
        <w:t>3</w:t>
      </w:r>
      <w:r>
        <w:rPr>
          <w:rFonts w:hint="eastAsia"/>
        </w:rPr>
        <w:t>/d（</w:t>
      </w:r>
      <w:r>
        <w:t>766.5</w:t>
      </w:r>
      <w:r>
        <w:rPr>
          <w:rFonts w:hint="eastAsia"/>
        </w:rPr>
        <w:t>m</w:t>
      </w:r>
      <w:r>
        <w:rPr>
          <w:rFonts w:hint="eastAsia"/>
          <w:vertAlign w:val="superscript"/>
        </w:rPr>
        <w:t>3</w:t>
      </w:r>
      <w:r>
        <w:rPr>
          <w:rFonts w:hint="eastAsia"/>
        </w:rPr>
        <w:t>/a），排污系数按0.85计算，则产生的生活污水量为</w:t>
      </w:r>
      <w:r>
        <w:t>1.785</w:t>
      </w:r>
      <w:r>
        <w:rPr>
          <w:rFonts w:hint="eastAsia"/>
        </w:rPr>
        <w:t>m</w:t>
      </w:r>
      <w:r>
        <w:rPr>
          <w:rFonts w:hint="eastAsia"/>
          <w:vertAlign w:val="superscript"/>
        </w:rPr>
        <w:t>3</w:t>
      </w:r>
      <w:r>
        <w:rPr>
          <w:rFonts w:hint="eastAsia"/>
        </w:rPr>
        <w:t>/d（</w:t>
      </w:r>
      <w:r>
        <w:t>651.5</w:t>
      </w:r>
      <w:r>
        <w:rPr>
          <w:rFonts w:hint="eastAsia"/>
        </w:rPr>
        <w:t>m</w:t>
      </w:r>
      <w:r>
        <w:rPr>
          <w:rFonts w:hint="eastAsia"/>
          <w:vertAlign w:val="superscript"/>
        </w:rPr>
        <w:t>3</w:t>
      </w:r>
    </w:p>
    <w:p>
      <w:pPr>
        <w:sectPr>
          <w:headerReference w:type="even" r:id="rId176"/>
          <w:headerReference w:type="default" r:id="rId177"/>
          <w:footerReference w:type="even" r:id="rId178"/>
          <w:footerReference w:type="default" r:id="rId179"/>
          <w:headerReference w:type="first" r:id="rId180"/>
          <w:footerReference w:type="first" r:id="rId181"/>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480"/>
      </w:pPr>
      <w:r>
        <w:rPr>
          <w:rFonts w:hint="eastAsia"/>
        </w:rPr>
        <w:t>/a），通过化粪池处理后（食堂废水先经隔油装置处理）由周边农户定期清掏用于其农地施肥。</w:t>
      </w:r>
    </w:p>
    <w:p>
      <w:pPr>
        <w:pStyle w:val="a1"/>
        <w:ind w:firstLine="480"/>
      </w:pPr>
      <w:r>
        <w:rPr>
          <w:rFonts w:hint="eastAsia"/>
        </w:rPr>
        <w:t>2）绿化用水</w:t>
      </w:r>
    </w:p>
    <w:p>
      <w:pPr>
        <w:pStyle w:val="a1"/>
        <w:ind w:firstLine="480"/>
      </w:pPr>
      <w:r>
        <w:rPr>
          <w:rFonts w:hint="eastAsia"/>
        </w:rPr>
        <w:t>项目绿地面积为</w:t>
      </w:r>
      <w:r>
        <w:t>860</w:t>
      </w:r>
      <w:r>
        <w:rPr>
          <w:rFonts w:hint="eastAsia"/>
        </w:rPr>
        <w:t>m</w:t>
      </w:r>
      <w:r>
        <w:rPr>
          <w:rFonts w:hint="eastAsia"/>
          <w:vertAlign w:val="superscript"/>
        </w:rPr>
        <w:t>2</w:t>
      </w:r>
      <w:r>
        <w:rPr>
          <w:rFonts w:hint="eastAsia"/>
        </w:rPr>
        <w:t>，绿化用水量按2L/m</w:t>
      </w:r>
      <w:r>
        <w:rPr>
          <w:rFonts w:hint="eastAsia"/>
          <w:vertAlign w:val="superscript"/>
        </w:rPr>
        <w:t>2</w:t>
      </w:r>
      <w:r>
        <w:rPr>
          <w:rFonts w:hint="eastAsia"/>
        </w:rPr>
        <w:t>·次计，则本项目绿化用水量为</w:t>
      </w:r>
      <w:r>
        <w:t>1.72</w:t>
      </w:r>
      <w:r>
        <w:rPr>
          <w:rFonts w:hint="eastAsia"/>
        </w:rPr>
        <w:t>m</w:t>
      </w:r>
      <w:r>
        <w:rPr>
          <w:rFonts w:hint="eastAsia"/>
          <w:vertAlign w:val="superscript"/>
        </w:rPr>
        <w:t>3</w:t>
      </w:r>
      <w:r>
        <w:rPr>
          <w:rFonts w:hint="eastAsia"/>
        </w:rPr>
        <w:t>/d，全部被植物吸收及蒸发。</w:t>
      </w:r>
    </w:p>
    <w:p>
      <w:pPr>
        <w:pStyle w:val="a1"/>
        <w:ind w:firstLine="480"/>
      </w:pPr>
      <w:r>
        <w:t>综上所述</w:t>
      </w:r>
      <w:r>
        <w:rPr>
          <w:rFonts w:hint="eastAsia"/>
        </w:rPr>
        <w:t>，</w:t>
      </w:r>
      <w:r>
        <w:t>本项目改扩建后全站生活用水量为2.1</w:t>
      </w:r>
      <w:r>
        <w:rPr>
          <w:rFonts w:hint="eastAsia"/>
        </w:rPr>
        <w:t>m</w:t>
      </w:r>
      <w:r>
        <w:rPr>
          <w:rFonts w:hint="eastAsia"/>
          <w:vertAlign w:val="superscript"/>
        </w:rPr>
        <w:t>3</w:t>
      </w:r>
      <w:r>
        <w:rPr>
          <w:rFonts w:hint="eastAsia"/>
        </w:rPr>
        <w:t>/d（</w:t>
      </w:r>
      <w:r>
        <w:t>766.5</w:t>
      </w:r>
      <w:r>
        <w:rPr>
          <w:rFonts w:hint="eastAsia"/>
        </w:rPr>
        <w:t>m</w:t>
      </w:r>
      <w:r>
        <w:rPr>
          <w:rFonts w:hint="eastAsia"/>
          <w:vertAlign w:val="superscript"/>
        </w:rPr>
        <w:t>3</w:t>
      </w:r>
      <w:r>
        <w:rPr>
          <w:rFonts w:hint="eastAsia"/>
        </w:rPr>
        <w:t>/a），绿化用水量为</w:t>
      </w:r>
      <w:r>
        <w:t>1.72</w:t>
      </w:r>
      <w:r>
        <w:rPr>
          <w:rFonts w:hint="eastAsia"/>
        </w:rPr>
        <w:t>m</w:t>
      </w:r>
      <w:r>
        <w:rPr>
          <w:rFonts w:hint="eastAsia"/>
          <w:vertAlign w:val="superscript"/>
        </w:rPr>
        <w:t>3</w:t>
      </w:r>
      <w:r>
        <w:rPr>
          <w:rFonts w:hint="eastAsia"/>
        </w:rPr>
        <w:t>/d（年降雨天数按1</w:t>
      </w:r>
      <w:r>
        <w:t>40</w:t>
      </w:r>
      <w:r>
        <w:rPr>
          <w:rFonts w:hint="eastAsia"/>
        </w:rPr>
        <w:t>天计，下雨天不绿化，则年绿化用水量为</w:t>
      </w:r>
      <w:r>
        <w:t>387</w:t>
      </w:r>
      <w:r>
        <w:rPr>
          <w:rFonts w:hint="eastAsia"/>
        </w:rPr>
        <w:t>m</w:t>
      </w:r>
      <w:r>
        <w:rPr>
          <w:rFonts w:hint="eastAsia"/>
          <w:vertAlign w:val="superscript"/>
        </w:rPr>
        <w:t>3</w:t>
      </w:r>
      <w:r>
        <w:rPr>
          <w:rFonts w:hint="eastAsia"/>
        </w:rPr>
        <w:t>/a），均由市政管网提供。项目水平衡图如下图所示：</w:t>
      </w:r>
    </w:p>
    <w:p>
      <w:pPr>
        <w:pStyle w:val="a1"/>
        <w:ind w:firstLine="0" w:firstLineChars="0"/>
        <w:jc w:val="center"/>
      </w:pPr>
      <w:r>
        <w:drawing>
          <wp:inline distT="0" distB="0" distL="0" distR="0">
            <wp:extent cx="5524500" cy="1986280"/>
            <wp:effectExtent l="1905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xmlns:r="http://schemas.openxmlformats.org/officeDocument/2006/relationships" r:embed="rId182"/>
                    <a:stretch>
                      <a:fillRect/>
                    </a:stretch>
                  </pic:blipFill>
                  <pic:spPr>
                    <a:xfrm>
                      <a:off x="0" y="0"/>
                      <a:ext cx="5524500" cy="1986643"/>
                    </a:xfrm>
                    <a:prstGeom prst="rect">
                      <a:avLst/>
                    </a:prstGeom>
                    <a:noFill/>
                    <a:ln w="9525">
                      <a:noFill/>
                      <a:miter lim="800000"/>
                      <a:headEnd/>
                      <a:tailEnd/>
                    </a:ln>
                  </pic:spPr>
                </pic:pic>
              </a:graphicData>
            </a:graphic>
          </wp:inline>
        </w:drawing>
      </w:r>
    </w:p>
    <w:p>
      <w:pPr>
        <w:widowControl/>
        <w:spacing w:line="240" w:lineRule="auto"/>
        <w:ind w:firstLine="0" w:firstLineChars="0"/>
        <w:jc w:val="center"/>
        <w:rPr>
          <w:rFonts w:eastAsia="黑体"/>
        </w:rPr>
      </w:pPr>
      <w:r>
        <w:rPr>
          <w:rFonts w:eastAsia="黑体" w:hint="eastAsia"/>
        </w:rPr>
        <w:t>图</w:t>
      </w:r>
      <w:r>
        <w:rPr>
          <w:rFonts w:eastAsia="黑体"/>
        </w:rPr>
        <w:t>1-</w:t>
      </w:r>
      <w:r>
        <w:rPr>
          <w:rFonts w:eastAsia="黑体" w:hint="eastAsia"/>
        </w:rPr>
        <w:t>1  项目</w:t>
      </w:r>
      <w:r>
        <w:rPr>
          <w:rFonts w:eastAsia="黑体"/>
        </w:rPr>
        <w:t>水平衡图</w:t>
      </w:r>
      <w:r>
        <w:rPr>
          <w:rFonts w:eastAsia="黑体" w:hint="eastAsia"/>
        </w:rPr>
        <w:t xml:space="preserve">  单位：m</w:t>
      </w:r>
      <w:r>
        <w:rPr>
          <w:rFonts w:eastAsia="黑体" w:hint="eastAsia"/>
          <w:vertAlign w:val="superscript"/>
        </w:rPr>
        <w:t>3</w:t>
      </w:r>
      <w:r>
        <w:rPr>
          <w:rFonts w:eastAsia="黑体" w:hint="eastAsia"/>
        </w:rPr>
        <w:t>/d</w:t>
      </w:r>
    </w:p>
    <w:p>
      <w:pPr>
        <w:pStyle w:val="a1"/>
        <w:ind w:firstLine="480"/>
      </w:pPr>
      <w:r>
        <w:rPr>
          <w:rFonts w:hint="eastAsia"/>
        </w:rPr>
        <w:t>（2）排水</w:t>
      </w:r>
    </w:p>
    <w:p>
      <w:pPr>
        <w:pStyle w:val="a1"/>
        <w:ind w:firstLine="480"/>
      </w:pPr>
      <w:r>
        <w:rPr>
          <w:rFonts w:hint="eastAsia"/>
        </w:rPr>
        <w:t>雨水采用明沟排放，生活污水经化粪池处理后（食堂废水先经隔油装置处理）由周边农户定期清掏用于其农地施肥。</w:t>
      </w:r>
    </w:p>
    <w:p>
      <w:pPr>
        <w:pStyle w:val="a1"/>
        <w:ind w:firstLine="480"/>
      </w:pPr>
      <w:r>
        <w:rPr>
          <w:rFonts w:hint="eastAsia"/>
        </w:rPr>
        <w:t>（3）供电</w:t>
      </w:r>
    </w:p>
    <w:p>
      <w:pPr>
        <w:pStyle w:val="a1"/>
        <w:ind w:firstLine="480"/>
      </w:pPr>
      <w:r>
        <w:rPr>
          <w:rFonts w:hint="eastAsia"/>
        </w:rPr>
        <w:t>市政电网引入，另外站区自备一台50kW柴油发电机作为备用电源。</w:t>
      </w:r>
    </w:p>
    <w:p>
      <w:pPr>
        <w:pStyle w:val="a1"/>
        <w:ind w:firstLine="480"/>
      </w:pPr>
      <w:r>
        <w:rPr>
          <w:rFonts w:hint="eastAsia"/>
        </w:rPr>
        <w:t>（4）消防</w:t>
      </w:r>
    </w:p>
    <w:p>
      <w:pPr>
        <w:pStyle w:val="a1"/>
        <w:ind w:firstLine="480"/>
      </w:pPr>
      <w:r>
        <w:rPr>
          <w:rFonts w:hint="eastAsia"/>
        </w:rPr>
        <w:t>本项目按照</w:t>
      </w:r>
      <w:r>
        <w:rPr>
          <w:rFonts w:hint="eastAsia"/>
          <w:szCs w:val="24"/>
        </w:rPr>
        <w:t>《液化石油气供应工程设计规范》（GB51142-2015）、</w:t>
      </w:r>
      <w:r>
        <w:rPr>
          <w:szCs w:val="24"/>
        </w:rPr>
        <w:t>《</w:t>
      </w:r>
      <w:r>
        <w:rPr>
          <w:rFonts w:hint="eastAsia"/>
          <w:szCs w:val="24"/>
        </w:rPr>
        <w:t>建筑设计</w:t>
      </w:r>
      <w:r>
        <w:rPr>
          <w:szCs w:val="24"/>
        </w:rPr>
        <w:t>防火规范》</w:t>
      </w:r>
      <w:r>
        <w:rPr>
          <w:rFonts w:hint="eastAsia"/>
          <w:szCs w:val="24"/>
        </w:rPr>
        <w:t>（GB50016-2014）以及</w:t>
      </w:r>
      <w:r>
        <w:rPr>
          <w:szCs w:val="24"/>
        </w:rPr>
        <w:t>《</w:t>
      </w:r>
      <w:r>
        <w:rPr>
          <w:rFonts w:hint="eastAsia"/>
          <w:szCs w:val="24"/>
        </w:rPr>
        <w:t>建设灭火器</w:t>
      </w:r>
      <w:r>
        <w:rPr>
          <w:szCs w:val="24"/>
        </w:rPr>
        <w:t>配置设计规范》</w:t>
      </w:r>
      <w:r>
        <w:rPr>
          <w:rFonts w:hint="eastAsia"/>
          <w:szCs w:val="24"/>
        </w:rPr>
        <w:t>（GB50140-2015），</w:t>
      </w:r>
      <w:r>
        <w:rPr>
          <w:rFonts w:hint="eastAsia"/>
        </w:rPr>
        <w:t>在设计工作中做到符合国家有关防火规范的要求，对不同建筑物的危险等级和生产特性，采取相应的消防措施，防止火灾的发生和蔓延，积极贯彻“预防为主、防消结合”的方针，防患于未然，以保护站内生产的安全和全体员工的生命财产安全。本项目消防设施由消防给水系统和干粉灭火器等组成。</w:t>
      </w:r>
    </w:p>
    <w:p>
      <w:pPr>
        <w:ind w:firstLine="0" w:firstLineChars="0"/>
        <w:rPr>
          <w:u w:val="single"/>
        </w:rPr>
      </w:pPr>
      <w:r>
        <w:rPr>
          <w:u w:val="single"/>
        </w:rPr>
        <w:pict>
          <v:shapetype id="_x0000_t32" coordsize="21600,21600" o:spt="32" o:oned="t" path="m,l21600,21600e" filled="f">
            <v:path arrowok="t" fillok="f" o:connecttype="none"/>
            <o:lock v:ext="edit" shapetype="t"/>
          </v:shapetype>
          <v:shape id="AutoShape 75" o:spid="_x0000_s1026" type="#_x0000_t32" style="width:475.45pt;height:0;margin-top:17.95pt;margin-left:-4.75pt;mso-height-relative:page;mso-width-relative:page;position:absolute;z-index:251659264" coordsize="21600,21600" filled="f">
            <v:path arrowok="t"/>
          </v:shape>
        </w:pict>
      </w:r>
    </w:p>
    <w:p>
      <w:pPr>
        <w:pStyle w:val="a1"/>
        <w:ind w:firstLine="0" w:firstLineChars="0"/>
        <w:outlineLvl w:val="0"/>
        <w:rPr>
          <w:rFonts w:eastAsia="黑体"/>
          <w:sz w:val="28"/>
        </w:rPr>
      </w:pPr>
      <w:r>
        <w:rPr>
          <w:rFonts w:eastAsia="黑体" w:hint="eastAsia"/>
          <w:sz w:val="28"/>
        </w:rPr>
        <w:t>与项目有关的原有污染情况及主要环境问题：</w:t>
      </w:r>
    </w:p>
    <w:p>
      <w:pPr>
        <w:pStyle w:val="a1"/>
        <w:ind w:firstLine="480"/>
        <w:sectPr>
          <w:headerReference w:type="even" r:id="rId183"/>
          <w:headerReference w:type="default" r:id="rId184"/>
          <w:footerReference w:type="even" r:id="rId185"/>
          <w:footerReference w:type="default" r:id="rId186"/>
          <w:headerReference w:type="first" r:id="rId187"/>
          <w:footerReference w:type="first" r:id="rId188"/>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15"/>
          <w:cols w:num="1" w:space="720"/>
          <w:titlePg w:val="0"/>
          <w:docGrid w:type="linesAndChars" w:linePitch="312" w:charSpace="0"/>
        </w:sectPr>
      </w:pPr>
      <w:r>
        <w:rPr>
          <w:rFonts w:hint="eastAsia"/>
          <w:szCs w:val="24"/>
        </w:rPr>
        <w:t>中国石化销售股份有限公司海南文昌文教供气站</w:t>
      </w:r>
      <w:r>
        <w:rPr>
          <w:rFonts w:hint="eastAsia"/>
        </w:rPr>
        <w:t>于</w:t>
      </w:r>
      <w:r>
        <w:t>2002</w:t>
      </w:r>
      <w:r>
        <w:rPr>
          <w:rFonts w:hint="eastAsia"/>
        </w:rPr>
        <w:t>年建成投产，主要建成2个</w:t>
      </w:r>
    </w:p>
    <w:p>
      <w:pPr>
        <w:sectPr>
          <w:headerReference w:type="even" r:id="rId189"/>
          <w:headerReference w:type="default" r:id="rId190"/>
          <w:footerReference w:type="even" r:id="rId191"/>
          <w:footerReference w:type="default" r:id="rId192"/>
          <w:headerReference w:type="first" r:id="rId193"/>
          <w:footerReference w:type="first" r:id="rId194"/>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480"/>
      </w:pPr>
      <w:r>
        <w:t>10.</w:t>
      </w:r>
      <w:r>
        <w:rPr>
          <w:rFonts w:hint="eastAsia"/>
        </w:rPr>
        <w:t>5m</w:t>
      </w:r>
      <w:r>
        <w:rPr>
          <w:rFonts w:hint="eastAsia"/>
          <w:vertAlign w:val="superscript"/>
        </w:rPr>
        <w:t>3</w:t>
      </w:r>
      <w:r>
        <w:rPr>
          <w:rFonts w:hint="eastAsia"/>
        </w:rPr>
        <w:t>液化石油气储罐及1个5m</w:t>
      </w:r>
      <w:r>
        <w:rPr>
          <w:rFonts w:hint="eastAsia"/>
          <w:vertAlign w:val="superscript"/>
        </w:rPr>
        <w:t>3</w:t>
      </w:r>
      <w:r>
        <w:rPr>
          <w:rFonts w:hint="eastAsia"/>
        </w:rPr>
        <w:t>残液罐，建成后充装供应液化石油气1</w:t>
      </w:r>
      <w:r>
        <w:t>2</w:t>
      </w:r>
      <w:r>
        <w:rPr>
          <w:rFonts w:hint="eastAsia"/>
        </w:rPr>
        <w:t>00t/a。2016年，</w:t>
      </w:r>
      <w:r>
        <w:rPr>
          <w:rFonts w:hint="eastAsia"/>
          <w:szCs w:val="24"/>
        </w:rPr>
        <w:t>中国石化销售股份有限公司海南文昌文教供气站</w:t>
      </w:r>
      <w:r>
        <w:rPr>
          <w:rFonts w:hint="eastAsia"/>
        </w:rPr>
        <w:t>委托北京国环建邦</w:t>
      </w:r>
      <w:r>
        <w:t>环保科技</w:t>
      </w:r>
      <w:r>
        <w:rPr>
          <w:rFonts w:hint="eastAsia"/>
        </w:rPr>
        <w:t>有限公司编制了《中国石化销售有限公司海南文昌文教供气站项目现状环境影响评估报告》，并于2016年12月2</w:t>
      </w:r>
      <w:r>
        <w:t>9</w:t>
      </w:r>
      <w:r>
        <w:rPr>
          <w:rFonts w:hint="eastAsia"/>
        </w:rPr>
        <w:t>日取得文昌市生态环境保护局建设项目环境保护备案回执“9</w:t>
      </w:r>
      <w:r>
        <w:t>005116058</w:t>
      </w:r>
      <w:r>
        <w:rPr>
          <w:rFonts w:hint="eastAsia"/>
        </w:rPr>
        <w:t>号”。</w:t>
      </w:r>
    </w:p>
    <w:p>
      <w:pPr>
        <w:pStyle w:val="a1"/>
        <w:ind w:firstLine="560"/>
        <w:outlineLvl w:val="0"/>
        <w:rPr>
          <w:rFonts w:eastAsia="黑体"/>
          <w:sz w:val="28"/>
        </w:rPr>
      </w:pPr>
      <w:r>
        <w:rPr>
          <w:rFonts w:eastAsia="黑体" w:hint="eastAsia"/>
          <w:sz w:val="28"/>
        </w:rPr>
        <w:t>一、现有项目基本情</w:t>
      </w:r>
      <w:r>
        <w:rPr>
          <w:rFonts w:eastAsia="黑体"/>
          <w:sz w:val="28"/>
        </w:rPr>
        <w:t>况</w:t>
      </w:r>
    </w:p>
    <w:p>
      <w:pPr>
        <w:pStyle w:val="a1"/>
        <w:ind w:firstLine="480"/>
      </w:pPr>
      <w:r>
        <w:rPr>
          <w:rFonts w:hint="eastAsia"/>
        </w:rPr>
        <w:t>1、产品名称：充装供应液化石油气1</w:t>
      </w:r>
      <w:r>
        <w:t>2</w:t>
      </w:r>
      <w:r>
        <w:rPr>
          <w:rFonts w:hint="eastAsia"/>
        </w:rPr>
        <w:t>00吨/年</w:t>
      </w:r>
    </w:p>
    <w:p>
      <w:pPr>
        <w:pStyle w:val="a1"/>
        <w:ind w:firstLine="480"/>
        <w:rPr>
          <w:szCs w:val="24"/>
        </w:rPr>
      </w:pPr>
      <w:r>
        <w:rPr>
          <w:rFonts w:hint="eastAsia"/>
        </w:rPr>
        <w:t>2、</w:t>
      </w:r>
      <w:r>
        <w:t>建设单位</w:t>
      </w:r>
      <w:r>
        <w:rPr>
          <w:rFonts w:hint="eastAsia"/>
        </w:rPr>
        <w:t>：</w:t>
      </w:r>
      <w:r>
        <w:rPr>
          <w:rFonts w:hint="eastAsia"/>
          <w:szCs w:val="24"/>
        </w:rPr>
        <w:t>中国石化销售股份有限公司海南文昌文教供气站</w:t>
      </w:r>
    </w:p>
    <w:p>
      <w:pPr>
        <w:pStyle w:val="a1"/>
        <w:ind w:firstLine="480"/>
        <w:rPr>
          <w:szCs w:val="24"/>
        </w:rPr>
      </w:pPr>
      <w:r>
        <w:rPr>
          <w:rFonts w:hint="eastAsia"/>
          <w:szCs w:val="24"/>
        </w:rPr>
        <w:t>3、建设地点：海南省文昌市文教镇宝藏解放坡</w:t>
      </w:r>
    </w:p>
    <w:p>
      <w:pPr>
        <w:pStyle w:val="a1"/>
        <w:ind w:firstLine="480"/>
        <w:rPr>
          <w:szCs w:val="24"/>
        </w:rPr>
      </w:pPr>
      <w:r>
        <w:rPr>
          <w:rFonts w:hint="eastAsia"/>
          <w:szCs w:val="24"/>
        </w:rPr>
        <w:t>4、劳动定员及生产制度：劳动定员</w:t>
      </w:r>
      <w:r>
        <w:rPr>
          <w:szCs w:val="24"/>
        </w:rPr>
        <w:t>6</w:t>
      </w:r>
      <w:r>
        <w:rPr>
          <w:rFonts w:hint="eastAsia"/>
          <w:szCs w:val="24"/>
        </w:rPr>
        <w:t>人，年工作365天，每天8小时。</w:t>
      </w:r>
    </w:p>
    <w:p>
      <w:pPr>
        <w:pStyle w:val="a1"/>
        <w:ind w:firstLine="480"/>
      </w:pPr>
      <w:r>
        <w:rPr>
          <w:rFonts w:hint="eastAsia"/>
        </w:rPr>
        <w:t>5、现有项目原辅材料见表1-</w:t>
      </w:r>
      <w:r>
        <w:t>1</w:t>
      </w:r>
      <w:r>
        <w:rPr>
          <w:rFonts w:hint="eastAsia"/>
        </w:rPr>
        <w:t>2。</w:t>
      </w:r>
    </w:p>
    <w:p>
      <w:pPr>
        <w:pStyle w:val="a1"/>
        <w:ind w:firstLine="0" w:firstLineChars="0"/>
        <w:jc w:val="center"/>
        <w:rPr>
          <w:rFonts w:eastAsia="黑体"/>
          <w:sz w:val="21"/>
          <w:szCs w:val="21"/>
        </w:rPr>
      </w:pPr>
      <w:r>
        <w:rPr>
          <w:rFonts w:eastAsia="黑体" w:hint="eastAsia"/>
          <w:sz w:val="21"/>
          <w:szCs w:val="21"/>
        </w:rPr>
        <w:t>表1-</w:t>
      </w:r>
      <w:r>
        <w:rPr>
          <w:rFonts w:eastAsia="黑体"/>
          <w:sz w:val="21"/>
          <w:szCs w:val="21"/>
        </w:rPr>
        <w:t>1</w:t>
      </w:r>
      <w:r>
        <w:rPr>
          <w:rFonts w:eastAsia="黑体" w:hint="eastAsia"/>
          <w:sz w:val="21"/>
          <w:szCs w:val="21"/>
        </w:rPr>
        <w:t>2  现有项目原辅材料一览表</w:t>
      </w:r>
    </w:p>
    <w:tbl>
      <w:tblPr>
        <w:tblStyle w:val="TableNormal"/>
        <w:tblW w:w="9515" w:type="dxa"/>
        <w:jc w:val="center"/>
        <w:tblBorders>
          <w:top w:val="single" w:sz="12" w:space="0" w:color="000000"/>
          <w:left w:val="none" w:sz="0" w:space="0" w:color="auto"/>
          <w:bottom w:val="single" w:sz="12" w:space="0" w:color="000000"/>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676"/>
        <w:gridCol w:w="2268"/>
        <w:gridCol w:w="1842"/>
        <w:gridCol w:w="1701"/>
        <w:gridCol w:w="3028"/>
      </w:tblGrid>
      <w:tr>
        <w:tblPrEx>
          <w:tblW w:w="9515" w:type="dxa"/>
          <w:jc w:val="center"/>
          <w:tblBorders>
            <w:top w:val="single" w:sz="12" w:space="0" w:color="000000"/>
            <w:left w:val="none" w:sz="0" w:space="0" w:color="auto"/>
            <w:bottom w:val="single" w:sz="12" w:space="0" w:color="000000"/>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676" w:type="dxa"/>
            <w:vAlign w:val="center"/>
          </w:tcPr>
          <w:p>
            <w:pPr>
              <w:tabs>
                <w:tab w:val="left" w:pos="3780"/>
              </w:tabs>
              <w:snapToGrid w:val="0"/>
              <w:spacing w:line="280" w:lineRule="exact"/>
              <w:ind w:firstLine="0" w:firstLineChars="0"/>
              <w:jc w:val="center"/>
              <w:rPr>
                <w:b/>
              </w:rPr>
            </w:pPr>
            <w:r>
              <w:rPr>
                <w:b/>
              </w:rPr>
              <w:t>序号</w:t>
            </w:r>
          </w:p>
        </w:tc>
        <w:tc>
          <w:tcPr>
            <w:tcW w:w="2268" w:type="dxa"/>
            <w:vAlign w:val="center"/>
          </w:tcPr>
          <w:p>
            <w:pPr>
              <w:tabs>
                <w:tab w:val="left" w:pos="3780"/>
              </w:tabs>
              <w:snapToGrid w:val="0"/>
              <w:spacing w:line="280" w:lineRule="exact"/>
              <w:ind w:firstLine="0" w:firstLineChars="0"/>
              <w:jc w:val="center"/>
              <w:rPr>
                <w:b/>
              </w:rPr>
            </w:pPr>
            <w:r>
              <w:rPr>
                <w:b/>
              </w:rPr>
              <w:t>名称</w:t>
            </w:r>
          </w:p>
        </w:tc>
        <w:tc>
          <w:tcPr>
            <w:tcW w:w="1842" w:type="dxa"/>
            <w:vAlign w:val="center"/>
          </w:tcPr>
          <w:p>
            <w:pPr>
              <w:tabs>
                <w:tab w:val="left" w:pos="3780"/>
              </w:tabs>
              <w:snapToGrid w:val="0"/>
              <w:spacing w:line="280" w:lineRule="exact"/>
              <w:ind w:firstLine="0" w:firstLineChars="0"/>
              <w:jc w:val="center"/>
              <w:rPr>
                <w:b/>
              </w:rPr>
            </w:pPr>
            <w:r>
              <w:rPr>
                <w:rFonts w:hint="eastAsia"/>
                <w:b/>
              </w:rPr>
              <w:t>单位</w:t>
            </w:r>
          </w:p>
        </w:tc>
        <w:tc>
          <w:tcPr>
            <w:tcW w:w="1701" w:type="dxa"/>
            <w:vAlign w:val="center"/>
          </w:tcPr>
          <w:p>
            <w:pPr>
              <w:tabs>
                <w:tab w:val="left" w:pos="3780"/>
              </w:tabs>
              <w:snapToGrid w:val="0"/>
              <w:spacing w:line="280" w:lineRule="exact"/>
              <w:ind w:firstLine="0" w:firstLineChars="0"/>
              <w:jc w:val="center"/>
              <w:rPr>
                <w:b/>
              </w:rPr>
            </w:pPr>
            <w:r>
              <w:rPr>
                <w:rFonts w:hint="eastAsia"/>
                <w:b/>
              </w:rPr>
              <w:t>数量</w:t>
            </w:r>
          </w:p>
        </w:tc>
        <w:tc>
          <w:tcPr>
            <w:tcW w:w="3028" w:type="dxa"/>
            <w:vAlign w:val="center"/>
          </w:tcPr>
          <w:p>
            <w:pPr>
              <w:tabs>
                <w:tab w:val="left" w:pos="3780"/>
              </w:tabs>
              <w:snapToGrid w:val="0"/>
              <w:spacing w:line="280" w:lineRule="exact"/>
              <w:ind w:firstLine="0" w:firstLineChars="0"/>
              <w:jc w:val="center"/>
              <w:rPr>
                <w:b/>
              </w:rPr>
            </w:pPr>
            <w:r>
              <w:rPr>
                <w:b/>
              </w:rPr>
              <w:t>备注</w:t>
            </w:r>
          </w:p>
        </w:tc>
      </w:tr>
      <w:tr>
        <w:tblPrEx>
          <w:tblW w:w="9515" w:type="dxa"/>
          <w:jc w:val="center"/>
          <w:tblLayout w:type="fixed"/>
          <w:tblCellMar>
            <w:top w:w="0" w:type="dxa"/>
            <w:left w:w="108" w:type="dxa"/>
            <w:bottom w:w="0" w:type="dxa"/>
            <w:right w:w="108" w:type="dxa"/>
          </w:tblCellMar>
        </w:tblPrEx>
        <w:trPr>
          <w:jc w:val="center"/>
        </w:trPr>
        <w:tc>
          <w:tcPr>
            <w:tcW w:w="676" w:type="dxa"/>
            <w:vAlign w:val="center"/>
          </w:tcPr>
          <w:p>
            <w:pPr>
              <w:tabs>
                <w:tab w:val="left" w:pos="3780"/>
              </w:tabs>
              <w:snapToGrid w:val="0"/>
              <w:spacing w:line="280" w:lineRule="exact"/>
              <w:ind w:firstLine="0" w:firstLineChars="0"/>
              <w:jc w:val="center"/>
            </w:pPr>
            <w:r>
              <w:rPr>
                <w:rFonts w:hint="eastAsia"/>
              </w:rPr>
              <w:t>1</w:t>
            </w:r>
          </w:p>
        </w:tc>
        <w:tc>
          <w:tcPr>
            <w:tcW w:w="2268" w:type="dxa"/>
            <w:vAlign w:val="center"/>
          </w:tcPr>
          <w:p>
            <w:pPr>
              <w:spacing w:line="280" w:lineRule="exact"/>
              <w:ind w:firstLine="0" w:firstLineChars="0"/>
              <w:jc w:val="center"/>
            </w:pPr>
            <w:r>
              <w:t>液化石油气</w:t>
            </w:r>
            <w:r>
              <w:rPr>
                <w:rFonts w:hint="eastAsia"/>
              </w:rPr>
              <w:t>（LPG）</w:t>
            </w:r>
          </w:p>
        </w:tc>
        <w:tc>
          <w:tcPr>
            <w:tcW w:w="1842" w:type="dxa"/>
            <w:vAlign w:val="center"/>
          </w:tcPr>
          <w:p>
            <w:pPr>
              <w:spacing w:line="280" w:lineRule="exact"/>
              <w:ind w:firstLine="0" w:firstLineChars="0"/>
              <w:jc w:val="center"/>
            </w:pPr>
            <w:r>
              <w:rPr>
                <w:rFonts w:hint="eastAsia"/>
              </w:rPr>
              <w:t>t/a</w:t>
            </w:r>
          </w:p>
        </w:tc>
        <w:tc>
          <w:tcPr>
            <w:tcW w:w="1701" w:type="dxa"/>
            <w:vAlign w:val="center"/>
          </w:tcPr>
          <w:p>
            <w:pPr>
              <w:spacing w:line="280" w:lineRule="exact"/>
              <w:ind w:firstLine="0" w:firstLineChars="0"/>
              <w:jc w:val="center"/>
            </w:pPr>
            <w:r>
              <w:t>12</w:t>
            </w:r>
            <w:r>
              <w:rPr>
                <w:rFonts w:hint="eastAsia"/>
              </w:rPr>
              <w:t>00</w:t>
            </w:r>
          </w:p>
        </w:tc>
        <w:tc>
          <w:tcPr>
            <w:tcW w:w="3028" w:type="dxa"/>
            <w:vAlign w:val="center"/>
          </w:tcPr>
          <w:p>
            <w:pPr>
              <w:tabs>
                <w:tab w:val="left" w:pos="3780"/>
              </w:tabs>
              <w:snapToGrid w:val="0"/>
              <w:spacing w:line="280" w:lineRule="exact"/>
              <w:ind w:firstLine="0" w:firstLineChars="0"/>
              <w:jc w:val="center"/>
              <w:rPr>
                <w:b/>
              </w:rPr>
            </w:pPr>
            <w:r>
              <w:rPr>
                <w:rFonts w:hint="eastAsia"/>
              </w:rPr>
              <w:t>中国石化销售有限公司海南石油分公司配送</w:t>
            </w:r>
          </w:p>
        </w:tc>
      </w:tr>
    </w:tbl>
    <w:p>
      <w:pPr>
        <w:pStyle w:val="a1"/>
        <w:spacing w:before="156" w:beforeLines="50"/>
        <w:ind w:firstLine="480"/>
      </w:pPr>
      <w:r>
        <w:rPr>
          <w:rFonts w:hint="eastAsia"/>
        </w:rPr>
        <w:t>6、现有项目主要设备见表1-</w:t>
      </w:r>
      <w:r>
        <w:t>1</w:t>
      </w:r>
      <w:r>
        <w:rPr>
          <w:rFonts w:hint="eastAsia"/>
        </w:rPr>
        <w:t>3。</w:t>
      </w:r>
    </w:p>
    <w:p>
      <w:pPr>
        <w:pStyle w:val="a1"/>
        <w:ind w:firstLine="0" w:firstLineChars="0"/>
        <w:jc w:val="center"/>
        <w:rPr>
          <w:rFonts w:eastAsia="黑体"/>
          <w:sz w:val="21"/>
          <w:szCs w:val="21"/>
        </w:rPr>
      </w:pPr>
      <w:r>
        <w:rPr>
          <w:rFonts w:eastAsia="黑体" w:hint="eastAsia"/>
          <w:sz w:val="21"/>
          <w:szCs w:val="21"/>
        </w:rPr>
        <w:t>表1-</w:t>
      </w:r>
      <w:r>
        <w:rPr>
          <w:rFonts w:eastAsia="黑体"/>
          <w:sz w:val="21"/>
          <w:szCs w:val="21"/>
        </w:rPr>
        <w:t>1</w:t>
      </w:r>
      <w:r>
        <w:rPr>
          <w:rFonts w:eastAsia="黑体" w:hint="eastAsia"/>
          <w:sz w:val="21"/>
          <w:szCs w:val="21"/>
        </w:rPr>
        <w:t>3  现有项目主要设备一览表</w:t>
      </w:r>
    </w:p>
    <w:tbl>
      <w:tblPr>
        <w:tblStyle w:val="TableNormal"/>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04"/>
        <w:gridCol w:w="2039"/>
        <w:gridCol w:w="1792"/>
        <w:gridCol w:w="1195"/>
        <w:gridCol w:w="3585"/>
      </w:tblGrid>
      <w:tr>
        <w:tblPrEx>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9"/>
          <w:jc w:val="center"/>
        </w:trPr>
        <w:tc>
          <w:tcPr>
            <w:tcW w:w="904" w:type="dxa"/>
            <w:vAlign w:val="center"/>
          </w:tcPr>
          <w:p>
            <w:pPr>
              <w:spacing w:line="280" w:lineRule="exact"/>
              <w:ind w:firstLine="0" w:firstLineChars="0"/>
              <w:jc w:val="center"/>
              <w:rPr>
                <w:b/>
              </w:rPr>
            </w:pPr>
            <w:r>
              <w:rPr>
                <w:b/>
              </w:rPr>
              <w:t>序号</w:t>
            </w:r>
          </w:p>
        </w:tc>
        <w:tc>
          <w:tcPr>
            <w:tcW w:w="2039" w:type="dxa"/>
            <w:vAlign w:val="center"/>
          </w:tcPr>
          <w:p>
            <w:pPr>
              <w:spacing w:line="280" w:lineRule="exact"/>
              <w:ind w:firstLine="0" w:firstLineChars="0"/>
              <w:jc w:val="center"/>
              <w:rPr>
                <w:b/>
              </w:rPr>
            </w:pPr>
            <w:r>
              <w:rPr>
                <w:b/>
              </w:rPr>
              <w:t>设备名称</w:t>
            </w:r>
          </w:p>
        </w:tc>
        <w:tc>
          <w:tcPr>
            <w:tcW w:w="1792" w:type="dxa"/>
            <w:vAlign w:val="center"/>
          </w:tcPr>
          <w:p>
            <w:pPr>
              <w:spacing w:line="280" w:lineRule="exact"/>
              <w:ind w:firstLine="0" w:firstLineChars="0"/>
              <w:jc w:val="center"/>
              <w:rPr>
                <w:b/>
              </w:rPr>
            </w:pPr>
            <w:r>
              <w:rPr>
                <w:b/>
              </w:rPr>
              <w:t>型号</w:t>
            </w:r>
          </w:p>
        </w:tc>
        <w:tc>
          <w:tcPr>
            <w:tcW w:w="1195" w:type="dxa"/>
            <w:vAlign w:val="center"/>
          </w:tcPr>
          <w:p>
            <w:pPr>
              <w:spacing w:line="280" w:lineRule="exact"/>
              <w:ind w:firstLine="0" w:firstLineChars="0"/>
              <w:jc w:val="center"/>
              <w:rPr>
                <w:b/>
              </w:rPr>
            </w:pPr>
            <w:r>
              <w:rPr>
                <w:b/>
              </w:rPr>
              <w:t>数量</w:t>
            </w:r>
          </w:p>
        </w:tc>
        <w:tc>
          <w:tcPr>
            <w:tcW w:w="3585" w:type="dxa"/>
            <w:vAlign w:val="center"/>
          </w:tcPr>
          <w:p>
            <w:pPr>
              <w:spacing w:line="280" w:lineRule="exact"/>
              <w:ind w:firstLine="0" w:firstLineChars="0"/>
              <w:jc w:val="center"/>
              <w:rPr>
                <w:b/>
              </w:rPr>
            </w:pPr>
            <w:r>
              <w:rPr>
                <w:b/>
              </w:rPr>
              <w:t>备注</w:t>
            </w:r>
          </w:p>
        </w:tc>
      </w:tr>
      <w:tr>
        <w:tblPrEx>
          <w:tblW w:w="9515" w:type="dxa"/>
          <w:jc w:val="center"/>
          <w:tblLayout w:type="fixed"/>
          <w:tblCellMar>
            <w:top w:w="0" w:type="dxa"/>
            <w:left w:w="108" w:type="dxa"/>
            <w:bottom w:w="0" w:type="dxa"/>
            <w:right w:w="108" w:type="dxa"/>
          </w:tblCellMar>
        </w:tblPrEx>
        <w:trPr>
          <w:trHeight w:val="389"/>
          <w:jc w:val="center"/>
        </w:trPr>
        <w:tc>
          <w:tcPr>
            <w:tcW w:w="904" w:type="dxa"/>
            <w:vAlign w:val="center"/>
          </w:tcPr>
          <w:p>
            <w:pPr>
              <w:spacing w:line="280" w:lineRule="exact"/>
              <w:ind w:firstLine="0" w:firstLineChars="0"/>
              <w:jc w:val="center"/>
            </w:pPr>
            <w:r>
              <w:t>1</w:t>
            </w:r>
          </w:p>
        </w:tc>
        <w:tc>
          <w:tcPr>
            <w:tcW w:w="2039" w:type="dxa"/>
            <w:vAlign w:val="center"/>
          </w:tcPr>
          <w:p>
            <w:pPr>
              <w:spacing w:line="280" w:lineRule="exact"/>
              <w:ind w:firstLine="0" w:firstLineChars="0"/>
              <w:jc w:val="center"/>
            </w:pPr>
            <w:r>
              <w:t>储罐</w:t>
            </w:r>
          </w:p>
        </w:tc>
        <w:tc>
          <w:tcPr>
            <w:tcW w:w="1792" w:type="dxa"/>
            <w:vAlign w:val="center"/>
          </w:tcPr>
          <w:p>
            <w:pPr>
              <w:spacing w:line="280" w:lineRule="exact"/>
              <w:ind w:firstLine="0" w:firstLineChars="0"/>
              <w:jc w:val="center"/>
            </w:pPr>
            <w:r>
              <w:t>10.</w:t>
            </w:r>
            <w:r>
              <w:rPr>
                <w:rFonts w:hint="eastAsia"/>
              </w:rPr>
              <w:t>5</w:t>
            </w:r>
            <w:r>
              <w:t>m</w:t>
            </w:r>
            <w:r>
              <w:rPr>
                <w:vertAlign w:val="superscript"/>
              </w:rPr>
              <w:t>3</w:t>
            </w:r>
          </w:p>
        </w:tc>
        <w:tc>
          <w:tcPr>
            <w:tcW w:w="1195" w:type="dxa"/>
            <w:vAlign w:val="center"/>
          </w:tcPr>
          <w:p>
            <w:pPr>
              <w:spacing w:line="280" w:lineRule="exact"/>
              <w:ind w:firstLine="0" w:firstLineChars="0"/>
              <w:jc w:val="center"/>
            </w:pPr>
            <w:r>
              <w:rPr>
                <w:rFonts w:hint="eastAsia"/>
              </w:rPr>
              <w:t>2</w:t>
            </w:r>
            <w:r>
              <w:t>个</w:t>
            </w:r>
          </w:p>
        </w:tc>
        <w:tc>
          <w:tcPr>
            <w:tcW w:w="3585" w:type="dxa"/>
            <w:vAlign w:val="center"/>
          </w:tcPr>
          <w:p>
            <w:pPr>
              <w:spacing w:line="280" w:lineRule="exact"/>
              <w:ind w:firstLine="0" w:firstLineChars="0"/>
              <w:jc w:val="center"/>
            </w:pPr>
            <w:r>
              <w:t>储罐方式：</w:t>
            </w:r>
            <w:r>
              <w:rPr>
                <w:rFonts w:hint="eastAsia"/>
              </w:rPr>
              <w:t>地上</w:t>
            </w:r>
            <w:r>
              <w:t>储罐</w:t>
            </w:r>
            <w:r>
              <w:rPr>
                <w:rFonts w:hint="eastAsia"/>
              </w:rPr>
              <w:t>；</w:t>
            </w:r>
          </w:p>
          <w:p>
            <w:pPr>
              <w:spacing w:line="280" w:lineRule="exact"/>
              <w:ind w:firstLine="0" w:firstLineChars="0"/>
              <w:jc w:val="center"/>
            </w:pPr>
            <w:r>
              <w:rPr>
                <w:rFonts w:hint="eastAsia"/>
              </w:rPr>
              <w:t>储罐材质：不锈钢；</w:t>
            </w:r>
          </w:p>
          <w:p>
            <w:pPr>
              <w:spacing w:line="280" w:lineRule="exact"/>
              <w:ind w:firstLine="0" w:firstLineChars="0"/>
              <w:jc w:val="center"/>
            </w:pPr>
            <w:r>
              <w:rPr>
                <w:rFonts w:hint="eastAsia"/>
              </w:rPr>
              <w:t>安装方式：卧式</w:t>
            </w:r>
          </w:p>
        </w:tc>
      </w:tr>
      <w:tr>
        <w:tblPrEx>
          <w:tblW w:w="9515" w:type="dxa"/>
          <w:jc w:val="center"/>
          <w:tblLayout w:type="fixed"/>
          <w:tblCellMar>
            <w:top w:w="0" w:type="dxa"/>
            <w:left w:w="108" w:type="dxa"/>
            <w:bottom w:w="0" w:type="dxa"/>
            <w:right w:w="108" w:type="dxa"/>
          </w:tblCellMar>
        </w:tblPrEx>
        <w:trPr>
          <w:trHeight w:val="500"/>
          <w:jc w:val="center"/>
        </w:trPr>
        <w:tc>
          <w:tcPr>
            <w:tcW w:w="904" w:type="dxa"/>
            <w:vAlign w:val="center"/>
          </w:tcPr>
          <w:p>
            <w:pPr>
              <w:spacing w:line="280" w:lineRule="exact"/>
              <w:ind w:firstLine="0" w:firstLineChars="0"/>
              <w:jc w:val="center"/>
            </w:pPr>
            <w:r>
              <w:t>2</w:t>
            </w:r>
          </w:p>
        </w:tc>
        <w:tc>
          <w:tcPr>
            <w:tcW w:w="2039" w:type="dxa"/>
            <w:vAlign w:val="center"/>
          </w:tcPr>
          <w:p>
            <w:pPr>
              <w:spacing w:line="280" w:lineRule="exact"/>
              <w:ind w:firstLine="0" w:firstLineChars="0"/>
              <w:jc w:val="center"/>
            </w:pPr>
            <w:r>
              <w:t>残液罐</w:t>
            </w:r>
          </w:p>
        </w:tc>
        <w:tc>
          <w:tcPr>
            <w:tcW w:w="1792" w:type="dxa"/>
            <w:vAlign w:val="center"/>
          </w:tcPr>
          <w:p>
            <w:pPr>
              <w:spacing w:line="280" w:lineRule="exact"/>
              <w:ind w:firstLine="0" w:firstLineChars="0"/>
              <w:jc w:val="center"/>
            </w:pPr>
            <w:r>
              <w:t>5 m</w:t>
            </w:r>
            <w:r>
              <w:rPr>
                <w:vertAlign w:val="superscript"/>
              </w:rPr>
              <w:t>3</w:t>
            </w:r>
          </w:p>
        </w:tc>
        <w:tc>
          <w:tcPr>
            <w:tcW w:w="1195" w:type="dxa"/>
            <w:vAlign w:val="center"/>
          </w:tcPr>
          <w:p>
            <w:pPr>
              <w:spacing w:line="280" w:lineRule="exact"/>
              <w:ind w:firstLine="0" w:firstLineChars="0"/>
              <w:jc w:val="center"/>
            </w:pPr>
            <w:r>
              <w:t>1个</w:t>
            </w:r>
          </w:p>
        </w:tc>
        <w:tc>
          <w:tcPr>
            <w:tcW w:w="3585" w:type="dxa"/>
            <w:vAlign w:val="center"/>
          </w:tcPr>
          <w:p>
            <w:pPr>
              <w:spacing w:line="280" w:lineRule="exact"/>
              <w:ind w:firstLine="0" w:firstLineChars="0"/>
              <w:jc w:val="center"/>
            </w:pPr>
            <w:r>
              <w:rPr>
                <w:rFonts w:hint="eastAsia"/>
              </w:rPr>
              <w:t>储罐方式：地上储罐；</w:t>
            </w:r>
          </w:p>
          <w:p>
            <w:pPr>
              <w:spacing w:line="280" w:lineRule="exact"/>
              <w:ind w:firstLine="0" w:firstLineChars="0"/>
              <w:jc w:val="center"/>
            </w:pPr>
            <w:r>
              <w:rPr>
                <w:rFonts w:hint="eastAsia"/>
              </w:rPr>
              <w:t>储罐材质：不锈钢；</w:t>
            </w:r>
          </w:p>
          <w:p>
            <w:pPr>
              <w:spacing w:line="280" w:lineRule="exact"/>
              <w:ind w:firstLine="0" w:firstLineChars="0"/>
              <w:jc w:val="center"/>
            </w:pPr>
            <w:r>
              <w:rPr>
                <w:rFonts w:hint="eastAsia"/>
              </w:rPr>
              <w:t>安装方式：卧式</w:t>
            </w:r>
          </w:p>
        </w:tc>
      </w:tr>
      <w:tr>
        <w:tblPrEx>
          <w:tblW w:w="9515" w:type="dxa"/>
          <w:jc w:val="center"/>
          <w:tblLayout w:type="fixed"/>
          <w:tblCellMar>
            <w:top w:w="0" w:type="dxa"/>
            <w:left w:w="108" w:type="dxa"/>
            <w:bottom w:w="0" w:type="dxa"/>
            <w:right w:w="108" w:type="dxa"/>
          </w:tblCellMar>
        </w:tblPrEx>
        <w:trPr>
          <w:trHeight w:val="389"/>
          <w:jc w:val="center"/>
        </w:trPr>
        <w:tc>
          <w:tcPr>
            <w:tcW w:w="904" w:type="dxa"/>
            <w:vAlign w:val="center"/>
          </w:tcPr>
          <w:p>
            <w:pPr>
              <w:spacing w:line="280" w:lineRule="exact"/>
              <w:ind w:firstLine="0" w:firstLineChars="0"/>
              <w:jc w:val="center"/>
            </w:pPr>
            <w:r>
              <w:rPr>
                <w:rFonts w:hint="eastAsia"/>
              </w:rPr>
              <w:t>3</w:t>
            </w:r>
          </w:p>
        </w:tc>
        <w:tc>
          <w:tcPr>
            <w:tcW w:w="2039" w:type="dxa"/>
            <w:vAlign w:val="center"/>
          </w:tcPr>
          <w:p>
            <w:pPr>
              <w:spacing w:line="280" w:lineRule="exact"/>
              <w:ind w:firstLine="0" w:firstLineChars="0"/>
              <w:jc w:val="center"/>
            </w:pPr>
            <w:r>
              <w:rPr>
                <w:rFonts w:hint="eastAsia"/>
              </w:rPr>
              <w:t>加气机</w:t>
            </w:r>
          </w:p>
        </w:tc>
        <w:tc>
          <w:tcPr>
            <w:tcW w:w="1792" w:type="dxa"/>
            <w:vAlign w:val="center"/>
          </w:tcPr>
          <w:p>
            <w:pPr>
              <w:spacing w:line="280" w:lineRule="exact"/>
              <w:ind w:firstLine="0" w:firstLineChars="0"/>
              <w:jc w:val="center"/>
            </w:pPr>
            <w:r>
              <w:t>DCS-120</w:t>
            </w:r>
          </w:p>
        </w:tc>
        <w:tc>
          <w:tcPr>
            <w:tcW w:w="1195" w:type="dxa"/>
            <w:vAlign w:val="center"/>
          </w:tcPr>
          <w:p>
            <w:pPr>
              <w:spacing w:line="280" w:lineRule="exact"/>
              <w:ind w:firstLine="0" w:firstLineChars="0"/>
              <w:jc w:val="center"/>
            </w:pPr>
            <w:r>
              <w:rPr>
                <w:rFonts w:hint="eastAsia"/>
              </w:rPr>
              <w:t>4套</w:t>
            </w:r>
          </w:p>
        </w:tc>
        <w:tc>
          <w:tcPr>
            <w:tcW w:w="3585" w:type="dxa"/>
            <w:vAlign w:val="center"/>
          </w:tcPr>
          <w:p>
            <w:pPr>
              <w:spacing w:line="280" w:lineRule="exact"/>
              <w:ind w:firstLine="0" w:firstLineChars="0"/>
              <w:jc w:val="center"/>
            </w:pPr>
            <w:r>
              <w:rPr>
                <w:rFonts w:hint="eastAsia"/>
              </w:rPr>
              <w:t>/</w:t>
            </w:r>
          </w:p>
        </w:tc>
      </w:tr>
      <w:tr>
        <w:tblPrEx>
          <w:tblW w:w="9515" w:type="dxa"/>
          <w:jc w:val="center"/>
          <w:tblLayout w:type="fixed"/>
          <w:tblCellMar>
            <w:top w:w="0" w:type="dxa"/>
            <w:left w:w="108" w:type="dxa"/>
            <w:bottom w:w="0" w:type="dxa"/>
            <w:right w:w="108" w:type="dxa"/>
          </w:tblCellMar>
        </w:tblPrEx>
        <w:trPr>
          <w:trHeight w:val="389"/>
          <w:jc w:val="center"/>
        </w:trPr>
        <w:tc>
          <w:tcPr>
            <w:tcW w:w="904" w:type="dxa"/>
            <w:vAlign w:val="center"/>
          </w:tcPr>
          <w:p>
            <w:pPr>
              <w:spacing w:line="280" w:lineRule="exact"/>
              <w:ind w:firstLine="0" w:firstLineChars="0"/>
              <w:jc w:val="center"/>
            </w:pPr>
            <w:r>
              <w:t>4</w:t>
            </w:r>
          </w:p>
        </w:tc>
        <w:tc>
          <w:tcPr>
            <w:tcW w:w="2039" w:type="dxa"/>
            <w:vAlign w:val="center"/>
          </w:tcPr>
          <w:p>
            <w:pPr>
              <w:spacing w:line="280" w:lineRule="exact"/>
              <w:ind w:firstLine="0" w:firstLineChars="0"/>
              <w:jc w:val="center"/>
            </w:pPr>
            <w:r>
              <w:rPr>
                <w:rFonts w:hint="eastAsia"/>
              </w:rPr>
              <w:t>液化石油气专用压缩机</w:t>
            </w:r>
          </w:p>
        </w:tc>
        <w:tc>
          <w:tcPr>
            <w:tcW w:w="1792" w:type="dxa"/>
            <w:vAlign w:val="center"/>
          </w:tcPr>
          <w:p>
            <w:pPr>
              <w:spacing w:line="280" w:lineRule="exact"/>
              <w:ind w:firstLine="0" w:firstLineChars="0"/>
              <w:jc w:val="center"/>
            </w:pPr>
            <w:r>
              <w:rPr>
                <w:rFonts w:hint="eastAsia"/>
              </w:rPr>
              <w:t>ZW0.8/10-16和ZW1.1/10-16</w:t>
            </w:r>
          </w:p>
        </w:tc>
        <w:tc>
          <w:tcPr>
            <w:tcW w:w="1195" w:type="dxa"/>
            <w:vAlign w:val="center"/>
          </w:tcPr>
          <w:p>
            <w:pPr>
              <w:spacing w:line="280" w:lineRule="exact"/>
              <w:ind w:firstLine="0" w:firstLineChars="0"/>
              <w:jc w:val="center"/>
            </w:pPr>
            <w:r>
              <w:rPr>
                <w:rFonts w:hint="eastAsia"/>
              </w:rPr>
              <w:t>2套</w:t>
            </w:r>
          </w:p>
        </w:tc>
        <w:tc>
          <w:tcPr>
            <w:tcW w:w="3585" w:type="dxa"/>
            <w:vAlign w:val="center"/>
          </w:tcPr>
          <w:p>
            <w:pPr>
              <w:spacing w:line="280" w:lineRule="exact"/>
              <w:ind w:firstLine="0" w:firstLineChars="0"/>
              <w:jc w:val="center"/>
            </w:pPr>
            <w:r>
              <w:rPr>
                <w:rFonts w:hint="eastAsia"/>
              </w:rPr>
              <w:t>/</w:t>
            </w:r>
          </w:p>
        </w:tc>
      </w:tr>
      <w:tr>
        <w:tblPrEx>
          <w:tblW w:w="9515" w:type="dxa"/>
          <w:jc w:val="center"/>
          <w:tblLayout w:type="fixed"/>
          <w:tblCellMar>
            <w:top w:w="0" w:type="dxa"/>
            <w:left w:w="108" w:type="dxa"/>
            <w:bottom w:w="0" w:type="dxa"/>
            <w:right w:w="108" w:type="dxa"/>
          </w:tblCellMar>
        </w:tblPrEx>
        <w:trPr>
          <w:trHeight w:val="389"/>
          <w:jc w:val="center"/>
        </w:trPr>
        <w:tc>
          <w:tcPr>
            <w:tcW w:w="904" w:type="dxa"/>
            <w:vAlign w:val="center"/>
          </w:tcPr>
          <w:p>
            <w:pPr>
              <w:spacing w:line="280" w:lineRule="exact"/>
              <w:ind w:firstLine="0" w:firstLineChars="0"/>
              <w:jc w:val="center"/>
            </w:pPr>
            <w:r>
              <w:rPr>
                <w:rFonts w:hint="eastAsia"/>
              </w:rPr>
              <w:t>5</w:t>
            </w:r>
          </w:p>
        </w:tc>
        <w:tc>
          <w:tcPr>
            <w:tcW w:w="2039" w:type="dxa"/>
            <w:vAlign w:val="center"/>
          </w:tcPr>
          <w:p>
            <w:pPr>
              <w:spacing w:line="280" w:lineRule="exact"/>
              <w:ind w:firstLine="0" w:firstLineChars="0"/>
              <w:jc w:val="center"/>
            </w:pPr>
            <w:r>
              <w:rPr>
                <w:rFonts w:hint="eastAsia"/>
              </w:rPr>
              <w:t>柴油发电机</w:t>
            </w:r>
          </w:p>
        </w:tc>
        <w:tc>
          <w:tcPr>
            <w:tcW w:w="1792" w:type="dxa"/>
            <w:vAlign w:val="center"/>
          </w:tcPr>
          <w:p>
            <w:pPr>
              <w:spacing w:line="280" w:lineRule="exact"/>
              <w:ind w:firstLine="0" w:firstLineChars="0"/>
              <w:jc w:val="center"/>
            </w:pPr>
            <w:r>
              <w:rPr>
                <w:rFonts w:hint="eastAsia"/>
              </w:rPr>
              <w:t>50kW</w:t>
            </w:r>
          </w:p>
        </w:tc>
        <w:tc>
          <w:tcPr>
            <w:tcW w:w="1195" w:type="dxa"/>
            <w:vAlign w:val="center"/>
          </w:tcPr>
          <w:p>
            <w:pPr>
              <w:spacing w:line="280" w:lineRule="exact"/>
              <w:ind w:firstLine="0" w:firstLineChars="0"/>
              <w:jc w:val="center"/>
            </w:pPr>
            <w:r>
              <w:rPr>
                <w:rFonts w:hint="eastAsia"/>
              </w:rPr>
              <w:t>1台</w:t>
            </w:r>
          </w:p>
        </w:tc>
        <w:tc>
          <w:tcPr>
            <w:tcW w:w="3585" w:type="dxa"/>
            <w:vAlign w:val="center"/>
          </w:tcPr>
          <w:p>
            <w:pPr>
              <w:spacing w:line="280" w:lineRule="exact"/>
              <w:ind w:firstLine="0" w:firstLineChars="0"/>
              <w:jc w:val="center"/>
            </w:pPr>
            <w:r>
              <w:rPr>
                <w:rFonts w:hint="eastAsia"/>
              </w:rPr>
              <w:t>/</w:t>
            </w:r>
          </w:p>
        </w:tc>
      </w:tr>
      <w:tr>
        <w:tblPrEx>
          <w:tblW w:w="9515" w:type="dxa"/>
          <w:jc w:val="center"/>
          <w:tblLayout w:type="fixed"/>
          <w:tblCellMar>
            <w:top w:w="0" w:type="dxa"/>
            <w:left w:w="108" w:type="dxa"/>
            <w:bottom w:w="0" w:type="dxa"/>
            <w:right w:w="108" w:type="dxa"/>
          </w:tblCellMar>
        </w:tblPrEx>
        <w:trPr>
          <w:trHeight w:val="389"/>
          <w:jc w:val="center"/>
        </w:trPr>
        <w:tc>
          <w:tcPr>
            <w:tcW w:w="904" w:type="dxa"/>
            <w:vAlign w:val="center"/>
          </w:tcPr>
          <w:p>
            <w:pPr>
              <w:spacing w:line="280" w:lineRule="exact"/>
              <w:ind w:firstLine="0" w:firstLineChars="0"/>
              <w:jc w:val="center"/>
            </w:pPr>
            <w:r>
              <w:rPr>
                <w:rFonts w:hint="eastAsia"/>
              </w:rPr>
              <w:t>6</w:t>
            </w:r>
          </w:p>
        </w:tc>
        <w:tc>
          <w:tcPr>
            <w:tcW w:w="2039" w:type="dxa"/>
            <w:vAlign w:val="center"/>
          </w:tcPr>
          <w:p>
            <w:pPr>
              <w:spacing w:line="280" w:lineRule="exact"/>
              <w:ind w:firstLine="0" w:firstLineChars="0"/>
              <w:jc w:val="center"/>
            </w:pPr>
            <w:r>
              <w:t>消防水泵</w:t>
            </w:r>
          </w:p>
        </w:tc>
        <w:tc>
          <w:tcPr>
            <w:tcW w:w="1792" w:type="dxa"/>
            <w:vAlign w:val="center"/>
          </w:tcPr>
          <w:p>
            <w:pPr>
              <w:spacing w:line="280" w:lineRule="exact"/>
              <w:ind w:firstLine="0" w:firstLineChars="0"/>
              <w:jc w:val="center"/>
            </w:pPr>
            <w:r>
              <w:t>15</w:t>
            </w:r>
            <w:r>
              <w:rPr>
                <w:rFonts w:hint="eastAsia"/>
              </w:rPr>
              <w:t>kW</w:t>
            </w:r>
          </w:p>
        </w:tc>
        <w:tc>
          <w:tcPr>
            <w:tcW w:w="1195" w:type="dxa"/>
            <w:vAlign w:val="center"/>
          </w:tcPr>
          <w:p>
            <w:pPr>
              <w:spacing w:line="280" w:lineRule="exact"/>
              <w:ind w:firstLine="0" w:firstLineChars="0"/>
              <w:jc w:val="center"/>
            </w:pPr>
            <w:r>
              <w:rPr>
                <w:rFonts w:hint="eastAsia"/>
              </w:rPr>
              <w:t>2</w:t>
            </w:r>
            <w:r>
              <w:t>台</w:t>
            </w:r>
          </w:p>
        </w:tc>
        <w:tc>
          <w:tcPr>
            <w:tcW w:w="3585" w:type="dxa"/>
            <w:vAlign w:val="center"/>
          </w:tcPr>
          <w:p>
            <w:pPr>
              <w:spacing w:line="280" w:lineRule="exact"/>
              <w:ind w:firstLine="0" w:firstLineChars="0"/>
              <w:jc w:val="center"/>
            </w:pPr>
            <w:r>
              <w:rPr>
                <w:rFonts w:hint="eastAsia"/>
              </w:rPr>
              <w:t>/</w:t>
            </w:r>
          </w:p>
        </w:tc>
      </w:tr>
      <w:tr>
        <w:tblPrEx>
          <w:tblW w:w="9515" w:type="dxa"/>
          <w:jc w:val="center"/>
          <w:tblLayout w:type="fixed"/>
          <w:tblCellMar>
            <w:top w:w="0" w:type="dxa"/>
            <w:left w:w="108" w:type="dxa"/>
            <w:bottom w:w="0" w:type="dxa"/>
            <w:right w:w="108" w:type="dxa"/>
          </w:tblCellMar>
        </w:tblPrEx>
        <w:trPr>
          <w:trHeight w:val="389"/>
          <w:jc w:val="center"/>
        </w:trPr>
        <w:tc>
          <w:tcPr>
            <w:tcW w:w="904" w:type="dxa"/>
            <w:vAlign w:val="center"/>
          </w:tcPr>
          <w:p>
            <w:pPr>
              <w:spacing w:line="280" w:lineRule="exact"/>
              <w:ind w:firstLine="0" w:firstLineChars="0"/>
              <w:jc w:val="center"/>
            </w:pPr>
            <w:r>
              <w:rPr>
                <w:rFonts w:hint="eastAsia"/>
              </w:rPr>
              <w:t>7</w:t>
            </w:r>
          </w:p>
        </w:tc>
        <w:tc>
          <w:tcPr>
            <w:tcW w:w="2039" w:type="dxa"/>
            <w:vAlign w:val="center"/>
          </w:tcPr>
          <w:p>
            <w:pPr>
              <w:spacing w:line="280" w:lineRule="exact"/>
              <w:ind w:firstLine="0" w:firstLineChars="0"/>
              <w:jc w:val="center"/>
            </w:pPr>
            <w:r>
              <w:rPr>
                <w:rFonts w:hint="eastAsia"/>
              </w:rPr>
              <w:t>潜污泵</w:t>
            </w:r>
          </w:p>
        </w:tc>
        <w:tc>
          <w:tcPr>
            <w:tcW w:w="1792" w:type="dxa"/>
            <w:vAlign w:val="center"/>
          </w:tcPr>
          <w:p>
            <w:pPr>
              <w:spacing w:line="280" w:lineRule="exact"/>
              <w:ind w:firstLine="0" w:firstLineChars="0"/>
              <w:jc w:val="center"/>
            </w:pPr>
            <w:r>
              <w:rPr>
                <w:rFonts w:hint="eastAsia"/>
              </w:rPr>
              <w:t>/</w:t>
            </w:r>
          </w:p>
        </w:tc>
        <w:tc>
          <w:tcPr>
            <w:tcW w:w="1195" w:type="dxa"/>
            <w:vAlign w:val="center"/>
          </w:tcPr>
          <w:p>
            <w:pPr>
              <w:spacing w:line="280" w:lineRule="exact"/>
              <w:ind w:firstLine="0" w:firstLineChars="0"/>
              <w:jc w:val="center"/>
            </w:pPr>
            <w:r>
              <w:rPr>
                <w:rFonts w:hint="eastAsia"/>
              </w:rPr>
              <w:t>1台</w:t>
            </w:r>
          </w:p>
        </w:tc>
        <w:tc>
          <w:tcPr>
            <w:tcW w:w="3585" w:type="dxa"/>
            <w:vAlign w:val="center"/>
          </w:tcPr>
          <w:p>
            <w:pPr>
              <w:spacing w:line="280" w:lineRule="exact"/>
              <w:ind w:firstLine="0" w:firstLineChars="0"/>
              <w:jc w:val="center"/>
            </w:pPr>
            <w:r>
              <w:rPr>
                <w:rFonts w:hint="eastAsia"/>
              </w:rPr>
              <w:t>/</w:t>
            </w:r>
          </w:p>
        </w:tc>
      </w:tr>
      <w:tr>
        <w:tblPrEx>
          <w:tblW w:w="9515" w:type="dxa"/>
          <w:jc w:val="center"/>
          <w:tblLayout w:type="fixed"/>
          <w:tblCellMar>
            <w:top w:w="0" w:type="dxa"/>
            <w:left w:w="108" w:type="dxa"/>
            <w:bottom w:w="0" w:type="dxa"/>
            <w:right w:w="108" w:type="dxa"/>
          </w:tblCellMar>
        </w:tblPrEx>
        <w:trPr>
          <w:trHeight w:val="389"/>
          <w:jc w:val="center"/>
        </w:trPr>
        <w:tc>
          <w:tcPr>
            <w:tcW w:w="904" w:type="dxa"/>
            <w:vAlign w:val="center"/>
          </w:tcPr>
          <w:p>
            <w:pPr>
              <w:spacing w:line="280" w:lineRule="exact"/>
              <w:ind w:firstLine="0" w:firstLineChars="0"/>
              <w:jc w:val="center"/>
            </w:pPr>
            <w:r>
              <w:rPr>
                <w:rFonts w:hint="eastAsia"/>
              </w:rPr>
              <w:t>8</w:t>
            </w:r>
          </w:p>
        </w:tc>
        <w:tc>
          <w:tcPr>
            <w:tcW w:w="2039" w:type="dxa"/>
            <w:vAlign w:val="center"/>
          </w:tcPr>
          <w:p>
            <w:pPr>
              <w:spacing w:line="280" w:lineRule="exact"/>
              <w:ind w:firstLine="0" w:firstLineChars="0"/>
              <w:jc w:val="center"/>
            </w:pPr>
            <w:r>
              <w:rPr>
                <w:rFonts w:hint="eastAsia"/>
              </w:rPr>
              <w:t>电子灌装秤</w:t>
            </w:r>
          </w:p>
        </w:tc>
        <w:tc>
          <w:tcPr>
            <w:tcW w:w="1792" w:type="dxa"/>
            <w:vAlign w:val="center"/>
          </w:tcPr>
          <w:p>
            <w:pPr>
              <w:spacing w:line="280" w:lineRule="exact"/>
              <w:ind w:firstLine="0" w:firstLineChars="0"/>
              <w:jc w:val="center"/>
            </w:pPr>
            <w:r>
              <w:t>TCS-120</w:t>
            </w:r>
          </w:p>
        </w:tc>
        <w:tc>
          <w:tcPr>
            <w:tcW w:w="1195" w:type="dxa"/>
            <w:vAlign w:val="center"/>
          </w:tcPr>
          <w:p>
            <w:pPr>
              <w:spacing w:line="280" w:lineRule="exact"/>
              <w:ind w:firstLine="0" w:firstLineChars="0"/>
              <w:jc w:val="center"/>
            </w:pPr>
            <w:r>
              <w:t>3</w:t>
            </w:r>
            <w:r>
              <w:rPr>
                <w:rFonts w:hint="eastAsia"/>
              </w:rPr>
              <w:t>台</w:t>
            </w:r>
          </w:p>
        </w:tc>
        <w:tc>
          <w:tcPr>
            <w:tcW w:w="3585" w:type="dxa"/>
            <w:vAlign w:val="center"/>
          </w:tcPr>
          <w:p>
            <w:pPr>
              <w:spacing w:line="280" w:lineRule="exact"/>
              <w:ind w:firstLine="0" w:firstLineChars="0"/>
              <w:jc w:val="center"/>
            </w:pPr>
            <w:r>
              <w:rPr>
                <w:rFonts w:hint="eastAsia"/>
              </w:rPr>
              <w:t>/</w:t>
            </w:r>
          </w:p>
        </w:tc>
      </w:tr>
      <w:tr>
        <w:tblPrEx>
          <w:tblW w:w="9515" w:type="dxa"/>
          <w:jc w:val="center"/>
          <w:tblLayout w:type="fixed"/>
          <w:tblCellMar>
            <w:top w:w="0" w:type="dxa"/>
            <w:left w:w="108" w:type="dxa"/>
            <w:bottom w:w="0" w:type="dxa"/>
            <w:right w:w="108" w:type="dxa"/>
          </w:tblCellMar>
        </w:tblPrEx>
        <w:trPr>
          <w:trHeight w:val="389"/>
          <w:jc w:val="center"/>
        </w:trPr>
        <w:tc>
          <w:tcPr>
            <w:tcW w:w="904" w:type="dxa"/>
            <w:vAlign w:val="center"/>
          </w:tcPr>
          <w:p>
            <w:pPr>
              <w:spacing w:line="280" w:lineRule="exact"/>
              <w:ind w:firstLine="0" w:firstLineChars="0"/>
              <w:jc w:val="center"/>
            </w:pPr>
            <w:r>
              <w:t>9</w:t>
            </w:r>
          </w:p>
        </w:tc>
        <w:tc>
          <w:tcPr>
            <w:tcW w:w="2039" w:type="dxa"/>
            <w:vAlign w:val="center"/>
          </w:tcPr>
          <w:p>
            <w:pPr>
              <w:spacing w:line="280" w:lineRule="exact"/>
              <w:ind w:firstLine="0" w:firstLineChars="0"/>
              <w:jc w:val="center"/>
            </w:pPr>
            <w:r>
              <w:rPr>
                <w:rFonts w:hint="eastAsia"/>
              </w:rPr>
              <w:t>小型配送车</w:t>
            </w:r>
          </w:p>
        </w:tc>
        <w:tc>
          <w:tcPr>
            <w:tcW w:w="1792" w:type="dxa"/>
            <w:vAlign w:val="center"/>
          </w:tcPr>
          <w:p>
            <w:pPr>
              <w:spacing w:line="280" w:lineRule="exact"/>
              <w:ind w:firstLine="0" w:firstLineChars="0"/>
              <w:jc w:val="center"/>
            </w:pPr>
            <w:r>
              <w:rPr>
                <w:rFonts w:hint="eastAsia"/>
              </w:rPr>
              <w:t>江淮</w:t>
            </w:r>
          </w:p>
        </w:tc>
        <w:tc>
          <w:tcPr>
            <w:tcW w:w="1195" w:type="dxa"/>
            <w:vAlign w:val="center"/>
          </w:tcPr>
          <w:p>
            <w:pPr>
              <w:spacing w:line="280" w:lineRule="exact"/>
              <w:ind w:firstLine="0" w:firstLineChars="0"/>
              <w:jc w:val="center"/>
            </w:pPr>
            <w:r>
              <w:t>1</w:t>
            </w:r>
            <w:r>
              <w:rPr>
                <w:rFonts w:hint="eastAsia"/>
              </w:rPr>
              <w:t>辆</w:t>
            </w:r>
          </w:p>
        </w:tc>
        <w:tc>
          <w:tcPr>
            <w:tcW w:w="3585" w:type="dxa"/>
            <w:vAlign w:val="center"/>
          </w:tcPr>
          <w:p>
            <w:pPr>
              <w:spacing w:line="280" w:lineRule="exact"/>
              <w:ind w:firstLine="0" w:firstLineChars="0"/>
              <w:jc w:val="center"/>
            </w:pPr>
            <w:r>
              <w:rPr>
                <w:rFonts w:hint="eastAsia"/>
              </w:rPr>
              <w:t>/</w:t>
            </w:r>
          </w:p>
        </w:tc>
      </w:tr>
    </w:tbl>
    <w:p>
      <w:pPr>
        <w:pStyle w:val="a1"/>
        <w:spacing w:before="156" w:beforeLines="50"/>
        <w:ind w:firstLine="480"/>
      </w:pPr>
      <w:r>
        <w:rPr>
          <w:rFonts w:hint="eastAsia"/>
        </w:rPr>
        <w:t>7、公用工程</w:t>
      </w:r>
    </w:p>
    <w:p>
      <w:pPr>
        <w:pStyle w:val="a1"/>
        <w:ind w:firstLine="480"/>
      </w:pPr>
      <w:r>
        <w:rPr>
          <w:rFonts w:hint="eastAsia"/>
        </w:rPr>
        <w:t>（1）供水</w:t>
      </w:r>
    </w:p>
    <w:p>
      <w:pPr>
        <w:pStyle w:val="a1"/>
        <w:ind w:firstLine="480"/>
        <w:sectPr>
          <w:headerReference w:type="even" r:id="rId195"/>
          <w:headerReference w:type="default" r:id="rId196"/>
          <w:footerReference w:type="even" r:id="rId197"/>
          <w:footerReference w:type="default" r:id="rId198"/>
          <w:headerReference w:type="first" r:id="rId199"/>
          <w:footerReference w:type="first" r:id="rId200"/>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16"/>
          <w:cols w:num="1" w:space="720"/>
          <w:titlePg w:val="0"/>
          <w:docGrid w:type="linesAndChars" w:linePitch="312" w:charSpace="0"/>
        </w:sectPr>
      </w:pPr>
      <w:r>
        <w:rPr>
          <w:rFonts w:hint="eastAsia"/>
        </w:rPr>
        <w:t>项目区接通市政管网，生活和消防用水由市政管网提供。</w:t>
      </w:r>
    </w:p>
    <w:p>
      <w:pPr>
        <w:sectPr>
          <w:headerReference w:type="even" r:id="rId201"/>
          <w:headerReference w:type="default" r:id="rId202"/>
          <w:footerReference w:type="even" r:id="rId203"/>
          <w:footerReference w:type="default" r:id="rId204"/>
          <w:headerReference w:type="first" r:id="rId205"/>
          <w:footerReference w:type="first" r:id="rId206"/>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480"/>
      </w:pPr>
      <w:r>
        <w:rPr>
          <w:rFonts w:hint="eastAsia"/>
        </w:rPr>
        <w:t>（2）排水</w:t>
      </w:r>
    </w:p>
    <w:p>
      <w:pPr>
        <w:pStyle w:val="a1"/>
        <w:ind w:firstLine="480"/>
      </w:pPr>
      <w:r>
        <w:rPr>
          <w:rFonts w:hint="eastAsia"/>
        </w:rPr>
        <w:t>雨水采用明沟排放，生活污水经化粪池处理后，定期清掏用于周边农地施肥。</w:t>
      </w:r>
    </w:p>
    <w:p>
      <w:pPr>
        <w:pStyle w:val="a1"/>
        <w:ind w:firstLine="480"/>
      </w:pPr>
      <w:r>
        <w:rPr>
          <w:rFonts w:hint="eastAsia"/>
        </w:rPr>
        <w:t>（3）供电</w:t>
      </w:r>
    </w:p>
    <w:p>
      <w:pPr>
        <w:pStyle w:val="a1"/>
        <w:ind w:firstLine="480"/>
      </w:pPr>
      <w:r>
        <w:rPr>
          <w:rFonts w:hint="eastAsia"/>
        </w:rPr>
        <w:t>市政电网引入，另外站区自备一台50kW柴油发电机作为备用电源。</w:t>
      </w:r>
    </w:p>
    <w:p>
      <w:pPr>
        <w:pStyle w:val="a1"/>
        <w:ind w:firstLine="480"/>
      </w:pPr>
      <w:r>
        <w:rPr>
          <w:rFonts w:hint="eastAsia"/>
        </w:rPr>
        <w:t>（4）消防</w:t>
      </w:r>
    </w:p>
    <w:p>
      <w:pPr>
        <w:pStyle w:val="a1"/>
        <w:ind w:firstLine="480"/>
      </w:pPr>
      <w:r>
        <w:rPr>
          <w:rFonts w:hint="eastAsia"/>
        </w:rPr>
        <w:t>本项目按照</w:t>
      </w:r>
      <w:r>
        <w:rPr>
          <w:rFonts w:hint="eastAsia"/>
          <w:szCs w:val="24"/>
        </w:rPr>
        <w:t>《液化石油气供应工程设计规范》（GB51142-2015）、</w:t>
      </w:r>
      <w:r>
        <w:rPr>
          <w:szCs w:val="24"/>
        </w:rPr>
        <w:t>《</w:t>
      </w:r>
      <w:r>
        <w:rPr>
          <w:rFonts w:hint="eastAsia"/>
          <w:szCs w:val="24"/>
        </w:rPr>
        <w:t>建筑设计</w:t>
      </w:r>
      <w:r>
        <w:rPr>
          <w:szCs w:val="24"/>
        </w:rPr>
        <w:t>防火规范》</w:t>
      </w:r>
      <w:r>
        <w:rPr>
          <w:rFonts w:hint="eastAsia"/>
          <w:szCs w:val="24"/>
        </w:rPr>
        <w:t>（GB50016-2014）以及</w:t>
      </w:r>
      <w:r>
        <w:rPr>
          <w:szCs w:val="24"/>
        </w:rPr>
        <w:t>《</w:t>
      </w:r>
      <w:r>
        <w:rPr>
          <w:rFonts w:hint="eastAsia"/>
          <w:szCs w:val="24"/>
        </w:rPr>
        <w:t>建设灭火器</w:t>
      </w:r>
      <w:r>
        <w:rPr>
          <w:szCs w:val="24"/>
        </w:rPr>
        <w:t>配置设计规范》</w:t>
      </w:r>
      <w:r>
        <w:rPr>
          <w:rFonts w:hint="eastAsia"/>
          <w:szCs w:val="24"/>
        </w:rPr>
        <w:t>（GB50140-2015），</w:t>
      </w:r>
      <w:r>
        <w:rPr>
          <w:rFonts w:hint="eastAsia"/>
        </w:rPr>
        <w:t>在设计工作中做到符合国家有关防火规范的要求，对不同建筑物的危险等级和生产特性，采取相应的消防措施，防止火灾的发生和蔓延，积极贯彻“预防为主、防消结合”的方针，防患于未然，以保护站内生产的安全和全体员工的生命财产安全。本项目消防设施由消防给水系统和干粉灭火器等组成。</w:t>
      </w:r>
    </w:p>
    <w:p>
      <w:pPr>
        <w:pStyle w:val="a1"/>
        <w:ind w:firstLine="560"/>
        <w:outlineLvl w:val="0"/>
        <w:rPr>
          <w:rFonts w:eastAsia="黑体"/>
          <w:sz w:val="28"/>
        </w:rPr>
      </w:pPr>
      <w:r>
        <w:rPr>
          <w:rFonts w:eastAsia="黑体" w:hint="eastAsia"/>
          <w:sz w:val="28"/>
        </w:rPr>
        <w:t>二、现有</w:t>
      </w:r>
      <w:r>
        <w:rPr>
          <w:rFonts w:eastAsia="黑体"/>
          <w:sz w:val="28"/>
        </w:rPr>
        <w:t>项目生产工艺流程</w:t>
      </w:r>
      <w:r>
        <w:rPr>
          <w:rFonts w:eastAsia="黑体" w:hint="eastAsia"/>
          <w:sz w:val="28"/>
        </w:rPr>
        <w:t>及</w:t>
      </w:r>
      <w:r>
        <w:rPr>
          <w:rFonts w:eastAsia="黑体"/>
          <w:sz w:val="28"/>
        </w:rPr>
        <w:t>产污分析</w:t>
      </w:r>
    </w:p>
    <w:p>
      <w:pPr>
        <w:pStyle w:val="a1"/>
        <w:ind w:firstLine="480"/>
        <w:outlineLvl w:val="1"/>
        <w:rPr>
          <w:rFonts w:eastAsia="黑体"/>
        </w:rPr>
      </w:pPr>
      <w:r>
        <w:rPr>
          <w:rFonts w:eastAsia="黑体" w:hint="eastAsia"/>
        </w:rPr>
        <w:t>1、工艺流程</w:t>
      </w:r>
    </w:p>
    <w:p>
      <w:pPr>
        <w:pStyle w:val="a1"/>
        <w:ind w:firstLine="480"/>
      </w:pPr>
      <w:r>
        <w:rPr>
          <w:rFonts w:hint="eastAsia"/>
        </w:rPr>
        <w:t>液化气罐装</w:t>
      </w:r>
      <w:r>
        <w:t>工艺全过程由卸车、罐装、</w:t>
      </w:r>
      <w:r>
        <w:rPr>
          <w:rFonts w:hint="eastAsia"/>
        </w:rPr>
        <w:t>残液回收</w:t>
      </w:r>
      <w:r>
        <w:t>三部分</w:t>
      </w:r>
      <w:r>
        <w:rPr>
          <w:rFonts w:hint="eastAsia"/>
        </w:rPr>
        <w:t>组成</w:t>
      </w:r>
      <w:r>
        <w:t>。</w:t>
      </w:r>
    </w:p>
    <w:p>
      <w:pPr>
        <w:pStyle w:val="a1"/>
        <w:ind w:firstLine="480"/>
      </w:pPr>
      <w:r>
        <w:rPr>
          <w:rFonts w:hint="eastAsia"/>
        </w:rPr>
        <w:t>（1）卸气</w:t>
      </w:r>
    </w:p>
    <w:p>
      <w:pPr>
        <w:pStyle w:val="a1"/>
        <w:ind w:firstLine="480"/>
      </w:pPr>
      <w:r>
        <w:rPr>
          <w:rFonts w:hint="eastAsia"/>
        </w:rPr>
        <w:t>液化石油气（LPG）用汽车槽车送至站内卸车台，由卸车软管连接至LPG储罐，卸车时，压缩机自储罐抽吸气态LPG并压入汽车槽车的气相空间，使槽车和储罐之间形成0.2MPa的压差，利用压差将LPG卸入储罐，LPG储罐正常工作压力一般为0.3MPa。该工序主要产生</w:t>
      </w:r>
      <w:r>
        <w:t>非甲烷总烃及噪声。工艺</w:t>
      </w:r>
      <w:r>
        <w:rPr>
          <w:rFonts w:hint="eastAsia"/>
        </w:rPr>
        <w:t>流程</w:t>
      </w:r>
      <w:r>
        <w:t>图如下</w:t>
      </w:r>
      <w:r>
        <w:rPr>
          <w:rFonts w:hint="eastAsia"/>
        </w:rPr>
        <w:t>：</w:t>
      </w:r>
    </w:p>
    <w:p>
      <w:pPr>
        <w:adjustRightInd w:val="0"/>
        <w:snapToGrid w:val="0"/>
        <w:ind w:firstLine="0" w:firstLineChars="0"/>
        <w:jc w:val="center"/>
      </w:pPr>
      <w:r>
        <w:drawing>
          <wp:inline distT="0" distB="0" distL="0" distR="0">
            <wp:extent cx="4152900" cy="1438275"/>
            <wp:effectExtent l="1905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xmlns:r="http://schemas.openxmlformats.org/officeDocument/2006/relationships" r:embed="rId207"/>
                    <a:stretch>
                      <a:fillRect/>
                    </a:stretch>
                  </pic:blipFill>
                  <pic:spPr>
                    <a:xfrm>
                      <a:off x="0" y="0"/>
                      <a:ext cx="4152900" cy="1438275"/>
                    </a:xfrm>
                    <a:prstGeom prst="rect">
                      <a:avLst/>
                    </a:prstGeom>
                    <a:noFill/>
                    <a:ln w="9525">
                      <a:noFill/>
                      <a:miter lim="800000"/>
                      <a:headEnd/>
                      <a:tailEnd/>
                    </a:ln>
                  </pic:spPr>
                </pic:pic>
              </a:graphicData>
            </a:graphic>
          </wp:inline>
        </w:drawing>
      </w:r>
    </w:p>
    <w:p>
      <w:pPr>
        <w:pStyle w:val="a1"/>
        <w:ind w:firstLine="0" w:firstLineChars="0"/>
        <w:jc w:val="center"/>
        <w:rPr>
          <w:rFonts w:eastAsia="黑体"/>
          <w:sz w:val="21"/>
          <w:szCs w:val="21"/>
        </w:rPr>
      </w:pPr>
      <w:r>
        <w:rPr>
          <w:rFonts w:eastAsia="黑体" w:hint="eastAsia"/>
          <w:sz w:val="21"/>
          <w:szCs w:val="21"/>
        </w:rPr>
        <w:t>图</w:t>
      </w:r>
      <w:r>
        <w:rPr>
          <w:rFonts w:eastAsia="黑体"/>
          <w:sz w:val="21"/>
          <w:szCs w:val="21"/>
        </w:rPr>
        <w:t>1-2</w:t>
      </w:r>
      <w:r>
        <w:rPr>
          <w:rFonts w:eastAsia="黑体" w:hint="eastAsia"/>
          <w:sz w:val="21"/>
          <w:szCs w:val="21"/>
        </w:rPr>
        <w:t xml:space="preserve">  卸车工艺流程及</w:t>
      </w:r>
      <w:r>
        <w:rPr>
          <w:rFonts w:eastAsia="黑体"/>
          <w:sz w:val="21"/>
          <w:szCs w:val="21"/>
        </w:rPr>
        <w:t>产污环节</w:t>
      </w:r>
      <w:r>
        <w:rPr>
          <w:rFonts w:eastAsia="黑体" w:hint="eastAsia"/>
          <w:sz w:val="21"/>
          <w:szCs w:val="21"/>
        </w:rPr>
        <w:t>图</w:t>
      </w:r>
    </w:p>
    <w:p>
      <w:pPr>
        <w:pStyle w:val="a1"/>
        <w:ind w:firstLine="480"/>
      </w:pPr>
      <w:r>
        <w:rPr>
          <w:rFonts w:hint="eastAsia"/>
        </w:rPr>
        <w:t>（2）灌装</w:t>
      </w:r>
    </w:p>
    <w:p>
      <w:pPr>
        <w:pStyle w:val="a1"/>
        <w:ind w:firstLine="480"/>
        <w:rPr>
          <w:szCs w:val="32"/>
        </w:rPr>
        <w:sectPr>
          <w:headerReference w:type="even" r:id="rId208"/>
          <w:headerReference w:type="default" r:id="rId209"/>
          <w:footerReference w:type="even" r:id="rId210"/>
          <w:footerReference w:type="default" r:id="rId211"/>
          <w:headerReference w:type="first" r:id="rId212"/>
          <w:footerReference w:type="first" r:id="rId213"/>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17"/>
          <w:cols w:num="1" w:space="720"/>
          <w:titlePg w:val="0"/>
          <w:docGrid w:type="linesAndChars" w:linePitch="312" w:charSpace="0"/>
        </w:sectPr>
      </w:pPr>
      <w:r>
        <w:rPr>
          <w:rFonts w:hint="eastAsia"/>
        </w:rPr>
        <w:t>将钢瓶放在灌装称上，连接好管线，通过</w:t>
      </w:r>
      <w:r>
        <w:rPr>
          <w:szCs w:val="32"/>
        </w:rPr>
        <w:t>烃泵</w:t>
      </w:r>
      <w:r>
        <w:rPr>
          <w:rFonts w:hint="eastAsia"/>
          <w:szCs w:val="32"/>
        </w:rPr>
        <w:t>向钢瓶内罐装LPG，到设定的重量时，灌装秤会自动切断气源，关闭钢瓶角阀，拆下连接管线，检验是否漏气后需再次进行重量检定，合格后即完成了钢瓶的罐装作业。该工序</w:t>
      </w:r>
      <w:r>
        <w:rPr>
          <w:szCs w:val="32"/>
        </w:rPr>
        <w:t>主要产生非甲烷总烃。</w:t>
      </w:r>
      <w:r>
        <w:rPr>
          <w:rFonts w:hint="eastAsia"/>
          <w:szCs w:val="32"/>
        </w:rPr>
        <w:t>工艺流程</w:t>
      </w:r>
      <w:r>
        <w:rPr>
          <w:szCs w:val="32"/>
        </w:rPr>
        <w:t>图如下：</w:t>
      </w:r>
    </w:p>
    <w:p>
      <w:pPr>
        <w:sectPr>
          <w:headerReference w:type="even" r:id="rId214"/>
          <w:headerReference w:type="default" r:id="rId215"/>
          <w:footerReference w:type="even" r:id="rId216"/>
          <w:footerReference w:type="default" r:id="rId217"/>
          <w:headerReference w:type="first" r:id="rId218"/>
          <w:footerReference w:type="first" r:id="rId219"/>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0" w:firstLineChars="0"/>
        <w:jc w:val="center"/>
      </w:pPr>
      <w:r>
        <w:drawing>
          <wp:inline distT="0" distB="0" distL="0" distR="0">
            <wp:extent cx="4552950" cy="796925"/>
            <wp:effectExtent l="1905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xmlns:r="http://schemas.openxmlformats.org/officeDocument/2006/relationships" r:embed="rId220"/>
                    <a:stretch>
                      <a:fillRect/>
                    </a:stretch>
                  </pic:blipFill>
                  <pic:spPr>
                    <a:xfrm>
                      <a:off x="0" y="0"/>
                      <a:ext cx="4552950" cy="796995"/>
                    </a:xfrm>
                    <a:prstGeom prst="rect">
                      <a:avLst/>
                    </a:prstGeom>
                    <a:noFill/>
                    <a:ln w="9525">
                      <a:noFill/>
                      <a:miter lim="800000"/>
                      <a:headEnd/>
                      <a:tailEnd/>
                    </a:ln>
                  </pic:spPr>
                </pic:pic>
              </a:graphicData>
            </a:graphic>
          </wp:inline>
        </w:drawing>
      </w:r>
    </w:p>
    <w:p>
      <w:pPr>
        <w:pStyle w:val="a1"/>
        <w:ind w:firstLine="0" w:firstLineChars="0"/>
        <w:jc w:val="center"/>
        <w:rPr>
          <w:rFonts w:eastAsia="黑体"/>
          <w:sz w:val="21"/>
          <w:szCs w:val="21"/>
        </w:rPr>
      </w:pPr>
      <w:r>
        <w:rPr>
          <w:rFonts w:eastAsia="黑体" w:hint="eastAsia"/>
          <w:sz w:val="21"/>
          <w:szCs w:val="21"/>
        </w:rPr>
        <w:t>图</w:t>
      </w:r>
      <w:r>
        <w:rPr>
          <w:rFonts w:eastAsia="黑体"/>
          <w:sz w:val="21"/>
          <w:szCs w:val="21"/>
        </w:rPr>
        <w:t>1-3</w:t>
      </w:r>
      <w:r>
        <w:rPr>
          <w:rFonts w:eastAsia="黑体" w:hint="eastAsia"/>
          <w:sz w:val="21"/>
          <w:szCs w:val="21"/>
        </w:rPr>
        <w:t xml:space="preserve">  灌装工艺流程及</w:t>
      </w:r>
      <w:r>
        <w:rPr>
          <w:rFonts w:eastAsia="黑体"/>
          <w:sz w:val="21"/>
          <w:szCs w:val="21"/>
        </w:rPr>
        <w:t>产污环节</w:t>
      </w:r>
      <w:r>
        <w:rPr>
          <w:rFonts w:eastAsia="黑体" w:hint="eastAsia"/>
          <w:sz w:val="21"/>
          <w:szCs w:val="21"/>
        </w:rPr>
        <w:t>图</w:t>
      </w:r>
    </w:p>
    <w:p>
      <w:pPr>
        <w:pStyle w:val="a1"/>
        <w:ind w:firstLine="480"/>
      </w:pPr>
      <w:r>
        <w:rPr>
          <w:rFonts w:hint="eastAsia"/>
        </w:rPr>
        <w:t>（3）残液回收（分为</w:t>
      </w:r>
      <w:r>
        <w:t>钢瓶和残液储罐残液回收</w:t>
      </w:r>
      <w:r>
        <w:rPr>
          <w:rFonts w:hint="eastAsia"/>
        </w:rPr>
        <w:t>）</w:t>
      </w:r>
    </w:p>
    <w:p>
      <w:pPr>
        <w:pStyle w:val="a1"/>
        <w:ind w:firstLine="480"/>
      </w:pPr>
      <w:r>
        <w:rPr>
          <w:rFonts w:hint="eastAsia"/>
        </w:rPr>
        <w:t>压缩机抽储罐内的气体，经压缩后通过钢瓶顶部气相口进入钢瓶顶部给钢瓶加压，当钢瓶与残液罐产生压力差后，液化气残液从钢瓶底部进入到残液罐。同样的工艺可将残液罐中的液化气残液注到残液槽车中。该工序主要产生噪声及</w:t>
      </w:r>
      <w:r>
        <w:t>液化石油气残液</w:t>
      </w:r>
      <w:r>
        <w:rPr>
          <w:rFonts w:hint="eastAsia"/>
        </w:rPr>
        <w:t>。</w:t>
      </w:r>
    </w:p>
    <w:p>
      <w:pPr>
        <w:pStyle w:val="a1"/>
        <w:ind w:firstLine="0" w:firstLineChars="0"/>
        <w:jc w:val="center"/>
      </w:pPr>
      <w:r>
        <w:drawing>
          <wp:inline distT="0" distB="0" distL="0" distR="0">
            <wp:extent cx="4943475" cy="812800"/>
            <wp:effectExtent l="19050" t="0" r="9525"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xmlns:r="http://schemas.openxmlformats.org/officeDocument/2006/relationships" r:embed="rId221"/>
                    <a:stretch>
                      <a:fillRect/>
                    </a:stretch>
                  </pic:blipFill>
                  <pic:spPr>
                    <a:xfrm>
                      <a:off x="0" y="0"/>
                      <a:ext cx="4943475" cy="813010"/>
                    </a:xfrm>
                    <a:prstGeom prst="rect">
                      <a:avLst/>
                    </a:prstGeom>
                    <a:noFill/>
                    <a:ln w="9525">
                      <a:noFill/>
                      <a:miter lim="800000"/>
                      <a:headEnd/>
                      <a:tailEnd/>
                    </a:ln>
                  </pic:spPr>
                </pic:pic>
              </a:graphicData>
            </a:graphic>
          </wp:inline>
        </w:drawing>
      </w:r>
    </w:p>
    <w:p>
      <w:pPr>
        <w:pStyle w:val="a1"/>
        <w:ind w:firstLine="0" w:firstLineChars="0"/>
        <w:jc w:val="center"/>
        <w:rPr>
          <w:rFonts w:eastAsia="黑体"/>
          <w:sz w:val="21"/>
          <w:szCs w:val="21"/>
        </w:rPr>
      </w:pPr>
      <w:r>
        <w:rPr>
          <w:rFonts w:eastAsia="黑体" w:hint="eastAsia"/>
          <w:sz w:val="21"/>
          <w:szCs w:val="21"/>
        </w:rPr>
        <w:t>图</w:t>
      </w:r>
      <w:r>
        <w:rPr>
          <w:rFonts w:eastAsia="黑体"/>
          <w:sz w:val="21"/>
          <w:szCs w:val="21"/>
        </w:rPr>
        <w:t>1-4</w:t>
      </w:r>
      <w:r>
        <w:rPr>
          <w:rFonts w:eastAsia="黑体" w:hint="eastAsia"/>
          <w:sz w:val="21"/>
          <w:szCs w:val="21"/>
        </w:rPr>
        <w:t xml:space="preserve">  钢瓶残液回收工艺流程及</w:t>
      </w:r>
      <w:r>
        <w:rPr>
          <w:rFonts w:eastAsia="黑体"/>
          <w:sz w:val="21"/>
          <w:szCs w:val="21"/>
        </w:rPr>
        <w:t>产污环节</w:t>
      </w:r>
      <w:r>
        <w:rPr>
          <w:rFonts w:eastAsia="黑体" w:hint="eastAsia"/>
          <w:sz w:val="21"/>
          <w:szCs w:val="21"/>
        </w:rPr>
        <w:t>图</w:t>
      </w:r>
    </w:p>
    <w:p>
      <w:pPr>
        <w:pStyle w:val="a1"/>
        <w:ind w:firstLine="0" w:firstLineChars="0"/>
        <w:jc w:val="center"/>
      </w:pPr>
      <w:r>
        <w:drawing>
          <wp:inline distT="0" distB="0" distL="0" distR="0">
            <wp:extent cx="4924425" cy="763270"/>
            <wp:effectExtent l="19050" t="0" r="9525"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xmlns:r="http://schemas.openxmlformats.org/officeDocument/2006/relationships" r:embed="rId222"/>
                    <a:stretch>
                      <a:fillRect/>
                    </a:stretch>
                  </pic:blipFill>
                  <pic:spPr>
                    <a:xfrm>
                      <a:off x="0" y="0"/>
                      <a:ext cx="4924425" cy="763332"/>
                    </a:xfrm>
                    <a:prstGeom prst="rect">
                      <a:avLst/>
                    </a:prstGeom>
                    <a:noFill/>
                    <a:ln w="9525">
                      <a:noFill/>
                      <a:miter lim="800000"/>
                      <a:headEnd/>
                      <a:tailEnd/>
                    </a:ln>
                  </pic:spPr>
                </pic:pic>
              </a:graphicData>
            </a:graphic>
          </wp:inline>
        </w:drawing>
      </w:r>
    </w:p>
    <w:p>
      <w:pPr>
        <w:pStyle w:val="a1"/>
        <w:ind w:firstLine="0" w:firstLineChars="0"/>
        <w:jc w:val="center"/>
        <w:rPr>
          <w:rFonts w:eastAsia="黑体"/>
          <w:sz w:val="21"/>
          <w:szCs w:val="21"/>
        </w:rPr>
      </w:pPr>
      <w:r>
        <w:rPr>
          <w:rFonts w:eastAsia="黑体" w:hint="eastAsia"/>
          <w:sz w:val="21"/>
          <w:szCs w:val="21"/>
        </w:rPr>
        <w:t>图</w:t>
      </w:r>
      <w:r>
        <w:rPr>
          <w:rFonts w:eastAsia="黑体"/>
          <w:sz w:val="21"/>
          <w:szCs w:val="21"/>
        </w:rPr>
        <w:t>1-5</w:t>
      </w:r>
      <w:r>
        <w:rPr>
          <w:rFonts w:eastAsia="黑体" w:hint="eastAsia"/>
          <w:sz w:val="21"/>
          <w:szCs w:val="21"/>
        </w:rPr>
        <w:t xml:space="preserve">  残液罐残液运出工艺流程及</w:t>
      </w:r>
      <w:r>
        <w:rPr>
          <w:rFonts w:eastAsia="黑体"/>
          <w:sz w:val="21"/>
          <w:szCs w:val="21"/>
        </w:rPr>
        <w:t>产污环节</w:t>
      </w:r>
      <w:r>
        <w:rPr>
          <w:rFonts w:eastAsia="黑体" w:hint="eastAsia"/>
          <w:sz w:val="21"/>
          <w:szCs w:val="21"/>
        </w:rPr>
        <w:t>图</w:t>
      </w:r>
    </w:p>
    <w:p>
      <w:pPr>
        <w:pStyle w:val="a1"/>
        <w:ind w:firstLine="480"/>
        <w:outlineLvl w:val="1"/>
        <w:rPr>
          <w:szCs w:val="32"/>
        </w:rPr>
      </w:pPr>
      <w:r>
        <w:rPr>
          <w:rFonts w:eastAsia="黑体"/>
        </w:rPr>
        <w:t>2</w:t>
      </w:r>
      <w:r>
        <w:rPr>
          <w:rFonts w:eastAsia="黑体" w:hint="eastAsia"/>
        </w:rPr>
        <w:t>、产污环节说明</w:t>
      </w:r>
    </w:p>
    <w:p>
      <w:pPr>
        <w:pStyle w:val="a1"/>
        <w:ind w:firstLine="480"/>
      </w:pPr>
      <w:r>
        <w:rPr>
          <w:rFonts w:hint="eastAsia"/>
        </w:rPr>
        <w:t>1）废水：项目主要排水为职工和顾客产生的生活污水和食堂废水；</w:t>
      </w:r>
    </w:p>
    <w:p>
      <w:pPr>
        <w:pStyle w:val="a1"/>
        <w:ind w:firstLine="480"/>
      </w:pPr>
      <w:r>
        <w:rPr>
          <w:rFonts w:hint="eastAsia"/>
        </w:rPr>
        <w:t>2）废气：项目生产废气主要为液化石油气卸车、灌装等操作过程中造成的液化气泄漏。液化石油气主要成为为丙烷和丁烷，主要污染物为非甲烷总烃，均属于无组织排放。项目备用柴油发电机运行产生一定的废气。员工食堂产生少量油烟；</w:t>
      </w:r>
    </w:p>
    <w:p>
      <w:pPr>
        <w:pStyle w:val="a1"/>
        <w:ind w:firstLine="480"/>
      </w:pPr>
      <w:r>
        <w:rPr>
          <w:rFonts w:hint="eastAsia"/>
        </w:rPr>
        <w:t>3）噪声：项目产生的噪声主要为压缩机、泵机等设备运行产生的噪声以及交通噪声，噪声级在65~100 dB(A)；</w:t>
      </w:r>
    </w:p>
    <w:p>
      <w:pPr>
        <w:pStyle w:val="a1"/>
        <w:ind w:firstLine="480"/>
      </w:pPr>
      <w:r>
        <w:rPr>
          <w:rFonts w:hint="eastAsia"/>
        </w:rPr>
        <w:t>4）固体废物：主要为项目区员工生活产生的生活垃圾、报废钢瓶和液化石油气残液等。</w:t>
      </w:r>
    </w:p>
    <w:p>
      <w:pPr>
        <w:pStyle w:val="a1"/>
        <w:ind w:firstLine="560"/>
        <w:outlineLvl w:val="0"/>
        <w:rPr>
          <w:rFonts w:eastAsia="黑体"/>
          <w:sz w:val="28"/>
        </w:rPr>
      </w:pPr>
      <w:r>
        <w:rPr>
          <w:rFonts w:eastAsia="黑体" w:hint="eastAsia"/>
          <w:sz w:val="28"/>
        </w:rPr>
        <w:t>三、现有</w:t>
      </w:r>
      <w:r>
        <w:rPr>
          <w:rFonts w:eastAsia="黑体"/>
          <w:sz w:val="28"/>
        </w:rPr>
        <w:t>项目</w:t>
      </w:r>
      <w:r>
        <w:rPr>
          <w:rFonts w:eastAsia="黑体" w:hint="eastAsia"/>
          <w:sz w:val="28"/>
        </w:rPr>
        <w:t>产排污</w:t>
      </w:r>
      <w:r>
        <w:rPr>
          <w:rFonts w:eastAsia="黑体"/>
          <w:sz w:val="28"/>
        </w:rPr>
        <w:t>及防治措施简述</w:t>
      </w:r>
    </w:p>
    <w:p>
      <w:pPr>
        <w:pStyle w:val="a1"/>
        <w:ind w:firstLine="480"/>
      </w:pPr>
      <w:r>
        <w:rPr>
          <w:rFonts w:hint="eastAsia"/>
        </w:rPr>
        <w:t>1、废水</w:t>
      </w:r>
    </w:p>
    <w:p>
      <w:pPr>
        <w:pStyle w:val="a1"/>
        <w:ind w:firstLine="480"/>
      </w:pPr>
      <w:r>
        <w:rPr>
          <w:rFonts w:hint="eastAsia"/>
        </w:rPr>
        <w:t>项目生产过程中无废水产生，项目主要废水为生活废水（包括食堂废水）。</w:t>
      </w:r>
    </w:p>
    <w:p>
      <w:pPr>
        <w:pStyle w:val="a1"/>
        <w:ind w:firstLine="480"/>
        <w:sectPr>
          <w:headerReference w:type="even" r:id="rId223"/>
          <w:headerReference w:type="default" r:id="rId224"/>
          <w:footerReference w:type="even" r:id="rId225"/>
          <w:footerReference w:type="default" r:id="rId226"/>
          <w:headerReference w:type="first" r:id="rId227"/>
          <w:footerReference w:type="first" r:id="rId228"/>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18"/>
          <w:cols w:num="1" w:space="720"/>
          <w:titlePg w:val="0"/>
          <w:docGrid w:type="linesAndChars" w:linePitch="312" w:charSpace="0"/>
        </w:sectPr>
      </w:pPr>
      <w:r>
        <w:t>项目</w:t>
      </w:r>
      <w:r>
        <w:rPr>
          <w:rFonts w:hint="eastAsia"/>
        </w:rPr>
        <w:t>劳动定员</w:t>
      </w:r>
      <w:r>
        <w:t>6</w:t>
      </w:r>
      <w:r>
        <w:rPr>
          <w:rFonts w:hint="eastAsia"/>
        </w:rPr>
        <w:t>人，均</w:t>
      </w:r>
      <w:r>
        <w:t>在站区食宿</w:t>
      </w:r>
      <w:r>
        <w:rPr>
          <w:rFonts w:hint="eastAsia"/>
        </w:rPr>
        <w:t>。根据项目统计，项目用水量为</w:t>
      </w:r>
      <w:r>
        <w:t>2.1</w:t>
      </w:r>
      <w:r>
        <w:rPr>
          <w:rFonts w:hint="eastAsia"/>
        </w:rPr>
        <w:t>m</w:t>
      </w:r>
      <w:r>
        <w:rPr>
          <w:rFonts w:hint="eastAsia"/>
          <w:vertAlign w:val="superscript"/>
        </w:rPr>
        <w:t>3</w:t>
      </w:r>
      <w:r>
        <w:rPr>
          <w:rFonts w:hint="eastAsia"/>
        </w:rPr>
        <w:t>/d（</w:t>
      </w:r>
      <w:r>
        <w:t>766.5</w:t>
      </w:r>
      <w:r>
        <w:rPr>
          <w:rFonts w:hint="eastAsia"/>
        </w:rPr>
        <w:t>m</w:t>
      </w:r>
      <w:r>
        <w:rPr>
          <w:rFonts w:hint="eastAsia"/>
          <w:vertAlign w:val="superscript"/>
        </w:rPr>
        <w:t>3</w:t>
      </w:r>
      <w:r>
        <w:rPr>
          <w:rFonts w:hint="eastAsia"/>
        </w:rPr>
        <w:t>/a）。废水排放量为</w:t>
      </w:r>
      <w:r>
        <w:t>1.785</w:t>
      </w:r>
      <w:r>
        <w:rPr>
          <w:rFonts w:hint="eastAsia"/>
        </w:rPr>
        <w:t>m</w:t>
      </w:r>
      <w:r>
        <w:rPr>
          <w:rFonts w:hint="eastAsia"/>
          <w:vertAlign w:val="superscript"/>
        </w:rPr>
        <w:t>3</w:t>
      </w:r>
      <w:r>
        <w:rPr>
          <w:rFonts w:hint="eastAsia"/>
        </w:rPr>
        <w:t>/d（</w:t>
      </w:r>
      <w:r>
        <w:t>651.5</w:t>
      </w:r>
      <w:r>
        <w:rPr>
          <w:rFonts w:hint="eastAsia"/>
        </w:rPr>
        <w:t>m</w:t>
      </w:r>
      <w:r>
        <w:rPr>
          <w:rFonts w:hint="eastAsia"/>
          <w:vertAlign w:val="superscript"/>
        </w:rPr>
        <w:t>3</w:t>
      </w:r>
      <w:r>
        <w:rPr>
          <w:rFonts w:hint="eastAsia"/>
        </w:rPr>
        <w:t>/a）。生活污水中主要污染物为COD、NH</w:t>
      </w:r>
      <w:r>
        <w:rPr>
          <w:rFonts w:hint="eastAsia"/>
          <w:vertAlign w:val="subscript"/>
        </w:rPr>
        <w:t>3</w:t>
      </w:r>
      <w:r>
        <w:rPr>
          <w:rFonts w:hint="eastAsia"/>
        </w:rPr>
        <w:t>-N、SS、BOD</w:t>
      </w:r>
      <w:r>
        <w:rPr>
          <w:rFonts w:hint="eastAsia"/>
          <w:vertAlign w:val="subscript"/>
        </w:rPr>
        <w:t>5</w:t>
      </w:r>
      <w:r>
        <w:rPr>
          <w:rFonts w:hint="eastAsia"/>
        </w:rPr>
        <w:t>等。生活污水经化粪池收集处理后用于周边农地施肥。</w:t>
      </w:r>
    </w:p>
    <w:p>
      <w:pPr>
        <w:sectPr>
          <w:headerReference w:type="even" r:id="rId229"/>
          <w:headerReference w:type="default" r:id="rId230"/>
          <w:footerReference w:type="even" r:id="rId231"/>
          <w:footerReference w:type="default" r:id="rId232"/>
          <w:headerReference w:type="first" r:id="rId233"/>
          <w:footerReference w:type="first" r:id="rId234"/>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480"/>
      </w:pPr>
      <w:r>
        <w:rPr>
          <w:rFonts w:hint="eastAsia"/>
        </w:rPr>
        <w:t>2、废气</w:t>
      </w:r>
    </w:p>
    <w:p>
      <w:pPr>
        <w:pStyle w:val="a1"/>
        <w:ind w:firstLine="480"/>
      </w:pPr>
      <w:r>
        <w:t>项目运营期</w:t>
      </w:r>
      <w:r>
        <w:rPr>
          <w:rFonts w:hint="eastAsia"/>
        </w:rPr>
        <w:t>，</w:t>
      </w:r>
      <w:r>
        <w:t>大气污染物主要来自</w:t>
      </w:r>
      <w:r>
        <w:rPr>
          <w:rFonts w:hint="eastAsia"/>
        </w:rPr>
        <w:t>液化石油气卸车、灌装等操作过程中造成的液化气泄漏</w:t>
      </w:r>
      <w:r>
        <w:t>的非甲烷总烃废气</w:t>
      </w:r>
      <w:r>
        <w:rPr>
          <w:rFonts w:hint="eastAsia"/>
        </w:rPr>
        <w:t>。通过加强储罐灌注和灌瓶过程操作，安装安全阀等措施，避免造成液化气泄漏，采取措施后，非甲烷总烃排放量约</w:t>
      </w:r>
      <w:r>
        <w:t>210.54kg/a</w:t>
      </w:r>
      <w:r>
        <w:rPr>
          <w:rFonts w:hint="eastAsia"/>
        </w:rPr>
        <w:t>。</w:t>
      </w:r>
    </w:p>
    <w:p>
      <w:pPr>
        <w:pStyle w:val="a1"/>
        <w:ind w:firstLine="480"/>
      </w:pPr>
      <w:r>
        <w:rPr>
          <w:rFonts w:hint="eastAsia"/>
        </w:rPr>
        <w:t>根据内蒙古富源</w:t>
      </w:r>
      <w:r>
        <w:t>新纪检测有限责任</w:t>
      </w:r>
      <w:r>
        <w:rPr>
          <w:rFonts w:hint="eastAsia"/>
        </w:rPr>
        <w:t>公司于2016年</w:t>
      </w:r>
      <w:r>
        <w:t>10</w:t>
      </w:r>
      <w:r>
        <w:rPr>
          <w:rFonts w:hint="eastAsia"/>
        </w:rPr>
        <w:t>月</w:t>
      </w:r>
      <w:r>
        <w:t>3</w:t>
      </w:r>
      <w:r>
        <w:rPr>
          <w:rFonts w:hint="eastAsia"/>
        </w:rPr>
        <w:t>日~2016年</w:t>
      </w:r>
      <w:r>
        <w:t>10</w:t>
      </w:r>
      <w:r>
        <w:rPr>
          <w:rFonts w:hint="eastAsia"/>
        </w:rPr>
        <w:t>月</w:t>
      </w:r>
      <w:r>
        <w:t>4</w:t>
      </w:r>
      <w:r>
        <w:rPr>
          <w:rFonts w:hint="eastAsia"/>
        </w:rPr>
        <w:t>日对项目无组织排放的非甲烷总烃进行了监测，在厂界</w:t>
      </w:r>
      <w:r>
        <w:t>四周布设</w:t>
      </w:r>
      <w:r>
        <w:rPr>
          <w:rFonts w:hint="eastAsia"/>
        </w:rPr>
        <w:t>4个</w:t>
      </w:r>
      <w:r>
        <w:t>监测点，主要为上风向</w:t>
      </w:r>
      <w:r>
        <w:rPr>
          <w:rFonts w:hint="eastAsia"/>
        </w:rPr>
        <w:t>1个</w:t>
      </w:r>
      <w:r>
        <w:t>参照点，下风向</w:t>
      </w:r>
      <w:r>
        <w:rPr>
          <w:rFonts w:hint="eastAsia"/>
        </w:rPr>
        <w:t>3个</w:t>
      </w:r>
      <w:r>
        <w:t>监测点。</w:t>
      </w:r>
      <w:r>
        <w:rPr>
          <w:rFonts w:hint="eastAsia"/>
        </w:rPr>
        <w:t>无组织排放废气采用《大气污染物综合排放标准》（GB16297-1996）表2新污染源大气污染物无组织排放监控浓度限值评价。监测结果如下：</w:t>
      </w:r>
    </w:p>
    <w:p>
      <w:pPr>
        <w:pStyle w:val="a1"/>
        <w:ind w:firstLine="0" w:firstLineChars="0"/>
        <w:jc w:val="center"/>
        <w:rPr>
          <w:rFonts w:eastAsia="黑体"/>
          <w:sz w:val="21"/>
          <w:szCs w:val="21"/>
        </w:rPr>
      </w:pPr>
      <w:r>
        <w:rPr>
          <w:rFonts w:eastAsia="黑体"/>
          <w:sz w:val="21"/>
          <w:szCs w:val="21"/>
        </w:rPr>
        <w:t>表1-</w:t>
      </w:r>
      <w:r>
        <w:rPr>
          <w:rFonts w:eastAsia="黑体" w:hint="eastAsia"/>
          <w:sz w:val="21"/>
          <w:szCs w:val="21"/>
        </w:rPr>
        <w:t>14  项目废气监测结果表</w:t>
      </w:r>
    </w:p>
    <w:tbl>
      <w:tblPr>
        <w:tblStyle w:val="200"/>
        <w:tblW w:w="9515" w:type="dxa"/>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677"/>
        <w:gridCol w:w="708"/>
        <w:gridCol w:w="1559"/>
        <w:gridCol w:w="991"/>
        <w:gridCol w:w="851"/>
        <w:gridCol w:w="991"/>
        <w:gridCol w:w="853"/>
        <w:gridCol w:w="1275"/>
        <w:gridCol w:w="1610"/>
      </w:tblGrid>
      <w:tr>
        <w:tblPrEx>
          <w:tblW w:w="9515" w:type="dxa"/>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0"/>
        </w:trPr>
        <w:tc>
          <w:tcPr>
            <w:tcW w:w="677" w:type="dxa"/>
            <w:vMerge w:val="restart"/>
            <w:vAlign w:val="center"/>
          </w:tcPr>
          <w:p>
            <w:pPr>
              <w:widowControl/>
              <w:adjustRightInd w:val="0"/>
              <w:snapToGrid w:val="0"/>
              <w:spacing w:line="280" w:lineRule="exact"/>
              <w:ind w:firstLine="0" w:firstLineChars="0"/>
              <w:jc w:val="center"/>
              <w:rPr>
                <w:b/>
                <w:kern w:val="0"/>
              </w:rPr>
            </w:pPr>
            <w:r>
              <w:rPr>
                <w:b/>
                <w:kern w:val="0"/>
              </w:rPr>
              <w:t>监测日期</w:t>
            </w:r>
          </w:p>
        </w:tc>
        <w:tc>
          <w:tcPr>
            <w:tcW w:w="708" w:type="dxa"/>
            <w:vMerge w:val="restart"/>
            <w:vAlign w:val="center"/>
          </w:tcPr>
          <w:p>
            <w:pPr>
              <w:widowControl/>
              <w:adjustRightInd w:val="0"/>
              <w:snapToGrid w:val="0"/>
              <w:spacing w:line="280" w:lineRule="exact"/>
              <w:ind w:firstLine="0" w:firstLineChars="0"/>
              <w:jc w:val="center"/>
              <w:rPr>
                <w:b/>
                <w:kern w:val="0"/>
              </w:rPr>
            </w:pPr>
            <w:r>
              <w:rPr>
                <w:b/>
                <w:kern w:val="0"/>
              </w:rPr>
              <w:t>监测项目</w:t>
            </w:r>
          </w:p>
        </w:tc>
        <w:tc>
          <w:tcPr>
            <w:tcW w:w="1559" w:type="dxa"/>
            <w:vMerge w:val="restart"/>
            <w:vAlign w:val="center"/>
          </w:tcPr>
          <w:p>
            <w:pPr>
              <w:widowControl/>
              <w:adjustRightInd w:val="0"/>
              <w:snapToGrid w:val="0"/>
              <w:spacing w:line="280" w:lineRule="exact"/>
              <w:ind w:firstLine="0" w:firstLineChars="0"/>
              <w:jc w:val="center"/>
              <w:rPr>
                <w:b/>
                <w:kern w:val="0"/>
              </w:rPr>
            </w:pPr>
            <w:r>
              <w:rPr>
                <w:b/>
                <w:kern w:val="0"/>
              </w:rPr>
              <w:t>监测点位</w:t>
            </w:r>
          </w:p>
        </w:tc>
        <w:tc>
          <w:tcPr>
            <w:tcW w:w="4961" w:type="dxa"/>
            <w:gridSpan w:val="5"/>
            <w:vAlign w:val="center"/>
          </w:tcPr>
          <w:p>
            <w:pPr>
              <w:widowControl/>
              <w:adjustRightInd w:val="0"/>
              <w:snapToGrid w:val="0"/>
              <w:spacing w:line="280" w:lineRule="exact"/>
              <w:ind w:firstLine="0" w:firstLineChars="0"/>
              <w:jc w:val="center"/>
              <w:rPr>
                <w:b/>
                <w:kern w:val="0"/>
              </w:rPr>
            </w:pPr>
            <w:r>
              <w:rPr>
                <w:b/>
                <w:kern w:val="0"/>
              </w:rPr>
              <w:t>监测频次/结果</w:t>
            </w:r>
          </w:p>
        </w:tc>
        <w:tc>
          <w:tcPr>
            <w:tcW w:w="1610" w:type="dxa"/>
            <w:vMerge w:val="restart"/>
            <w:vAlign w:val="center"/>
          </w:tcPr>
          <w:p>
            <w:pPr>
              <w:widowControl/>
              <w:adjustRightInd w:val="0"/>
              <w:snapToGrid w:val="0"/>
              <w:spacing w:line="280" w:lineRule="exact"/>
              <w:ind w:firstLine="0" w:firstLineChars="0"/>
              <w:jc w:val="center"/>
              <w:rPr>
                <w:b/>
                <w:kern w:val="0"/>
              </w:rPr>
            </w:pPr>
            <w:r>
              <w:rPr>
                <w:rFonts w:hint="eastAsia"/>
                <w:b/>
                <w:kern w:val="0"/>
              </w:rPr>
              <w:t>执行标准</w:t>
            </w:r>
            <w:r>
              <w:rPr>
                <w:b/>
                <w:kern w:val="0"/>
              </w:rPr>
              <w:t>值</w:t>
            </w:r>
            <w:r>
              <w:rPr>
                <w:rFonts w:hint="eastAsia"/>
                <w:b/>
                <w:kern w:val="0"/>
              </w:rPr>
              <w:t>（mg/m</w:t>
            </w:r>
            <w:r>
              <w:rPr>
                <w:rFonts w:hint="eastAsia"/>
                <w:b/>
                <w:kern w:val="0"/>
                <w:vertAlign w:val="superscript"/>
              </w:rPr>
              <w:t>3</w:t>
            </w:r>
            <w:r>
              <w:rPr>
                <w:rFonts w:hint="eastAsia"/>
                <w:b/>
                <w:kern w:val="0"/>
              </w:rPr>
              <w:t>）</w:t>
            </w:r>
          </w:p>
        </w:tc>
      </w:tr>
      <w:tr>
        <w:tblPrEx>
          <w:tblW w:w="9515" w:type="dxa"/>
          <w:tblInd w:w="0" w:type="dxa"/>
          <w:tblLayout w:type="fixed"/>
          <w:tblCellMar>
            <w:top w:w="0" w:type="dxa"/>
            <w:left w:w="108" w:type="dxa"/>
            <w:bottom w:w="0" w:type="dxa"/>
            <w:right w:w="108" w:type="dxa"/>
          </w:tblCellMar>
        </w:tblPrEx>
        <w:trPr>
          <w:trHeight w:val="20"/>
        </w:trPr>
        <w:tc>
          <w:tcPr>
            <w:tcW w:w="677" w:type="dxa"/>
            <w:vMerge/>
            <w:vAlign w:val="center"/>
          </w:tcPr>
          <w:p>
            <w:pPr>
              <w:widowControl/>
              <w:adjustRightInd w:val="0"/>
              <w:snapToGrid w:val="0"/>
              <w:spacing w:line="280" w:lineRule="exact"/>
              <w:ind w:firstLine="0" w:firstLineChars="0"/>
              <w:jc w:val="center"/>
              <w:rPr>
                <w:kern w:val="0"/>
              </w:rPr>
            </w:pPr>
          </w:p>
        </w:tc>
        <w:tc>
          <w:tcPr>
            <w:tcW w:w="708" w:type="dxa"/>
            <w:vMerge/>
            <w:vAlign w:val="center"/>
          </w:tcPr>
          <w:p>
            <w:pPr>
              <w:widowControl/>
              <w:adjustRightInd w:val="0"/>
              <w:snapToGrid w:val="0"/>
              <w:spacing w:line="280" w:lineRule="exact"/>
              <w:ind w:firstLine="0" w:firstLineChars="0"/>
              <w:jc w:val="center"/>
              <w:rPr>
                <w:kern w:val="0"/>
              </w:rPr>
            </w:pPr>
          </w:p>
        </w:tc>
        <w:tc>
          <w:tcPr>
            <w:tcW w:w="1559" w:type="dxa"/>
            <w:vMerge/>
            <w:vAlign w:val="center"/>
          </w:tcPr>
          <w:p>
            <w:pPr>
              <w:widowControl/>
              <w:adjustRightInd w:val="0"/>
              <w:snapToGrid w:val="0"/>
              <w:spacing w:line="280" w:lineRule="exact"/>
              <w:ind w:firstLine="0" w:firstLineChars="0"/>
              <w:jc w:val="center"/>
              <w:rPr>
                <w:b/>
                <w:kern w:val="0"/>
              </w:rPr>
            </w:pPr>
          </w:p>
        </w:tc>
        <w:tc>
          <w:tcPr>
            <w:tcW w:w="991" w:type="dxa"/>
            <w:vAlign w:val="center"/>
          </w:tcPr>
          <w:p>
            <w:pPr>
              <w:widowControl/>
              <w:adjustRightInd w:val="0"/>
              <w:snapToGrid w:val="0"/>
              <w:spacing w:line="280" w:lineRule="exact"/>
              <w:ind w:firstLine="0" w:firstLineChars="0"/>
              <w:jc w:val="center"/>
              <w:rPr>
                <w:b/>
                <w:kern w:val="0"/>
              </w:rPr>
            </w:pPr>
            <w:r>
              <w:rPr>
                <w:b/>
                <w:kern w:val="0"/>
              </w:rPr>
              <w:t>第一次</w:t>
            </w:r>
          </w:p>
        </w:tc>
        <w:tc>
          <w:tcPr>
            <w:tcW w:w="851" w:type="dxa"/>
            <w:vAlign w:val="center"/>
          </w:tcPr>
          <w:p>
            <w:pPr>
              <w:widowControl/>
              <w:adjustRightInd w:val="0"/>
              <w:snapToGrid w:val="0"/>
              <w:spacing w:line="280" w:lineRule="exact"/>
              <w:ind w:firstLine="0" w:firstLineChars="0"/>
              <w:jc w:val="center"/>
              <w:rPr>
                <w:b/>
                <w:kern w:val="0"/>
              </w:rPr>
            </w:pPr>
            <w:r>
              <w:rPr>
                <w:b/>
                <w:kern w:val="0"/>
              </w:rPr>
              <w:t>第二次</w:t>
            </w:r>
          </w:p>
        </w:tc>
        <w:tc>
          <w:tcPr>
            <w:tcW w:w="991" w:type="dxa"/>
            <w:vAlign w:val="center"/>
          </w:tcPr>
          <w:p>
            <w:pPr>
              <w:widowControl/>
              <w:adjustRightInd w:val="0"/>
              <w:snapToGrid w:val="0"/>
              <w:spacing w:line="280" w:lineRule="exact"/>
              <w:ind w:firstLine="0" w:firstLineChars="0"/>
              <w:jc w:val="center"/>
              <w:rPr>
                <w:b/>
                <w:kern w:val="0"/>
              </w:rPr>
            </w:pPr>
            <w:r>
              <w:rPr>
                <w:b/>
                <w:kern w:val="0"/>
              </w:rPr>
              <w:t>第三次</w:t>
            </w:r>
          </w:p>
        </w:tc>
        <w:tc>
          <w:tcPr>
            <w:tcW w:w="853" w:type="dxa"/>
            <w:vAlign w:val="center"/>
          </w:tcPr>
          <w:p>
            <w:pPr>
              <w:widowControl/>
              <w:adjustRightInd w:val="0"/>
              <w:snapToGrid w:val="0"/>
              <w:spacing w:line="280" w:lineRule="exact"/>
              <w:ind w:firstLine="0" w:firstLineChars="0"/>
              <w:jc w:val="center"/>
              <w:rPr>
                <w:b/>
                <w:kern w:val="0"/>
              </w:rPr>
            </w:pPr>
            <w:r>
              <w:rPr>
                <w:b/>
                <w:kern w:val="0"/>
              </w:rPr>
              <w:t>第四次</w:t>
            </w:r>
          </w:p>
        </w:tc>
        <w:tc>
          <w:tcPr>
            <w:tcW w:w="1275" w:type="dxa"/>
            <w:vAlign w:val="center"/>
          </w:tcPr>
          <w:p>
            <w:pPr>
              <w:widowControl/>
              <w:adjustRightInd w:val="0"/>
              <w:snapToGrid w:val="0"/>
              <w:spacing w:line="280" w:lineRule="exact"/>
              <w:ind w:firstLine="0" w:firstLineChars="0"/>
              <w:jc w:val="center"/>
              <w:rPr>
                <w:b/>
                <w:kern w:val="0"/>
              </w:rPr>
            </w:pPr>
            <w:r>
              <w:rPr>
                <w:b/>
                <w:kern w:val="0"/>
              </w:rPr>
              <w:t>浓度最大值</w:t>
            </w:r>
          </w:p>
        </w:tc>
        <w:tc>
          <w:tcPr>
            <w:tcW w:w="1610" w:type="dxa"/>
            <w:vMerge/>
            <w:vAlign w:val="center"/>
          </w:tcPr>
          <w:p>
            <w:pPr>
              <w:widowControl/>
              <w:adjustRightInd w:val="0"/>
              <w:snapToGrid w:val="0"/>
              <w:spacing w:line="280" w:lineRule="exact"/>
              <w:ind w:firstLine="0" w:firstLineChars="0"/>
              <w:jc w:val="center"/>
              <w:rPr>
                <w:kern w:val="0"/>
              </w:rPr>
            </w:pPr>
          </w:p>
        </w:tc>
      </w:tr>
      <w:tr>
        <w:tblPrEx>
          <w:tblW w:w="9515" w:type="dxa"/>
          <w:tblInd w:w="0" w:type="dxa"/>
          <w:tblLayout w:type="fixed"/>
          <w:tblCellMar>
            <w:top w:w="0" w:type="dxa"/>
            <w:left w:w="108" w:type="dxa"/>
            <w:bottom w:w="0" w:type="dxa"/>
            <w:right w:w="108" w:type="dxa"/>
          </w:tblCellMar>
        </w:tblPrEx>
        <w:trPr>
          <w:trHeight w:val="20"/>
        </w:trPr>
        <w:tc>
          <w:tcPr>
            <w:tcW w:w="677" w:type="dxa"/>
            <w:vMerge w:val="restart"/>
            <w:vAlign w:val="center"/>
          </w:tcPr>
          <w:p>
            <w:pPr>
              <w:widowControl/>
              <w:adjustRightInd w:val="0"/>
              <w:snapToGrid w:val="0"/>
              <w:spacing w:line="280" w:lineRule="exact"/>
              <w:ind w:firstLine="0" w:firstLineChars="0"/>
              <w:jc w:val="center"/>
              <w:rPr>
                <w:kern w:val="0"/>
              </w:rPr>
            </w:pPr>
            <w:r>
              <w:rPr>
                <w:rFonts w:hint="eastAsia"/>
                <w:kern w:val="0"/>
              </w:rPr>
              <w:t>2016.</w:t>
            </w:r>
            <w:r>
              <w:rPr>
                <w:kern w:val="0"/>
              </w:rPr>
              <w:t>10.3</w:t>
            </w:r>
          </w:p>
        </w:tc>
        <w:tc>
          <w:tcPr>
            <w:tcW w:w="708" w:type="dxa"/>
            <w:vMerge w:val="restart"/>
            <w:vAlign w:val="center"/>
          </w:tcPr>
          <w:p>
            <w:pPr>
              <w:widowControl/>
              <w:adjustRightInd w:val="0"/>
              <w:snapToGrid w:val="0"/>
              <w:spacing w:line="280" w:lineRule="exact"/>
              <w:ind w:firstLine="0" w:firstLineChars="0"/>
              <w:jc w:val="center"/>
              <w:rPr>
                <w:kern w:val="0"/>
              </w:rPr>
            </w:pPr>
            <w:r>
              <w:rPr>
                <w:kern w:val="0"/>
              </w:rPr>
              <w:t>非甲烷总烃</w:t>
            </w:r>
          </w:p>
        </w:tc>
        <w:tc>
          <w:tcPr>
            <w:tcW w:w="1559" w:type="dxa"/>
            <w:vAlign w:val="center"/>
          </w:tcPr>
          <w:p>
            <w:pPr>
              <w:widowControl/>
              <w:adjustRightInd w:val="0"/>
              <w:snapToGrid w:val="0"/>
              <w:spacing w:line="280" w:lineRule="exact"/>
              <w:ind w:firstLine="0" w:firstLineChars="0"/>
              <w:jc w:val="center"/>
              <w:rPr>
                <w:kern w:val="0"/>
              </w:rPr>
            </w:pPr>
            <w:r>
              <w:rPr>
                <w:rFonts w:hint="eastAsia"/>
                <w:kern w:val="0"/>
              </w:rPr>
              <w:t>参照点</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0.83</w:t>
            </w:r>
          </w:p>
        </w:tc>
        <w:tc>
          <w:tcPr>
            <w:tcW w:w="851" w:type="dxa"/>
            <w:vAlign w:val="center"/>
          </w:tcPr>
          <w:p>
            <w:pPr>
              <w:widowControl/>
              <w:adjustRightInd w:val="0"/>
              <w:snapToGrid w:val="0"/>
              <w:spacing w:line="280" w:lineRule="exact"/>
              <w:ind w:firstLine="0" w:firstLineChars="0"/>
              <w:jc w:val="center"/>
              <w:rPr>
                <w:kern w:val="0"/>
              </w:rPr>
            </w:pPr>
            <w:r>
              <w:rPr>
                <w:rFonts w:hint="eastAsia"/>
                <w:kern w:val="0"/>
              </w:rPr>
              <w:t>0.85</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0.86</w:t>
            </w:r>
          </w:p>
        </w:tc>
        <w:tc>
          <w:tcPr>
            <w:tcW w:w="853" w:type="dxa"/>
            <w:vAlign w:val="center"/>
          </w:tcPr>
          <w:p>
            <w:pPr>
              <w:widowControl/>
              <w:adjustRightInd w:val="0"/>
              <w:snapToGrid w:val="0"/>
              <w:spacing w:line="280" w:lineRule="exact"/>
              <w:ind w:firstLine="0" w:firstLineChars="0"/>
              <w:jc w:val="center"/>
              <w:rPr>
                <w:kern w:val="0"/>
              </w:rPr>
            </w:pPr>
            <w:r>
              <w:rPr>
                <w:rFonts w:hint="eastAsia"/>
                <w:kern w:val="0"/>
              </w:rPr>
              <w:t>0.83</w:t>
            </w:r>
          </w:p>
        </w:tc>
        <w:tc>
          <w:tcPr>
            <w:tcW w:w="1275" w:type="dxa"/>
            <w:vAlign w:val="center"/>
          </w:tcPr>
          <w:p>
            <w:pPr>
              <w:widowControl/>
              <w:adjustRightInd w:val="0"/>
              <w:snapToGrid w:val="0"/>
              <w:spacing w:line="280" w:lineRule="exact"/>
              <w:ind w:firstLine="0" w:firstLineChars="0"/>
              <w:jc w:val="center"/>
              <w:rPr>
                <w:kern w:val="0"/>
              </w:rPr>
            </w:pPr>
            <w:r>
              <w:rPr>
                <w:rFonts w:hint="eastAsia"/>
                <w:kern w:val="0"/>
              </w:rPr>
              <w:t>0.86</w:t>
            </w:r>
          </w:p>
        </w:tc>
        <w:tc>
          <w:tcPr>
            <w:tcW w:w="1610" w:type="dxa"/>
            <w:vMerge w:val="restart"/>
            <w:vAlign w:val="center"/>
          </w:tcPr>
          <w:p>
            <w:pPr>
              <w:widowControl/>
              <w:adjustRightInd w:val="0"/>
              <w:snapToGrid w:val="0"/>
              <w:spacing w:line="280" w:lineRule="exact"/>
              <w:ind w:firstLine="0" w:firstLineChars="0"/>
              <w:jc w:val="center"/>
              <w:rPr>
                <w:kern w:val="0"/>
              </w:rPr>
            </w:pPr>
            <w:r>
              <w:rPr>
                <w:rFonts w:hint="eastAsia"/>
                <w:kern w:val="0"/>
              </w:rPr>
              <w:t>4</w:t>
            </w:r>
          </w:p>
        </w:tc>
      </w:tr>
      <w:tr>
        <w:tblPrEx>
          <w:tblW w:w="9515" w:type="dxa"/>
          <w:tblInd w:w="0" w:type="dxa"/>
          <w:tblLayout w:type="fixed"/>
          <w:tblCellMar>
            <w:top w:w="0" w:type="dxa"/>
            <w:left w:w="108" w:type="dxa"/>
            <w:bottom w:w="0" w:type="dxa"/>
            <w:right w:w="108" w:type="dxa"/>
          </w:tblCellMar>
        </w:tblPrEx>
        <w:trPr>
          <w:trHeight w:val="20"/>
        </w:trPr>
        <w:tc>
          <w:tcPr>
            <w:tcW w:w="677" w:type="dxa"/>
            <w:vMerge/>
            <w:vAlign w:val="center"/>
          </w:tcPr>
          <w:p>
            <w:pPr>
              <w:widowControl/>
              <w:adjustRightInd w:val="0"/>
              <w:snapToGrid w:val="0"/>
              <w:spacing w:line="280" w:lineRule="exact"/>
              <w:ind w:firstLine="0" w:firstLineChars="0"/>
              <w:jc w:val="center"/>
              <w:rPr>
                <w:kern w:val="0"/>
              </w:rPr>
            </w:pPr>
          </w:p>
        </w:tc>
        <w:tc>
          <w:tcPr>
            <w:tcW w:w="708" w:type="dxa"/>
            <w:vMerge/>
            <w:vAlign w:val="center"/>
          </w:tcPr>
          <w:p>
            <w:pPr>
              <w:widowControl/>
              <w:adjustRightInd w:val="0"/>
              <w:snapToGrid w:val="0"/>
              <w:spacing w:line="280" w:lineRule="exact"/>
              <w:ind w:firstLine="0" w:firstLineChars="0"/>
              <w:jc w:val="center"/>
              <w:rPr>
                <w:kern w:val="0"/>
              </w:rPr>
            </w:pPr>
          </w:p>
        </w:tc>
        <w:tc>
          <w:tcPr>
            <w:tcW w:w="1559" w:type="dxa"/>
            <w:vAlign w:val="center"/>
          </w:tcPr>
          <w:p>
            <w:pPr>
              <w:widowControl/>
              <w:adjustRightInd w:val="0"/>
              <w:snapToGrid w:val="0"/>
              <w:spacing w:line="280" w:lineRule="exact"/>
              <w:ind w:firstLine="0" w:firstLineChars="0"/>
              <w:jc w:val="center"/>
              <w:rPr>
                <w:kern w:val="0"/>
              </w:rPr>
            </w:pPr>
            <w:r>
              <w:rPr>
                <w:rFonts w:hint="eastAsia"/>
                <w:kern w:val="0"/>
              </w:rPr>
              <w:t>监控点1</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1.24</w:t>
            </w:r>
          </w:p>
        </w:tc>
        <w:tc>
          <w:tcPr>
            <w:tcW w:w="851" w:type="dxa"/>
            <w:vAlign w:val="center"/>
          </w:tcPr>
          <w:p>
            <w:pPr>
              <w:widowControl/>
              <w:adjustRightInd w:val="0"/>
              <w:snapToGrid w:val="0"/>
              <w:spacing w:line="280" w:lineRule="exact"/>
              <w:ind w:firstLine="0" w:firstLineChars="0"/>
              <w:jc w:val="center"/>
              <w:rPr>
                <w:kern w:val="0"/>
              </w:rPr>
            </w:pPr>
            <w:r>
              <w:rPr>
                <w:rFonts w:hint="eastAsia"/>
                <w:kern w:val="0"/>
              </w:rPr>
              <w:t>1.22</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1.26</w:t>
            </w:r>
          </w:p>
        </w:tc>
        <w:tc>
          <w:tcPr>
            <w:tcW w:w="853" w:type="dxa"/>
            <w:vAlign w:val="center"/>
          </w:tcPr>
          <w:p>
            <w:pPr>
              <w:widowControl/>
              <w:adjustRightInd w:val="0"/>
              <w:snapToGrid w:val="0"/>
              <w:spacing w:line="280" w:lineRule="exact"/>
              <w:ind w:firstLine="0" w:firstLineChars="0"/>
              <w:jc w:val="center"/>
              <w:rPr>
                <w:kern w:val="0"/>
              </w:rPr>
            </w:pPr>
            <w:r>
              <w:rPr>
                <w:rFonts w:hint="eastAsia"/>
                <w:kern w:val="0"/>
              </w:rPr>
              <w:t>1.15</w:t>
            </w:r>
          </w:p>
        </w:tc>
        <w:tc>
          <w:tcPr>
            <w:tcW w:w="1275" w:type="dxa"/>
            <w:vAlign w:val="center"/>
          </w:tcPr>
          <w:p>
            <w:pPr>
              <w:widowControl/>
              <w:adjustRightInd w:val="0"/>
              <w:snapToGrid w:val="0"/>
              <w:spacing w:line="280" w:lineRule="exact"/>
              <w:ind w:firstLine="0" w:firstLineChars="0"/>
              <w:jc w:val="center"/>
              <w:rPr>
                <w:kern w:val="0"/>
              </w:rPr>
            </w:pPr>
            <w:r>
              <w:rPr>
                <w:rFonts w:hint="eastAsia"/>
                <w:kern w:val="0"/>
              </w:rPr>
              <w:t>1.26</w:t>
            </w:r>
          </w:p>
        </w:tc>
        <w:tc>
          <w:tcPr>
            <w:tcW w:w="1610" w:type="dxa"/>
            <w:vMerge/>
            <w:vAlign w:val="center"/>
          </w:tcPr>
          <w:p>
            <w:pPr>
              <w:widowControl/>
              <w:adjustRightInd w:val="0"/>
              <w:snapToGrid w:val="0"/>
              <w:spacing w:line="280" w:lineRule="exact"/>
              <w:ind w:firstLine="0" w:firstLineChars="0"/>
              <w:jc w:val="center"/>
              <w:rPr>
                <w:kern w:val="0"/>
              </w:rPr>
            </w:pPr>
          </w:p>
        </w:tc>
      </w:tr>
      <w:tr>
        <w:tblPrEx>
          <w:tblW w:w="9515" w:type="dxa"/>
          <w:tblInd w:w="0" w:type="dxa"/>
          <w:tblLayout w:type="fixed"/>
          <w:tblCellMar>
            <w:top w:w="0" w:type="dxa"/>
            <w:left w:w="108" w:type="dxa"/>
            <w:bottom w:w="0" w:type="dxa"/>
            <w:right w:w="108" w:type="dxa"/>
          </w:tblCellMar>
        </w:tblPrEx>
        <w:trPr>
          <w:trHeight w:val="20"/>
        </w:trPr>
        <w:tc>
          <w:tcPr>
            <w:tcW w:w="677" w:type="dxa"/>
            <w:vMerge/>
            <w:vAlign w:val="center"/>
          </w:tcPr>
          <w:p>
            <w:pPr>
              <w:widowControl/>
              <w:adjustRightInd w:val="0"/>
              <w:snapToGrid w:val="0"/>
              <w:spacing w:line="280" w:lineRule="exact"/>
              <w:ind w:firstLine="0" w:firstLineChars="0"/>
              <w:jc w:val="center"/>
              <w:rPr>
                <w:kern w:val="0"/>
              </w:rPr>
            </w:pPr>
          </w:p>
        </w:tc>
        <w:tc>
          <w:tcPr>
            <w:tcW w:w="708" w:type="dxa"/>
            <w:vMerge/>
            <w:vAlign w:val="center"/>
          </w:tcPr>
          <w:p>
            <w:pPr>
              <w:widowControl/>
              <w:adjustRightInd w:val="0"/>
              <w:snapToGrid w:val="0"/>
              <w:spacing w:line="280" w:lineRule="exact"/>
              <w:ind w:firstLine="0" w:firstLineChars="0"/>
              <w:jc w:val="center"/>
              <w:rPr>
                <w:kern w:val="0"/>
              </w:rPr>
            </w:pPr>
          </w:p>
        </w:tc>
        <w:tc>
          <w:tcPr>
            <w:tcW w:w="1559" w:type="dxa"/>
            <w:vAlign w:val="center"/>
          </w:tcPr>
          <w:p>
            <w:pPr>
              <w:widowControl/>
              <w:adjustRightInd w:val="0"/>
              <w:snapToGrid w:val="0"/>
              <w:spacing w:line="280" w:lineRule="exact"/>
              <w:ind w:firstLine="0" w:firstLineChars="0"/>
              <w:jc w:val="center"/>
              <w:rPr>
                <w:kern w:val="0"/>
              </w:rPr>
            </w:pPr>
            <w:r>
              <w:rPr>
                <w:rFonts w:hint="eastAsia"/>
                <w:kern w:val="0"/>
              </w:rPr>
              <w:t>监控点2</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1.23</w:t>
            </w:r>
          </w:p>
        </w:tc>
        <w:tc>
          <w:tcPr>
            <w:tcW w:w="851" w:type="dxa"/>
            <w:vAlign w:val="center"/>
          </w:tcPr>
          <w:p>
            <w:pPr>
              <w:widowControl/>
              <w:adjustRightInd w:val="0"/>
              <w:snapToGrid w:val="0"/>
              <w:spacing w:line="280" w:lineRule="exact"/>
              <w:ind w:firstLine="0" w:firstLineChars="0"/>
              <w:jc w:val="center"/>
              <w:rPr>
                <w:kern w:val="0"/>
              </w:rPr>
            </w:pPr>
            <w:r>
              <w:rPr>
                <w:rFonts w:hint="eastAsia"/>
                <w:kern w:val="0"/>
              </w:rPr>
              <w:t>1.25</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1.20</w:t>
            </w:r>
          </w:p>
        </w:tc>
        <w:tc>
          <w:tcPr>
            <w:tcW w:w="853" w:type="dxa"/>
            <w:vAlign w:val="center"/>
          </w:tcPr>
          <w:p>
            <w:pPr>
              <w:widowControl/>
              <w:adjustRightInd w:val="0"/>
              <w:snapToGrid w:val="0"/>
              <w:spacing w:line="280" w:lineRule="exact"/>
              <w:ind w:firstLine="0" w:firstLineChars="0"/>
              <w:jc w:val="center"/>
              <w:rPr>
                <w:kern w:val="0"/>
              </w:rPr>
            </w:pPr>
            <w:r>
              <w:rPr>
                <w:rFonts w:hint="eastAsia"/>
                <w:kern w:val="0"/>
              </w:rPr>
              <w:t>1.21</w:t>
            </w:r>
          </w:p>
        </w:tc>
        <w:tc>
          <w:tcPr>
            <w:tcW w:w="1275" w:type="dxa"/>
            <w:vAlign w:val="center"/>
          </w:tcPr>
          <w:p>
            <w:pPr>
              <w:widowControl/>
              <w:adjustRightInd w:val="0"/>
              <w:snapToGrid w:val="0"/>
              <w:spacing w:line="280" w:lineRule="exact"/>
              <w:ind w:firstLine="0" w:firstLineChars="0"/>
              <w:jc w:val="center"/>
              <w:rPr>
                <w:kern w:val="0"/>
              </w:rPr>
            </w:pPr>
            <w:r>
              <w:rPr>
                <w:rFonts w:hint="eastAsia"/>
                <w:kern w:val="0"/>
              </w:rPr>
              <w:t>1.25</w:t>
            </w:r>
          </w:p>
        </w:tc>
        <w:tc>
          <w:tcPr>
            <w:tcW w:w="1610" w:type="dxa"/>
            <w:vMerge/>
            <w:vAlign w:val="center"/>
          </w:tcPr>
          <w:p>
            <w:pPr>
              <w:widowControl/>
              <w:adjustRightInd w:val="0"/>
              <w:snapToGrid w:val="0"/>
              <w:spacing w:line="280" w:lineRule="exact"/>
              <w:ind w:firstLine="0" w:firstLineChars="0"/>
              <w:jc w:val="center"/>
              <w:rPr>
                <w:kern w:val="0"/>
              </w:rPr>
            </w:pPr>
          </w:p>
        </w:tc>
      </w:tr>
      <w:tr>
        <w:tblPrEx>
          <w:tblW w:w="9515" w:type="dxa"/>
          <w:tblInd w:w="0" w:type="dxa"/>
          <w:tblLayout w:type="fixed"/>
          <w:tblCellMar>
            <w:top w:w="0" w:type="dxa"/>
            <w:left w:w="108" w:type="dxa"/>
            <w:bottom w:w="0" w:type="dxa"/>
            <w:right w:w="108" w:type="dxa"/>
          </w:tblCellMar>
        </w:tblPrEx>
        <w:trPr>
          <w:trHeight w:val="20"/>
        </w:trPr>
        <w:tc>
          <w:tcPr>
            <w:tcW w:w="677" w:type="dxa"/>
            <w:vMerge/>
            <w:vAlign w:val="center"/>
          </w:tcPr>
          <w:p>
            <w:pPr>
              <w:widowControl/>
              <w:adjustRightInd w:val="0"/>
              <w:snapToGrid w:val="0"/>
              <w:spacing w:line="280" w:lineRule="exact"/>
              <w:ind w:firstLine="0" w:firstLineChars="0"/>
              <w:jc w:val="center"/>
              <w:rPr>
                <w:kern w:val="0"/>
              </w:rPr>
            </w:pPr>
          </w:p>
        </w:tc>
        <w:tc>
          <w:tcPr>
            <w:tcW w:w="708" w:type="dxa"/>
            <w:vMerge/>
            <w:vAlign w:val="center"/>
          </w:tcPr>
          <w:p>
            <w:pPr>
              <w:widowControl/>
              <w:adjustRightInd w:val="0"/>
              <w:snapToGrid w:val="0"/>
              <w:spacing w:line="280" w:lineRule="exact"/>
              <w:ind w:firstLine="0" w:firstLineChars="0"/>
              <w:jc w:val="center"/>
              <w:rPr>
                <w:kern w:val="0"/>
              </w:rPr>
            </w:pPr>
          </w:p>
        </w:tc>
        <w:tc>
          <w:tcPr>
            <w:tcW w:w="1559" w:type="dxa"/>
            <w:vAlign w:val="center"/>
          </w:tcPr>
          <w:p>
            <w:pPr>
              <w:widowControl/>
              <w:adjustRightInd w:val="0"/>
              <w:snapToGrid w:val="0"/>
              <w:spacing w:line="280" w:lineRule="exact"/>
              <w:ind w:firstLine="0" w:firstLineChars="0"/>
              <w:jc w:val="center"/>
              <w:rPr>
                <w:kern w:val="0"/>
              </w:rPr>
            </w:pPr>
            <w:r>
              <w:rPr>
                <w:rFonts w:hint="eastAsia"/>
                <w:kern w:val="0"/>
              </w:rPr>
              <w:t>监控点3</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1.21</w:t>
            </w:r>
          </w:p>
        </w:tc>
        <w:tc>
          <w:tcPr>
            <w:tcW w:w="851" w:type="dxa"/>
            <w:vAlign w:val="center"/>
          </w:tcPr>
          <w:p>
            <w:pPr>
              <w:widowControl/>
              <w:adjustRightInd w:val="0"/>
              <w:snapToGrid w:val="0"/>
              <w:spacing w:line="280" w:lineRule="exact"/>
              <w:ind w:firstLine="0" w:firstLineChars="0"/>
              <w:jc w:val="center"/>
              <w:rPr>
                <w:kern w:val="0"/>
              </w:rPr>
            </w:pPr>
            <w:r>
              <w:rPr>
                <w:rFonts w:hint="eastAsia"/>
                <w:kern w:val="0"/>
              </w:rPr>
              <w:t>1.17</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1.15</w:t>
            </w:r>
          </w:p>
        </w:tc>
        <w:tc>
          <w:tcPr>
            <w:tcW w:w="853" w:type="dxa"/>
            <w:vAlign w:val="center"/>
          </w:tcPr>
          <w:p>
            <w:pPr>
              <w:widowControl/>
              <w:adjustRightInd w:val="0"/>
              <w:snapToGrid w:val="0"/>
              <w:spacing w:line="280" w:lineRule="exact"/>
              <w:ind w:firstLine="0" w:firstLineChars="0"/>
              <w:jc w:val="center"/>
              <w:rPr>
                <w:kern w:val="0"/>
              </w:rPr>
            </w:pPr>
            <w:r>
              <w:rPr>
                <w:rFonts w:hint="eastAsia"/>
                <w:kern w:val="0"/>
              </w:rPr>
              <w:t>1.09</w:t>
            </w:r>
          </w:p>
        </w:tc>
        <w:tc>
          <w:tcPr>
            <w:tcW w:w="1275" w:type="dxa"/>
            <w:vAlign w:val="center"/>
          </w:tcPr>
          <w:p>
            <w:pPr>
              <w:widowControl/>
              <w:adjustRightInd w:val="0"/>
              <w:snapToGrid w:val="0"/>
              <w:spacing w:line="280" w:lineRule="exact"/>
              <w:ind w:firstLine="0" w:firstLineChars="0"/>
              <w:jc w:val="center"/>
              <w:rPr>
                <w:kern w:val="0"/>
              </w:rPr>
            </w:pPr>
            <w:r>
              <w:rPr>
                <w:rFonts w:hint="eastAsia"/>
                <w:kern w:val="0"/>
              </w:rPr>
              <w:t>1.21</w:t>
            </w:r>
          </w:p>
        </w:tc>
        <w:tc>
          <w:tcPr>
            <w:tcW w:w="1610" w:type="dxa"/>
            <w:vMerge/>
            <w:vAlign w:val="center"/>
          </w:tcPr>
          <w:p>
            <w:pPr>
              <w:widowControl/>
              <w:adjustRightInd w:val="0"/>
              <w:snapToGrid w:val="0"/>
              <w:spacing w:line="280" w:lineRule="exact"/>
              <w:ind w:firstLine="0" w:firstLineChars="0"/>
              <w:jc w:val="center"/>
              <w:rPr>
                <w:kern w:val="0"/>
              </w:rPr>
            </w:pPr>
          </w:p>
        </w:tc>
      </w:tr>
      <w:tr>
        <w:tblPrEx>
          <w:tblW w:w="9515" w:type="dxa"/>
          <w:tblInd w:w="0" w:type="dxa"/>
          <w:tblLayout w:type="fixed"/>
          <w:tblCellMar>
            <w:top w:w="0" w:type="dxa"/>
            <w:left w:w="108" w:type="dxa"/>
            <w:bottom w:w="0" w:type="dxa"/>
            <w:right w:w="108" w:type="dxa"/>
          </w:tblCellMar>
        </w:tblPrEx>
        <w:trPr>
          <w:trHeight w:val="20"/>
        </w:trPr>
        <w:tc>
          <w:tcPr>
            <w:tcW w:w="677" w:type="dxa"/>
            <w:vMerge w:val="restart"/>
            <w:vAlign w:val="center"/>
          </w:tcPr>
          <w:p>
            <w:pPr>
              <w:widowControl/>
              <w:adjustRightInd w:val="0"/>
              <w:snapToGrid w:val="0"/>
              <w:spacing w:line="280" w:lineRule="exact"/>
              <w:ind w:firstLine="0" w:firstLineChars="0"/>
              <w:jc w:val="center"/>
              <w:rPr>
                <w:kern w:val="0"/>
              </w:rPr>
            </w:pPr>
            <w:r>
              <w:rPr>
                <w:rFonts w:hint="eastAsia"/>
                <w:kern w:val="0"/>
              </w:rPr>
              <w:t>2016.</w:t>
            </w:r>
            <w:r>
              <w:rPr>
                <w:kern w:val="0"/>
              </w:rPr>
              <w:t>10.4</w:t>
            </w:r>
          </w:p>
        </w:tc>
        <w:tc>
          <w:tcPr>
            <w:tcW w:w="708" w:type="dxa"/>
            <w:vMerge w:val="restart"/>
            <w:vAlign w:val="center"/>
          </w:tcPr>
          <w:p>
            <w:pPr>
              <w:widowControl/>
              <w:adjustRightInd w:val="0"/>
              <w:snapToGrid w:val="0"/>
              <w:spacing w:line="280" w:lineRule="exact"/>
              <w:ind w:firstLine="0" w:firstLineChars="0"/>
              <w:jc w:val="center"/>
              <w:rPr>
                <w:kern w:val="0"/>
              </w:rPr>
            </w:pPr>
            <w:r>
              <w:rPr>
                <w:kern w:val="0"/>
              </w:rPr>
              <w:t>非甲烷总烃</w:t>
            </w:r>
          </w:p>
        </w:tc>
        <w:tc>
          <w:tcPr>
            <w:tcW w:w="1559" w:type="dxa"/>
            <w:vAlign w:val="center"/>
          </w:tcPr>
          <w:p>
            <w:pPr>
              <w:widowControl/>
              <w:adjustRightInd w:val="0"/>
              <w:snapToGrid w:val="0"/>
              <w:spacing w:line="280" w:lineRule="exact"/>
              <w:ind w:firstLine="0" w:firstLineChars="0"/>
              <w:jc w:val="center"/>
              <w:rPr>
                <w:kern w:val="0"/>
              </w:rPr>
            </w:pPr>
            <w:r>
              <w:rPr>
                <w:rFonts w:hint="eastAsia"/>
                <w:kern w:val="0"/>
              </w:rPr>
              <w:t>参照点</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0.84</w:t>
            </w:r>
          </w:p>
        </w:tc>
        <w:tc>
          <w:tcPr>
            <w:tcW w:w="851" w:type="dxa"/>
            <w:vAlign w:val="center"/>
          </w:tcPr>
          <w:p>
            <w:pPr>
              <w:widowControl/>
              <w:adjustRightInd w:val="0"/>
              <w:snapToGrid w:val="0"/>
              <w:spacing w:line="280" w:lineRule="exact"/>
              <w:ind w:firstLine="0" w:firstLineChars="0"/>
              <w:jc w:val="center"/>
              <w:rPr>
                <w:kern w:val="0"/>
              </w:rPr>
            </w:pPr>
            <w:r>
              <w:rPr>
                <w:rFonts w:hint="eastAsia"/>
                <w:kern w:val="0"/>
              </w:rPr>
              <w:t>0.85</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0.87</w:t>
            </w:r>
          </w:p>
        </w:tc>
        <w:tc>
          <w:tcPr>
            <w:tcW w:w="853" w:type="dxa"/>
            <w:vAlign w:val="center"/>
          </w:tcPr>
          <w:p>
            <w:pPr>
              <w:widowControl/>
              <w:adjustRightInd w:val="0"/>
              <w:snapToGrid w:val="0"/>
              <w:spacing w:line="280" w:lineRule="exact"/>
              <w:ind w:firstLine="0" w:firstLineChars="0"/>
              <w:jc w:val="center"/>
              <w:rPr>
                <w:kern w:val="0"/>
              </w:rPr>
            </w:pPr>
            <w:r>
              <w:rPr>
                <w:rFonts w:hint="eastAsia"/>
                <w:kern w:val="0"/>
              </w:rPr>
              <w:t>0.84</w:t>
            </w:r>
          </w:p>
        </w:tc>
        <w:tc>
          <w:tcPr>
            <w:tcW w:w="1275" w:type="dxa"/>
            <w:vAlign w:val="center"/>
          </w:tcPr>
          <w:p>
            <w:pPr>
              <w:widowControl/>
              <w:adjustRightInd w:val="0"/>
              <w:snapToGrid w:val="0"/>
              <w:spacing w:line="280" w:lineRule="exact"/>
              <w:ind w:firstLine="0" w:firstLineChars="0"/>
              <w:jc w:val="center"/>
              <w:rPr>
                <w:kern w:val="0"/>
              </w:rPr>
            </w:pPr>
            <w:r>
              <w:rPr>
                <w:rFonts w:hint="eastAsia"/>
                <w:kern w:val="0"/>
              </w:rPr>
              <w:t>0.87</w:t>
            </w:r>
          </w:p>
        </w:tc>
        <w:tc>
          <w:tcPr>
            <w:tcW w:w="1610" w:type="dxa"/>
            <w:vMerge/>
            <w:vAlign w:val="center"/>
          </w:tcPr>
          <w:p>
            <w:pPr>
              <w:widowControl/>
              <w:adjustRightInd w:val="0"/>
              <w:snapToGrid w:val="0"/>
              <w:spacing w:line="280" w:lineRule="exact"/>
              <w:ind w:firstLine="0" w:firstLineChars="0"/>
              <w:jc w:val="center"/>
              <w:rPr>
                <w:kern w:val="0"/>
              </w:rPr>
            </w:pPr>
          </w:p>
        </w:tc>
      </w:tr>
      <w:tr>
        <w:tblPrEx>
          <w:tblW w:w="9515" w:type="dxa"/>
          <w:tblInd w:w="0" w:type="dxa"/>
          <w:tblLayout w:type="fixed"/>
          <w:tblCellMar>
            <w:top w:w="0" w:type="dxa"/>
            <w:left w:w="108" w:type="dxa"/>
            <w:bottom w:w="0" w:type="dxa"/>
            <w:right w:w="108" w:type="dxa"/>
          </w:tblCellMar>
        </w:tblPrEx>
        <w:trPr>
          <w:trHeight w:val="20"/>
        </w:trPr>
        <w:tc>
          <w:tcPr>
            <w:tcW w:w="677" w:type="dxa"/>
            <w:vMerge/>
            <w:vAlign w:val="center"/>
          </w:tcPr>
          <w:p>
            <w:pPr>
              <w:widowControl/>
              <w:adjustRightInd w:val="0"/>
              <w:snapToGrid w:val="0"/>
              <w:spacing w:line="280" w:lineRule="exact"/>
              <w:ind w:firstLine="0" w:firstLineChars="0"/>
              <w:jc w:val="center"/>
              <w:rPr>
                <w:kern w:val="0"/>
              </w:rPr>
            </w:pPr>
          </w:p>
        </w:tc>
        <w:tc>
          <w:tcPr>
            <w:tcW w:w="708" w:type="dxa"/>
            <w:vMerge/>
            <w:vAlign w:val="center"/>
          </w:tcPr>
          <w:p>
            <w:pPr>
              <w:widowControl/>
              <w:adjustRightInd w:val="0"/>
              <w:snapToGrid w:val="0"/>
              <w:spacing w:line="280" w:lineRule="exact"/>
              <w:ind w:firstLine="0" w:firstLineChars="0"/>
              <w:jc w:val="center"/>
              <w:rPr>
                <w:kern w:val="0"/>
              </w:rPr>
            </w:pPr>
          </w:p>
        </w:tc>
        <w:tc>
          <w:tcPr>
            <w:tcW w:w="1559" w:type="dxa"/>
            <w:vAlign w:val="center"/>
          </w:tcPr>
          <w:p>
            <w:pPr>
              <w:widowControl/>
              <w:adjustRightInd w:val="0"/>
              <w:snapToGrid w:val="0"/>
              <w:spacing w:line="280" w:lineRule="exact"/>
              <w:ind w:firstLine="0" w:firstLineChars="0"/>
              <w:jc w:val="center"/>
              <w:rPr>
                <w:kern w:val="0"/>
              </w:rPr>
            </w:pPr>
            <w:r>
              <w:rPr>
                <w:rFonts w:hint="eastAsia"/>
                <w:kern w:val="0"/>
              </w:rPr>
              <w:t>监控点1</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1.</w:t>
            </w:r>
            <w:r>
              <w:rPr>
                <w:kern w:val="0"/>
              </w:rPr>
              <w:t>30</w:t>
            </w:r>
          </w:p>
        </w:tc>
        <w:tc>
          <w:tcPr>
            <w:tcW w:w="851" w:type="dxa"/>
            <w:vAlign w:val="center"/>
          </w:tcPr>
          <w:p>
            <w:pPr>
              <w:widowControl/>
              <w:adjustRightInd w:val="0"/>
              <w:snapToGrid w:val="0"/>
              <w:spacing w:line="280" w:lineRule="exact"/>
              <w:ind w:firstLine="0" w:firstLineChars="0"/>
              <w:jc w:val="center"/>
              <w:rPr>
                <w:kern w:val="0"/>
              </w:rPr>
            </w:pPr>
            <w:r>
              <w:rPr>
                <w:rFonts w:hint="eastAsia"/>
                <w:kern w:val="0"/>
              </w:rPr>
              <w:t>1.27</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1.22</w:t>
            </w:r>
          </w:p>
        </w:tc>
        <w:tc>
          <w:tcPr>
            <w:tcW w:w="853" w:type="dxa"/>
            <w:vAlign w:val="center"/>
          </w:tcPr>
          <w:p>
            <w:pPr>
              <w:widowControl/>
              <w:adjustRightInd w:val="0"/>
              <w:snapToGrid w:val="0"/>
              <w:spacing w:line="280" w:lineRule="exact"/>
              <w:ind w:firstLine="0" w:firstLineChars="0"/>
              <w:jc w:val="center"/>
              <w:rPr>
                <w:kern w:val="0"/>
              </w:rPr>
            </w:pPr>
            <w:r>
              <w:rPr>
                <w:rFonts w:hint="eastAsia"/>
                <w:kern w:val="0"/>
              </w:rPr>
              <w:t>1.16</w:t>
            </w:r>
          </w:p>
        </w:tc>
        <w:tc>
          <w:tcPr>
            <w:tcW w:w="1275" w:type="dxa"/>
            <w:vAlign w:val="center"/>
          </w:tcPr>
          <w:p>
            <w:pPr>
              <w:widowControl/>
              <w:adjustRightInd w:val="0"/>
              <w:snapToGrid w:val="0"/>
              <w:spacing w:line="280" w:lineRule="exact"/>
              <w:ind w:firstLine="0" w:firstLineChars="0"/>
              <w:jc w:val="center"/>
              <w:rPr>
                <w:kern w:val="0"/>
              </w:rPr>
            </w:pPr>
            <w:r>
              <w:rPr>
                <w:rFonts w:hint="eastAsia"/>
                <w:kern w:val="0"/>
              </w:rPr>
              <w:t>1.30</w:t>
            </w:r>
          </w:p>
        </w:tc>
        <w:tc>
          <w:tcPr>
            <w:tcW w:w="1610" w:type="dxa"/>
            <w:vMerge/>
            <w:vAlign w:val="center"/>
          </w:tcPr>
          <w:p>
            <w:pPr>
              <w:widowControl/>
              <w:adjustRightInd w:val="0"/>
              <w:snapToGrid w:val="0"/>
              <w:spacing w:line="280" w:lineRule="exact"/>
              <w:ind w:firstLine="0" w:firstLineChars="0"/>
              <w:jc w:val="center"/>
              <w:rPr>
                <w:kern w:val="0"/>
              </w:rPr>
            </w:pPr>
          </w:p>
        </w:tc>
      </w:tr>
      <w:tr>
        <w:tblPrEx>
          <w:tblW w:w="9515" w:type="dxa"/>
          <w:tblInd w:w="0" w:type="dxa"/>
          <w:tblLayout w:type="fixed"/>
          <w:tblCellMar>
            <w:top w:w="0" w:type="dxa"/>
            <w:left w:w="108" w:type="dxa"/>
            <w:bottom w:w="0" w:type="dxa"/>
            <w:right w:w="108" w:type="dxa"/>
          </w:tblCellMar>
        </w:tblPrEx>
        <w:trPr>
          <w:trHeight w:val="20"/>
        </w:trPr>
        <w:tc>
          <w:tcPr>
            <w:tcW w:w="677" w:type="dxa"/>
            <w:vMerge/>
            <w:vAlign w:val="center"/>
          </w:tcPr>
          <w:p>
            <w:pPr>
              <w:widowControl/>
              <w:adjustRightInd w:val="0"/>
              <w:snapToGrid w:val="0"/>
              <w:spacing w:line="280" w:lineRule="exact"/>
              <w:ind w:firstLine="0" w:firstLineChars="0"/>
              <w:jc w:val="center"/>
              <w:rPr>
                <w:kern w:val="0"/>
              </w:rPr>
            </w:pPr>
          </w:p>
        </w:tc>
        <w:tc>
          <w:tcPr>
            <w:tcW w:w="708" w:type="dxa"/>
            <w:vMerge/>
            <w:vAlign w:val="center"/>
          </w:tcPr>
          <w:p>
            <w:pPr>
              <w:widowControl/>
              <w:adjustRightInd w:val="0"/>
              <w:snapToGrid w:val="0"/>
              <w:spacing w:line="280" w:lineRule="exact"/>
              <w:ind w:firstLine="0" w:firstLineChars="0"/>
              <w:jc w:val="center"/>
              <w:rPr>
                <w:kern w:val="0"/>
              </w:rPr>
            </w:pPr>
          </w:p>
        </w:tc>
        <w:tc>
          <w:tcPr>
            <w:tcW w:w="1559" w:type="dxa"/>
            <w:vAlign w:val="center"/>
          </w:tcPr>
          <w:p>
            <w:pPr>
              <w:widowControl/>
              <w:adjustRightInd w:val="0"/>
              <w:snapToGrid w:val="0"/>
              <w:spacing w:line="280" w:lineRule="exact"/>
              <w:ind w:firstLine="0" w:firstLineChars="0"/>
              <w:jc w:val="center"/>
              <w:rPr>
                <w:kern w:val="0"/>
              </w:rPr>
            </w:pPr>
            <w:r>
              <w:rPr>
                <w:rFonts w:hint="eastAsia"/>
                <w:kern w:val="0"/>
              </w:rPr>
              <w:t>监控点2</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1.25</w:t>
            </w:r>
          </w:p>
        </w:tc>
        <w:tc>
          <w:tcPr>
            <w:tcW w:w="851" w:type="dxa"/>
            <w:vAlign w:val="center"/>
          </w:tcPr>
          <w:p>
            <w:pPr>
              <w:widowControl/>
              <w:adjustRightInd w:val="0"/>
              <w:snapToGrid w:val="0"/>
              <w:spacing w:line="280" w:lineRule="exact"/>
              <w:ind w:firstLine="0" w:firstLineChars="0"/>
              <w:jc w:val="center"/>
              <w:rPr>
                <w:kern w:val="0"/>
              </w:rPr>
            </w:pPr>
            <w:r>
              <w:rPr>
                <w:rFonts w:hint="eastAsia"/>
                <w:kern w:val="0"/>
              </w:rPr>
              <w:t>1.21</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1.18</w:t>
            </w:r>
          </w:p>
        </w:tc>
        <w:tc>
          <w:tcPr>
            <w:tcW w:w="853" w:type="dxa"/>
            <w:vAlign w:val="center"/>
          </w:tcPr>
          <w:p>
            <w:pPr>
              <w:widowControl/>
              <w:adjustRightInd w:val="0"/>
              <w:snapToGrid w:val="0"/>
              <w:spacing w:line="280" w:lineRule="exact"/>
              <w:ind w:firstLine="0" w:firstLineChars="0"/>
              <w:jc w:val="center"/>
              <w:rPr>
                <w:kern w:val="0"/>
              </w:rPr>
            </w:pPr>
            <w:r>
              <w:rPr>
                <w:rFonts w:hint="eastAsia"/>
                <w:kern w:val="0"/>
              </w:rPr>
              <w:t>1.14</w:t>
            </w:r>
          </w:p>
        </w:tc>
        <w:tc>
          <w:tcPr>
            <w:tcW w:w="1275" w:type="dxa"/>
            <w:vAlign w:val="center"/>
          </w:tcPr>
          <w:p>
            <w:pPr>
              <w:widowControl/>
              <w:adjustRightInd w:val="0"/>
              <w:snapToGrid w:val="0"/>
              <w:spacing w:line="280" w:lineRule="exact"/>
              <w:ind w:firstLine="0" w:firstLineChars="0"/>
              <w:jc w:val="center"/>
              <w:rPr>
                <w:kern w:val="0"/>
              </w:rPr>
            </w:pPr>
            <w:r>
              <w:rPr>
                <w:rFonts w:hint="eastAsia"/>
                <w:kern w:val="0"/>
              </w:rPr>
              <w:t>1.25</w:t>
            </w:r>
          </w:p>
        </w:tc>
        <w:tc>
          <w:tcPr>
            <w:tcW w:w="1610" w:type="dxa"/>
            <w:vMerge/>
            <w:vAlign w:val="center"/>
          </w:tcPr>
          <w:p>
            <w:pPr>
              <w:widowControl/>
              <w:adjustRightInd w:val="0"/>
              <w:snapToGrid w:val="0"/>
              <w:spacing w:line="280" w:lineRule="exact"/>
              <w:ind w:firstLine="0" w:firstLineChars="0"/>
              <w:jc w:val="center"/>
              <w:rPr>
                <w:kern w:val="0"/>
              </w:rPr>
            </w:pPr>
          </w:p>
        </w:tc>
      </w:tr>
      <w:tr>
        <w:tblPrEx>
          <w:tblW w:w="9515" w:type="dxa"/>
          <w:tblInd w:w="0" w:type="dxa"/>
          <w:tblLayout w:type="fixed"/>
          <w:tblCellMar>
            <w:top w:w="0" w:type="dxa"/>
            <w:left w:w="108" w:type="dxa"/>
            <w:bottom w:w="0" w:type="dxa"/>
            <w:right w:w="108" w:type="dxa"/>
          </w:tblCellMar>
        </w:tblPrEx>
        <w:trPr>
          <w:trHeight w:val="20"/>
        </w:trPr>
        <w:tc>
          <w:tcPr>
            <w:tcW w:w="677" w:type="dxa"/>
            <w:vMerge/>
            <w:vAlign w:val="center"/>
          </w:tcPr>
          <w:p>
            <w:pPr>
              <w:widowControl/>
              <w:adjustRightInd w:val="0"/>
              <w:snapToGrid w:val="0"/>
              <w:spacing w:line="280" w:lineRule="exact"/>
              <w:ind w:firstLine="0" w:firstLineChars="0"/>
              <w:jc w:val="center"/>
              <w:rPr>
                <w:kern w:val="0"/>
              </w:rPr>
            </w:pPr>
          </w:p>
        </w:tc>
        <w:tc>
          <w:tcPr>
            <w:tcW w:w="708" w:type="dxa"/>
            <w:vMerge/>
            <w:vAlign w:val="center"/>
          </w:tcPr>
          <w:p>
            <w:pPr>
              <w:widowControl/>
              <w:adjustRightInd w:val="0"/>
              <w:snapToGrid w:val="0"/>
              <w:spacing w:line="280" w:lineRule="exact"/>
              <w:ind w:firstLine="0" w:firstLineChars="0"/>
              <w:jc w:val="center"/>
              <w:rPr>
                <w:kern w:val="0"/>
              </w:rPr>
            </w:pPr>
          </w:p>
        </w:tc>
        <w:tc>
          <w:tcPr>
            <w:tcW w:w="1559" w:type="dxa"/>
            <w:vAlign w:val="center"/>
          </w:tcPr>
          <w:p>
            <w:pPr>
              <w:widowControl/>
              <w:adjustRightInd w:val="0"/>
              <w:snapToGrid w:val="0"/>
              <w:spacing w:line="280" w:lineRule="exact"/>
              <w:ind w:firstLine="0" w:firstLineChars="0"/>
              <w:jc w:val="center"/>
              <w:rPr>
                <w:kern w:val="0"/>
              </w:rPr>
            </w:pPr>
            <w:r>
              <w:rPr>
                <w:rFonts w:hint="eastAsia"/>
                <w:kern w:val="0"/>
              </w:rPr>
              <w:t>监控点3</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1.19</w:t>
            </w:r>
          </w:p>
        </w:tc>
        <w:tc>
          <w:tcPr>
            <w:tcW w:w="851" w:type="dxa"/>
            <w:vAlign w:val="center"/>
          </w:tcPr>
          <w:p>
            <w:pPr>
              <w:widowControl/>
              <w:adjustRightInd w:val="0"/>
              <w:snapToGrid w:val="0"/>
              <w:spacing w:line="280" w:lineRule="exact"/>
              <w:ind w:firstLine="0" w:firstLineChars="0"/>
              <w:jc w:val="center"/>
              <w:rPr>
                <w:kern w:val="0"/>
              </w:rPr>
            </w:pPr>
            <w:r>
              <w:rPr>
                <w:rFonts w:hint="eastAsia"/>
                <w:kern w:val="0"/>
              </w:rPr>
              <w:t>1.12</w:t>
            </w:r>
          </w:p>
        </w:tc>
        <w:tc>
          <w:tcPr>
            <w:tcW w:w="991" w:type="dxa"/>
            <w:vAlign w:val="center"/>
          </w:tcPr>
          <w:p>
            <w:pPr>
              <w:widowControl/>
              <w:adjustRightInd w:val="0"/>
              <w:snapToGrid w:val="0"/>
              <w:spacing w:line="280" w:lineRule="exact"/>
              <w:ind w:firstLine="0" w:firstLineChars="0"/>
              <w:jc w:val="center"/>
              <w:rPr>
                <w:kern w:val="0"/>
              </w:rPr>
            </w:pPr>
            <w:r>
              <w:rPr>
                <w:rFonts w:hint="eastAsia"/>
                <w:kern w:val="0"/>
              </w:rPr>
              <w:t>1.25</w:t>
            </w:r>
          </w:p>
        </w:tc>
        <w:tc>
          <w:tcPr>
            <w:tcW w:w="853" w:type="dxa"/>
            <w:vAlign w:val="center"/>
          </w:tcPr>
          <w:p>
            <w:pPr>
              <w:widowControl/>
              <w:adjustRightInd w:val="0"/>
              <w:snapToGrid w:val="0"/>
              <w:spacing w:line="280" w:lineRule="exact"/>
              <w:ind w:firstLine="0" w:firstLineChars="0"/>
              <w:jc w:val="center"/>
              <w:rPr>
                <w:kern w:val="0"/>
              </w:rPr>
            </w:pPr>
            <w:r>
              <w:rPr>
                <w:rFonts w:hint="eastAsia"/>
                <w:kern w:val="0"/>
              </w:rPr>
              <w:t>1.22</w:t>
            </w:r>
          </w:p>
        </w:tc>
        <w:tc>
          <w:tcPr>
            <w:tcW w:w="1275" w:type="dxa"/>
            <w:vAlign w:val="center"/>
          </w:tcPr>
          <w:p>
            <w:pPr>
              <w:widowControl/>
              <w:adjustRightInd w:val="0"/>
              <w:snapToGrid w:val="0"/>
              <w:spacing w:line="280" w:lineRule="exact"/>
              <w:ind w:firstLine="0" w:firstLineChars="0"/>
              <w:jc w:val="center"/>
              <w:rPr>
                <w:kern w:val="0"/>
              </w:rPr>
            </w:pPr>
            <w:r>
              <w:rPr>
                <w:rFonts w:hint="eastAsia"/>
                <w:kern w:val="0"/>
              </w:rPr>
              <w:t>1.25</w:t>
            </w:r>
          </w:p>
        </w:tc>
        <w:tc>
          <w:tcPr>
            <w:tcW w:w="1610" w:type="dxa"/>
            <w:vMerge/>
            <w:vAlign w:val="center"/>
          </w:tcPr>
          <w:p>
            <w:pPr>
              <w:widowControl/>
              <w:adjustRightInd w:val="0"/>
              <w:snapToGrid w:val="0"/>
              <w:spacing w:line="280" w:lineRule="exact"/>
              <w:ind w:firstLine="0" w:firstLineChars="0"/>
              <w:jc w:val="center"/>
              <w:rPr>
                <w:kern w:val="0"/>
              </w:rPr>
            </w:pPr>
          </w:p>
        </w:tc>
      </w:tr>
    </w:tbl>
    <w:p>
      <w:pPr>
        <w:pStyle w:val="a1"/>
        <w:spacing w:before="156" w:beforeLines="50"/>
        <w:ind w:firstLine="480"/>
      </w:pPr>
      <w:r>
        <w:t>监测结果表明</w:t>
      </w:r>
      <w:r>
        <w:rPr>
          <w:rFonts w:hint="eastAsia"/>
        </w:rPr>
        <w:t>，</w:t>
      </w:r>
      <w:r>
        <w:t>监测期间非甲烷总烃的监测结果两日最大值为1.3</w:t>
      </w:r>
      <w:r>
        <w:rPr>
          <w:rFonts w:hint="eastAsia"/>
        </w:rPr>
        <w:t>mg/m</w:t>
      </w:r>
      <w:r>
        <w:rPr>
          <w:rFonts w:hint="eastAsia"/>
          <w:vertAlign w:val="superscript"/>
        </w:rPr>
        <w:t>3</w:t>
      </w:r>
      <w:r>
        <w:rPr>
          <w:rFonts w:hint="eastAsia"/>
        </w:rPr>
        <w:t>，符合《大气污染物综合排放标准》（GB16297-1996）表2中的无组织排放监控浓度限值标准要求，对项目区域大气环境影响较小。</w:t>
      </w:r>
    </w:p>
    <w:p>
      <w:pPr>
        <w:pStyle w:val="a1"/>
        <w:ind w:firstLine="480"/>
      </w:pPr>
      <w:r>
        <w:rPr>
          <w:rFonts w:hint="eastAsia"/>
        </w:rPr>
        <w:t>3、噪声</w:t>
      </w:r>
    </w:p>
    <w:p>
      <w:pPr>
        <w:pStyle w:val="a1"/>
        <w:ind w:firstLine="480"/>
      </w:pPr>
      <w:r>
        <w:rPr>
          <w:rFonts w:hint="eastAsia"/>
        </w:rPr>
        <w:t>项目噪声主要为压缩机、泵机等设备运行产生的噪声以及交通噪声，采取的降噪措施主要是将水泵、柴油发电机等生产设备集中放置于设备房，通过厂房的隔音作用和距离衰减，压缩机等底部采用隔声减振垫。</w:t>
      </w:r>
    </w:p>
    <w:p>
      <w:pPr>
        <w:pStyle w:val="a1"/>
        <w:ind w:firstLine="480"/>
      </w:pPr>
      <w:r>
        <w:rPr>
          <w:rFonts w:hint="eastAsia"/>
        </w:rPr>
        <w:t>根据内蒙古富源</w:t>
      </w:r>
      <w:r>
        <w:t>新纪检测有限责任</w:t>
      </w:r>
      <w:r>
        <w:rPr>
          <w:rFonts w:hint="eastAsia"/>
        </w:rPr>
        <w:t>公司于2016年</w:t>
      </w:r>
      <w:r>
        <w:t>10</w:t>
      </w:r>
      <w:r>
        <w:rPr>
          <w:rFonts w:hint="eastAsia"/>
        </w:rPr>
        <w:t>月</w:t>
      </w:r>
      <w:r>
        <w:t>3</w:t>
      </w:r>
      <w:r>
        <w:rPr>
          <w:rFonts w:hint="eastAsia"/>
        </w:rPr>
        <w:t>日~2016年</w:t>
      </w:r>
      <w:r>
        <w:t>10</w:t>
      </w:r>
      <w:r>
        <w:rPr>
          <w:rFonts w:hint="eastAsia"/>
        </w:rPr>
        <w:t>月</w:t>
      </w:r>
      <w:r>
        <w:t>4</w:t>
      </w:r>
      <w:r>
        <w:rPr>
          <w:rFonts w:hint="eastAsia"/>
        </w:rPr>
        <w:t>日对项目厂界四周噪声现状监测结果如下：</w:t>
      </w:r>
    </w:p>
    <w:p>
      <w:pPr>
        <w:pStyle w:val="a1"/>
        <w:ind w:firstLine="0" w:firstLineChars="0"/>
        <w:jc w:val="center"/>
        <w:rPr>
          <w:rFonts w:eastAsia="黑体"/>
          <w:sz w:val="21"/>
          <w:szCs w:val="21"/>
        </w:rPr>
      </w:pPr>
      <w:r>
        <w:rPr>
          <w:rFonts w:eastAsia="黑体"/>
          <w:sz w:val="21"/>
          <w:szCs w:val="21"/>
        </w:rPr>
        <w:t>表1-</w:t>
      </w:r>
      <w:r>
        <w:rPr>
          <w:rFonts w:eastAsia="黑体" w:hint="eastAsia"/>
          <w:sz w:val="21"/>
          <w:szCs w:val="21"/>
        </w:rPr>
        <w:t>15  项目噪声监测结果表</w:t>
      </w:r>
    </w:p>
    <w:tbl>
      <w:tblPr>
        <w:tblStyle w:val="200"/>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711"/>
        <w:gridCol w:w="4293"/>
        <w:gridCol w:w="1756"/>
        <w:gridCol w:w="1755"/>
      </w:tblGrid>
      <w:tr>
        <w:tblPrEx>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20"/>
        </w:trPr>
        <w:tc>
          <w:tcPr>
            <w:tcW w:w="899" w:type="pct"/>
            <w:vMerge w:val="restart"/>
            <w:vAlign w:val="center"/>
          </w:tcPr>
          <w:p>
            <w:pPr>
              <w:widowControl/>
              <w:adjustRightInd w:val="0"/>
              <w:snapToGrid w:val="0"/>
              <w:spacing w:line="280" w:lineRule="exact"/>
              <w:ind w:firstLine="0" w:firstLineChars="0"/>
              <w:jc w:val="center"/>
              <w:rPr>
                <w:b/>
                <w:kern w:val="0"/>
              </w:rPr>
            </w:pPr>
            <w:r>
              <w:rPr>
                <w:b/>
                <w:kern w:val="0"/>
              </w:rPr>
              <w:t>监测日期</w:t>
            </w:r>
          </w:p>
        </w:tc>
        <w:tc>
          <w:tcPr>
            <w:tcW w:w="2256" w:type="pct"/>
            <w:vMerge w:val="restart"/>
            <w:vAlign w:val="center"/>
          </w:tcPr>
          <w:p>
            <w:pPr>
              <w:widowControl/>
              <w:adjustRightInd w:val="0"/>
              <w:snapToGrid w:val="0"/>
              <w:spacing w:line="280" w:lineRule="exact"/>
              <w:ind w:firstLine="0" w:firstLineChars="0"/>
              <w:jc w:val="center"/>
              <w:rPr>
                <w:b/>
                <w:kern w:val="0"/>
              </w:rPr>
            </w:pPr>
            <w:r>
              <w:rPr>
                <w:b/>
                <w:kern w:val="0"/>
              </w:rPr>
              <w:t>监测点位</w:t>
            </w:r>
          </w:p>
        </w:tc>
        <w:tc>
          <w:tcPr>
            <w:tcW w:w="1845" w:type="pct"/>
            <w:gridSpan w:val="2"/>
            <w:vAlign w:val="center"/>
          </w:tcPr>
          <w:p>
            <w:pPr>
              <w:widowControl/>
              <w:adjustRightInd w:val="0"/>
              <w:snapToGrid w:val="0"/>
              <w:spacing w:line="280" w:lineRule="exact"/>
              <w:ind w:firstLine="0" w:firstLineChars="0"/>
              <w:jc w:val="center"/>
              <w:rPr>
                <w:b/>
                <w:kern w:val="0"/>
              </w:rPr>
            </w:pPr>
            <w:r>
              <w:rPr>
                <w:b/>
                <w:kern w:val="0"/>
              </w:rPr>
              <w:t>监测</w:t>
            </w:r>
            <w:r>
              <w:rPr>
                <w:rFonts w:hint="eastAsia"/>
                <w:b/>
                <w:kern w:val="0"/>
              </w:rPr>
              <w:t>时段</w:t>
            </w:r>
          </w:p>
        </w:tc>
      </w:tr>
      <w:tr>
        <w:tblPrEx>
          <w:tblW w:w="5000" w:type="pct"/>
          <w:tblInd w:w="0" w:type="dxa"/>
          <w:tblCellMar>
            <w:top w:w="0" w:type="dxa"/>
            <w:left w:w="108" w:type="dxa"/>
            <w:bottom w:w="0" w:type="dxa"/>
            <w:right w:w="108" w:type="dxa"/>
          </w:tblCellMar>
        </w:tblPrEx>
        <w:trPr>
          <w:trHeight w:val="20"/>
        </w:trPr>
        <w:tc>
          <w:tcPr>
            <w:tcW w:w="899" w:type="pct"/>
            <w:vMerge/>
            <w:vAlign w:val="center"/>
          </w:tcPr>
          <w:p>
            <w:pPr>
              <w:widowControl/>
              <w:adjustRightInd w:val="0"/>
              <w:snapToGrid w:val="0"/>
              <w:spacing w:line="280" w:lineRule="exact"/>
              <w:ind w:firstLine="0" w:firstLineChars="0"/>
              <w:jc w:val="center"/>
              <w:rPr>
                <w:kern w:val="0"/>
              </w:rPr>
            </w:pPr>
          </w:p>
        </w:tc>
        <w:tc>
          <w:tcPr>
            <w:tcW w:w="2256" w:type="pct"/>
            <w:vMerge/>
            <w:vAlign w:val="center"/>
          </w:tcPr>
          <w:p>
            <w:pPr>
              <w:widowControl/>
              <w:adjustRightInd w:val="0"/>
              <w:snapToGrid w:val="0"/>
              <w:spacing w:line="280" w:lineRule="exact"/>
              <w:ind w:firstLine="0" w:firstLineChars="0"/>
              <w:jc w:val="center"/>
              <w:rPr>
                <w:b/>
                <w:kern w:val="0"/>
              </w:rPr>
            </w:pPr>
          </w:p>
        </w:tc>
        <w:tc>
          <w:tcPr>
            <w:tcW w:w="923" w:type="pct"/>
            <w:vAlign w:val="center"/>
          </w:tcPr>
          <w:p>
            <w:pPr>
              <w:widowControl/>
              <w:adjustRightInd w:val="0"/>
              <w:snapToGrid w:val="0"/>
              <w:spacing w:line="280" w:lineRule="exact"/>
              <w:ind w:firstLine="0" w:firstLineChars="0"/>
              <w:jc w:val="center"/>
              <w:rPr>
                <w:b/>
                <w:kern w:val="0"/>
              </w:rPr>
            </w:pPr>
            <w:r>
              <w:rPr>
                <w:rFonts w:hint="eastAsia"/>
                <w:b/>
                <w:kern w:val="0"/>
              </w:rPr>
              <w:t>昼间</w:t>
            </w:r>
          </w:p>
        </w:tc>
        <w:tc>
          <w:tcPr>
            <w:tcW w:w="922" w:type="pct"/>
            <w:vAlign w:val="center"/>
          </w:tcPr>
          <w:p>
            <w:pPr>
              <w:widowControl/>
              <w:adjustRightInd w:val="0"/>
              <w:snapToGrid w:val="0"/>
              <w:spacing w:line="280" w:lineRule="exact"/>
              <w:ind w:firstLine="0" w:firstLineChars="0"/>
              <w:jc w:val="center"/>
              <w:rPr>
                <w:b/>
                <w:kern w:val="0"/>
              </w:rPr>
            </w:pPr>
            <w:r>
              <w:rPr>
                <w:rFonts w:hint="eastAsia"/>
                <w:b/>
                <w:kern w:val="0"/>
              </w:rPr>
              <w:t>夜间</w:t>
            </w:r>
          </w:p>
        </w:tc>
      </w:tr>
      <w:tr>
        <w:tblPrEx>
          <w:tblW w:w="5000" w:type="pct"/>
          <w:tblInd w:w="0" w:type="dxa"/>
          <w:tblCellMar>
            <w:top w:w="0" w:type="dxa"/>
            <w:left w:w="108" w:type="dxa"/>
            <w:bottom w:w="0" w:type="dxa"/>
            <w:right w:w="108" w:type="dxa"/>
          </w:tblCellMar>
        </w:tblPrEx>
        <w:trPr>
          <w:trHeight w:val="20"/>
        </w:trPr>
        <w:tc>
          <w:tcPr>
            <w:tcW w:w="899" w:type="pct"/>
            <w:vMerge w:val="restart"/>
            <w:vAlign w:val="center"/>
          </w:tcPr>
          <w:p>
            <w:pPr>
              <w:widowControl/>
              <w:adjustRightInd w:val="0"/>
              <w:snapToGrid w:val="0"/>
              <w:spacing w:line="280" w:lineRule="exact"/>
              <w:ind w:firstLine="0" w:firstLineChars="0"/>
              <w:jc w:val="center"/>
              <w:rPr>
                <w:kern w:val="0"/>
              </w:rPr>
            </w:pPr>
            <w:r>
              <w:rPr>
                <w:rFonts w:hint="eastAsia"/>
                <w:kern w:val="0"/>
              </w:rPr>
              <w:t>2016.</w:t>
            </w:r>
            <w:r>
              <w:rPr>
                <w:kern w:val="0"/>
              </w:rPr>
              <w:t>10.3</w:t>
            </w:r>
          </w:p>
        </w:tc>
        <w:tc>
          <w:tcPr>
            <w:tcW w:w="2256" w:type="pct"/>
            <w:vAlign w:val="center"/>
          </w:tcPr>
          <w:p>
            <w:pPr>
              <w:widowControl/>
              <w:adjustRightInd w:val="0"/>
              <w:snapToGrid w:val="0"/>
              <w:spacing w:line="280" w:lineRule="exact"/>
              <w:ind w:firstLine="0" w:firstLineChars="0"/>
              <w:jc w:val="center"/>
              <w:rPr>
                <w:kern w:val="0"/>
              </w:rPr>
            </w:pPr>
            <w:r>
              <w:rPr>
                <w:rFonts w:hint="eastAsia"/>
                <w:kern w:val="0"/>
              </w:rPr>
              <w:t>供气站厂界外东侧1m</w:t>
            </w:r>
          </w:p>
        </w:tc>
        <w:tc>
          <w:tcPr>
            <w:tcW w:w="923" w:type="pct"/>
            <w:vAlign w:val="center"/>
          </w:tcPr>
          <w:p>
            <w:pPr>
              <w:widowControl/>
              <w:adjustRightInd w:val="0"/>
              <w:snapToGrid w:val="0"/>
              <w:spacing w:line="280" w:lineRule="exact"/>
              <w:ind w:firstLine="0" w:firstLineChars="0"/>
              <w:jc w:val="center"/>
              <w:rPr>
                <w:kern w:val="0"/>
              </w:rPr>
            </w:pPr>
            <w:r>
              <w:rPr>
                <w:rFonts w:hint="eastAsia"/>
                <w:kern w:val="0"/>
              </w:rPr>
              <w:t>56.2</w:t>
            </w:r>
          </w:p>
        </w:tc>
        <w:tc>
          <w:tcPr>
            <w:tcW w:w="922" w:type="pct"/>
            <w:vAlign w:val="center"/>
          </w:tcPr>
          <w:p>
            <w:pPr>
              <w:widowControl/>
              <w:adjustRightInd w:val="0"/>
              <w:snapToGrid w:val="0"/>
              <w:spacing w:line="280" w:lineRule="exact"/>
              <w:ind w:firstLine="0" w:firstLineChars="0"/>
              <w:jc w:val="center"/>
              <w:rPr>
                <w:kern w:val="0"/>
              </w:rPr>
            </w:pPr>
            <w:r>
              <w:rPr>
                <w:rFonts w:hint="eastAsia"/>
                <w:kern w:val="0"/>
              </w:rPr>
              <w:t>46.5</w:t>
            </w:r>
          </w:p>
        </w:tc>
      </w:tr>
      <w:tr>
        <w:tblPrEx>
          <w:tblW w:w="5000" w:type="pct"/>
          <w:tblInd w:w="0" w:type="dxa"/>
          <w:tblCellMar>
            <w:top w:w="0" w:type="dxa"/>
            <w:left w:w="108" w:type="dxa"/>
            <w:bottom w:w="0" w:type="dxa"/>
            <w:right w:w="108" w:type="dxa"/>
          </w:tblCellMar>
        </w:tblPrEx>
        <w:trPr>
          <w:trHeight w:val="20"/>
        </w:trPr>
        <w:tc>
          <w:tcPr>
            <w:tcW w:w="899" w:type="pct"/>
            <w:vMerge/>
            <w:vAlign w:val="center"/>
          </w:tcPr>
          <w:p>
            <w:pPr>
              <w:widowControl/>
              <w:adjustRightInd w:val="0"/>
              <w:snapToGrid w:val="0"/>
              <w:spacing w:line="280" w:lineRule="exact"/>
              <w:ind w:firstLine="0" w:firstLineChars="0"/>
              <w:jc w:val="center"/>
              <w:rPr>
                <w:kern w:val="0"/>
              </w:rPr>
            </w:pPr>
          </w:p>
        </w:tc>
        <w:tc>
          <w:tcPr>
            <w:tcW w:w="2256" w:type="pct"/>
            <w:vAlign w:val="center"/>
          </w:tcPr>
          <w:p>
            <w:pPr>
              <w:widowControl/>
              <w:adjustRightInd w:val="0"/>
              <w:snapToGrid w:val="0"/>
              <w:spacing w:line="280" w:lineRule="exact"/>
              <w:ind w:firstLine="0" w:firstLineChars="0"/>
              <w:jc w:val="center"/>
              <w:rPr>
                <w:kern w:val="0"/>
              </w:rPr>
            </w:pPr>
            <w:r>
              <w:rPr>
                <w:rFonts w:hint="eastAsia"/>
                <w:kern w:val="0"/>
              </w:rPr>
              <w:t>供气站厂界外南侧1m</w:t>
            </w:r>
          </w:p>
        </w:tc>
        <w:tc>
          <w:tcPr>
            <w:tcW w:w="923" w:type="pct"/>
            <w:vAlign w:val="center"/>
          </w:tcPr>
          <w:p>
            <w:pPr>
              <w:widowControl/>
              <w:adjustRightInd w:val="0"/>
              <w:snapToGrid w:val="0"/>
              <w:spacing w:line="280" w:lineRule="exact"/>
              <w:ind w:firstLine="0" w:firstLineChars="0"/>
              <w:jc w:val="center"/>
              <w:rPr>
                <w:kern w:val="0"/>
              </w:rPr>
            </w:pPr>
            <w:r>
              <w:rPr>
                <w:rFonts w:hint="eastAsia"/>
                <w:kern w:val="0"/>
              </w:rPr>
              <w:t>55.7</w:t>
            </w:r>
          </w:p>
        </w:tc>
        <w:tc>
          <w:tcPr>
            <w:tcW w:w="922" w:type="pct"/>
            <w:vAlign w:val="center"/>
          </w:tcPr>
          <w:p>
            <w:pPr>
              <w:widowControl/>
              <w:adjustRightInd w:val="0"/>
              <w:snapToGrid w:val="0"/>
              <w:spacing w:line="280" w:lineRule="exact"/>
              <w:ind w:firstLine="0" w:firstLineChars="0"/>
              <w:jc w:val="center"/>
              <w:rPr>
                <w:kern w:val="0"/>
              </w:rPr>
            </w:pPr>
            <w:r>
              <w:rPr>
                <w:rFonts w:hint="eastAsia"/>
                <w:kern w:val="0"/>
              </w:rPr>
              <w:t>46.0</w:t>
            </w:r>
          </w:p>
        </w:tc>
      </w:tr>
      <w:tr>
        <w:tblPrEx>
          <w:tblW w:w="5000" w:type="pct"/>
          <w:tblInd w:w="0" w:type="dxa"/>
          <w:tblCellMar>
            <w:top w:w="0" w:type="dxa"/>
            <w:left w:w="108" w:type="dxa"/>
            <w:bottom w:w="0" w:type="dxa"/>
            <w:right w:w="108" w:type="dxa"/>
          </w:tblCellMar>
        </w:tblPrEx>
        <w:trPr>
          <w:trHeight w:val="20"/>
        </w:trPr>
        <w:tc>
          <w:tcPr>
            <w:tcW w:w="899" w:type="pct"/>
            <w:vMerge/>
            <w:vAlign w:val="center"/>
          </w:tcPr>
          <w:p>
            <w:pPr>
              <w:widowControl/>
              <w:adjustRightInd w:val="0"/>
              <w:snapToGrid w:val="0"/>
              <w:spacing w:line="280" w:lineRule="exact"/>
              <w:ind w:firstLine="0" w:firstLineChars="0"/>
              <w:jc w:val="center"/>
              <w:rPr>
                <w:kern w:val="0"/>
              </w:rPr>
            </w:pPr>
          </w:p>
        </w:tc>
        <w:tc>
          <w:tcPr>
            <w:tcW w:w="2256" w:type="pct"/>
            <w:vAlign w:val="center"/>
          </w:tcPr>
          <w:p>
            <w:pPr>
              <w:widowControl/>
              <w:adjustRightInd w:val="0"/>
              <w:snapToGrid w:val="0"/>
              <w:spacing w:line="280" w:lineRule="exact"/>
              <w:ind w:firstLine="0" w:firstLineChars="0"/>
              <w:jc w:val="center"/>
              <w:rPr>
                <w:kern w:val="0"/>
              </w:rPr>
            </w:pPr>
            <w:r>
              <w:rPr>
                <w:rFonts w:hint="eastAsia"/>
                <w:kern w:val="0"/>
              </w:rPr>
              <w:t>供气站厂界外西侧1m</w:t>
            </w:r>
          </w:p>
        </w:tc>
        <w:tc>
          <w:tcPr>
            <w:tcW w:w="923" w:type="pct"/>
            <w:vAlign w:val="center"/>
          </w:tcPr>
          <w:p>
            <w:pPr>
              <w:widowControl/>
              <w:adjustRightInd w:val="0"/>
              <w:snapToGrid w:val="0"/>
              <w:spacing w:line="280" w:lineRule="exact"/>
              <w:ind w:firstLine="0" w:firstLineChars="0"/>
              <w:jc w:val="center"/>
              <w:rPr>
                <w:kern w:val="0"/>
              </w:rPr>
            </w:pPr>
            <w:r>
              <w:rPr>
                <w:rFonts w:hint="eastAsia"/>
                <w:kern w:val="0"/>
              </w:rPr>
              <w:t>54.9</w:t>
            </w:r>
          </w:p>
        </w:tc>
        <w:tc>
          <w:tcPr>
            <w:tcW w:w="922" w:type="pct"/>
            <w:vAlign w:val="center"/>
          </w:tcPr>
          <w:p>
            <w:pPr>
              <w:widowControl/>
              <w:adjustRightInd w:val="0"/>
              <w:snapToGrid w:val="0"/>
              <w:spacing w:line="280" w:lineRule="exact"/>
              <w:ind w:firstLine="0" w:firstLineChars="0"/>
              <w:jc w:val="center"/>
              <w:rPr>
                <w:kern w:val="0"/>
              </w:rPr>
            </w:pPr>
            <w:r>
              <w:rPr>
                <w:rFonts w:hint="eastAsia"/>
                <w:kern w:val="0"/>
              </w:rPr>
              <w:t>45.1</w:t>
            </w:r>
          </w:p>
        </w:tc>
      </w:tr>
      <w:tr>
        <w:tblPrEx>
          <w:tblW w:w="5000" w:type="pct"/>
          <w:tblInd w:w="0" w:type="dxa"/>
          <w:tblCellMar>
            <w:top w:w="0" w:type="dxa"/>
            <w:left w:w="108" w:type="dxa"/>
            <w:bottom w:w="0" w:type="dxa"/>
            <w:right w:w="108" w:type="dxa"/>
          </w:tblCellMar>
        </w:tblPrEx>
        <w:trPr>
          <w:trHeight w:val="20"/>
        </w:trPr>
        <w:tc>
          <w:tcPr>
            <w:tcW w:w="899" w:type="pct"/>
            <w:vMerge/>
            <w:vAlign w:val="center"/>
          </w:tcPr>
          <w:p>
            <w:pPr>
              <w:widowControl/>
              <w:adjustRightInd w:val="0"/>
              <w:snapToGrid w:val="0"/>
              <w:spacing w:line="280" w:lineRule="exact"/>
              <w:ind w:firstLine="0" w:firstLineChars="0"/>
              <w:jc w:val="center"/>
              <w:rPr>
                <w:kern w:val="0"/>
              </w:rPr>
            </w:pPr>
          </w:p>
        </w:tc>
        <w:tc>
          <w:tcPr>
            <w:tcW w:w="2256" w:type="pct"/>
            <w:vAlign w:val="center"/>
          </w:tcPr>
          <w:p>
            <w:pPr>
              <w:widowControl/>
              <w:adjustRightInd w:val="0"/>
              <w:snapToGrid w:val="0"/>
              <w:spacing w:line="280" w:lineRule="exact"/>
              <w:ind w:firstLine="0" w:firstLineChars="0"/>
              <w:jc w:val="center"/>
              <w:rPr>
                <w:kern w:val="0"/>
              </w:rPr>
            </w:pPr>
            <w:r>
              <w:rPr>
                <w:rFonts w:hint="eastAsia"/>
                <w:kern w:val="0"/>
              </w:rPr>
              <w:t>供气站厂界外北侧1m</w:t>
            </w:r>
          </w:p>
        </w:tc>
        <w:tc>
          <w:tcPr>
            <w:tcW w:w="923" w:type="pct"/>
            <w:vAlign w:val="center"/>
          </w:tcPr>
          <w:p>
            <w:pPr>
              <w:widowControl/>
              <w:adjustRightInd w:val="0"/>
              <w:snapToGrid w:val="0"/>
              <w:spacing w:line="280" w:lineRule="exact"/>
              <w:ind w:firstLine="0" w:firstLineChars="0"/>
              <w:jc w:val="center"/>
              <w:rPr>
                <w:kern w:val="0"/>
              </w:rPr>
            </w:pPr>
            <w:r>
              <w:rPr>
                <w:rFonts w:hint="eastAsia"/>
                <w:kern w:val="0"/>
              </w:rPr>
              <w:t>54.5</w:t>
            </w:r>
          </w:p>
        </w:tc>
        <w:tc>
          <w:tcPr>
            <w:tcW w:w="922" w:type="pct"/>
            <w:vAlign w:val="center"/>
          </w:tcPr>
          <w:p>
            <w:pPr>
              <w:widowControl/>
              <w:adjustRightInd w:val="0"/>
              <w:snapToGrid w:val="0"/>
              <w:spacing w:line="280" w:lineRule="exact"/>
              <w:ind w:firstLine="0" w:firstLineChars="0"/>
              <w:jc w:val="center"/>
              <w:rPr>
                <w:kern w:val="0"/>
              </w:rPr>
            </w:pPr>
            <w:r>
              <w:rPr>
                <w:rFonts w:hint="eastAsia"/>
                <w:kern w:val="0"/>
              </w:rPr>
              <w:t>43.9</w:t>
            </w:r>
          </w:p>
        </w:tc>
      </w:tr>
      <w:tr>
        <w:tblPrEx>
          <w:tblW w:w="5000" w:type="pct"/>
          <w:tblInd w:w="0" w:type="dxa"/>
          <w:tblCellMar>
            <w:top w:w="0" w:type="dxa"/>
            <w:left w:w="108" w:type="dxa"/>
            <w:bottom w:w="0" w:type="dxa"/>
            <w:right w:w="108" w:type="dxa"/>
          </w:tblCellMar>
        </w:tblPrEx>
        <w:trPr>
          <w:trHeight w:val="20"/>
        </w:trPr>
        <w:tc>
          <w:tcPr>
            <w:tcW w:w="899" w:type="pct"/>
            <w:vMerge w:val="restart"/>
            <w:vAlign w:val="center"/>
          </w:tcPr>
          <w:p>
            <w:pPr>
              <w:widowControl/>
              <w:adjustRightInd w:val="0"/>
              <w:snapToGrid w:val="0"/>
              <w:spacing w:line="280" w:lineRule="exact"/>
              <w:ind w:firstLine="0" w:firstLineChars="0"/>
              <w:jc w:val="center"/>
              <w:rPr>
                <w:kern w:val="0"/>
              </w:rPr>
            </w:pPr>
            <w:r>
              <w:rPr>
                <w:rFonts w:hint="eastAsia"/>
                <w:kern w:val="0"/>
              </w:rPr>
              <w:t>2016.</w:t>
            </w:r>
            <w:r>
              <w:rPr>
                <w:kern w:val="0"/>
              </w:rPr>
              <w:t>10.4</w:t>
            </w:r>
          </w:p>
        </w:tc>
        <w:tc>
          <w:tcPr>
            <w:tcW w:w="2256" w:type="pct"/>
            <w:vAlign w:val="center"/>
          </w:tcPr>
          <w:p>
            <w:pPr>
              <w:widowControl/>
              <w:adjustRightInd w:val="0"/>
              <w:snapToGrid w:val="0"/>
              <w:spacing w:line="280" w:lineRule="exact"/>
              <w:ind w:firstLine="0" w:firstLineChars="0"/>
              <w:jc w:val="center"/>
              <w:rPr>
                <w:kern w:val="0"/>
              </w:rPr>
            </w:pPr>
            <w:r>
              <w:rPr>
                <w:rFonts w:hint="eastAsia"/>
                <w:kern w:val="0"/>
              </w:rPr>
              <w:t>供气站厂界外东侧1m</w:t>
            </w:r>
          </w:p>
        </w:tc>
        <w:tc>
          <w:tcPr>
            <w:tcW w:w="923" w:type="pct"/>
            <w:vAlign w:val="center"/>
          </w:tcPr>
          <w:p>
            <w:pPr>
              <w:widowControl/>
              <w:adjustRightInd w:val="0"/>
              <w:snapToGrid w:val="0"/>
              <w:spacing w:line="280" w:lineRule="exact"/>
              <w:ind w:firstLine="0" w:firstLineChars="0"/>
              <w:jc w:val="center"/>
              <w:rPr>
                <w:kern w:val="0"/>
              </w:rPr>
            </w:pPr>
            <w:r>
              <w:rPr>
                <w:rFonts w:hint="eastAsia"/>
                <w:kern w:val="0"/>
              </w:rPr>
              <w:t>57.4</w:t>
            </w:r>
          </w:p>
        </w:tc>
        <w:tc>
          <w:tcPr>
            <w:tcW w:w="922" w:type="pct"/>
            <w:vAlign w:val="center"/>
          </w:tcPr>
          <w:p>
            <w:pPr>
              <w:widowControl/>
              <w:adjustRightInd w:val="0"/>
              <w:snapToGrid w:val="0"/>
              <w:spacing w:line="280" w:lineRule="exact"/>
              <w:ind w:firstLine="0" w:firstLineChars="0"/>
              <w:jc w:val="center"/>
              <w:rPr>
                <w:kern w:val="0"/>
              </w:rPr>
            </w:pPr>
            <w:r>
              <w:rPr>
                <w:rFonts w:hint="eastAsia"/>
                <w:kern w:val="0"/>
              </w:rPr>
              <w:t>46.9</w:t>
            </w:r>
          </w:p>
        </w:tc>
      </w:tr>
      <w:tr>
        <w:tblPrEx>
          <w:tblW w:w="5000" w:type="pct"/>
          <w:tblInd w:w="0" w:type="dxa"/>
          <w:tblCellMar>
            <w:top w:w="0" w:type="dxa"/>
            <w:left w:w="108" w:type="dxa"/>
            <w:bottom w:w="0" w:type="dxa"/>
            <w:right w:w="108" w:type="dxa"/>
          </w:tblCellMar>
        </w:tblPrEx>
        <w:trPr>
          <w:trHeight w:val="20"/>
        </w:trPr>
        <w:tc>
          <w:tcPr>
            <w:tcW w:w="899" w:type="pct"/>
            <w:vMerge/>
            <w:vAlign w:val="center"/>
          </w:tcPr>
          <w:p>
            <w:pPr>
              <w:widowControl/>
              <w:adjustRightInd w:val="0"/>
              <w:snapToGrid w:val="0"/>
              <w:spacing w:line="280" w:lineRule="exact"/>
              <w:ind w:firstLine="0" w:firstLineChars="0"/>
              <w:jc w:val="center"/>
              <w:rPr>
                <w:kern w:val="0"/>
              </w:rPr>
            </w:pPr>
          </w:p>
        </w:tc>
        <w:tc>
          <w:tcPr>
            <w:tcW w:w="2256" w:type="pct"/>
            <w:vAlign w:val="center"/>
          </w:tcPr>
          <w:p>
            <w:pPr>
              <w:widowControl/>
              <w:adjustRightInd w:val="0"/>
              <w:snapToGrid w:val="0"/>
              <w:spacing w:line="280" w:lineRule="exact"/>
              <w:ind w:firstLine="0" w:firstLineChars="0"/>
              <w:jc w:val="center"/>
              <w:rPr>
                <w:kern w:val="0"/>
              </w:rPr>
            </w:pPr>
            <w:r>
              <w:rPr>
                <w:rFonts w:hint="eastAsia"/>
                <w:kern w:val="0"/>
              </w:rPr>
              <w:t>供气站厂界外南侧1m</w:t>
            </w:r>
          </w:p>
        </w:tc>
        <w:tc>
          <w:tcPr>
            <w:tcW w:w="923" w:type="pct"/>
            <w:vAlign w:val="center"/>
          </w:tcPr>
          <w:p>
            <w:pPr>
              <w:widowControl/>
              <w:adjustRightInd w:val="0"/>
              <w:snapToGrid w:val="0"/>
              <w:spacing w:line="280" w:lineRule="exact"/>
              <w:ind w:firstLine="0" w:firstLineChars="0"/>
              <w:jc w:val="center"/>
              <w:rPr>
                <w:kern w:val="0"/>
              </w:rPr>
            </w:pPr>
            <w:r>
              <w:rPr>
                <w:rFonts w:hint="eastAsia"/>
                <w:kern w:val="0"/>
              </w:rPr>
              <w:t>55.1</w:t>
            </w:r>
          </w:p>
        </w:tc>
        <w:tc>
          <w:tcPr>
            <w:tcW w:w="922" w:type="pct"/>
            <w:vAlign w:val="center"/>
          </w:tcPr>
          <w:p>
            <w:pPr>
              <w:widowControl/>
              <w:adjustRightInd w:val="0"/>
              <w:snapToGrid w:val="0"/>
              <w:spacing w:line="280" w:lineRule="exact"/>
              <w:ind w:firstLine="0" w:firstLineChars="0"/>
              <w:jc w:val="center"/>
              <w:rPr>
                <w:kern w:val="0"/>
              </w:rPr>
            </w:pPr>
            <w:r>
              <w:rPr>
                <w:rFonts w:hint="eastAsia"/>
                <w:kern w:val="0"/>
              </w:rPr>
              <w:t>45.6</w:t>
            </w:r>
          </w:p>
        </w:tc>
      </w:tr>
    </w:tbl>
    <w:p>
      <w:pPr>
        <w:sectPr>
          <w:headerReference w:type="even" r:id="rId235"/>
          <w:headerReference w:type="default" r:id="rId236"/>
          <w:footerReference w:type="even" r:id="rId237"/>
          <w:footerReference w:type="default" r:id="rId238"/>
          <w:headerReference w:type="first" r:id="rId239"/>
          <w:footerReference w:type="first" r:id="rId240"/>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19"/>
          <w:cols w:num="1" w:space="720"/>
          <w:titlePg w:val="0"/>
          <w:docGrid w:type="linesAndChars" w:linePitch="312" w:charSpace="0"/>
        </w:sectPr>
      </w:pPr>
    </w:p>
    <w:p>
      <w:pPr>
        <w:sectPr>
          <w:headerReference w:type="even" r:id="rId241"/>
          <w:headerReference w:type="default" r:id="rId242"/>
          <w:footerReference w:type="even" r:id="rId243"/>
          <w:footerReference w:type="default" r:id="rId244"/>
          <w:headerReference w:type="first" r:id="rId245"/>
          <w:footerReference w:type="first" r:id="rId246"/>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210"/>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711"/>
        <w:gridCol w:w="4293"/>
        <w:gridCol w:w="1756"/>
        <w:gridCol w:w="1755"/>
      </w:tblGrid>
      <w:tr>
        <w:tblPrEx>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20"/>
        </w:trPr>
        <w:tc>
          <w:tcPr>
            <w:tcW w:w="899" w:type="pct"/>
            <w:vMerge w:val="restart"/>
            <w:vAlign w:val="center"/>
          </w:tcPr>
          <w:p>
            <w:pPr>
              <w:widowControl/>
              <w:adjustRightInd w:val="0"/>
              <w:snapToGrid w:val="0"/>
              <w:spacing w:line="280" w:lineRule="exact"/>
              <w:ind w:firstLine="0" w:firstLineChars="0"/>
              <w:jc w:val="center"/>
              <w:rPr>
                <w:kern w:val="0"/>
              </w:rPr>
            </w:pPr>
          </w:p>
        </w:tc>
        <w:tc>
          <w:tcPr>
            <w:tcW w:w="2256" w:type="pct"/>
            <w:vAlign w:val="center"/>
          </w:tcPr>
          <w:p>
            <w:pPr>
              <w:widowControl/>
              <w:adjustRightInd w:val="0"/>
              <w:snapToGrid w:val="0"/>
              <w:spacing w:line="280" w:lineRule="exact"/>
              <w:ind w:firstLine="0" w:firstLineChars="0"/>
              <w:jc w:val="center"/>
              <w:rPr>
                <w:kern w:val="0"/>
              </w:rPr>
            </w:pPr>
            <w:r>
              <w:rPr>
                <w:rFonts w:hint="eastAsia"/>
                <w:kern w:val="0"/>
              </w:rPr>
              <w:t>供气站厂界外西侧1m</w:t>
            </w:r>
          </w:p>
        </w:tc>
        <w:tc>
          <w:tcPr>
            <w:tcW w:w="923" w:type="pct"/>
            <w:vAlign w:val="center"/>
          </w:tcPr>
          <w:p>
            <w:pPr>
              <w:widowControl/>
              <w:adjustRightInd w:val="0"/>
              <w:snapToGrid w:val="0"/>
              <w:spacing w:line="280" w:lineRule="exact"/>
              <w:ind w:firstLine="0" w:firstLineChars="0"/>
              <w:jc w:val="center"/>
              <w:rPr>
                <w:kern w:val="0"/>
              </w:rPr>
            </w:pPr>
            <w:r>
              <w:rPr>
                <w:rFonts w:hint="eastAsia"/>
                <w:kern w:val="0"/>
              </w:rPr>
              <w:t>54.0</w:t>
            </w:r>
          </w:p>
        </w:tc>
        <w:tc>
          <w:tcPr>
            <w:tcW w:w="922" w:type="pct"/>
            <w:vAlign w:val="center"/>
          </w:tcPr>
          <w:p>
            <w:pPr>
              <w:widowControl/>
              <w:adjustRightInd w:val="0"/>
              <w:snapToGrid w:val="0"/>
              <w:spacing w:line="280" w:lineRule="exact"/>
              <w:ind w:firstLine="0" w:firstLineChars="0"/>
              <w:jc w:val="center"/>
              <w:rPr>
                <w:kern w:val="0"/>
              </w:rPr>
            </w:pPr>
            <w:r>
              <w:rPr>
                <w:rFonts w:hint="eastAsia"/>
                <w:kern w:val="0"/>
              </w:rPr>
              <w:t>44.6</w:t>
            </w:r>
          </w:p>
        </w:tc>
      </w:tr>
      <w:tr>
        <w:tblPrEx>
          <w:tblW w:w="5000" w:type="pct"/>
          <w:tblInd w:w="0" w:type="dxa"/>
          <w:tblCellMar>
            <w:top w:w="0" w:type="dxa"/>
            <w:left w:w="108" w:type="dxa"/>
            <w:bottom w:w="0" w:type="dxa"/>
            <w:right w:w="108" w:type="dxa"/>
          </w:tblCellMar>
        </w:tblPrEx>
        <w:trPr>
          <w:trHeight w:val="20"/>
        </w:trPr>
        <w:tc>
          <w:tcPr>
            <w:tcW w:w="899" w:type="pct"/>
            <w:vMerge/>
            <w:vAlign w:val="center"/>
          </w:tcPr>
          <w:p>
            <w:pPr>
              <w:widowControl/>
              <w:adjustRightInd w:val="0"/>
              <w:snapToGrid w:val="0"/>
              <w:spacing w:line="280" w:lineRule="exact"/>
              <w:ind w:firstLine="0" w:firstLineChars="0"/>
              <w:jc w:val="center"/>
              <w:rPr>
                <w:kern w:val="0"/>
              </w:rPr>
            </w:pPr>
          </w:p>
        </w:tc>
        <w:tc>
          <w:tcPr>
            <w:tcW w:w="2256" w:type="pct"/>
            <w:vAlign w:val="center"/>
          </w:tcPr>
          <w:p>
            <w:pPr>
              <w:widowControl/>
              <w:adjustRightInd w:val="0"/>
              <w:snapToGrid w:val="0"/>
              <w:spacing w:line="280" w:lineRule="exact"/>
              <w:ind w:firstLine="0" w:firstLineChars="0"/>
              <w:jc w:val="center"/>
              <w:rPr>
                <w:kern w:val="0"/>
              </w:rPr>
            </w:pPr>
            <w:r>
              <w:rPr>
                <w:rFonts w:hint="eastAsia"/>
                <w:kern w:val="0"/>
              </w:rPr>
              <w:t>供气站厂界外北侧1m</w:t>
            </w:r>
          </w:p>
        </w:tc>
        <w:tc>
          <w:tcPr>
            <w:tcW w:w="923" w:type="pct"/>
            <w:vAlign w:val="center"/>
          </w:tcPr>
          <w:p>
            <w:pPr>
              <w:widowControl/>
              <w:adjustRightInd w:val="0"/>
              <w:snapToGrid w:val="0"/>
              <w:spacing w:line="280" w:lineRule="exact"/>
              <w:ind w:firstLine="0" w:firstLineChars="0"/>
              <w:jc w:val="center"/>
              <w:rPr>
                <w:kern w:val="0"/>
              </w:rPr>
            </w:pPr>
            <w:r>
              <w:rPr>
                <w:rFonts w:hint="eastAsia"/>
                <w:kern w:val="0"/>
              </w:rPr>
              <w:t>53.6</w:t>
            </w:r>
          </w:p>
        </w:tc>
        <w:tc>
          <w:tcPr>
            <w:tcW w:w="922" w:type="pct"/>
            <w:vAlign w:val="center"/>
          </w:tcPr>
          <w:p>
            <w:pPr>
              <w:widowControl/>
              <w:adjustRightInd w:val="0"/>
              <w:snapToGrid w:val="0"/>
              <w:spacing w:line="280" w:lineRule="exact"/>
              <w:ind w:firstLine="0" w:firstLineChars="0"/>
              <w:jc w:val="center"/>
              <w:rPr>
                <w:kern w:val="0"/>
              </w:rPr>
            </w:pPr>
            <w:r>
              <w:rPr>
                <w:rFonts w:hint="eastAsia"/>
                <w:kern w:val="0"/>
              </w:rPr>
              <w:t>45.3</w:t>
            </w:r>
          </w:p>
        </w:tc>
      </w:tr>
    </w:tbl>
    <w:p>
      <w:pPr>
        <w:pStyle w:val="a1"/>
        <w:spacing w:before="156" w:beforeLines="50"/>
        <w:ind w:firstLine="480"/>
      </w:pPr>
      <w:r>
        <w:t>根据监测结果可知</w:t>
      </w:r>
      <w:r>
        <w:rPr>
          <w:rFonts w:hint="eastAsia"/>
        </w:rPr>
        <w:t>，</w:t>
      </w:r>
      <w:r>
        <w:t>项目昼间噪声范围在</w:t>
      </w:r>
      <w:r>
        <w:rPr>
          <w:rFonts w:hint="eastAsia"/>
        </w:rPr>
        <w:t>5</w:t>
      </w:r>
      <w:r>
        <w:t>3.6</w:t>
      </w:r>
      <w:r>
        <w:rPr>
          <w:rFonts w:hint="eastAsia"/>
        </w:rPr>
        <w:t>~5</w:t>
      </w:r>
      <w:r>
        <w:t>7.4</w:t>
      </w:r>
      <w:r>
        <w:rPr>
          <w:rFonts w:hint="eastAsia"/>
        </w:rPr>
        <w:t>dB（A）之间，夜间噪声范围在43.</w:t>
      </w:r>
      <w:r>
        <w:t>9</w:t>
      </w:r>
      <w:r>
        <w:rPr>
          <w:rFonts w:hint="eastAsia"/>
        </w:rPr>
        <w:t>~4</w:t>
      </w:r>
      <w:r>
        <w:t>6.9</w:t>
      </w:r>
      <w:r>
        <w:rPr>
          <w:rFonts w:hint="eastAsia"/>
        </w:rPr>
        <w:t>dB（A）之间，供气站南侧、</w:t>
      </w:r>
      <w:r>
        <w:t>北侧、西侧</w:t>
      </w:r>
      <w:r>
        <w:rPr>
          <w:rFonts w:hint="eastAsia"/>
        </w:rPr>
        <w:t>厂界监测点昼夜间噪声值均满足《工业企业厂界环境噪声排放标准》（GB12349-2008）中2类标准；</w:t>
      </w:r>
      <w:r>
        <w:t>供气站东侧</w:t>
      </w:r>
      <w:r>
        <w:rPr>
          <w:rFonts w:hint="eastAsia"/>
        </w:rPr>
        <w:t>厂界</w:t>
      </w:r>
      <w:r>
        <w:t>监测点</w:t>
      </w:r>
      <w:r>
        <w:rPr>
          <w:rFonts w:hint="eastAsia"/>
        </w:rPr>
        <w:t>昼夜间噪声值均满足《工业企业厂界环境噪声排放标准》（GB12349-2008）中</w:t>
      </w:r>
      <w:r>
        <w:t>4a</w:t>
      </w:r>
      <w:r>
        <w:rPr>
          <w:rFonts w:hint="eastAsia"/>
        </w:rPr>
        <w:t>类标准，对项目区域声环境影响较小。</w:t>
      </w:r>
    </w:p>
    <w:p>
      <w:pPr>
        <w:pStyle w:val="a1"/>
        <w:ind w:firstLine="480"/>
      </w:pPr>
      <w:r>
        <w:rPr>
          <w:rFonts w:hint="eastAsia"/>
        </w:rPr>
        <w:t>4、固体废物</w:t>
      </w:r>
    </w:p>
    <w:p>
      <w:pPr>
        <w:pStyle w:val="a1"/>
        <w:ind w:firstLine="480"/>
      </w:pPr>
      <w:r>
        <w:rPr>
          <w:rFonts w:hint="eastAsia"/>
        </w:rPr>
        <w:t>项目运营期产生的固体废物主要为项目区员工生活产生的生活垃圾、报废钢瓶和液化石油气残液等。</w:t>
      </w:r>
    </w:p>
    <w:p>
      <w:pPr>
        <w:pStyle w:val="a1"/>
        <w:ind w:firstLine="480"/>
      </w:pPr>
      <w:r>
        <w:rPr>
          <w:rFonts w:hint="eastAsia"/>
        </w:rPr>
        <w:t>生活垃圾通过在站区设置垃圾桶进行收集，定期由环卫部门统一清运；报废钢瓶</w:t>
      </w:r>
      <w:r>
        <w:rPr>
          <w:rFonts w:hint="eastAsia"/>
          <w:bCs/>
        </w:rPr>
        <w:t>暂存于</w:t>
      </w:r>
      <w:r>
        <w:rPr>
          <w:rFonts w:hint="eastAsia"/>
        </w:rPr>
        <w:t>报废钢瓶暂存区</w:t>
      </w:r>
      <w:r>
        <w:rPr>
          <w:rFonts w:hint="eastAsia"/>
          <w:bCs/>
        </w:rPr>
        <w:t>，定期交由中国石化销售股份有限公司海口钢瓶检测站检测回收处置</w:t>
      </w:r>
      <w:r>
        <w:rPr>
          <w:rFonts w:hint="eastAsia"/>
        </w:rPr>
        <w:t>；液化石油气残液</w:t>
      </w:r>
      <w:r>
        <w:rPr>
          <w:rFonts w:hint="eastAsia"/>
          <w:bCs/>
        </w:rPr>
        <w:t>暂存于残液罐中，</w:t>
      </w:r>
      <w:r>
        <w:rPr>
          <w:rFonts w:eastAsiaTheme="minorEastAsia" w:hAnsiTheme="minorEastAsia" w:hint="eastAsia"/>
        </w:rPr>
        <w:t>由海南宝来工贸有限公司定期收集处置</w:t>
      </w:r>
      <w:r>
        <w:rPr>
          <w:rFonts w:hint="eastAsia"/>
        </w:rPr>
        <w:t>。</w:t>
      </w:r>
    </w:p>
    <w:p>
      <w:pPr>
        <w:pStyle w:val="a1"/>
        <w:ind w:firstLine="480"/>
        <w:outlineLvl w:val="1"/>
        <w:rPr>
          <w:rFonts w:eastAsia="黑体"/>
        </w:rPr>
      </w:pPr>
      <w:r>
        <w:rPr>
          <w:rFonts w:eastAsia="黑体" w:hint="eastAsia"/>
        </w:rPr>
        <w:t>5、现有项目污染物排放情况汇总</w:t>
      </w:r>
    </w:p>
    <w:p>
      <w:pPr>
        <w:pStyle w:val="a1"/>
        <w:ind w:firstLine="0" w:firstLineChars="0"/>
        <w:jc w:val="center"/>
        <w:rPr>
          <w:rFonts w:eastAsia="黑体"/>
          <w:sz w:val="21"/>
          <w:szCs w:val="21"/>
        </w:rPr>
      </w:pPr>
      <w:r>
        <w:rPr>
          <w:rFonts w:eastAsia="黑体" w:hint="eastAsia"/>
          <w:sz w:val="21"/>
          <w:szCs w:val="21"/>
        </w:rPr>
        <w:t>表</w:t>
      </w:r>
      <w:r>
        <w:rPr>
          <w:rFonts w:eastAsia="黑体"/>
          <w:sz w:val="21"/>
          <w:szCs w:val="21"/>
        </w:rPr>
        <w:t>1-1</w:t>
      </w:r>
      <w:r>
        <w:rPr>
          <w:rFonts w:eastAsia="黑体" w:hint="eastAsia"/>
          <w:sz w:val="21"/>
          <w:szCs w:val="21"/>
        </w:rPr>
        <w:t>6  现有</w:t>
      </w:r>
      <w:r>
        <w:rPr>
          <w:rFonts w:eastAsia="黑体"/>
          <w:sz w:val="21"/>
          <w:szCs w:val="21"/>
        </w:rPr>
        <w:t>项目污染物排放情况一览表</w:t>
      </w:r>
    </w:p>
    <w:tbl>
      <w:tblPr>
        <w:tblStyle w:val="TableGrid0"/>
        <w:tblW w:w="951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101"/>
        <w:gridCol w:w="1842"/>
        <w:gridCol w:w="2694"/>
        <w:gridCol w:w="3878"/>
      </w:tblGrid>
      <w:tr>
        <w:tblPrEx>
          <w:tblW w:w="951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101" w:type="dxa"/>
            <w:vAlign w:val="center"/>
          </w:tcPr>
          <w:p>
            <w:pPr>
              <w:pStyle w:val="a1"/>
              <w:spacing w:line="280" w:lineRule="exact"/>
              <w:ind w:firstLine="0" w:firstLineChars="0"/>
              <w:jc w:val="center"/>
              <w:rPr>
                <w:b/>
                <w:sz w:val="21"/>
                <w:szCs w:val="21"/>
              </w:rPr>
            </w:pPr>
            <w:r>
              <w:rPr>
                <w:b/>
                <w:sz w:val="21"/>
                <w:szCs w:val="21"/>
              </w:rPr>
              <w:t>类别</w:t>
            </w:r>
          </w:p>
        </w:tc>
        <w:tc>
          <w:tcPr>
            <w:tcW w:w="1842" w:type="dxa"/>
            <w:vAlign w:val="center"/>
          </w:tcPr>
          <w:p>
            <w:pPr>
              <w:pStyle w:val="a1"/>
              <w:spacing w:line="280" w:lineRule="exact"/>
              <w:ind w:firstLine="0" w:firstLineChars="0"/>
              <w:jc w:val="center"/>
              <w:rPr>
                <w:b/>
                <w:sz w:val="21"/>
                <w:szCs w:val="21"/>
              </w:rPr>
            </w:pPr>
            <w:r>
              <w:rPr>
                <w:b/>
                <w:sz w:val="21"/>
                <w:szCs w:val="21"/>
              </w:rPr>
              <w:t>污染源</w:t>
            </w:r>
          </w:p>
        </w:tc>
        <w:tc>
          <w:tcPr>
            <w:tcW w:w="2694" w:type="dxa"/>
            <w:vAlign w:val="center"/>
          </w:tcPr>
          <w:p>
            <w:pPr>
              <w:pStyle w:val="a1"/>
              <w:spacing w:line="280" w:lineRule="exact"/>
              <w:ind w:firstLine="0" w:firstLineChars="0"/>
              <w:jc w:val="center"/>
              <w:rPr>
                <w:b/>
                <w:sz w:val="21"/>
                <w:szCs w:val="21"/>
              </w:rPr>
            </w:pPr>
            <w:r>
              <w:rPr>
                <w:b/>
                <w:sz w:val="21"/>
                <w:szCs w:val="21"/>
              </w:rPr>
              <w:t>污染物</w:t>
            </w:r>
          </w:p>
        </w:tc>
        <w:tc>
          <w:tcPr>
            <w:tcW w:w="3878" w:type="dxa"/>
            <w:vAlign w:val="center"/>
          </w:tcPr>
          <w:p>
            <w:pPr>
              <w:pStyle w:val="a1"/>
              <w:spacing w:line="280" w:lineRule="exact"/>
              <w:ind w:firstLine="0" w:firstLineChars="0"/>
              <w:jc w:val="center"/>
              <w:rPr>
                <w:b/>
                <w:sz w:val="21"/>
                <w:szCs w:val="21"/>
              </w:rPr>
            </w:pPr>
            <w:r>
              <w:rPr>
                <w:b/>
                <w:sz w:val="21"/>
                <w:szCs w:val="21"/>
              </w:rPr>
              <w:t>排放</w:t>
            </w:r>
            <w:r>
              <w:rPr>
                <w:rFonts w:hint="eastAsia"/>
                <w:b/>
                <w:sz w:val="21"/>
                <w:szCs w:val="21"/>
              </w:rPr>
              <w:t>情况</w:t>
            </w:r>
          </w:p>
        </w:tc>
      </w:tr>
      <w:tr>
        <w:tblPrEx>
          <w:tblW w:w="9515" w:type="dxa"/>
          <w:jc w:val="center"/>
          <w:tblLayout w:type="fixed"/>
          <w:tblCellMar>
            <w:top w:w="0" w:type="dxa"/>
            <w:left w:w="108" w:type="dxa"/>
            <w:bottom w:w="0" w:type="dxa"/>
            <w:right w:w="108" w:type="dxa"/>
          </w:tblCellMar>
        </w:tblPrEx>
        <w:trPr>
          <w:jc w:val="center"/>
        </w:trPr>
        <w:tc>
          <w:tcPr>
            <w:tcW w:w="1101" w:type="dxa"/>
            <w:vAlign w:val="center"/>
          </w:tcPr>
          <w:p>
            <w:pPr>
              <w:pStyle w:val="a1"/>
              <w:spacing w:line="280" w:lineRule="exact"/>
              <w:ind w:firstLine="0" w:firstLineChars="0"/>
              <w:jc w:val="center"/>
              <w:rPr>
                <w:sz w:val="21"/>
                <w:szCs w:val="21"/>
              </w:rPr>
            </w:pPr>
            <w:r>
              <w:rPr>
                <w:sz w:val="21"/>
                <w:szCs w:val="21"/>
              </w:rPr>
              <w:t>废气</w:t>
            </w:r>
          </w:p>
        </w:tc>
        <w:tc>
          <w:tcPr>
            <w:tcW w:w="1842" w:type="dxa"/>
            <w:vAlign w:val="center"/>
          </w:tcPr>
          <w:p>
            <w:pPr>
              <w:pStyle w:val="a1"/>
              <w:spacing w:line="280" w:lineRule="exact"/>
              <w:ind w:firstLine="0" w:firstLineChars="0"/>
              <w:jc w:val="center"/>
              <w:rPr>
                <w:sz w:val="21"/>
                <w:szCs w:val="21"/>
              </w:rPr>
            </w:pPr>
            <w:r>
              <w:rPr>
                <w:rFonts w:hint="eastAsia"/>
                <w:sz w:val="21"/>
                <w:szCs w:val="21"/>
              </w:rPr>
              <w:t>液化石油气卸车、灌装等操作过程</w:t>
            </w:r>
          </w:p>
        </w:tc>
        <w:tc>
          <w:tcPr>
            <w:tcW w:w="2694" w:type="dxa"/>
            <w:vAlign w:val="center"/>
          </w:tcPr>
          <w:p>
            <w:pPr>
              <w:pStyle w:val="a1"/>
              <w:spacing w:line="280" w:lineRule="exact"/>
              <w:ind w:firstLine="0" w:firstLineChars="0"/>
              <w:jc w:val="center"/>
              <w:rPr>
                <w:sz w:val="21"/>
                <w:szCs w:val="21"/>
              </w:rPr>
            </w:pPr>
            <w:r>
              <w:rPr>
                <w:rFonts w:hint="eastAsia"/>
                <w:sz w:val="21"/>
                <w:szCs w:val="21"/>
              </w:rPr>
              <w:t>非甲烷总烃</w:t>
            </w:r>
          </w:p>
        </w:tc>
        <w:tc>
          <w:tcPr>
            <w:tcW w:w="3878" w:type="dxa"/>
            <w:vAlign w:val="center"/>
          </w:tcPr>
          <w:p>
            <w:pPr>
              <w:pStyle w:val="a1"/>
              <w:spacing w:line="280" w:lineRule="exact"/>
              <w:ind w:firstLine="0" w:firstLineChars="0"/>
              <w:jc w:val="center"/>
              <w:rPr>
                <w:sz w:val="21"/>
                <w:szCs w:val="21"/>
              </w:rPr>
            </w:pPr>
            <w:r>
              <w:rPr>
                <w:rFonts w:hint="eastAsia"/>
                <w:sz w:val="21"/>
                <w:szCs w:val="21"/>
              </w:rPr>
              <w:t>无组织排放</w:t>
            </w:r>
          </w:p>
        </w:tc>
      </w:tr>
      <w:tr>
        <w:tblPrEx>
          <w:tblW w:w="9515" w:type="dxa"/>
          <w:jc w:val="center"/>
          <w:tblLayout w:type="fixed"/>
          <w:tblCellMar>
            <w:top w:w="0" w:type="dxa"/>
            <w:left w:w="108" w:type="dxa"/>
            <w:bottom w:w="0" w:type="dxa"/>
            <w:right w:w="108" w:type="dxa"/>
          </w:tblCellMar>
        </w:tblPrEx>
        <w:trPr>
          <w:jc w:val="center"/>
        </w:trPr>
        <w:tc>
          <w:tcPr>
            <w:tcW w:w="1101" w:type="dxa"/>
            <w:vAlign w:val="center"/>
          </w:tcPr>
          <w:p>
            <w:pPr>
              <w:pStyle w:val="a1"/>
              <w:spacing w:line="280" w:lineRule="exact"/>
              <w:ind w:firstLine="0" w:firstLineChars="0"/>
              <w:jc w:val="center"/>
              <w:rPr>
                <w:sz w:val="21"/>
                <w:szCs w:val="21"/>
              </w:rPr>
            </w:pPr>
            <w:r>
              <w:rPr>
                <w:rFonts w:hint="eastAsia"/>
                <w:sz w:val="21"/>
                <w:szCs w:val="21"/>
              </w:rPr>
              <w:t>废水</w:t>
            </w:r>
          </w:p>
        </w:tc>
        <w:tc>
          <w:tcPr>
            <w:tcW w:w="1842" w:type="dxa"/>
            <w:vAlign w:val="center"/>
          </w:tcPr>
          <w:p>
            <w:pPr>
              <w:pStyle w:val="a1"/>
              <w:spacing w:line="280" w:lineRule="exact"/>
              <w:ind w:firstLine="0" w:firstLineChars="0"/>
              <w:jc w:val="center"/>
              <w:rPr>
                <w:sz w:val="21"/>
                <w:szCs w:val="21"/>
              </w:rPr>
            </w:pPr>
            <w:r>
              <w:rPr>
                <w:sz w:val="21"/>
                <w:szCs w:val="21"/>
              </w:rPr>
              <w:t>生活废水</w:t>
            </w:r>
            <w:r>
              <w:rPr>
                <w:rFonts w:hint="eastAsia"/>
                <w:sz w:val="21"/>
                <w:szCs w:val="21"/>
              </w:rPr>
              <w:t>（包括食堂废水）</w:t>
            </w:r>
          </w:p>
        </w:tc>
        <w:tc>
          <w:tcPr>
            <w:tcW w:w="2694" w:type="dxa"/>
            <w:vAlign w:val="center"/>
          </w:tcPr>
          <w:p>
            <w:pPr>
              <w:pStyle w:val="a1"/>
              <w:spacing w:line="280" w:lineRule="exact"/>
              <w:ind w:firstLine="0" w:firstLineChars="0"/>
              <w:jc w:val="center"/>
              <w:rPr>
                <w:sz w:val="21"/>
                <w:szCs w:val="21"/>
              </w:rPr>
            </w:pPr>
            <w:r>
              <w:rPr>
                <w:rFonts w:hint="eastAsia"/>
                <w:sz w:val="21"/>
                <w:szCs w:val="21"/>
              </w:rPr>
              <w:t>COD、BOD、</w:t>
            </w:r>
            <w:r>
              <w:rPr>
                <w:sz w:val="21"/>
                <w:szCs w:val="21"/>
              </w:rPr>
              <w:t>NH</w:t>
            </w:r>
            <w:r>
              <w:rPr>
                <w:sz w:val="21"/>
                <w:szCs w:val="21"/>
                <w:vertAlign w:val="subscript"/>
              </w:rPr>
              <w:t>3</w:t>
            </w:r>
            <w:r>
              <w:rPr>
                <w:sz w:val="21"/>
                <w:szCs w:val="21"/>
              </w:rPr>
              <w:t>-N</w:t>
            </w:r>
            <w:r>
              <w:rPr>
                <w:rFonts w:hint="eastAsia"/>
                <w:sz w:val="21"/>
                <w:szCs w:val="21"/>
              </w:rPr>
              <w:t>、SS</w:t>
            </w:r>
          </w:p>
        </w:tc>
        <w:tc>
          <w:tcPr>
            <w:tcW w:w="3878" w:type="dxa"/>
            <w:vAlign w:val="center"/>
          </w:tcPr>
          <w:p>
            <w:pPr>
              <w:pStyle w:val="a1"/>
              <w:spacing w:line="280" w:lineRule="exact"/>
              <w:ind w:firstLine="0" w:firstLineChars="0"/>
              <w:jc w:val="center"/>
              <w:rPr>
                <w:sz w:val="21"/>
                <w:szCs w:val="21"/>
              </w:rPr>
            </w:pPr>
            <w:r>
              <w:rPr>
                <w:sz w:val="21"/>
                <w:szCs w:val="21"/>
              </w:rPr>
              <w:t>用于周边农地施肥</w:t>
            </w:r>
            <w:r>
              <w:rPr>
                <w:rFonts w:hint="eastAsia"/>
                <w:sz w:val="21"/>
                <w:szCs w:val="21"/>
              </w:rPr>
              <w:t>，</w:t>
            </w:r>
            <w:r>
              <w:rPr>
                <w:sz w:val="21"/>
                <w:szCs w:val="21"/>
              </w:rPr>
              <w:t>不外排</w:t>
            </w:r>
          </w:p>
        </w:tc>
      </w:tr>
      <w:tr>
        <w:tblPrEx>
          <w:tblW w:w="9515" w:type="dxa"/>
          <w:jc w:val="center"/>
          <w:tblLayout w:type="fixed"/>
          <w:tblCellMar>
            <w:top w:w="0" w:type="dxa"/>
            <w:left w:w="108" w:type="dxa"/>
            <w:bottom w:w="0" w:type="dxa"/>
            <w:right w:w="108" w:type="dxa"/>
          </w:tblCellMar>
        </w:tblPrEx>
        <w:trPr>
          <w:trHeight w:val="165"/>
          <w:jc w:val="center"/>
        </w:trPr>
        <w:tc>
          <w:tcPr>
            <w:tcW w:w="1101" w:type="dxa"/>
            <w:vMerge w:val="restart"/>
            <w:vAlign w:val="center"/>
          </w:tcPr>
          <w:p>
            <w:pPr>
              <w:pStyle w:val="a1"/>
              <w:spacing w:line="280" w:lineRule="exact"/>
              <w:ind w:firstLine="0" w:firstLineChars="0"/>
              <w:jc w:val="center"/>
              <w:rPr>
                <w:sz w:val="21"/>
                <w:szCs w:val="21"/>
              </w:rPr>
            </w:pPr>
            <w:r>
              <w:rPr>
                <w:rFonts w:hint="eastAsia"/>
                <w:sz w:val="21"/>
                <w:szCs w:val="21"/>
              </w:rPr>
              <w:t>固废</w:t>
            </w:r>
          </w:p>
        </w:tc>
        <w:tc>
          <w:tcPr>
            <w:tcW w:w="1842" w:type="dxa"/>
            <w:vAlign w:val="center"/>
          </w:tcPr>
          <w:p>
            <w:pPr>
              <w:pStyle w:val="Default"/>
              <w:spacing w:line="280" w:lineRule="exact"/>
              <w:rPr>
                <w:rFonts w:ascii="Times New Roman" w:eastAsia="宋体" w:hAnsi="Times New Roman" w:cs="Times New Roman"/>
                <w:color w:val="auto"/>
                <w:sz w:val="21"/>
                <w:szCs w:val="21"/>
              </w:rPr>
            </w:pPr>
            <w:r>
              <w:rPr>
                <w:rFonts w:ascii="Times New Roman" w:eastAsia="宋体" w:hAnsi="Times New Roman" w:cs="Times New Roman" w:hint="eastAsia"/>
                <w:color w:val="auto"/>
                <w:sz w:val="21"/>
                <w:szCs w:val="21"/>
              </w:rPr>
              <w:t>生活</w:t>
            </w:r>
          </w:p>
        </w:tc>
        <w:tc>
          <w:tcPr>
            <w:tcW w:w="2694" w:type="dxa"/>
            <w:vAlign w:val="center"/>
          </w:tcPr>
          <w:p>
            <w:pPr>
              <w:pStyle w:val="Default"/>
              <w:spacing w:line="280" w:lineRule="exact"/>
              <w:rPr>
                <w:rFonts w:ascii="Times New Roman" w:eastAsia="宋体" w:hAnsi="Times New Roman" w:cs="Times New Roman"/>
                <w:color w:val="auto"/>
                <w:sz w:val="21"/>
                <w:szCs w:val="21"/>
              </w:rPr>
            </w:pPr>
            <w:r>
              <w:rPr>
                <w:rFonts w:ascii="Times New Roman" w:eastAsia="宋体" w:hAnsi="Times New Roman" w:cs="Times New Roman" w:hint="eastAsia"/>
                <w:color w:val="auto"/>
                <w:sz w:val="21"/>
                <w:szCs w:val="21"/>
              </w:rPr>
              <w:t>生活垃圾</w:t>
            </w:r>
          </w:p>
        </w:tc>
        <w:tc>
          <w:tcPr>
            <w:tcW w:w="3878" w:type="dxa"/>
            <w:vAlign w:val="center"/>
          </w:tcPr>
          <w:p>
            <w:pPr>
              <w:spacing w:line="280" w:lineRule="exact"/>
              <w:ind w:firstLine="0" w:firstLineChars="0"/>
              <w:jc w:val="center"/>
            </w:pPr>
            <w:r>
              <w:rPr>
                <w:rFonts w:hint="eastAsia"/>
              </w:rPr>
              <w:t>环卫部门统一清运</w:t>
            </w:r>
          </w:p>
        </w:tc>
      </w:tr>
      <w:tr>
        <w:tblPrEx>
          <w:tblW w:w="9515" w:type="dxa"/>
          <w:jc w:val="center"/>
          <w:tblLayout w:type="fixed"/>
          <w:tblCellMar>
            <w:top w:w="0" w:type="dxa"/>
            <w:left w:w="108" w:type="dxa"/>
            <w:bottom w:w="0" w:type="dxa"/>
            <w:right w:w="108" w:type="dxa"/>
          </w:tblCellMar>
        </w:tblPrEx>
        <w:trPr>
          <w:trHeight w:val="165"/>
          <w:jc w:val="center"/>
        </w:trPr>
        <w:tc>
          <w:tcPr>
            <w:tcW w:w="1101" w:type="dxa"/>
            <w:vMerge/>
            <w:vAlign w:val="center"/>
          </w:tcPr>
          <w:p>
            <w:pPr>
              <w:pStyle w:val="a1"/>
              <w:spacing w:line="280" w:lineRule="exact"/>
              <w:ind w:firstLine="0" w:firstLineChars="0"/>
              <w:jc w:val="center"/>
              <w:rPr>
                <w:sz w:val="21"/>
                <w:szCs w:val="21"/>
              </w:rPr>
            </w:pPr>
          </w:p>
        </w:tc>
        <w:tc>
          <w:tcPr>
            <w:tcW w:w="1842" w:type="dxa"/>
            <w:vMerge w:val="restart"/>
            <w:vAlign w:val="center"/>
          </w:tcPr>
          <w:p>
            <w:pPr>
              <w:pStyle w:val="Default"/>
              <w:spacing w:line="280" w:lineRule="exact"/>
              <w:rPr>
                <w:rFonts w:ascii="Times New Roman" w:eastAsia="宋体" w:hAnsi="Times New Roman" w:cs="Times New Roman"/>
                <w:color w:val="auto"/>
                <w:sz w:val="21"/>
                <w:szCs w:val="21"/>
              </w:rPr>
            </w:pPr>
            <w:r>
              <w:rPr>
                <w:rFonts w:ascii="Times New Roman" w:eastAsia="宋体" w:hAnsi="Times New Roman" w:cs="Times New Roman" w:hint="eastAsia"/>
                <w:color w:val="auto"/>
                <w:sz w:val="21"/>
                <w:szCs w:val="21"/>
              </w:rPr>
              <w:t>生产</w:t>
            </w:r>
          </w:p>
        </w:tc>
        <w:tc>
          <w:tcPr>
            <w:tcW w:w="2694" w:type="dxa"/>
            <w:vAlign w:val="center"/>
          </w:tcPr>
          <w:p>
            <w:pPr>
              <w:pStyle w:val="Default"/>
              <w:spacing w:line="280" w:lineRule="exact"/>
              <w:rPr>
                <w:rFonts w:ascii="Times New Roman" w:eastAsia="宋体" w:hAnsi="Times New Roman" w:cs="Times New Roman"/>
                <w:color w:val="auto"/>
                <w:sz w:val="21"/>
                <w:szCs w:val="21"/>
              </w:rPr>
            </w:pPr>
            <w:r>
              <w:rPr>
                <w:rFonts w:ascii="Times New Roman" w:eastAsia="宋体" w:hAnsi="Times New Roman" w:cs="Times New Roman" w:hint="eastAsia"/>
                <w:color w:val="auto"/>
                <w:sz w:val="21"/>
                <w:szCs w:val="21"/>
              </w:rPr>
              <w:t>报废钢瓶</w:t>
            </w:r>
          </w:p>
        </w:tc>
        <w:tc>
          <w:tcPr>
            <w:tcW w:w="3878" w:type="dxa"/>
            <w:vAlign w:val="center"/>
          </w:tcPr>
          <w:p>
            <w:pPr>
              <w:spacing w:line="280" w:lineRule="exact"/>
              <w:ind w:firstLine="0" w:firstLineChars="0"/>
              <w:jc w:val="center"/>
            </w:pPr>
            <w:r>
              <w:rPr>
                <w:rFonts w:hint="eastAsia"/>
                <w:bCs/>
              </w:rPr>
              <w:t>中国石化销售股份有限公司海口钢瓶检测站检测回收处置</w:t>
            </w:r>
          </w:p>
        </w:tc>
      </w:tr>
      <w:tr>
        <w:tblPrEx>
          <w:tblW w:w="9515" w:type="dxa"/>
          <w:jc w:val="center"/>
          <w:tblLayout w:type="fixed"/>
          <w:tblCellMar>
            <w:top w:w="0" w:type="dxa"/>
            <w:left w:w="108" w:type="dxa"/>
            <w:bottom w:w="0" w:type="dxa"/>
            <w:right w:w="108" w:type="dxa"/>
          </w:tblCellMar>
        </w:tblPrEx>
        <w:trPr>
          <w:trHeight w:val="135"/>
          <w:jc w:val="center"/>
        </w:trPr>
        <w:tc>
          <w:tcPr>
            <w:tcW w:w="1101" w:type="dxa"/>
            <w:vMerge/>
            <w:vAlign w:val="center"/>
          </w:tcPr>
          <w:p>
            <w:pPr>
              <w:pStyle w:val="a1"/>
              <w:spacing w:line="280" w:lineRule="exact"/>
              <w:ind w:firstLine="0" w:firstLineChars="0"/>
              <w:jc w:val="center"/>
              <w:rPr>
                <w:sz w:val="21"/>
                <w:szCs w:val="21"/>
              </w:rPr>
            </w:pPr>
          </w:p>
        </w:tc>
        <w:tc>
          <w:tcPr>
            <w:tcW w:w="1842" w:type="dxa"/>
            <w:vMerge/>
            <w:vAlign w:val="center"/>
          </w:tcPr>
          <w:p>
            <w:pPr>
              <w:pStyle w:val="Default"/>
              <w:spacing w:line="280" w:lineRule="exact"/>
              <w:rPr>
                <w:rFonts w:ascii="Times New Roman" w:eastAsia="宋体" w:hAnsi="Times New Roman" w:cs="Times New Roman"/>
                <w:color w:val="auto"/>
                <w:sz w:val="21"/>
                <w:szCs w:val="21"/>
              </w:rPr>
            </w:pPr>
          </w:p>
        </w:tc>
        <w:tc>
          <w:tcPr>
            <w:tcW w:w="2694" w:type="dxa"/>
            <w:vAlign w:val="center"/>
          </w:tcPr>
          <w:p>
            <w:pPr>
              <w:pStyle w:val="Default"/>
              <w:spacing w:line="280" w:lineRule="exact"/>
              <w:rPr>
                <w:rFonts w:ascii="Times New Roman" w:eastAsia="宋体" w:hAnsi="Times New Roman" w:cs="Times New Roman"/>
                <w:color w:val="auto"/>
                <w:sz w:val="21"/>
                <w:szCs w:val="21"/>
              </w:rPr>
            </w:pPr>
            <w:r>
              <w:rPr>
                <w:rFonts w:ascii="Times New Roman" w:eastAsia="宋体" w:hAnsi="Times New Roman" w:cs="Times New Roman" w:hint="eastAsia"/>
                <w:color w:val="auto"/>
                <w:sz w:val="21"/>
                <w:szCs w:val="21"/>
              </w:rPr>
              <w:t>液化石油气残液</w:t>
            </w:r>
          </w:p>
        </w:tc>
        <w:tc>
          <w:tcPr>
            <w:tcW w:w="3878" w:type="dxa"/>
            <w:vAlign w:val="center"/>
          </w:tcPr>
          <w:p>
            <w:pPr>
              <w:spacing w:line="280" w:lineRule="exact"/>
              <w:ind w:firstLine="0" w:firstLineChars="0"/>
              <w:jc w:val="center"/>
            </w:pPr>
            <w:r>
              <w:rPr>
                <w:rFonts w:eastAsiaTheme="minorEastAsia" w:hAnsiTheme="minorEastAsia" w:hint="eastAsia"/>
              </w:rPr>
              <w:t>海南宝来工贸有限公司定期收集处置</w:t>
            </w:r>
          </w:p>
        </w:tc>
      </w:tr>
    </w:tbl>
    <w:p>
      <w:pPr>
        <w:pStyle w:val="a1"/>
        <w:spacing w:before="156" w:beforeLines="50"/>
        <w:ind w:firstLine="562"/>
        <w:outlineLvl w:val="0"/>
        <w:rPr>
          <w:rFonts w:ascii="黑体" w:eastAsia="黑体" w:hAnsi="黑体"/>
          <w:b/>
          <w:sz w:val="28"/>
        </w:rPr>
      </w:pPr>
      <w:r>
        <w:rPr>
          <w:rFonts w:ascii="黑体" w:eastAsia="黑体" w:hAnsi="黑体" w:hint="eastAsia"/>
          <w:b/>
          <w:sz w:val="28"/>
        </w:rPr>
        <w:t>四、</w:t>
      </w:r>
      <w:r>
        <w:rPr>
          <w:rFonts w:ascii="黑体" w:eastAsia="黑体" w:hAnsi="黑体"/>
          <w:b/>
          <w:sz w:val="28"/>
        </w:rPr>
        <w:t>现有项目</w:t>
      </w:r>
      <w:r>
        <w:rPr>
          <w:rFonts w:ascii="黑体" w:eastAsia="黑体" w:hAnsi="黑体" w:hint="eastAsia"/>
          <w:b/>
          <w:sz w:val="28"/>
        </w:rPr>
        <w:t>总量</w:t>
      </w:r>
      <w:r>
        <w:rPr>
          <w:rFonts w:ascii="黑体" w:eastAsia="黑体" w:hAnsi="黑体"/>
          <w:b/>
          <w:sz w:val="28"/>
        </w:rPr>
        <w:t>控制指标</w:t>
      </w:r>
    </w:p>
    <w:p>
      <w:pPr>
        <w:pStyle w:val="a1"/>
        <w:ind w:firstLine="480"/>
      </w:pPr>
      <w:r>
        <w:rPr>
          <w:rFonts w:hint="eastAsia"/>
        </w:rPr>
        <w:t>现有项目不产生生产废水，生活污水及食堂废水通过化粪池收集处理后用于周边农地施肥。大气污染物主要为非甲烷总烃的无组织排放，因此项目未设置总量控制指标。</w:t>
      </w:r>
    </w:p>
    <w:p>
      <w:pPr>
        <w:pStyle w:val="a1"/>
        <w:spacing w:before="156" w:beforeLines="50"/>
        <w:ind w:firstLine="562"/>
        <w:outlineLvl w:val="0"/>
        <w:rPr>
          <w:rFonts w:ascii="黑体" w:eastAsia="黑体" w:hAnsi="黑体"/>
          <w:b/>
          <w:sz w:val="28"/>
        </w:rPr>
      </w:pPr>
      <w:r>
        <w:rPr>
          <w:rFonts w:ascii="黑体" w:eastAsia="黑体" w:hAnsi="黑体" w:hint="eastAsia"/>
          <w:b/>
          <w:sz w:val="28"/>
        </w:rPr>
        <w:t>五</w:t>
      </w:r>
      <w:r>
        <w:rPr>
          <w:rFonts w:ascii="黑体" w:eastAsia="黑体" w:hAnsi="黑体"/>
          <w:b/>
          <w:sz w:val="28"/>
        </w:rPr>
        <w:t>、现有项目存在的主要环境问题及</w:t>
      </w:r>
      <w:r>
        <w:rPr>
          <w:rFonts w:ascii="黑体" w:eastAsia="黑体" w:hAnsi="黑体" w:hint="eastAsia"/>
          <w:b/>
          <w:sz w:val="28"/>
        </w:rPr>
        <w:t>整改</w:t>
      </w:r>
      <w:r>
        <w:rPr>
          <w:rFonts w:ascii="黑体" w:eastAsia="黑体" w:hAnsi="黑体"/>
          <w:b/>
          <w:sz w:val="28"/>
        </w:rPr>
        <w:t>措施</w:t>
      </w:r>
    </w:p>
    <w:p>
      <w:pPr>
        <w:pStyle w:val="a1"/>
        <w:ind w:firstLine="480"/>
      </w:pPr>
      <w:r>
        <w:rPr>
          <w:rFonts w:hint="eastAsia"/>
        </w:rPr>
        <w:t>根据现场调查，现有项目建成投产至今，未发生过重大环境污染事故，未发生周边企业、居民环保投诉、未产生环境纠纷事件。</w:t>
      </w:r>
    </w:p>
    <w:p>
      <w:pPr>
        <w:pStyle w:val="a1"/>
        <w:ind w:firstLine="480"/>
      </w:pPr>
      <w:r>
        <w:rPr>
          <w:rFonts w:hint="eastAsia"/>
        </w:rPr>
        <w:t>现有项目存在的主要环境问题为：食堂废水未设置隔油装置处理；</w:t>
      </w:r>
    </w:p>
    <w:p>
      <w:pPr>
        <w:pStyle w:val="a1"/>
        <w:ind w:firstLine="480"/>
        <w:rPr>
          <w:kern w:val="0"/>
          <w:szCs w:val="24"/>
        </w:rPr>
        <w:sectPr>
          <w:headerReference w:type="even" r:id="rId247"/>
          <w:headerReference w:type="default" r:id="rId248"/>
          <w:footerReference w:type="even" r:id="rId249"/>
          <w:footerReference w:type="default" r:id="rId250"/>
          <w:headerReference w:type="first" r:id="rId251"/>
          <w:footerReference w:type="first" r:id="rId252"/>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20"/>
          <w:cols w:num="1" w:space="720"/>
          <w:titlePg w:val="0"/>
          <w:docGrid w:type="linesAndChars" w:linePitch="312" w:charSpace="0"/>
        </w:sectPr>
      </w:pPr>
      <w:r>
        <w:rPr>
          <w:rFonts w:hint="eastAsia"/>
        </w:rPr>
        <w:t>整改措施：</w:t>
      </w:r>
      <w:r>
        <w:rPr>
          <w:rFonts w:hint="eastAsia"/>
          <w:kern w:val="0"/>
          <w:szCs w:val="24"/>
        </w:rPr>
        <w:t>在食堂废水出口处设置隔油装置（0.5m</w:t>
      </w:r>
      <w:r>
        <w:rPr>
          <w:rFonts w:hint="eastAsia"/>
          <w:kern w:val="0"/>
          <w:szCs w:val="24"/>
          <w:vertAlign w:val="superscript"/>
        </w:rPr>
        <w:t>3</w:t>
      </w:r>
      <w:r>
        <w:rPr>
          <w:rFonts w:hint="eastAsia"/>
          <w:kern w:val="0"/>
          <w:szCs w:val="24"/>
        </w:rPr>
        <w:t>），食堂废水经隔油处理后同生活污水一同经化粪池处理后</w:t>
      </w:r>
      <w:r>
        <w:rPr>
          <w:rFonts w:eastAsia="瀹嬩綋" w:hint="eastAsia"/>
        </w:rPr>
        <w:t>定期由周边农户清掏用于其农地施肥</w:t>
      </w:r>
    </w:p>
    <w:p>
      <w:pPr>
        <w:sectPr>
          <w:headerReference w:type="even" r:id="rId253"/>
          <w:headerReference w:type="default" r:id="rId254"/>
          <w:footerReference w:type="even" r:id="rId255"/>
          <w:footerReference w:type="default" r:id="rId256"/>
          <w:headerReference w:type="first" r:id="rId257"/>
          <w:footerReference w:type="first" r:id="rId258"/>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480"/>
        <w:rPr>
          <w:kern w:val="0"/>
          <w:szCs w:val="24"/>
        </w:rPr>
        <w:sectPr>
          <w:headerReference w:type="even" r:id="rId259"/>
          <w:headerReference w:type="default" r:id="rId260"/>
          <w:footerReference w:type="even" r:id="rId261"/>
          <w:footerReference w:type="default" r:id="rId262"/>
          <w:headerReference w:type="first" r:id="rId263"/>
          <w:footerReference w:type="first" r:id="rId264"/>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21"/>
          <w:cols w:num="1" w:space="720"/>
          <w:titlePg w:val="0"/>
          <w:docGrid w:type="linesAndChars" w:linePitch="312" w:charSpace="0"/>
        </w:sectPr>
      </w:pPr>
      <w:r>
        <w:rPr>
          <w:rFonts w:hint="eastAsia"/>
          <w:kern w:val="0"/>
          <w:szCs w:val="24"/>
        </w:rPr>
        <w:t>；同时，隔油装置产生的油泥</w:t>
      </w:r>
      <w:r>
        <w:rPr>
          <w:rFonts w:hint="eastAsia"/>
          <w:bCs/>
        </w:rPr>
        <w:t>由有资质的单位定期清掏处置。</w:t>
      </w:r>
    </w:p>
    <w:p>
      <w:pPr>
        <w:sectPr>
          <w:headerReference w:type="even" r:id="rId265"/>
          <w:headerReference w:type="default" r:id="rId266"/>
          <w:footerReference w:type="even" r:id="rId267"/>
          <w:footerReference w:type="default" r:id="rId268"/>
          <w:headerReference w:type="first" r:id="rId269"/>
          <w:footerReference w:type="first" r:id="rId270"/>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480"/>
      </w:pPr>
      <w:r>
        <w:rPr>
          <w:rFonts w:eastAsia="黑体"/>
          <w:sz w:val="28"/>
        </w:rPr>
        <w:pict>
          <v:shape id="文本框 232" o:spid="_x0000_s1027" type="#_x0000_t202" style="width:461.25pt;height:31.2pt;margin-top:31.5pt;margin-left:66pt;mso-height-relative:page;mso-position-horizontal-relative:page;mso-position-vertical-relative:page;mso-width-relative:page;position:absolute;z-index:251660288" coordsize="21600,21600" filled="f" stroked="f">
            <v:stroke joinstyle="miter"/>
            <v:textbox inset="0,0,0,0">
              <w:txbxContent>
                <w:p>
                  <w:pPr>
                    <w:spacing w:after="156" w:afterLines="50"/>
                    <w:ind w:firstLine="0" w:firstLineChars="0"/>
                    <w:jc w:val="left"/>
                    <w:rPr>
                      <w:rFonts w:ascii="黑体" w:eastAsia="黑体" w:hAnsi="黑体"/>
                      <w:sz w:val="32"/>
                    </w:rPr>
                  </w:pPr>
                  <w:r>
                    <w:rPr>
                      <w:rFonts w:eastAsia="黑体" w:hint="eastAsia"/>
                      <w:sz w:val="32"/>
                    </w:rPr>
                    <w:t>建设项目所在地自然环境简况</w:t>
                  </w:r>
                  <w:r>
                    <w:rPr>
                      <w:rFonts w:ascii="黑体" w:eastAsia="黑体" w:hAnsi="黑体" w:hint="eastAsia"/>
                      <w:sz w:val="32"/>
                    </w:rPr>
                    <w:t>(表二)</w:t>
                  </w:r>
                </w:p>
              </w:txbxContent>
            </v:textbox>
          </v:shape>
        </w:pict>
      </w:r>
      <w:r>
        <w:rPr>
          <w:rFonts w:eastAsia="黑体" w:hint="eastAsia"/>
          <w:sz w:val="28"/>
        </w:rPr>
        <w:t>自然环境简况（地形、地貌、地质、气象、水文、植被、生物多样性等）：</w:t>
      </w:r>
    </w:p>
    <w:p>
      <w:pPr>
        <w:pStyle w:val="a1"/>
        <w:ind w:firstLine="560"/>
        <w:outlineLvl w:val="0"/>
        <w:rPr>
          <w:rFonts w:eastAsia="黑体"/>
          <w:sz w:val="28"/>
        </w:rPr>
      </w:pPr>
      <w:r>
        <w:rPr>
          <w:rFonts w:eastAsia="黑体"/>
          <w:sz w:val="28"/>
        </w:rPr>
        <w:t>一、地理位置</w:t>
      </w:r>
    </w:p>
    <w:p>
      <w:pPr>
        <w:pStyle w:val="a1"/>
        <w:ind w:firstLine="480"/>
        <w:rPr>
          <w:szCs w:val="20"/>
        </w:rPr>
      </w:pPr>
      <w:r>
        <w:rPr>
          <w:rFonts w:hint="eastAsia"/>
          <w:szCs w:val="20"/>
        </w:rPr>
        <w:t>文昌市位于海南省东北部，地处东经110°28′至111°03′，北纬19°20′至20°10′之间，东南和北面是南海和琼州海峡，西面与琼山市相邻，西南面与定安县和琼海市接壤。全市平面轮廓近似半月形，南北长99公里，东西宽65公里，环疆长285公里，全市土地面积2347.48平方公里，折合352.万亩。占全省的7%。文昌市东北南三面临海，海域辽阔，海岸线长206.7公里，有大小港湾40个，海域面积2347.98平方公里，折合352.2万亩。</w:t>
      </w:r>
    </w:p>
    <w:p>
      <w:pPr>
        <w:pStyle w:val="a1"/>
        <w:ind w:firstLine="480"/>
        <w:rPr>
          <w:szCs w:val="20"/>
        </w:rPr>
      </w:pPr>
      <w:r>
        <w:rPr>
          <w:rFonts w:hint="eastAsia"/>
          <w:szCs w:val="20"/>
        </w:rPr>
        <w:t>文教镇位于文昌市域东部，距离文城镇20公里、距离海口市区约95公里，北邻昌洒镇（文昌东部的农产品加工和集散中心、宋氏祖居所在地）；东邻龙楼镇（航天发射场和航天主题公园所在地）；南与东郊镇（东郊椰林景区）接壤；西与东阁镇、西北与宝芳镇相邻。镇域内有一条文教河，南北向穿过文教，流入八门湾，与大海相连。文（昌）——铜（鼓岭）公路穿越镇域腹地，境内全长约8公里，交通便捷，是文昌市西南部乡镇的交通枢纽。</w:t>
      </w:r>
    </w:p>
    <w:p>
      <w:pPr>
        <w:pStyle w:val="a1"/>
        <w:ind w:firstLine="480"/>
      </w:pPr>
      <w:r>
        <w:rPr>
          <w:rFonts w:hint="eastAsia"/>
        </w:rPr>
        <w:t>本项目位于</w:t>
      </w:r>
      <w:r>
        <w:rPr>
          <w:rFonts w:hint="eastAsia"/>
          <w:szCs w:val="24"/>
        </w:rPr>
        <w:t>海南省文昌市文教镇宝藏解放坡，项目中心经纬度为：</w:t>
      </w:r>
      <w:r>
        <w:t>东经</w:t>
      </w:r>
      <w:r>
        <w:rPr>
          <w:rFonts w:hint="eastAsia"/>
        </w:rPr>
        <w:t>1</w:t>
      </w:r>
      <w:r>
        <w:t>10.908007533，北纬</w:t>
      </w:r>
      <w:r>
        <w:rPr>
          <w:rFonts w:hint="eastAsia"/>
        </w:rPr>
        <w:t>19.</w:t>
      </w:r>
      <w:r>
        <w:t>689398820</w:t>
      </w:r>
      <w:r>
        <w:rPr>
          <w:rFonts w:hint="eastAsia"/>
        </w:rPr>
        <w:t>，</w:t>
      </w:r>
      <w:r>
        <w:rPr>
          <w:rFonts w:hint="eastAsia"/>
          <w:bCs/>
        </w:rPr>
        <w:t>地理位置图见附图1。</w:t>
      </w:r>
    </w:p>
    <w:p>
      <w:pPr>
        <w:pStyle w:val="a1"/>
        <w:ind w:firstLine="560"/>
        <w:outlineLvl w:val="0"/>
        <w:rPr>
          <w:rFonts w:eastAsia="黑体"/>
          <w:sz w:val="28"/>
        </w:rPr>
      </w:pPr>
      <w:r>
        <w:rPr>
          <w:rFonts w:eastAsia="黑体" w:hint="eastAsia"/>
          <w:sz w:val="28"/>
        </w:rPr>
        <w:t>二、</w:t>
      </w:r>
      <w:r>
        <w:rPr>
          <w:rFonts w:eastAsia="黑体"/>
          <w:sz w:val="28"/>
        </w:rPr>
        <w:t>地形、地貌</w:t>
      </w:r>
    </w:p>
    <w:p>
      <w:pPr>
        <w:pStyle w:val="a1"/>
        <w:ind w:firstLine="480"/>
      </w:pPr>
      <w:r>
        <w:rPr>
          <w:rFonts w:hint="eastAsia"/>
        </w:rPr>
        <w:t>文教镇域地貌类型属海积台地和海积冲积平原，地势西北高，东南低，地势总体平坦，局部丘陵，但起伏不大，海拔约30米。西北部是山坑田，东南部是低洼地，海拔约10米，易涝。土壤大致分为河流冲积土、红色沙壤土、白色沙壤土三种，西南部土地较为肥沃。另外海南岛著名的王五-文教断裂带穿过文教镇域。</w:t>
      </w:r>
    </w:p>
    <w:p>
      <w:pPr>
        <w:pStyle w:val="a1"/>
        <w:ind w:firstLine="480"/>
      </w:pPr>
      <w:r>
        <w:rPr>
          <w:rFonts w:hint="eastAsia"/>
        </w:rPr>
        <w:t>本项目为在原有项目用地内进行改扩建，未新增用地，项目用地范围地形平坦。</w:t>
      </w:r>
    </w:p>
    <w:p>
      <w:pPr>
        <w:pStyle w:val="a1"/>
        <w:ind w:firstLine="560"/>
        <w:outlineLvl w:val="0"/>
        <w:rPr>
          <w:rFonts w:eastAsia="黑体"/>
          <w:sz w:val="28"/>
        </w:rPr>
      </w:pPr>
      <w:r>
        <w:rPr>
          <w:rFonts w:eastAsia="黑体"/>
          <w:sz w:val="28"/>
        </w:rPr>
        <w:t>三、气候特征</w:t>
      </w:r>
    </w:p>
    <w:p>
      <w:pPr>
        <w:pStyle w:val="a1"/>
        <w:ind w:firstLine="480"/>
        <w:sectPr>
          <w:headerReference w:type="even" r:id="rId271"/>
          <w:headerReference w:type="default" r:id="rId272"/>
          <w:footerReference w:type="even" r:id="rId273"/>
          <w:footerReference w:type="default" r:id="rId274"/>
          <w:headerReference w:type="first" r:id="rId275"/>
          <w:footerReference w:type="first" r:id="rId276"/>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22"/>
          <w:cols w:num="1" w:space="720"/>
          <w:titlePg w:val="0"/>
          <w:docGrid w:type="linesAndChars" w:linePitch="312" w:charSpace="0"/>
        </w:sectPr>
      </w:pPr>
      <w:r>
        <w:rPr>
          <w:rFonts w:hint="eastAsia"/>
        </w:rPr>
        <w:t>文昌市地处热带北缘，位于北回归线以南，三面环海，属热带海洋性季风气候，其特点是气候较为温和，终年无霜，冬无严寒，夏无酷暑，雨水充沛（每年5~6月及8~10月为雨季），常年</w:t>
      </w:r>
      <w:r>
        <w:t>降雨量</w:t>
      </w:r>
      <w:r>
        <w:rPr>
          <w:rFonts w:hint="eastAsia"/>
        </w:rPr>
        <w:t>1721.6</w:t>
      </w:r>
      <w:r>
        <w:t>mm，平均</w:t>
      </w:r>
      <w:r>
        <w:rPr>
          <w:rFonts w:hint="eastAsia"/>
        </w:rPr>
        <w:t>1529.8</w:t>
      </w:r>
      <w:r>
        <w:t>~</w:t>
      </w:r>
      <w:r>
        <w:rPr>
          <w:rFonts w:hint="eastAsia"/>
        </w:rPr>
        <w:t>1948.6mm，年雨日140天，暴雨日数6~7天。常年平均湿度为</w:t>
      </w:r>
      <w:r>
        <w:t>87</w:t>
      </w:r>
      <w:r>
        <w:rPr>
          <w:rFonts w:hint="eastAsia"/>
        </w:rPr>
        <w:t>%，最小湿度为</w:t>
      </w:r>
      <w:r>
        <w:t>34</w:t>
      </w:r>
      <w:r>
        <w:rPr>
          <w:rFonts w:hint="eastAsia"/>
        </w:rPr>
        <w:t>%，春、夏季相对湿度较大。年平均温度为24℃。常年最高温度为36.9℃。最低温度为0.3-6.6℃。</w:t>
      </w:r>
    </w:p>
    <w:p>
      <w:pPr>
        <w:sectPr>
          <w:headerReference w:type="even" r:id="rId277"/>
          <w:headerReference w:type="default" r:id="rId278"/>
          <w:footerReference w:type="even" r:id="rId279"/>
          <w:footerReference w:type="default" r:id="rId280"/>
          <w:headerReference w:type="first" r:id="rId281"/>
          <w:footerReference w:type="first" r:id="rId282"/>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480"/>
      </w:pPr>
      <w:r>
        <w:rPr>
          <w:rFonts w:hint="eastAsia"/>
        </w:rPr>
        <w:t>项目所在地风玫瑰图见图2-1。</w:t>
      </w:r>
    </w:p>
    <w:p>
      <w:pPr>
        <w:pStyle w:val="a1"/>
        <w:ind w:firstLine="0" w:firstLineChars="0"/>
        <w:jc w:val="center"/>
      </w:pPr>
      <w:r>
        <w:drawing>
          <wp:inline distT="0" distB="0" distL="0" distR="0">
            <wp:extent cx="890905" cy="1223010"/>
            <wp:effectExtent l="0" t="0" r="0" b="0"/>
            <wp:docPr id="14" name="图片 14" descr="F:\Documents\Desktop\中国石化销售有限公司海南文昌文教供气站项目\CAD源\风玫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Documents\Desktop\中国石化销售有限公司海南文昌文教供气站项目\CAD源\风玫瑰.jpg"/>
                    <pic:cNvPicPr>
                      <a:picLocks noChangeAspect="1" noChangeArrowheads="1"/>
                    </pic:cNvPicPr>
                  </pic:nvPicPr>
                  <pic:blipFill>
                    <a:blip xmlns:r="http://schemas.openxmlformats.org/officeDocument/2006/relationships" r:embed="rId283">
                      <a:extLst>
                        <a:ext xmlns:a="http://schemas.openxmlformats.org/drawingml/2006/main" uri="{28A0092B-C50C-407E-A947-70E740481C1C}">
                          <a14:useLocalDpi xmlns:a14="http://schemas.microsoft.com/office/drawing/2010/main" val="0"/>
                        </a:ext>
                      </a:extLst>
                    </a:blip>
                    <a:stretch>
                      <a:fillRect/>
                    </a:stretch>
                  </pic:blipFill>
                  <pic:spPr>
                    <a:xfrm>
                      <a:off x="0" y="0"/>
                      <a:ext cx="890905" cy="1223010"/>
                    </a:xfrm>
                    <a:prstGeom prst="rect">
                      <a:avLst/>
                    </a:prstGeom>
                    <a:noFill/>
                    <a:ln>
                      <a:noFill/>
                    </a:ln>
                  </pic:spPr>
                </pic:pic>
              </a:graphicData>
            </a:graphic>
          </wp:inline>
        </w:drawing>
      </w:r>
    </w:p>
    <w:p>
      <w:pPr>
        <w:pStyle w:val="a1"/>
        <w:ind w:firstLine="0" w:firstLineChars="0"/>
        <w:jc w:val="center"/>
        <w:rPr>
          <w:rFonts w:eastAsia="黑体"/>
          <w:sz w:val="21"/>
          <w:szCs w:val="21"/>
        </w:rPr>
      </w:pPr>
      <w:r>
        <w:rPr>
          <w:rFonts w:eastAsia="黑体" w:hint="eastAsia"/>
          <w:sz w:val="21"/>
          <w:szCs w:val="21"/>
        </w:rPr>
        <w:t>图2-1  项目所在地风玫瑰图</w:t>
      </w:r>
    </w:p>
    <w:p>
      <w:pPr>
        <w:pStyle w:val="a1"/>
        <w:ind w:firstLine="560"/>
        <w:outlineLvl w:val="0"/>
        <w:rPr>
          <w:rFonts w:eastAsia="黑体"/>
          <w:sz w:val="28"/>
        </w:rPr>
      </w:pPr>
      <w:r>
        <w:rPr>
          <w:rFonts w:eastAsia="黑体" w:hint="eastAsia"/>
          <w:sz w:val="28"/>
        </w:rPr>
        <w:t>四、</w:t>
      </w:r>
      <w:r>
        <w:rPr>
          <w:rFonts w:eastAsia="黑体"/>
          <w:sz w:val="28"/>
        </w:rPr>
        <w:t>水</w:t>
      </w:r>
      <w:r>
        <w:rPr>
          <w:rFonts w:eastAsia="黑体" w:hint="eastAsia"/>
          <w:sz w:val="28"/>
        </w:rPr>
        <w:t>文</w:t>
      </w:r>
    </w:p>
    <w:p>
      <w:pPr>
        <w:pStyle w:val="a1"/>
        <w:ind w:firstLine="480"/>
      </w:pPr>
      <w:r>
        <w:rPr>
          <w:rFonts w:hint="eastAsia"/>
        </w:rPr>
        <w:t>流经文昌市100平方公里以上的河流有文教河、珠溪河、文昌江、石壁河、北水溪五条，100平方公里以下独立出海的小河流有32条，总长556.6公里，总流域面积2384.6平方公里，年集水量39.44亿立方米，多年平均地表径流量为18.69亿立方米，平均径流模数为每平方公里26秒/公升，成为文昌市灌溉和航运的重要资源。但溪河支流短小，洪枯悬殊、易涝易旱，河水流失快，蕴藏量小，且水能不足。全市地下水理论蕴藏量为12.36亿立方米，地下水径流补给量2.62亿立方米。每年可开发量0.88亿立方米(不含地下径流水量)。总产水量28.42亿立方米，平均每人拥有量为594.6立方米，亩均占有量429.5立方米。</w:t>
      </w:r>
    </w:p>
    <w:p>
      <w:pPr>
        <w:pStyle w:val="a1"/>
        <w:ind w:firstLine="480"/>
      </w:pPr>
      <w:r>
        <w:rPr>
          <w:rFonts w:hint="eastAsia"/>
        </w:rPr>
        <w:t>项目所在区域</w:t>
      </w:r>
      <w:r>
        <w:t>主要</w:t>
      </w:r>
      <w:r>
        <w:rPr>
          <w:rFonts w:hint="eastAsia"/>
        </w:rPr>
        <w:t>地表水</w:t>
      </w:r>
      <w:r>
        <w:t>为</w:t>
      </w:r>
      <w:r>
        <w:rPr>
          <w:rFonts w:hint="eastAsia"/>
        </w:rPr>
        <w:t>项目</w:t>
      </w:r>
      <w:r>
        <w:t>西侧约</w:t>
      </w:r>
      <w:r>
        <w:rPr>
          <w:rFonts w:hint="eastAsia"/>
        </w:rPr>
        <w:t>970</w:t>
      </w:r>
      <w:r>
        <w:t>m</w:t>
      </w:r>
      <w:r>
        <w:rPr>
          <w:rFonts w:hint="eastAsia"/>
        </w:rPr>
        <w:t>处</w:t>
      </w:r>
      <w:r>
        <w:t>的</w:t>
      </w:r>
      <w:r>
        <w:rPr>
          <w:rFonts w:hint="eastAsia"/>
        </w:rPr>
        <w:t>文教河，为文昌市境内最大的河流，流域面积为约523平方公里，发源于琼山县大坡镇文德头村，干流长51公里。河水流量较大，历史最高洪水位为2.8m（1972年），校核洪水位3.4m。文教河下游为八门湾，为感潮河湾，由于坡柳水闸的作用，海潮逆流至水闸处为止，有效地保护水闸上游河水不受海潮影响，保证河流的淡水资源，利于农业灌溉和居民生活用水。</w:t>
      </w:r>
    </w:p>
    <w:p>
      <w:pPr>
        <w:pStyle w:val="a1"/>
        <w:ind w:firstLine="480"/>
      </w:pPr>
      <w:r>
        <w:rPr>
          <w:rFonts w:hint="eastAsia"/>
        </w:rPr>
        <w:t>本项目运营期仅产生生活污水及食堂废水，</w:t>
      </w:r>
      <w:r>
        <w:rPr>
          <w:rFonts w:hint="eastAsia"/>
          <w:kern w:val="0"/>
          <w:szCs w:val="24"/>
        </w:rPr>
        <w:t>食堂废水经隔油处理后同生活污水一同经化粪池处理后</w:t>
      </w:r>
      <w:r>
        <w:rPr>
          <w:rFonts w:eastAsia="瀹嬩綋" w:hint="eastAsia"/>
        </w:rPr>
        <w:t>定期由周边农户清掏用于其农地施肥，不外排</w:t>
      </w:r>
      <w:r>
        <w:rPr>
          <w:rFonts w:hint="eastAsia"/>
          <w:kern w:val="0"/>
          <w:szCs w:val="24"/>
        </w:rPr>
        <w:t>。</w:t>
      </w:r>
    </w:p>
    <w:p>
      <w:pPr>
        <w:pStyle w:val="a1"/>
        <w:ind w:firstLine="560"/>
        <w:outlineLvl w:val="0"/>
        <w:rPr>
          <w:rFonts w:eastAsia="黑体"/>
          <w:sz w:val="28"/>
        </w:rPr>
      </w:pPr>
      <w:r>
        <w:rPr>
          <w:rFonts w:eastAsia="黑体"/>
          <w:sz w:val="28"/>
        </w:rPr>
        <w:t>五、</w:t>
      </w:r>
      <w:r>
        <w:rPr>
          <w:rFonts w:eastAsia="黑体" w:hint="eastAsia"/>
          <w:sz w:val="28"/>
        </w:rPr>
        <w:t>生态环境</w:t>
      </w:r>
    </w:p>
    <w:p>
      <w:pPr>
        <w:pStyle w:val="a1"/>
        <w:ind w:firstLine="480"/>
      </w:pPr>
      <w:r>
        <w:rPr>
          <w:rFonts w:hint="eastAsia"/>
        </w:rPr>
        <w:t>文昌市土壤类型多样，有6个土类，11个亚类，41个土属，107个土种，10个变种。形成这些土壤的母质主要是：浅海沉积物、玄武岩风化物、辉长岩风化物、砂页岩风化物、花岗岩风化物和河流沉积物。因浅海积物和砂页岩风化物占的比例达67%，比重较大，这些土质是属于风化时间较短的土种，所以造成东北部地区土壤瘦瘠。</w:t>
      </w:r>
    </w:p>
    <w:p>
      <w:pPr>
        <w:pStyle w:val="a1"/>
        <w:ind w:firstLine="480"/>
        <w:sectPr>
          <w:headerReference w:type="even" r:id="rId284"/>
          <w:headerReference w:type="default" r:id="rId285"/>
          <w:footerReference w:type="even" r:id="rId286"/>
          <w:footerReference w:type="default" r:id="rId287"/>
          <w:headerReference w:type="first" r:id="rId288"/>
          <w:footerReference w:type="first" r:id="rId289"/>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23"/>
          <w:cols w:num="1" w:space="720"/>
          <w:titlePg w:val="0"/>
          <w:docGrid w:type="linesAndChars" w:linePitch="312" w:charSpace="0"/>
        </w:sectPr>
      </w:pPr>
    </w:p>
    <w:p>
      <w:pPr>
        <w:sectPr>
          <w:headerReference w:type="even" r:id="rId290"/>
          <w:headerReference w:type="default" r:id="rId291"/>
          <w:footerReference w:type="even" r:id="rId292"/>
          <w:footerReference w:type="default" r:id="rId293"/>
          <w:headerReference w:type="first" r:id="rId294"/>
          <w:footerReference w:type="first" r:id="rId295"/>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480"/>
      </w:pPr>
      <w:r>
        <w:rPr>
          <w:rFonts w:hint="eastAsia"/>
        </w:rPr>
        <w:t>文昌市植被类型为热带季风雨林区。因地近海边，海岸线长，海洋潮湿的气流不时侵入，所以沿海具有热带海岸植被景观特色。全市植被有六大类型。一是西南的低丘夹谷杂木次林热带果经济群落；二是东北部沿海防护林带和向内陆延伸的杂树短灌疏草群落；三是东北部内陆的湿性草地群落；四是东南部沿海的椰林区群落；五是北部地区的沙质土干性荒坡草地群落；六是港湾缘地红树林群落。</w:t>
      </w:r>
    </w:p>
    <w:p>
      <w:pPr>
        <w:pStyle w:val="a1"/>
        <w:ind w:firstLine="480"/>
        <w:sectPr>
          <w:headerReference w:type="even" r:id="rId296"/>
          <w:headerReference w:type="default" r:id="rId297"/>
          <w:footerReference w:type="even" r:id="rId298"/>
          <w:footerReference w:type="default" r:id="rId299"/>
          <w:headerReference w:type="first" r:id="rId300"/>
          <w:footerReference w:type="first" r:id="rId301"/>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24"/>
          <w:cols w:num="1" w:space="720"/>
          <w:titlePg w:val="0"/>
          <w:docGrid w:type="linesAndChars" w:linePitch="312" w:charSpace="0"/>
        </w:sectPr>
      </w:pPr>
      <w:r>
        <w:rPr>
          <w:rFonts w:hint="eastAsia"/>
        </w:rPr>
        <w:t>经调查，本项目评价区域内无自然保护区、无列入国家及地方保护名录的珍稀濒危动植物分布。</w:t>
      </w:r>
    </w:p>
    <w:p>
      <w:pPr>
        <w:sectPr>
          <w:headerReference w:type="even" r:id="rId302"/>
          <w:headerReference w:type="default" r:id="rId303"/>
          <w:footerReference w:type="even" r:id="rId304"/>
          <w:footerReference w:type="default" r:id="rId305"/>
          <w:headerReference w:type="first" r:id="rId306"/>
          <w:footerReference w:type="first" r:id="rId307"/>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640"/>
      </w:pPr>
      <w:r>
        <w:rPr>
          <w:rFonts w:eastAsia="黑体"/>
          <w:sz w:val="28"/>
        </w:rPr>
        <w:pict>
          <v:shape id="文本框 318" o:spid="_x0000_s1028" type="#_x0000_t202" style="width:460.15pt;height:31.2pt;margin-top:34.6pt;margin-left:66.75pt;mso-height-relative:page;mso-position-horizontal-relative:page;mso-position-vertical-relative:page;mso-width-relative:page;position:absolute;z-index:251661312" coordsize="21600,21600" filled="f" stroked="f">
            <v:stroke joinstyle="miter"/>
            <v:textbox inset="0,0,0,0">
              <w:txbxContent>
                <w:p>
                  <w:pPr>
                    <w:spacing w:after="156" w:afterLines="50"/>
                    <w:ind w:firstLine="0" w:firstLineChars="0"/>
                    <w:jc w:val="left"/>
                    <w:rPr>
                      <w:rFonts w:eastAsia="黑体"/>
                      <w:sz w:val="32"/>
                    </w:rPr>
                  </w:pPr>
                  <w:r>
                    <w:rPr>
                      <w:rFonts w:eastAsia="黑体" w:hint="eastAsia"/>
                      <w:sz w:val="32"/>
                    </w:rPr>
                    <w:t>环境质量状况</w:t>
                  </w:r>
                  <w:r>
                    <w:rPr>
                      <w:rFonts w:ascii="黑体" w:eastAsia="黑体" w:hAnsi="黑体" w:hint="eastAsia"/>
                      <w:sz w:val="32"/>
                    </w:rPr>
                    <w:t>(表三)</w:t>
                  </w:r>
                </w:p>
              </w:txbxContent>
            </v:textbox>
          </v:shape>
        </w:pict>
      </w:r>
      <w:r>
        <w:rPr>
          <w:rFonts w:eastAsia="黑体" w:hint="eastAsia"/>
          <w:sz w:val="28"/>
        </w:rPr>
        <w:t>建设项目所在地区域环境质量现状及主要环境问题（环境空气、地表水、地下水、声环境、生态环境等）：</w:t>
      </w:r>
    </w:p>
    <w:p>
      <w:pPr>
        <w:pStyle w:val="a1"/>
        <w:ind w:firstLine="480"/>
        <w:rPr>
          <w:szCs w:val="24"/>
        </w:rPr>
      </w:pPr>
      <w:r>
        <w:rPr>
          <w:rFonts w:hint="eastAsia"/>
          <w:szCs w:val="24"/>
        </w:rPr>
        <w:t>本项目</w:t>
      </w:r>
      <w:r>
        <w:rPr>
          <w:szCs w:val="24"/>
        </w:rPr>
        <w:t>位于</w:t>
      </w:r>
      <w:r>
        <w:rPr>
          <w:rFonts w:hint="eastAsia"/>
          <w:szCs w:val="24"/>
        </w:rPr>
        <w:t>海南省文昌市文教镇宝藏解放坡</w:t>
      </w:r>
      <w:r>
        <w:rPr>
          <w:szCs w:val="24"/>
        </w:rPr>
        <w:t>，</w:t>
      </w:r>
      <w:r>
        <w:rPr>
          <w:rFonts w:hint="eastAsia"/>
          <w:szCs w:val="24"/>
        </w:rPr>
        <w:t>为了反映项目建设区域环境质量现状，项目委托海南中特环境监测技术有限公司对项目所在区域内环境空气、声环境质量进行了现状监测，项目监测点位布置图见附图5。</w:t>
      </w:r>
    </w:p>
    <w:p>
      <w:pPr>
        <w:pStyle w:val="a1"/>
        <w:ind w:firstLine="560"/>
        <w:outlineLvl w:val="0"/>
        <w:rPr>
          <w:rFonts w:eastAsia="黑体"/>
          <w:sz w:val="28"/>
        </w:rPr>
      </w:pPr>
      <w:r>
        <w:rPr>
          <w:rFonts w:eastAsia="黑体" w:hint="eastAsia"/>
          <w:sz w:val="28"/>
        </w:rPr>
        <w:t>一</w:t>
      </w:r>
      <w:r>
        <w:rPr>
          <w:rFonts w:eastAsia="黑体"/>
          <w:sz w:val="28"/>
        </w:rPr>
        <w:t>、环境空气质量现状</w:t>
      </w:r>
      <w:r>
        <w:rPr>
          <w:rFonts w:eastAsia="黑体" w:hint="eastAsia"/>
          <w:sz w:val="28"/>
        </w:rPr>
        <w:t>调查与评价</w:t>
      </w:r>
    </w:p>
    <w:p>
      <w:pPr>
        <w:pStyle w:val="a1"/>
        <w:ind w:firstLine="480"/>
      </w:pPr>
      <w:r>
        <w:rPr>
          <w:rFonts w:hint="eastAsia"/>
        </w:rPr>
        <w:t>项目所在</w:t>
      </w:r>
      <w:r>
        <w:t>区域属于环境空气二类区，大气环境执行《环境空气质量标准》(GB3095-2012)中二级标准。</w:t>
      </w:r>
      <w:r>
        <w:rPr>
          <w:rFonts w:hint="eastAsia"/>
        </w:rPr>
        <w:t>根据《环境影响评价</w:t>
      </w:r>
      <w:r>
        <w:rPr>
          <w:rFonts w:eastAsiaTheme="minorEastAsia"/>
        </w:rPr>
        <w:t>技术</w:t>
      </w:r>
      <w:r>
        <w:rPr>
          <w:rFonts w:hint="eastAsia"/>
        </w:rPr>
        <w:t>导则大气环境》（</w:t>
      </w:r>
      <w:r>
        <w:t>HJ2.2-2018</w:t>
      </w:r>
      <w:r>
        <w:rPr>
          <w:rFonts w:hint="eastAsia"/>
        </w:rPr>
        <w:t>）中有关基本污染物环境质量现状数据的规定，可优先采用国家或地方生态环境主管部门公布的评价基准年（近</w:t>
      </w:r>
      <w:r>
        <w:t>3</w:t>
      </w:r>
      <w:r>
        <w:rPr>
          <w:rFonts w:hint="eastAsia"/>
        </w:rPr>
        <w:t>年中</w:t>
      </w:r>
      <w:r>
        <w:t>1</w:t>
      </w:r>
      <w:r>
        <w:rPr>
          <w:rFonts w:hint="eastAsia"/>
        </w:rPr>
        <w:t>个完整日历年）环境质量公告或环境质量报告中的数据或结论。</w:t>
      </w:r>
    </w:p>
    <w:p>
      <w:pPr>
        <w:pStyle w:val="a1"/>
        <w:ind w:firstLine="480"/>
        <w:outlineLvl w:val="1"/>
        <w:rPr>
          <w:rFonts w:eastAsia="黑体"/>
        </w:rPr>
      </w:pPr>
      <w:r>
        <w:rPr>
          <w:rFonts w:eastAsia="黑体" w:hint="eastAsia"/>
        </w:rPr>
        <w:t>1、达标情况</w:t>
      </w:r>
      <w:r>
        <w:rPr>
          <w:rFonts w:eastAsia="黑体"/>
        </w:rPr>
        <w:t>判定</w:t>
      </w:r>
    </w:p>
    <w:p>
      <w:pPr>
        <w:adjustRightInd w:val="0"/>
        <w:snapToGrid w:val="0"/>
        <w:ind w:firstLine="480"/>
        <w:rPr>
          <w:rFonts w:eastAsiaTheme="minorEastAsia"/>
          <w:snapToGrid w:val="0"/>
          <w:sz w:val="24"/>
        </w:rPr>
      </w:pPr>
      <w:r>
        <w:rPr>
          <w:rFonts w:eastAsiaTheme="minorEastAsia"/>
          <w:snapToGrid w:val="0"/>
          <w:sz w:val="24"/>
        </w:rPr>
        <w:t>根据海南省生态环境厅</w:t>
      </w:r>
      <w:r>
        <w:rPr>
          <w:rFonts w:eastAsiaTheme="minorEastAsia" w:hint="eastAsia"/>
          <w:snapToGrid w:val="0"/>
          <w:sz w:val="24"/>
        </w:rPr>
        <w:t>2020年6月5日</w:t>
      </w:r>
      <w:r>
        <w:rPr>
          <w:rFonts w:eastAsiaTheme="minorEastAsia"/>
          <w:snapToGrid w:val="0"/>
          <w:sz w:val="24"/>
        </w:rPr>
        <w:t>发布的《</w:t>
      </w:r>
      <w:r>
        <w:rPr>
          <w:rFonts w:eastAsiaTheme="minorEastAsia" w:hint="eastAsia"/>
          <w:snapToGrid w:val="0"/>
          <w:sz w:val="24"/>
        </w:rPr>
        <w:t>2019年海南省生态环境状况公报</w:t>
      </w:r>
      <w:r>
        <w:rPr>
          <w:rFonts w:eastAsiaTheme="minorEastAsia"/>
          <w:snapToGrid w:val="0"/>
          <w:sz w:val="24"/>
        </w:rPr>
        <w:t>》</w:t>
      </w:r>
      <w:r>
        <w:rPr>
          <w:rFonts w:eastAsiaTheme="minorEastAsia" w:hint="eastAsia"/>
          <w:snapToGrid w:val="0"/>
          <w:sz w:val="24"/>
        </w:rPr>
        <w:t>：“全省环境空气质量总体优良，优良天数比例为97.5%。全省二氧化硫、二氧化氮、可吸入颗粒物、细颗粒物年平均浓度分别为5、8、28、16微克/立方米，臭氧第90百分位数浓度为118微克/立方米，一氧化碳第95百分位数浓度为0.8毫克/立方米。各污染物指标远优于国家二级标准，其中</w:t>
      </w:r>
      <w:r>
        <w:rPr>
          <w:rFonts w:eastAsiaTheme="minorEastAsia"/>
          <w:sz w:val="24"/>
        </w:rPr>
        <w:t>SO</w:t>
      </w:r>
      <w:r>
        <w:rPr>
          <w:rFonts w:eastAsiaTheme="minorEastAsia"/>
          <w:sz w:val="24"/>
          <w:vertAlign w:val="subscript"/>
        </w:rPr>
        <w:t>2</w:t>
      </w:r>
      <w:r>
        <w:rPr>
          <w:rFonts w:eastAsiaTheme="minorEastAsia"/>
          <w:sz w:val="24"/>
        </w:rPr>
        <w:t>、NO</w:t>
      </w:r>
      <w:r>
        <w:rPr>
          <w:rFonts w:eastAsiaTheme="minorEastAsia"/>
          <w:sz w:val="24"/>
          <w:vertAlign w:val="subscript"/>
        </w:rPr>
        <w:t>2</w:t>
      </w:r>
      <w:r>
        <w:rPr>
          <w:rFonts w:eastAsiaTheme="minorEastAsia"/>
          <w:sz w:val="24"/>
        </w:rPr>
        <w:t>、CO、PM</w:t>
      </w:r>
      <w:r>
        <w:rPr>
          <w:rFonts w:eastAsiaTheme="minorEastAsia"/>
          <w:sz w:val="24"/>
          <w:vertAlign w:val="subscript"/>
        </w:rPr>
        <w:t>10</w:t>
      </w:r>
      <w:r>
        <w:rPr>
          <w:rFonts w:eastAsiaTheme="minorEastAsia" w:hint="eastAsia"/>
          <w:sz w:val="24"/>
        </w:rPr>
        <w:t>四项</w:t>
      </w:r>
      <w:r>
        <w:rPr>
          <w:rFonts w:eastAsiaTheme="minorEastAsia"/>
          <w:sz w:val="24"/>
        </w:rPr>
        <w:t>指标均符合国家一级标准</w:t>
      </w:r>
      <w:r>
        <w:rPr>
          <w:rFonts w:eastAsiaTheme="minorEastAsia" w:hint="eastAsia"/>
          <w:sz w:val="24"/>
        </w:rPr>
        <w:t>，</w:t>
      </w:r>
      <w:r>
        <w:rPr>
          <w:rFonts w:eastAsiaTheme="minorEastAsia"/>
          <w:sz w:val="24"/>
        </w:rPr>
        <w:t>PM</w:t>
      </w:r>
      <w:r>
        <w:rPr>
          <w:rFonts w:eastAsiaTheme="minorEastAsia"/>
          <w:sz w:val="24"/>
          <w:vertAlign w:val="subscript"/>
        </w:rPr>
        <w:t>2.5</w:t>
      </w:r>
      <w:r>
        <w:rPr>
          <w:rFonts w:eastAsiaTheme="minorEastAsia"/>
          <w:sz w:val="24"/>
        </w:rPr>
        <w:t>、O</w:t>
      </w:r>
      <w:r>
        <w:rPr>
          <w:rFonts w:eastAsiaTheme="minorEastAsia"/>
          <w:sz w:val="24"/>
          <w:vertAlign w:val="subscript"/>
        </w:rPr>
        <w:t>3</w:t>
      </w:r>
      <w:r>
        <w:rPr>
          <w:rFonts w:eastAsiaTheme="minorEastAsia" w:hint="eastAsia"/>
          <w:sz w:val="24"/>
        </w:rPr>
        <w:t>接近</w:t>
      </w:r>
      <w:r>
        <w:rPr>
          <w:rFonts w:eastAsiaTheme="minorEastAsia"/>
          <w:sz w:val="24"/>
        </w:rPr>
        <w:t>国家一级标准</w:t>
      </w:r>
      <w:r>
        <w:rPr>
          <w:rFonts w:eastAsiaTheme="minorEastAsia"/>
          <w:snapToGrid w:val="0"/>
          <w:sz w:val="24"/>
        </w:rPr>
        <w:t>。全省</w:t>
      </w:r>
      <w:r>
        <w:rPr>
          <w:rFonts w:eastAsiaTheme="minorEastAsia" w:hint="eastAsia"/>
          <w:snapToGrid w:val="0"/>
          <w:sz w:val="24"/>
        </w:rPr>
        <w:t>18个市县（不含三沙市）环境空气质量均符合国家二级标准，其中五指山市和琼中县达到国家一级标准。儋州、五指山和琼山等3个市县优良天数比例为100%；万宁、三亚、琼海、昌江、乐东、保亭、白沙等7个市县出现1~7天轻度污染，优良天数比例介于98.0%~99.7%；澄迈、临高、定安、屯昌、东方、陵水、文昌等7个市县出现12~18天轻度污染，优良天数比例介于95.0%~96.6%；海口市出现23天轻度污染，优良天数比例为93.7%。除陵水县由于燃放烟花爆竹出现1天轻度污染，超标污染物为</w:t>
      </w:r>
      <w:r>
        <w:rPr>
          <w:rFonts w:eastAsiaTheme="minorEastAsia"/>
          <w:sz w:val="24"/>
        </w:rPr>
        <w:t>PM</w:t>
      </w:r>
      <w:r>
        <w:rPr>
          <w:rFonts w:eastAsiaTheme="minorEastAsia"/>
          <w:sz w:val="24"/>
          <w:vertAlign w:val="subscript"/>
        </w:rPr>
        <w:t>2.5</w:t>
      </w:r>
      <w:r>
        <w:rPr>
          <w:rFonts w:eastAsiaTheme="minorEastAsia" w:hint="eastAsia"/>
          <w:sz w:val="24"/>
        </w:rPr>
        <w:t>外，</w:t>
      </w:r>
      <w:r>
        <w:rPr>
          <w:rFonts w:eastAsiaTheme="minorEastAsia"/>
          <w:sz w:val="24"/>
        </w:rPr>
        <w:t>其余轻度污染天超标污染物均为O</w:t>
      </w:r>
      <w:r>
        <w:rPr>
          <w:rFonts w:eastAsiaTheme="minorEastAsia"/>
          <w:sz w:val="24"/>
          <w:vertAlign w:val="subscript"/>
        </w:rPr>
        <w:t>3</w:t>
      </w:r>
      <w:r>
        <w:rPr>
          <w:rFonts w:eastAsiaTheme="minorEastAsia" w:hint="eastAsia"/>
          <w:sz w:val="24"/>
        </w:rPr>
        <w:t>。</w:t>
      </w:r>
      <w:r>
        <w:rPr>
          <w:rFonts w:eastAsiaTheme="minorEastAsia"/>
          <w:sz w:val="24"/>
        </w:rPr>
        <w:t>各市级优级天数比例介于</w:t>
      </w:r>
      <w:r>
        <w:rPr>
          <w:rFonts w:eastAsiaTheme="minorEastAsia" w:hint="eastAsia"/>
          <w:sz w:val="24"/>
        </w:rPr>
        <w:t>67.3%（临高）~94.4%（五指山）</w:t>
      </w:r>
      <w:r>
        <w:rPr>
          <w:rFonts w:eastAsiaTheme="minorEastAsia" w:hint="eastAsia"/>
          <w:snapToGrid w:val="0"/>
          <w:sz w:val="24"/>
        </w:rPr>
        <w:t>”</w:t>
      </w:r>
      <w:r>
        <w:rPr>
          <w:rFonts w:eastAsiaTheme="minorEastAsia" w:hint="eastAsia"/>
          <w:sz w:val="24"/>
        </w:rPr>
        <w:t>。</w:t>
      </w:r>
    </w:p>
    <w:p>
      <w:pPr>
        <w:adjustRightInd w:val="0"/>
        <w:snapToGrid w:val="0"/>
        <w:ind w:firstLine="480"/>
        <w:rPr>
          <w:rFonts w:eastAsia="黑体"/>
          <w:sz w:val="24"/>
          <w:szCs w:val="28"/>
        </w:rPr>
      </w:pPr>
      <w:r>
        <w:rPr>
          <w:rFonts w:eastAsiaTheme="minorEastAsia"/>
          <w:snapToGrid w:val="0"/>
          <w:sz w:val="24"/>
        </w:rPr>
        <w:t>根据</w:t>
      </w:r>
      <w:r>
        <w:rPr>
          <w:rFonts w:eastAsiaTheme="minorEastAsia"/>
          <w:sz w:val="24"/>
        </w:rPr>
        <w:t>《环境影响评价技术导则大气环境》（HJ2.2-2018）中关于项目所在区域达标判断：“城市环境空气质量达标情况指标为SO</w:t>
      </w:r>
      <w:r>
        <w:rPr>
          <w:rFonts w:eastAsiaTheme="minorEastAsia"/>
          <w:sz w:val="24"/>
          <w:vertAlign w:val="subscript"/>
        </w:rPr>
        <w:t>2</w:t>
      </w:r>
      <w:r>
        <w:rPr>
          <w:rFonts w:eastAsiaTheme="minorEastAsia"/>
          <w:sz w:val="24"/>
        </w:rPr>
        <w:t>、NO</w:t>
      </w:r>
      <w:r>
        <w:rPr>
          <w:rFonts w:eastAsiaTheme="minorEastAsia"/>
          <w:sz w:val="24"/>
          <w:vertAlign w:val="subscript"/>
        </w:rPr>
        <w:t>2</w:t>
      </w:r>
      <w:r>
        <w:rPr>
          <w:rFonts w:eastAsiaTheme="minorEastAsia"/>
          <w:sz w:val="24"/>
        </w:rPr>
        <w:t>、PM</w:t>
      </w:r>
      <w:r>
        <w:rPr>
          <w:rFonts w:eastAsiaTheme="minorEastAsia"/>
          <w:sz w:val="24"/>
          <w:vertAlign w:val="subscript"/>
        </w:rPr>
        <w:t>10</w:t>
      </w:r>
      <w:r>
        <w:rPr>
          <w:rFonts w:eastAsiaTheme="minorEastAsia"/>
          <w:sz w:val="24"/>
        </w:rPr>
        <w:t>、PM</w:t>
      </w:r>
      <w:r>
        <w:rPr>
          <w:rFonts w:eastAsiaTheme="minorEastAsia"/>
          <w:sz w:val="24"/>
          <w:vertAlign w:val="subscript"/>
        </w:rPr>
        <w:t>2.5</w:t>
      </w:r>
      <w:r>
        <w:rPr>
          <w:rFonts w:eastAsiaTheme="minorEastAsia"/>
          <w:sz w:val="24"/>
        </w:rPr>
        <w:t>、CO、O</w:t>
      </w:r>
      <w:r>
        <w:rPr>
          <w:rFonts w:eastAsiaTheme="minorEastAsia"/>
          <w:sz w:val="24"/>
          <w:vertAlign w:val="subscript"/>
        </w:rPr>
        <w:t>3</w:t>
      </w:r>
      <w:r>
        <w:rPr>
          <w:rFonts w:eastAsiaTheme="minorEastAsia"/>
          <w:sz w:val="24"/>
        </w:rPr>
        <w:t>，六项污染物全部达标即为城市环境空气质量达标。”因此，本项目所在区域环境空气质量判定为达标区。</w:t>
      </w:r>
    </w:p>
    <w:p>
      <w:pPr>
        <w:pStyle w:val="a1"/>
        <w:ind w:firstLine="480"/>
        <w:outlineLvl w:val="1"/>
        <w:rPr>
          <w:rFonts w:eastAsia="黑体"/>
        </w:rPr>
      </w:pPr>
      <w:r>
        <w:rPr>
          <w:rFonts w:eastAsia="黑体" w:hint="eastAsia"/>
        </w:rPr>
        <w:t>2、环境</w:t>
      </w:r>
      <w:r>
        <w:rPr>
          <w:rFonts w:eastAsia="黑体"/>
        </w:rPr>
        <w:t>空气质量现状监测</w:t>
      </w:r>
    </w:p>
    <w:p>
      <w:pPr>
        <w:pStyle w:val="a1"/>
        <w:ind w:firstLine="482"/>
        <w:rPr>
          <w:b/>
        </w:rPr>
        <w:sectPr>
          <w:headerReference w:type="even" r:id="rId308"/>
          <w:headerReference w:type="default" r:id="rId309"/>
          <w:footerReference w:type="even" r:id="rId310"/>
          <w:footerReference w:type="default" r:id="rId311"/>
          <w:headerReference w:type="first" r:id="rId312"/>
          <w:footerReference w:type="first" r:id="rId313"/>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25"/>
          <w:cols w:num="1" w:space="720"/>
          <w:titlePg w:val="0"/>
          <w:docGrid w:type="linesAndChars" w:linePitch="312" w:charSpace="0"/>
        </w:sectPr>
      </w:pPr>
      <w:r>
        <w:rPr>
          <w:rFonts w:hint="eastAsia"/>
          <w:b/>
        </w:rPr>
        <w:t>（1）监测因子、监测点位及监测时间</w:t>
      </w:r>
    </w:p>
    <w:p>
      <w:pPr>
        <w:sectPr>
          <w:headerReference w:type="even" r:id="rId314"/>
          <w:headerReference w:type="default" r:id="rId315"/>
          <w:footerReference w:type="even" r:id="rId316"/>
          <w:footerReference w:type="default" r:id="rId317"/>
          <w:headerReference w:type="first" r:id="rId318"/>
          <w:footerReference w:type="first" r:id="rId319"/>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480"/>
      </w:pPr>
      <w:r>
        <w:rPr>
          <w:rFonts w:hint="eastAsia"/>
        </w:rPr>
        <w:t>监测因子：非甲烷总烃。</w:t>
      </w:r>
    </w:p>
    <w:p>
      <w:pPr>
        <w:pStyle w:val="a1"/>
        <w:ind w:firstLine="480"/>
      </w:pPr>
      <w:r>
        <w:rPr>
          <w:rFonts w:hint="eastAsia"/>
        </w:rPr>
        <w:t>监测点位：1#：项目所在地下风向。</w:t>
      </w:r>
    </w:p>
    <w:p>
      <w:pPr>
        <w:pStyle w:val="a1"/>
        <w:ind w:firstLine="480"/>
      </w:pPr>
      <w:r>
        <w:rPr>
          <w:rFonts w:hint="eastAsia"/>
        </w:rPr>
        <w:t>监测时间：2020年</w:t>
      </w:r>
      <w:r>
        <w:t>6</w:t>
      </w:r>
      <w:r>
        <w:rPr>
          <w:rFonts w:hint="eastAsia"/>
        </w:rPr>
        <w:t>月2</w:t>
      </w:r>
      <w:r>
        <w:t>8</w:t>
      </w:r>
      <w:r>
        <w:rPr>
          <w:rFonts w:hint="eastAsia"/>
        </w:rPr>
        <w:t>日~7月</w:t>
      </w:r>
      <w:r>
        <w:t>4</w:t>
      </w:r>
      <w:r>
        <w:rPr>
          <w:rFonts w:hint="eastAsia"/>
        </w:rPr>
        <w:t>日。</w:t>
      </w:r>
    </w:p>
    <w:p>
      <w:pPr>
        <w:pStyle w:val="a1"/>
        <w:ind w:firstLine="482"/>
        <w:rPr>
          <w:b/>
        </w:rPr>
      </w:pPr>
      <w:r>
        <w:rPr>
          <w:rFonts w:hint="eastAsia"/>
          <w:b/>
          <w:bCs/>
        </w:rPr>
        <w:t>（2）</w:t>
      </w:r>
      <w:r>
        <w:rPr>
          <w:rFonts w:hint="eastAsia"/>
          <w:b/>
        </w:rPr>
        <w:t>监测结果</w:t>
      </w:r>
    </w:p>
    <w:p>
      <w:pPr>
        <w:pStyle w:val="a1"/>
        <w:ind w:firstLine="480"/>
      </w:pPr>
      <w:r>
        <w:rPr>
          <w:rFonts w:hint="eastAsia"/>
        </w:rPr>
        <w:t>监测结果如下表3-1所示：</w:t>
      </w:r>
    </w:p>
    <w:p>
      <w:pPr>
        <w:pStyle w:val="a23"/>
        <w:spacing w:before="156" w:after="156"/>
        <w:ind w:left="420"/>
        <w:rPr>
          <w:rFonts w:eastAsia="黑体"/>
          <w:b w:val="0"/>
          <w:sz w:val="21"/>
        </w:rPr>
      </w:pPr>
      <w:r>
        <w:rPr>
          <w:rFonts w:eastAsia="黑体"/>
          <w:b w:val="0"/>
          <w:sz w:val="21"/>
        </w:rPr>
        <w:t>表3-</w:t>
      </w:r>
      <w:r>
        <w:rPr>
          <w:rFonts w:eastAsia="黑体" w:hint="eastAsia"/>
          <w:b w:val="0"/>
          <w:sz w:val="21"/>
        </w:rPr>
        <w:t xml:space="preserve">1  </w:t>
      </w:r>
      <w:r>
        <w:rPr>
          <w:rFonts w:eastAsia="黑体"/>
          <w:b w:val="0"/>
          <w:sz w:val="21"/>
        </w:rPr>
        <w:t>环境空气监测结果</w:t>
      </w:r>
    </w:p>
    <w:tbl>
      <w:tblPr>
        <w:tblStyle w:val="TableNormal"/>
        <w:tblW w:w="9299"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
      <w:tblGrid>
        <w:gridCol w:w="2081"/>
        <w:gridCol w:w="1605"/>
        <w:gridCol w:w="1403"/>
        <w:gridCol w:w="1403"/>
        <w:gridCol w:w="1403"/>
        <w:gridCol w:w="1404"/>
      </w:tblGrid>
      <w:tr>
        <w:tblPrEx>
          <w:tblW w:w="9299"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Ex>
        <w:trPr>
          <w:trHeight w:val="839"/>
          <w:jc w:val="center"/>
        </w:trPr>
        <w:tc>
          <w:tcPr>
            <w:tcW w:w="2081" w:type="dxa"/>
            <w:vMerge w:val="restart"/>
            <w:vAlign w:val="center"/>
          </w:tcPr>
          <w:p>
            <w:pPr>
              <w:pStyle w:val="zh2"/>
              <w:adjustRightInd w:val="0"/>
              <w:snapToGrid w:val="0"/>
              <w:spacing w:line="280" w:lineRule="exact"/>
              <w:rPr>
                <w:b/>
              </w:rPr>
            </w:pPr>
            <w:r>
              <w:rPr>
                <w:b/>
              </w:rPr>
              <w:t>监测</w:t>
            </w:r>
          </w:p>
          <w:p>
            <w:pPr>
              <w:pStyle w:val="zh2"/>
              <w:adjustRightInd w:val="0"/>
              <w:snapToGrid w:val="0"/>
              <w:spacing w:line="280" w:lineRule="exact"/>
              <w:rPr>
                <w:b/>
              </w:rPr>
            </w:pPr>
            <w:r>
              <w:rPr>
                <w:b/>
              </w:rPr>
              <w:t>点位</w:t>
            </w:r>
          </w:p>
        </w:tc>
        <w:tc>
          <w:tcPr>
            <w:tcW w:w="1605" w:type="dxa"/>
            <w:vMerge w:val="restart"/>
            <w:vAlign w:val="center"/>
          </w:tcPr>
          <w:p>
            <w:pPr>
              <w:pStyle w:val="zh2"/>
              <w:adjustRightInd w:val="0"/>
              <w:snapToGrid w:val="0"/>
              <w:spacing w:line="280" w:lineRule="exact"/>
              <w:rPr>
                <w:b/>
              </w:rPr>
            </w:pPr>
            <w:r>
              <w:rPr>
                <w:b/>
              </w:rPr>
              <w:t>监测时间</w:t>
            </w:r>
          </w:p>
        </w:tc>
        <w:tc>
          <w:tcPr>
            <w:tcW w:w="5613" w:type="dxa"/>
            <w:gridSpan w:val="4"/>
            <w:vAlign w:val="center"/>
          </w:tcPr>
          <w:p>
            <w:pPr>
              <w:pStyle w:val="zh2"/>
              <w:adjustRightInd w:val="0"/>
              <w:snapToGrid w:val="0"/>
              <w:spacing w:line="280" w:lineRule="exact"/>
              <w:rPr>
                <w:b/>
              </w:rPr>
            </w:pPr>
            <w:r>
              <w:rPr>
                <w:b/>
              </w:rPr>
              <w:t>监测项目、频次及结果（单位：mg/m</w:t>
            </w:r>
            <w:r>
              <w:rPr>
                <w:b/>
                <w:vertAlign w:val="superscript"/>
              </w:rPr>
              <w:t>3</w:t>
            </w:r>
            <w:r>
              <w:rPr>
                <w:b/>
              </w:rPr>
              <w:t>）</w:t>
            </w:r>
          </w:p>
        </w:tc>
      </w:tr>
      <w:tr>
        <w:tblPrEx>
          <w:tblW w:w="9299" w:type="dxa"/>
          <w:jc w:val="center"/>
          <w:tblLayout w:type="fixed"/>
          <w:tblCellMar>
            <w:top w:w="0" w:type="dxa"/>
            <w:left w:w="0" w:type="dxa"/>
            <w:bottom w:w="0" w:type="dxa"/>
            <w:right w:w="0" w:type="dxa"/>
          </w:tblCellMar>
        </w:tblPrEx>
        <w:trPr>
          <w:trHeight w:val="280"/>
          <w:jc w:val="center"/>
        </w:trPr>
        <w:tc>
          <w:tcPr>
            <w:tcW w:w="2081" w:type="dxa"/>
            <w:vMerge/>
            <w:vAlign w:val="center"/>
          </w:tcPr>
          <w:p>
            <w:pPr>
              <w:pStyle w:val="zh2"/>
              <w:adjustRightInd w:val="0"/>
              <w:snapToGrid w:val="0"/>
              <w:spacing w:line="280" w:lineRule="exact"/>
              <w:rPr>
                <w:b/>
              </w:rPr>
            </w:pPr>
          </w:p>
        </w:tc>
        <w:tc>
          <w:tcPr>
            <w:tcW w:w="1605" w:type="dxa"/>
            <w:vMerge/>
            <w:vAlign w:val="center"/>
          </w:tcPr>
          <w:p>
            <w:pPr>
              <w:pStyle w:val="zh2"/>
              <w:adjustRightInd w:val="0"/>
              <w:snapToGrid w:val="0"/>
              <w:spacing w:line="280" w:lineRule="exact"/>
              <w:rPr>
                <w:b/>
              </w:rPr>
            </w:pPr>
          </w:p>
        </w:tc>
        <w:tc>
          <w:tcPr>
            <w:tcW w:w="1403" w:type="dxa"/>
            <w:vAlign w:val="center"/>
          </w:tcPr>
          <w:p>
            <w:pPr>
              <w:pStyle w:val="zh2"/>
              <w:adjustRightInd w:val="0"/>
              <w:snapToGrid w:val="0"/>
              <w:spacing w:line="280" w:lineRule="exact"/>
              <w:rPr>
                <w:b/>
              </w:rPr>
            </w:pPr>
            <w:r>
              <w:rPr>
                <w:rFonts w:hint="eastAsia"/>
                <w:b/>
              </w:rPr>
              <w:t>第1次</w:t>
            </w:r>
          </w:p>
        </w:tc>
        <w:tc>
          <w:tcPr>
            <w:tcW w:w="1403" w:type="dxa"/>
            <w:vAlign w:val="center"/>
          </w:tcPr>
          <w:p>
            <w:pPr>
              <w:pStyle w:val="zh2"/>
              <w:adjustRightInd w:val="0"/>
              <w:snapToGrid w:val="0"/>
              <w:spacing w:line="280" w:lineRule="exact"/>
              <w:rPr>
                <w:b/>
              </w:rPr>
            </w:pPr>
            <w:r>
              <w:rPr>
                <w:rFonts w:hint="eastAsia"/>
                <w:b/>
              </w:rPr>
              <w:t>第</w:t>
            </w:r>
            <w:r>
              <w:rPr>
                <w:b/>
              </w:rPr>
              <w:t>2</w:t>
            </w:r>
            <w:r>
              <w:rPr>
                <w:rFonts w:hint="eastAsia"/>
                <w:b/>
              </w:rPr>
              <w:t>次</w:t>
            </w:r>
          </w:p>
        </w:tc>
        <w:tc>
          <w:tcPr>
            <w:tcW w:w="1403" w:type="dxa"/>
            <w:vAlign w:val="center"/>
          </w:tcPr>
          <w:p>
            <w:pPr>
              <w:pStyle w:val="zh2"/>
              <w:adjustRightInd w:val="0"/>
              <w:snapToGrid w:val="0"/>
              <w:spacing w:line="280" w:lineRule="exact"/>
              <w:rPr>
                <w:b/>
              </w:rPr>
            </w:pPr>
            <w:r>
              <w:rPr>
                <w:rFonts w:hint="eastAsia"/>
                <w:b/>
              </w:rPr>
              <w:t>第3次</w:t>
            </w:r>
          </w:p>
        </w:tc>
        <w:tc>
          <w:tcPr>
            <w:tcW w:w="1404" w:type="dxa"/>
            <w:vAlign w:val="center"/>
          </w:tcPr>
          <w:p>
            <w:pPr>
              <w:pStyle w:val="zh2"/>
              <w:adjustRightInd w:val="0"/>
              <w:snapToGrid w:val="0"/>
              <w:spacing w:line="280" w:lineRule="exact"/>
              <w:rPr>
                <w:b/>
              </w:rPr>
            </w:pPr>
            <w:r>
              <w:rPr>
                <w:rFonts w:hint="eastAsia"/>
                <w:b/>
              </w:rPr>
              <w:t>第4次</w:t>
            </w:r>
          </w:p>
        </w:tc>
      </w:tr>
      <w:tr>
        <w:tblPrEx>
          <w:tblW w:w="9299" w:type="dxa"/>
          <w:jc w:val="center"/>
          <w:tblLayout w:type="fixed"/>
          <w:tblCellMar>
            <w:top w:w="0" w:type="dxa"/>
            <w:left w:w="0" w:type="dxa"/>
            <w:bottom w:w="0" w:type="dxa"/>
            <w:right w:w="0" w:type="dxa"/>
          </w:tblCellMar>
        </w:tblPrEx>
        <w:trPr>
          <w:trHeight w:val="280"/>
          <w:jc w:val="center"/>
        </w:trPr>
        <w:tc>
          <w:tcPr>
            <w:tcW w:w="2081" w:type="dxa"/>
            <w:vMerge w:val="restart"/>
            <w:vAlign w:val="center"/>
          </w:tcPr>
          <w:p>
            <w:pPr>
              <w:pStyle w:val="zh2"/>
              <w:adjustRightInd w:val="0"/>
              <w:snapToGrid w:val="0"/>
              <w:spacing w:line="280" w:lineRule="exact"/>
            </w:pPr>
            <w:r>
              <w:t>1#项目</w:t>
            </w:r>
            <w:r>
              <w:rPr>
                <w:rFonts w:hint="eastAsia"/>
              </w:rPr>
              <w:t>所在地下风向</w:t>
            </w:r>
          </w:p>
        </w:tc>
        <w:tc>
          <w:tcPr>
            <w:tcW w:w="1605" w:type="dxa"/>
            <w:vAlign w:val="center"/>
          </w:tcPr>
          <w:p>
            <w:pPr>
              <w:pStyle w:val="zh2"/>
              <w:adjustRightInd w:val="0"/>
              <w:snapToGrid w:val="0"/>
              <w:spacing w:line="280" w:lineRule="exact"/>
            </w:pPr>
            <w:r>
              <w:t>202</w:t>
            </w:r>
            <w:r>
              <w:rPr>
                <w:rFonts w:hint="eastAsia"/>
              </w:rPr>
              <w:t>0.6.28</w:t>
            </w:r>
          </w:p>
        </w:tc>
        <w:tc>
          <w:tcPr>
            <w:tcW w:w="1403" w:type="dxa"/>
            <w:vAlign w:val="center"/>
          </w:tcPr>
          <w:p>
            <w:pPr>
              <w:adjustRightInd w:val="0"/>
              <w:snapToGrid w:val="0"/>
              <w:spacing w:line="280" w:lineRule="exact"/>
              <w:ind w:firstLine="0" w:firstLineChars="0"/>
              <w:jc w:val="center"/>
            </w:pPr>
            <w:r>
              <w:rPr>
                <w:rFonts w:hint="eastAsia"/>
              </w:rPr>
              <w:t>0.44</w:t>
            </w:r>
          </w:p>
        </w:tc>
        <w:tc>
          <w:tcPr>
            <w:tcW w:w="1403" w:type="dxa"/>
            <w:vAlign w:val="center"/>
          </w:tcPr>
          <w:p>
            <w:pPr>
              <w:adjustRightInd w:val="0"/>
              <w:snapToGrid w:val="0"/>
              <w:spacing w:line="280" w:lineRule="exact"/>
              <w:ind w:firstLine="0" w:firstLineChars="0"/>
              <w:jc w:val="center"/>
            </w:pPr>
            <w:r>
              <w:rPr>
                <w:rFonts w:hint="eastAsia"/>
              </w:rPr>
              <w:t>0.45</w:t>
            </w:r>
          </w:p>
        </w:tc>
        <w:tc>
          <w:tcPr>
            <w:tcW w:w="1403" w:type="dxa"/>
            <w:vAlign w:val="center"/>
          </w:tcPr>
          <w:p>
            <w:pPr>
              <w:adjustRightInd w:val="0"/>
              <w:snapToGrid w:val="0"/>
              <w:spacing w:line="280" w:lineRule="exact"/>
              <w:ind w:firstLine="0" w:firstLineChars="0"/>
              <w:jc w:val="center"/>
            </w:pPr>
            <w:r>
              <w:rPr>
                <w:rFonts w:hint="eastAsia"/>
              </w:rPr>
              <w:t>0.35</w:t>
            </w:r>
          </w:p>
        </w:tc>
        <w:tc>
          <w:tcPr>
            <w:tcW w:w="1404" w:type="dxa"/>
            <w:vAlign w:val="center"/>
          </w:tcPr>
          <w:p>
            <w:pPr>
              <w:adjustRightInd w:val="0"/>
              <w:snapToGrid w:val="0"/>
              <w:spacing w:line="280" w:lineRule="exact"/>
              <w:ind w:firstLine="0" w:firstLineChars="0"/>
              <w:jc w:val="center"/>
            </w:pPr>
            <w:r>
              <w:rPr>
                <w:rFonts w:hint="eastAsia"/>
              </w:rPr>
              <w:t>0.27</w:t>
            </w:r>
          </w:p>
        </w:tc>
      </w:tr>
      <w:tr>
        <w:tblPrEx>
          <w:tblW w:w="9299" w:type="dxa"/>
          <w:jc w:val="center"/>
          <w:tblLayout w:type="fixed"/>
          <w:tblCellMar>
            <w:top w:w="0" w:type="dxa"/>
            <w:left w:w="0" w:type="dxa"/>
            <w:bottom w:w="0" w:type="dxa"/>
            <w:right w:w="0" w:type="dxa"/>
          </w:tblCellMar>
        </w:tblPrEx>
        <w:trPr>
          <w:trHeight w:val="251"/>
          <w:jc w:val="center"/>
        </w:trPr>
        <w:tc>
          <w:tcPr>
            <w:tcW w:w="2081" w:type="dxa"/>
            <w:vMerge/>
            <w:vAlign w:val="center"/>
          </w:tcPr>
          <w:p>
            <w:pPr>
              <w:pStyle w:val="zh2"/>
              <w:adjustRightInd w:val="0"/>
              <w:snapToGrid w:val="0"/>
              <w:spacing w:line="280" w:lineRule="exact"/>
            </w:pPr>
          </w:p>
        </w:tc>
        <w:tc>
          <w:tcPr>
            <w:tcW w:w="1605" w:type="dxa"/>
            <w:vAlign w:val="center"/>
          </w:tcPr>
          <w:p>
            <w:pPr>
              <w:pStyle w:val="zh2"/>
              <w:adjustRightInd w:val="0"/>
              <w:snapToGrid w:val="0"/>
              <w:spacing w:line="280" w:lineRule="exact"/>
            </w:pPr>
            <w:r>
              <w:t>202</w:t>
            </w:r>
            <w:r>
              <w:rPr>
                <w:rFonts w:hint="eastAsia"/>
              </w:rPr>
              <w:t>0.6.29</w:t>
            </w:r>
          </w:p>
        </w:tc>
        <w:tc>
          <w:tcPr>
            <w:tcW w:w="1403" w:type="dxa"/>
            <w:vAlign w:val="center"/>
          </w:tcPr>
          <w:p>
            <w:pPr>
              <w:adjustRightInd w:val="0"/>
              <w:snapToGrid w:val="0"/>
              <w:spacing w:line="280" w:lineRule="exact"/>
              <w:ind w:firstLine="0" w:firstLineChars="0"/>
              <w:jc w:val="center"/>
            </w:pPr>
            <w:r>
              <w:rPr>
                <w:rFonts w:hint="eastAsia"/>
              </w:rPr>
              <w:t>0.49</w:t>
            </w:r>
          </w:p>
        </w:tc>
        <w:tc>
          <w:tcPr>
            <w:tcW w:w="1403" w:type="dxa"/>
            <w:vAlign w:val="center"/>
          </w:tcPr>
          <w:p>
            <w:pPr>
              <w:adjustRightInd w:val="0"/>
              <w:snapToGrid w:val="0"/>
              <w:spacing w:line="280" w:lineRule="exact"/>
              <w:ind w:firstLine="0" w:firstLineChars="0"/>
              <w:jc w:val="center"/>
            </w:pPr>
            <w:r>
              <w:rPr>
                <w:rFonts w:hint="eastAsia"/>
              </w:rPr>
              <w:t>0.32</w:t>
            </w:r>
          </w:p>
        </w:tc>
        <w:tc>
          <w:tcPr>
            <w:tcW w:w="1403" w:type="dxa"/>
            <w:vAlign w:val="center"/>
          </w:tcPr>
          <w:p>
            <w:pPr>
              <w:adjustRightInd w:val="0"/>
              <w:snapToGrid w:val="0"/>
              <w:spacing w:line="280" w:lineRule="exact"/>
              <w:ind w:firstLine="0" w:firstLineChars="0"/>
              <w:jc w:val="center"/>
            </w:pPr>
            <w:r>
              <w:rPr>
                <w:rFonts w:hint="eastAsia"/>
              </w:rPr>
              <w:t>0.47</w:t>
            </w:r>
          </w:p>
        </w:tc>
        <w:tc>
          <w:tcPr>
            <w:tcW w:w="1404" w:type="dxa"/>
            <w:vAlign w:val="center"/>
          </w:tcPr>
          <w:p>
            <w:pPr>
              <w:adjustRightInd w:val="0"/>
              <w:snapToGrid w:val="0"/>
              <w:spacing w:line="280" w:lineRule="exact"/>
              <w:ind w:firstLine="0" w:firstLineChars="0"/>
              <w:jc w:val="center"/>
            </w:pPr>
            <w:r>
              <w:rPr>
                <w:rFonts w:hint="eastAsia"/>
              </w:rPr>
              <w:t>0.29</w:t>
            </w:r>
          </w:p>
        </w:tc>
      </w:tr>
      <w:tr>
        <w:tblPrEx>
          <w:tblW w:w="9299" w:type="dxa"/>
          <w:jc w:val="center"/>
          <w:tblLayout w:type="fixed"/>
          <w:tblCellMar>
            <w:top w:w="0" w:type="dxa"/>
            <w:left w:w="0" w:type="dxa"/>
            <w:bottom w:w="0" w:type="dxa"/>
            <w:right w:w="0" w:type="dxa"/>
          </w:tblCellMar>
        </w:tblPrEx>
        <w:trPr>
          <w:trHeight w:val="251"/>
          <w:jc w:val="center"/>
        </w:trPr>
        <w:tc>
          <w:tcPr>
            <w:tcW w:w="2081" w:type="dxa"/>
            <w:vMerge/>
            <w:vAlign w:val="center"/>
          </w:tcPr>
          <w:p>
            <w:pPr>
              <w:pStyle w:val="zh2"/>
              <w:adjustRightInd w:val="0"/>
              <w:snapToGrid w:val="0"/>
              <w:spacing w:line="280" w:lineRule="exact"/>
            </w:pPr>
          </w:p>
        </w:tc>
        <w:tc>
          <w:tcPr>
            <w:tcW w:w="1605" w:type="dxa"/>
            <w:vAlign w:val="center"/>
          </w:tcPr>
          <w:p>
            <w:pPr>
              <w:pStyle w:val="zh2"/>
              <w:adjustRightInd w:val="0"/>
              <w:snapToGrid w:val="0"/>
              <w:spacing w:line="280" w:lineRule="exact"/>
            </w:pPr>
            <w:r>
              <w:t>202</w:t>
            </w:r>
            <w:r>
              <w:rPr>
                <w:rFonts w:hint="eastAsia"/>
              </w:rPr>
              <w:t>0.6.30</w:t>
            </w:r>
          </w:p>
        </w:tc>
        <w:tc>
          <w:tcPr>
            <w:tcW w:w="1403" w:type="dxa"/>
            <w:vAlign w:val="center"/>
          </w:tcPr>
          <w:p>
            <w:pPr>
              <w:adjustRightInd w:val="0"/>
              <w:snapToGrid w:val="0"/>
              <w:spacing w:line="280" w:lineRule="exact"/>
              <w:ind w:firstLine="0" w:firstLineChars="0"/>
              <w:jc w:val="center"/>
            </w:pPr>
            <w:r>
              <w:rPr>
                <w:rFonts w:hint="eastAsia"/>
              </w:rPr>
              <w:t>0.39</w:t>
            </w:r>
          </w:p>
        </w:tc>
        <w:tc>
          <w:tcPr>
            <w:tcW w:w="1403" w:type="dxa"/>
            <w:vAlign w:val="center"/>
          </w:tcPr>
          <w:p>
            <w:pPr>
              <w:adjustRightInd w:val="0"/>
              <w:snapToGrid w:val="0"/>
              <w:spacing w:line="280" w:lineRule="exact"/>
              <w:ind w:firstLine="0" w:firstLineChars="0"/>
              <w:jc w:val="center"/>
            </w:pPr>
            <w:r>
              <w:rPr>
                <w:rFonts w:hint="eastAsia"/>
              </w:rPr>
              <w:t>0.36</w:t>
            </w:r>
          </w:p>
        </w:tc>
        <w:tc>
          <w:tcPr>
            <w:tcW w:w="1403" w:type="dxa"/>
            <w:vAlign w:val="center"/>
          </w:tcPr>
          <w:p>
            <w:pPr>
              <w:adjustRightInd w:val="0"/>
              <w:snapToGrid w:val="0"/>
              <w:spacing w:line="280" w:lineRule="exact"/>
              <w:ind w:firstLine="0" w:firstLineChars="0"/>
              <w:jc w:val="center"/>
            </w:pPr>
            <w:r>
              <w:rPr>
                <w:rFonts w:hint="eastAsia"/>
              </w:rPr>
              <w:t>0.42</w:t>
            </w:r>
          </w:p>
        </w:tc>
        <w:tc>
          <w:tcPr>
            <w:tcW w:w="1404" w:type="dxa"/>
            <w:vAlign w:val="center"/>
          </w:tcPr>
          <w:p>
            <w:pPr>
              <w:adjustRightInd w:val="0"/>
              <w:snapToGrid w:val="0"/>
              <w:spacing w:line="280" w:lineRule="exact"/>
              <w:ind w:firstLine="0" w:firstLineChars="0"/>
              <w:jc w:val="center"/>
            </w:pPr>
            <w:r>
              <w:rPr>
                <w:rFonts w:hint="eastAsia"/>
              </w:rPr>
              <w:t>0.32</w:t>
            </w:r>
          </w:p>
        </w:tc>
      </w:tr>
      <w:tr>
        <w:tblPrEx>
          <w:tblW w:w="9299" w:type="dxa"/>
          <w:jc w:val="center"/>
          <w:tblLayout w:type="fixed"/>
          <w:tblCellMar>
            <w:top w:w="0" w:type="dxa"/>
            <w:left w:w="0" w:type="dxa"/>
            <w:bottom w:w="0" w:type="dxa"/>
            <w:right w:w="0" w:type="dxa"/>
          </w:tblCellMar>
        </w:tblPrEx>
        <w:trPr>
          <w:trHeight w:val="251"/>
          <w:jc w:val="center"/>
        </w:trPr>
        <w:tc>
          <w:tcPr>
            <w:tcW w:w="2081" w:type="dxa"/>
            <w:vMerge/>
            <w:vAlign w:val="center"/>
          </w:tcPr>
          <w:p>
            <w:pPr>
              <w:pStyle w:val="zh2"/>
              <w:adjustRightInd w:val="0"/>
              <w:snapToGrid w:val="0"/>
              <w:spacing w:line="280" w:lineRule="exact"/>
            </w:pPr>
          </w:p>
        </w:tc>
        <w:tc>
          <w:tcPr>
            <w:tcW w:w="1605" w:type="dxa"/>
            <w:vAlign w:val="center"/>
          </w:tcPr>
          <w:p>
            <w:pPr>
              <w:pStyle w:val="zh2"/>
              <w:adjustRightInd w:val="0"/>
              <w:snapToGrid w:val="0"/>
              <w:spacing w:line="280" w:lineRule="exact"/>
            </w:pPr>
            <w:r>
              <w:t>202</w:t>
            </w:r>
            <w:r>
              <w:rPr>
                <w:rFonts w:hint="eastAsia"/>
              </w:rPr>
              <w:t>0.</w:t>
            </w:r>
            <w:r>
              <w:t>7.1</w:t>
            </w:r>
          </w:p>
        </w:tc>
        <w:tc>
          <w:tcPr>
            <w:tcW w:w="1403" w:type="dxa"/>
            <w:vAlign w:val="center"/>
          </w:tcPr>
          <w:p>
            <w:pPr>
              <w:adjustRightInd w:val="0"/>
              <w:snapToGrid w:val="0"/>
              <w:spacing w:line="280" w:lineRule="exact"/>
              <w:ind w:firstLine="0" w:firstLineChars="0"/>
              <w:jc w:val="center"/>
            </w:pPr>
            <w:r>
              <w:rPr>
                <w:rFonts w:hint="eastAsia"/>
              </w:rPr>
              <w:t>0.30</w:t>
            </w:r>
          </w:p>
        </w:tc>
        <w:tc>
          <w:tcPr>
            <w:tcW w:w="1403" w:type="dxa"/>
            <w:vAlign w:val="center"/>
          </w:tcPr>
          <w:p>
            <w:pPr>
              <w:adjustRightInd w:val="0"/>
              <w:snapToGrid w:val="0"/>
              <w:spacing w:line="280" w:lineRule="exact"/>
              <w:ind w:firstLine="0" w:firstLineChars="0"/>
              <w:jc w:val="center"/>
            </w:pPr>
            <w:r>
              <w:rPr>
                <w:rFonts w:hint="eastAsia"/>
              </w:rPr>
              <w:t>0.33</w:t>
            </w:r>
          </w:p>
        </w:tc>
        <w:tc>
          <w:tcPr>
            <w:tcW w:w="1403" w:type="dxa"/>
            <w:vAlign w:val="center"/>
          </w:tcPr>
          <w:p>
            <w:pPr>
              <w:adjustRightInd w:val="0"/>
              <w:snapToGrid w:val="0"/>
              <w:spacing w:line="280" w:lineRule="exact"/>
              <w:ind w:firstLine="0" w:firstLineChars="0"/>
              <w:jc w:val="center"/>
            </w:pPr>
            <w:r>
              <w:rPr>
                <w:rFonts w:hint="eastAsia"/>
              </w:rPr>
              <w:t>0.36</w:t>
            </w:r>
          </w:p>
        </w:tc>
        <w:tc>
          <w:tcPr>
            <w:tcW w:w="1404" w:type="dxa"/>
            <w:vAlign w:val="center"/>
          </w:tcPr>
          <w:p>
            <w:pPr>
              <w:adjustRightInd w:val="0"/>
              <w:snapToGrid w:val="0"/>
              <w:spacing w:line="280" w:lineRule="exact"/>
              <w:ind w:firstLine="0" w:firstLineChars="0"/>
              <w:jc w:val="center"/>
            </w:pPr>
            <w:r>
              <w:rPr>
                <w:rFonts w:hint="eastAsia"/>
              </w:rPr>
              <w:t>0.37</w:t>
            </w:r>
          </w:p>
        </w:tc>
      </w:tr>
      <w:tr>
        <w:tblPrEx>
          <w:tblW w:w="9299" w:type="dxa"/>
          <w:jc w:val="center"/>
          <w:tblLayout w:type="fixed"/>
          <w:tblCellMar>
            <w:top w:w="0" w:type="dxa"/>
            <w:left w:w="0" w:type="dxa"/>
            <w:bottom w:w="0" w:type="dxa"/>
            <w:right w:w="0" w:type="dxa"/>
          </w:tblCellMar>
        </w:tblPrEx>
        <w:trPr>
          <w:trHeight w:val="251"/>
          <w:jc w:val="center"/>
        </w:trPr>
        <w:tc>
          <w:tcPr>
            <w:tcW w:w="2081" w:type="dxa"/>
            <w:vMerge/>
            <w:vAlign w:val="center"/>
          </w:tcPr>
          <w:p>
            <w:pPr>
              <w:pStyle w:val="zh2"/>
              <w:adjustRightInd w:val="0"/>
              <w:snapToGrid w:val="0"/>
              <w:spacing w:line="280" w:lineRule="exact"/>
            </w:pPr>
          </w:p>
        </w:tc>
        <w:tc>
          <w:tcPr>
            <w:tcW w:w="1605" w:type="dxa"/>
            <w:vAlign w:val="center"/>
          </w:tcPr>
          <w:p>
            <w:pPr>
              <w:pStyle w:val="zh2"/>
              <w:adjustRightInd w:val="0"/>
              <w:snapToGrid w:val="0"/>
              <w:spacing w:line="280" w:lineRule="exact"/>
            </w:pPr>
            <w:r>
              <w:t>202</w:t>
            </w:r>
            <w:r>
              <w:rPr>
                <w:rFonts w:hint="eastAsia"/>
              </w:rPr>
              <w:t>0.</w:t>
            </w:r>
            <w:r>
              <w:t>7.2</w:t>
            </w:r>
          </w:p>
        </w:tc>
        <w:tc>
          <w:tcPr>
            <w:tcW w:w="1403" w:type="dxa"/>
            <w:vAlign w:val="center"/>
          </w:tcPr>
          <w:p>
            <w:pPr>
              <w:adjustRightInd w:val="0"/>
              <w:snapToGrid w:val="0"/>
              <w:spacing w:line="280" w:lineRule="exact"/>
              <w:ind w:firstLine="0" w:firstLineChars="0"/>
              <w:jc w:val="center"/>
            </w:pPr>
            <w:r>
              <w:rPr>
                <w:rFonts w:hint="eastAsia"/>
              </w:rPr>
              <w:t>0.40</w:t>
            </w:r>
          </w:p>
        </w:tc>
        <w:tc>
          <w:tcPr>
            <w:tcW w:w="1403" w:type="dxa"/>
            <w:vAlign w:val="center"/>
          </w:tcPr>
          <w:p>
            <w:pPr>
              <w:adjustRightInd w:val="0"/>
              <w:snapToGrid w:val="0"/>
              <w:spacing w:line="280" w:lineRule="exact"/>
              <w:ind w:firstLine="0" w:firstLineChars="0"/>
              <w:jc w:val="center"/>
            </w:pPr>
            <w:r>
              <w:rPr>
                <w:rFonts w:hint="eastAsia"/>
              </w:rPr>
              <w:t>0.31</w:t>
            </w:r>
          </w:p>
        </w:tc>
        <w:tc>
          <w:tcPr>
            <w:tcW w:w="1403" w:type="dxa"/>
            <w:vAlign w:val="center"/>
          </w:tcPr>
          <w:p>
            <w:pPr>
              <w:adjustRightInd w:val="0"/>
              <w:snapToGrid w:val="0"/>
              <w:spacing w:line="280" w:lineRule="exact"/>
              <w:ind w:firstLine="0" w:firstLineChars="0"/>
              <w:jc w:val="center"/>
            </w:pPr>
            <w:r>
              <w:rPr>
                <w:rFonts w:hint="eastAsia"/>
              </w:rPr>
              <w:t>0.27</w:t>
            </w:r>
          </w:p>
        </w:tc>
        <w:tc>
          <w:tcPr>
            <w:tcW w:w="1404" w:type="dxa"/>
            <w:vAlign w:val="center"/>
          </w:tcPr>
          <w:p>
            <w:pPr>
              <w:adjustRightInd w:val="0"/>
              <w:snapToGrid w:val="0"/>
              <w:spacing w:line="280" w:lineRule="exact"/>
              <w:ind w:firstLine="0" w:firstLineChars="0"/>
              <w:jc w:val="center"/>
            </w:pPr>
            <w:r>
              <w:rPr>
                <w:rFonts w:hint="eastAsia"/>
              </w:rPr>
              <w:t>0.33</w:t>
            </w:r>
          </w:p>
        </w:tc>
      </w:tr>
      <w:tr>
        <w:tblPrEx>
          <w:tblW w:w="9299" w:type="dxa"/>
          <w:jc w:val="center"/>
          <w:tblLayout w:type="fixed"/>
          <w:tblCellMar>
            <w:top w:w="0" w:type="dxa"/>
            <w:left w:w="0" w:type="dxa"/>
            <w:bottom w:w="0" w:type="dxa"/>
            <w:right w:w="0" w:type="dxa"/>
          </w:tblCellMar>
        </w:tblPrEx>
        <w:trPr>
          <w:trHeight w:val="251"/>
          <w:jc w:val="center"/>
        </w:trPr>
        <w:tc>
          <w:tcPr>
            <w:tcW w:w="2081" w:type="dxa"/>
            <w:vMerge/>
            <w:vAlign w:val="center"/>
          </w:tcPr>
          <w:p>
            <w:pPr>
              <w:pStyle w:val="zh2"/>
              <w:adjustRightInd w:val="0"/>
              <w:snapToGrid w:val="0"/>
              <w:spacing w:line="280" w:lineRule="exact"/>
            </w:pPr>
          </w:p>
        </w:tc>
        <w:tc>
          <w:tcPr>
            <w:tcW w:w="1605" w:type="dxa"/>
            <w:vAlign w:val="center"/>
          </w:tcPr>
          <w:p>
            <w:pPr>
              <w:pStyle w:val="zh2"/>
              <w:adjustRightInd w:val="0"/>
              <w:snapToGrid w:val="0"/>
              <w:spacing w:line="280" w:lineRule="exact"/>
            </w:pPr>
            <w:r>
              <w:t>202</w:t>
            </w:r>
            <w:r>
              <w:rPr>
                <w:rFonts w:hint="eastAsia"/>
              </w:rPr>
              <w:t>0.</w:t>
            </w:r>
            <w:r>
              <w:t>7.3</w:t>
            </w:r>
          </w:p>
        </w:tc>
        <w:tc>
          <w:tcPr>
            <w:tcW w:w="1403" w:type="dxa"/>
            <w:vAlign w:val="center"/>
          </w:tcPr>
          <w:p>
            <w:pPr>
              <w:adjustRightInd w:val="0"/>
              <w:snapToGrid w:val="0"/>
              <w:spacing w:line="280" w:lineRule="exact"/>
              <w:ind w:firstLine="0" w:firstLineChars="0"/>
              <w:jc w:val="center"/>
            </w:pPr>
            <w:r>
              <w:rPr>
                <w:rFonts w:hint="eastAsia"/>
              </w:rPr>
              <w:t>0.33</w:t>
            </w:r>
          </w:p>
        </w:tc>
        <w:tc>
          <w:tcPr>
            <w:tcW w:w="1403" w:type="dxa"/>
            <w:vAlign w:val="center"/>
          </w:tcPr>
          <w:p>
            <w:pPr>
              <w:adjustRightInd w:val="0"/>
              <w:snapToGrid w:val="0"/>
              <w:spacing w:line="280" w:lineRule="exact"/>
              <w:ind w:firstLine="0" w:firstLineChars="0"/>
              <w:jc w:val="center"/>
            </w:pPr>
            <w:r>
              <w:rPr>
                <w:rFonts w:hint="eastAsia"/>
              </w:rPr>
              <w:t>0.44</w:t>
            </w:r>
          </w:p>
        </w:tc>
        <w:tc>
          <w:tcPr>
            <w:tcW w:w="1403" w:type="dxa"/>
            <w:vAlign w:val="center"/>
          </w:tcPr>
          <w:p>
            <w:pPr>
              <w:adjustRightInd w:val="0"/>
              <w:snapToGrid w:val="0"/>
              <w:spacing w:line="280" w:lineRule="exact"/>
              <w:ind w:firstLine="0" w:firstLineChars="0"/>
              <w:jc w:val="center"/>
            </w:pPr>
            <w:r>
              <w:rPr>
                <w:rFonts w:hint="eastAsia"/>
              </w:rPr>
              <w:t>0.42</w:t>
            </w:r>
          </w:p>
        </w:tc>
        <w:tc>
          <w:tcPr>
            <w:tcW w:w="1404" w:type="dxa"/>
            <w:vAlign w:val="center"/>
          </w:tcPr>
          <w:p>
            <w:pPr>
              <w:adjustRightInd w:val="0"/>
              <w:snapToGrid w:val="0"/>
              <w:spacing w:line="280" w:lineRule="exact"/>
              <w:ind w:firstLine="0" w:firstLineChars="0"/>
              <w:jc w:val="center"/>
            </w:pPr>
            <w:r>
              <w:rPr>
                <w:rFonts w:hint="eastAsia"/>
              </w:rPr>
              <w:t>0.39</w:t>
            </w:r>
          </w:p>
        </w:tc>
      </w:tr>
      <w:tr>
        <w:tblPrEx>
          <w:tblW w:w="9299" w:type="dxa"/>
          <w:jc w:val="center"/>
          <w:tblLayout w:type="fixed"/>
          <w:tblCellMar>
            <w:top w:w="0" w:type="dxa"/>
            <w:left w:w="0" w:type="dxa"/>
            <w:bottom w:w="0" w:type="dxa"/>
            <w:right w:w="0" w:type="dxa"/>
          </w:tblCellMar>
        </w:tblPrEx>
        <w:trPr>
          <w:trHeight w:val="310"/>
          <w:jc w:val="center"/>
        </w:trPr>
        <w:tc>
          <w:tcPr>
            <w:tcW w:w="2081" w:type="dxa"/>
            <w:vMerge/>
            <w:vAlign w:val="center"/>
          </w:tcPr>
          <w:p>
            <w:pPr>
              <w:pStyle w:val="zh2"/>
              <w:adjustRightInd w:val="0"/>
              <w:snapToGrid w:val="0"/>
              <w:spacing w:line="280" w:lineRule="exact"/>
            </w:pPr>
          </w:p>
        </w:tc>
        <w:tc>
          <w:tcPr>
            <w:tcW w:w="1605" w:type="dxa"/>
            <w:vAlign w:val="center"/>
          </w:tcPr>
          <w:p>
            <w:pPr>
              <w:pStyle w:val="zh2"/>
              <w:adjustRightInd w:val="0"/>
              <w:snapToGrid w:val="0"/>
              <w:spacing w:line="280" w:lineRule="exact"/>
            </w:pPr>
            <w:r>
              <w:t>202</w:t>
            </w:r>
            <w:r>
              <w:rPr>
                <w:rFonts w:hint="eastAsia"/>
              </w:rPr>
              <w:t>0.</w:t>
            </w:r>
            <w:r>
              <w:t>7.4</w:t>
            </w:r>
          </w:p>
        </w:tc>
        <w:tc>
          <w:tcPr>
            <w:tcW w:w="1403" w:type="dxa"/>
            <w:vAlign w:val="center"/>
          </w:tcPr>
          <w:p>
            <w:pPr>
              <w:adjustRightInd w:val="0"/>
              <w:snapToGrid w:val="0"/>
              <w:spacing w:line="280" w:lineRule="exact"/>
              <w:ind w:firstLine="0" w:firstLineChars="0"/>
              <w:jc w:val="center"/>
            </w:pPr>
            <w:r>
              <w:rPr>
                <w:rFonts w:hint="eastAsia"/>
              </w:rPr>
              <w:t>0.67</w:t>
            </w:r>
          </w:p>
        </w:tc>
        <w:tc>
          <w:tcPr>
            <w:tcW w:w="1403" w:type="dxa"/>
            <w:vAlign w:val="center"/>
          </w:tcPr>
          <w:p>
            <w:pPr>
              <w:adjustRightInd w:val="0"/>
              <w:snapToGrid w:val="0"/>
              <w:spacing w:line="280" w:lineRule="exact"/>
              <w:ind w:firstLine="0" w:firstLineChars="0"/>
              <w:jc w:val="center"/>
            </w:pPr>
            <w:r>
              <w:rPr>
                <w:rFonts w:hint="eastAsia"/>
              </w:rPr>
              <w:t>0.58</w:t>
            </w:r>
          </w:p>
        </w:tc>
        <w:tc>
          <w:tcPr>
            <w:tcW w:w="1403" w:type="dxa"/>
            <w:vAlign w:val="center"/>
          </w:tcPr>
          <w:p>
            <w:pPr>
              <w:adjustRightInd w:val="0"/>
              <w:snapToGrid w:val="0"/>
              <w:spacing w:line="280" w:lineRule="exact"/>
              <w:ind w:firstLine="0" w:firstLineChars="0"/>
              <w:jc w:val="center"/>
            </w:pPr>
            <w:r>
              <w:rPr>
                <w:rFonts w:hint="eastAsia"/>
              </w:rPr>
              <w:t>0.53</w:t>
            </w:r>
          </w:p>
        </w:tc>
        <w:tc>
          <w:tcPr>
            <w:tcW w:w="1404" w:type="dxa"/>
            <w:vAlign w:val="center"/>
          </w:tcPr>
          <w:p>
            <w:pPr>
              <w:adjustRightInd w:val="0"/>
              <w:snapToGrid w:val="0"/>
              <w:spacing w:line="280" w:lineRule="exact"/>
              <w:ind w:firstLine="0" w:firstLineChars="0"/>
              <w:jc w:val="center"/>
            </w:pPr>
            <w:r>
              <w:rPr>
                <w:rFonts w:hint="eastAsia"/>
              </w:rPr>
              <w:t>0.43</w:t>
            </w:r>
          </w:p>
        </w:tc>
      </w:tr>
    </w:tbl>
    <w:p>
      <w:pPr>
        <w:pStyle w:val="a1"/>
        <w:spacing w:before="156" w:beforeLines="50"/>
        <w:ind w:firstLine="482"/>
        <w:rPr>
          <w:b/>
        </w:rPr>
      </w:pPr>
      <w:r>
        <w:rPr>
          <w:rFonts w:hint="eastAsia"/>
          <w:b/>
        </w:rPr>
        <w:t>（3）评价标准</w:t>
      </w:r>
    </w:p>
    <w:p>
      <w:pPr>
        <w:pStyle w:val="a1"/>
        <w:ind w:firstLine="480"/>
      </w:pPr>
      <w:r>
        <w:rPr>
          <w:rFonts w:hint="eastAsia"/>
        </w:rPr>
        <w:t>非甲烷总烃执行《大气污染物综合排放标准详解》中标准限值。</w:t>
      </w:r>
    </w:p>
    <w:p>
      <w:pPr>
        <w:pStyle w:val="a1"/>
        <w:ind w:firstLine="482"/>
        <w:rPr>
          <w:b/>
        </w:rPr>
      </w:pPr>
      <w:r>
        <w:rPr>
          <w:rFonts w:hint="eastAsia"/>
          <w:b/>
        </w:rPr>
        <w:t>（4）评价</w:t>
      </w:r>
      <w:r>
        <w:rPr>
          <w:b/>
        </w:rPr>
        <w:t>方法</w:t>
      </w:r>
    </w:p>
    <w:p>
      <w:pPr>
        <w:pStyle w:val="a1"/>
        <w:ind w:firstLine="480"/>
      </w:pPr>
      <w:r>
        <w:rPr>
          <w:rFonts w:hint="eastAsia"/>
        </w:rPr>
        <w:t>采用单项标准指数法，标准指数</w:t>
      </w:r>
      <w:r>
        <w:t>Pi</w:t>
      </w:r>
      <w:r>
        <w:rPr>
          <w:rFonts w:hint="eastAsia"/>
        </w:rPr>
        <w:t>计算表达式：</w:t>
      </w:r>
    </w:p>
    <w:p>
      <w:pPr>
        <w:pStyle w:val="a1"/>
        <w:ind w:firstLine="0" w:firstLineChars="0"/>
        <w:jc w:val="center"/>
      </w:pPr>
      <w:r>
        <w:t>Pi=C</w:t>
      </w:r>
      <w:r>
        <w:rPr>
          <w:vertAlign w:val="subscript"/>
        </w:rPr>
        <w:t>i</w:t>
      </w:r>
      <w:r>
        <w:t>/C</w:t>
      </w:r>
      <w:r>
        <w:rPr>
          <w:vertAlign w:val="subscript"/>
        </w:rPr>
        <w:t>0i</w:t>
      </w:r>
    </w:p>
    <w:p>
      <w:pPr>
        <w:pStyle w:val="a1"/>
        <w:ind w:firstLine="480"/>
      </w:pPr>
      <w:r>
        <w:rPr>
          <w:rFonts w:hint="eastAsia"/>
        </w:rPr>
        <w:t>式中：</w:t>
      </w:r>
      <w:r>
        <w:t>Pi</w:t>
      </w:r>
      <w:r>
        <w:rPr>
          <w:rFonts w:hint="eastAsia"/>
        </w:rPr>
        <w:t>——第</w:t>
      </w:r>
      <w:r>
        <w:t>i</w:t>
      </w:r>
      <w:r>
        <w:rPr>
          <w:rFonts w:hint="eastAsia"/>
        </w:rPr>
        <w:t>种污染物标准指数值；</w:t>
      </w:r>
    </w:p>
    <w:p>
      <w:pPr>
        <w:pStyle w:val="a1"/>
        <w:ind w:firstLine="1200" w:firstLineChars="500"/>
      </w:pPr>
      <w:r>
        <w:t>Ci</w:t>
      </w:r>
      <w:r>
        <w:rPr>
          <w:rFonts w:hint="eastAsia"/>
        </w:rPr>
        <w:t>——第</w:t>
      </w:r>
      <w:r>
        <w:t>i</w:t>
      </w:r>
      <w:r>
        <w:rPr>
          <w:rFonts w:hint="eastAsia"/>
        </w:rPr>
        <w:t>种污染物实测浓度值，</w:t>
      </w:r>
      <w:r>
        <w:t>mg/Nm</w:t>
      </w:r>
      <w:r>
        <w:rPr>
          <w:vertAlign w:val="superscript"/>
        </w:rPr>
        <w:t>3</w:t>
      </w:r>
      <w:r>
        <w:rPr>
          <w:rFonts w:hint="eastAsia"/>
        </w:rPr>
        <w:t>；</w:t>
      </w:r>
    </w:p>
    <w:p>
      <w:pPr>
        <w:pStyle w:val="a1"/>
        <w:ind w:firstLine="1200" w:firstLineChars="500"/>
      </w:pPr>
      <w:r>
        <w:t>C</w:t>
      </w:r>
      <w:r>
        <w:rPr>
          <w:vertAlign w:val="subscript"/>
        </w:rPr>
        <w:t>0i</w:t>
      </w:r>
      <w:r>
        <w:rPr>
          <w:rFonts w:hint="eastAsia"/>
        </w:rPr>
        <w:t>——第</w:t>
      </w:r>
      <w:r>
        <w:t>i</w:t>
      </w:r>
      <w:r>
        <w:rPr>
          <w:rFonts w:hint="eastAsia"/>
        </w:rPr>
        <w:t>种污染物标准浓度值，</w:t>
      </w:r>
      <w:r>
        <w:t>mg/Nm</w:t>
      </w:r>
      <w:r>
        <w:rPr>
          <w:vertAlign w:val="superscript"/>
        </w:rPr>
        <w:t>3</w:t>
      </w:r>
      <w:r>
        <w:rPr>
          <w:rFonts w:hint="eastAsia"/>
        </w:rPr>
        <w:t>。</w:t>
      </w:r>
    </w:p>
    <w:p>
      <w:pPr>
        <w:pStyle w:val="a1"/>
        <w:ind w:firstLine="482"/>
        <w:rPr>
          <w:b/>
          <w:bCs/>
        </w:rPr>
      </w:pPr>
      <w:r>
        <w:rPr>
          <w:rFonts w:hint="eastAsia"/>
          <w:b/>
          <w:bCs/>
        </w:rPr>
        <w:t>（5）</w:t>
      </w:r>
      <w:r>
        <w:rPr>
          <w:b/>
          <w:bCs/>
        </w:rPr>
        <w:t>评价结果</w:t>
      </w:r>
    </w:p>
    <w:p>
      <w:pPr>
        <w:pStyle w:val="a1"/>
        <w:ind w:firstLine="480"/>
      </w:pPr>
      <w:r>
        <w:rPr>
          <w:rFonts w:hint="eastAsia"/>
        </w:rPr>
        <w:t>本项目区域环境空气质量现状评价结果见表</w:t>
      </w:r>
      <w:r>
        <w:t>3-</w:t>
      </w:r>
      <w:r>
        <w:rPr>
          <w:rFonts w:hint="eastAsia"/>
        </w:rPr>
        <w:t>2</w:t>
      </w:r>
      <w:r>
        <w:t>。</w:t>
      </w:r>
    </w:p>
    <w:p>
      <w:pPr>
        <w:pStyle w:val="a1"/>
        <w:ind w:firstLine="0" w:firstLineChars="0"/>
        <w:jc w:val="center"/>
        <w:rPr>
          <w:rFonts w:eastAsia="黑体"/>
          <w:sz w:val="21"/>
          <w:szCs w:val="21"/>
        </w:rPr>
      </w:pPr>
      <w:r>
        <w:rPr>
          <w:rFonts w:eastAsia="黑体" w:hint="eastAsia"/>
          <w:sz w:val="21"/>
          <w:szCs w:val="21"/>
        </w:rPr>
        <w:t>表3-2  大气环境质量现状评价结果</w:t>
      </w:r>
    </w:p>
    <w:tbl>
      <w:tblPr>
        <w:tblStyle w:val="TableNormal"/>
        <w:tblW w:w="9515" w:type="dxa"/>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
      <w:tblGrid>
        <w:gridCol w:w="1105"/>
        <w:gridCol w:w="424"/>
        <w:gridCol w:w="567"/>
        <w:gridCol w:w="982"/>
        <w:gridCol w:w="1003"/>
        <w:gridCol w:w="1134"/>
        <w:gridCol w:w="1444"/>
        <w:gridCol w:w="1220"/>
        <w:gridCol w:w="879"/>
        <w:gridCol w:w="757"/>
      </w:tblGrid>
      <w:tr>
        <w:tblPrEx>
          <w:tblW w:w="9515" w:type="dxa"/>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Ex>
        <w:trPr>
          <w:trHeight w:val="50"/>
        </w:trPr>
        <w:tc>
          <w:tcPr>
            <w:tcW w:w="1105" w:type="dxa"/>
            <w:vMerge w:val="restart"/>
            <w:tcBorders>
              <w:top w:val="single" w:sz="12" w:space="0" w:color="000000"/>
              <w:left w:val="nil"/>
              <w:bottom w:val="single" w:sz="4" w:space="0" w:color="000000"/>
              <w:right w:val="single" w:sz="4" w:space="0" w:color="000000"/>
            </w:tcBorders>
            <w:vAlign w:val="center"/>
          </w:tcPr>
          <w:p>
            <w:pPr>
              <w:adjustRightInd w:val="0"/>
              <w:snapToGrid w:val="0"/>
              <w:spacing w:line="280" w:lineRule="exact"/>
              <w:ind w:firstLine="0" w:firstLineChars="0"/>
              <w:jc w:val="center"/>
              <w:rPr>
                <w:rFonts w:eastAsia="Times New Roman"/>
                <w:b/>
              </w:rPr>
            </w:pPr>
            <w:r>
              <w:rPr>
                <w:b/>
              </w:rPr>
              <w:t>监测点位</w:t>
            </w:r>
          </w:p>
        </w:tc>
        <w:tc>
          <w:tcPr>
            <w:tcW w:w="991" w:type="dxa"/>
            <w:gridSpan w:val="2"/>
            <w:tcBorders>
              <w:top w:val="single" w:sz="12"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rPr>
                <w:rFonts w:eastAsia="Times New Roman"/>
                <w:b/>
              </w:rPr>
            </w:pPr>
            <w:r>
              <w:rPr>
                <w:b/>
              </w:rPr>
              <w:t>监测点坐标</w:t>
            </w:r>
          </w:p>
        </w:tc>
        <w:tc>
          <w:tcPr>
            <w:tcW w:w="982" w:type="dxa"/>
            <w:vMerge w:val="restart"/>
            <w:tcBorders>
              <w:top w:val="single" w:sz="12"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rPr>
                <w:rFonts w:eastAsia="Times New Roman"/>
                <w:b/>
              </w:rPr>
            </w:pPr>
            <w:r>
              <w:rPr>
                <w:b/>
              </w:rPr>
              <w:t>污染物</w:t>
            </w:r>
          </w:p>
        </w:tc>
        <w:tc>
          <w:tcPr>
            <w:tcW w:w="1003" w:type="dxa"/>
            <w:vMerge w:val="restart"/>
            <w:tcBorders>
              <w:top w:val="single" w:sz="12"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rPr>
                <w:rFonts w:eastAsia="Times New Roman"/>
                <w:b/>
              </w:rPr>
            </w:pPr>
            <w:r>
              <w:rPr>
                <w:b/>
              </w:rPr>
              <w:t>平均时间</w:t>
            </w:r>
          </w:p>
        </w:tc>
        <w:tc>
          <w:tcPr>
            <w:tcW w:w="1134" w:type="dxa"/>
            <w:vMerge w:val="restart"/>
            <w:tcBorders>
              <w:top w:val="single" w:sz="12"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rPr>
                <w:rFonts w:eastAsia="Times New Roman"/>
                <w:b/>
              </w:rPr>
            </w:pPr>
            <w:r>
              <w:rPr>
                <w:b/>
              </w:rPr>
              <w:t>评价标准（</w:t>
            </w:r>
            <w:r>
              <w:rPr>
                <w:rFonts w:eastAsiaTheme="minorEastAsia"/>
                <w:b/>
              </w:rPr>
              <w:t>m</w:t>
            </w:r>
            <w:r>
              <w:rPr>
                <w:rFonts w:eastAsia="Times New Roman"/>
                <w:b/>
              </w:rPr>
              <w:t>g/m</w:t>
            </w:r>
            <w:r>
              <w:rPr>
                <w:rFonts w:eastAsia="Times New Roman"/>
                <w:b/>
                <w:vertAlign w:val="superscript"/>
              </w:rPr>
              <w:t>3</w:t>
            </w:r>
            <w:r>
              <w:rPr>
                <w:b/>
              </w:rPr>
              <w:t>）</w:t>
            </w:r>
          </w:p>
        </w:tc>
        <w:tc>
          <w:tcPr>
            <w:tcW w:w="1444" w:type="dxa"/>
            <w:vMerge w:val="restart"/>
            <w:tcBorders>
              <w:top w:val="single" w:sz="12"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rPr>
                <w:rFonts w:eastAsia="Times New Roman"/>
                <w:b/>
              </w:rPr>
            </w:pPr>
            <w:r>
              <w:rPr>
                <w:b/>
              </w:rPr>
              <w:t>监测浓度范围（</w:t>
            </w:r>
            <w:r>
              <w:rPr>
                <w:rFonts w:eastAsiaTheme="minorEastAsia"/>
                <w:b/>
              </w:rPr>
              <w:t>m</w:t>
            </w:r>
            <w:r>
              <w:rPr>
                <w:rFonts w:eastAsia="Times New Roman"/>
                <w:b/>
              </w:rPr>
              <w:t>g/m</w:t>
            </w:r>
            <w:r>
              <w:rPr>
                <w:rFonts w:eastAsia="Times New Roman"/>
                <w:b/>
                <w:vertAlign w:val="superscript"/>
              </w:rPr>
              <w:t>3</w:t>
            </w:r>
            <w:r>
              <w:rPr>
                <w:b/>
              </w:rPr>
              <w:t>）</w:t>
            </w:r>
          </w:p>
        </w:tc>
        <w:tc>
          <w:tcPr>
            <w:tcW w:w="1220" w:type="dxa"/>
            <w:vMerge w:val="restart"/>
            <w:tcBorders>
              <w:top w:val="single" w:sz="12"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rPr>
                <w:rFonts w:eastAsia="Times New Roman"/>
                <w:b/>
              </w:rPr>
            </w:pPr>
            <w:r>
              <w:rPr>
                <w:b/>
              </w:rPr>
              <w:t>最大浓度占标率（</w:t>
            </w:r>
            <w:r>
              <w:rPr>
                <w:rFonts w:eastAsia="Times New Roman"/>
                <w:b/>
              </w:rPr>
              <w:t>%</w:t>
            </w:r>
            <w:r>
              <w:rPr>
                <w:b/>
              </w:rPr>
              <w:t>）</w:t>
            </w:r>
          </w:p>
        </w:tc>
        <w:tc>
          <w:tcPr>
            <w:tcW w:w="879" w:type="dxa"/>
            <w:vMerge w:val="restart"/>
            <w:tcBorders>
              <w:top w:val="single" w:sz="12"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rPr>
                <w:rFonts w:eastAsia="Times New Roman"/>
                <w:b/>
              </w:rPr>
            </w:pPr>
            <w:r>
              <w:rPr>
                <w:b/>
              </w:rPr>
              <w:t>超标率（</w:t>
            </w:r>
            <w:r>
              <w:rPr>
                <w:rFonts w:eastAsia="Times New Roman"/>
                <w:b/>
              </w:rPr>
              <w:t>%</w:t>
            </w:r>
            <w:r>
              <w:rPr>
                <w:b/>
              </w:rPr>
              <w:t>）</w:t>
            </w:r>
          </w:p>
        </w:tc>
        <w:tc>
          <w:tcPr>
            <w:tcW w:w="757" w:type="dxa"/>
            <w:vMerge w:val="restart"/>
            <w:tcBorders>
              <w:top w:val="single" w:sz="12" w:space="0" w:color="000000"/>
              <w:left w:val="single" w:sz="4" w:space="0" w:color="000000"/>
              <w:bottom w:val="single" w:sz="4" w:space="0" w:color="000000"/>
              <w:right w:val="nil"/>
            </w:tcBorders>
            <w:vAlign w:val="center"/>
          </w:tcPr>
          <w:p>
            <w:pPr>
              <w:adjustRightInd w:val="0"/>
              <w:snapToGrid w:val="0"/>
              <w:spacing w:line="280" w:lineRule="exact"/>
              <w:ind w:firstLine="0" w:firstLineChars="0"/>
              <w:jc w:val="center"/>
              <w:rPr>
                <w:rFonts w:eastAsia="Times New Roman"/>
                <w:b/>
              </w:rPr>
            </w:pPr>
            <w:r>
              <w:rPr>
                <w:b/>
              </w:rPr>
              <w:t>达标情况</w:t>
            </w:r>
          </w:p>
        </w:tc>
      </w:tr>
      <w:tr>
        <w:tblPrEx>
          <w:tblW w:w="9515" w:type="dxa"/>
          <w:tblInd w:w="0" w:type="dxa"/>
          <w:tblLayout w:type="fixed"/>
          <w:tblCellMar>
            <w:top w:w="0" w:type="dxa"/>
            <w:left w:w="108" w:type="dxa"/>
            <w:bottom w:w="0" w:type="dxa"/>
            <w:right w:w="108" w:type="dxa"/>
          </w:tblCellMar>
        </w:tblPrEx>
        <w:trPr>
          <w:trHeight w:val="378"/>
        </w:trPr>
        <w:tc>
          <w:tcPr>
            <w:tcW w:w="1105" w:type="dxa"/>
            <w:vMerge/>
            <w:tcBorders>
              <w:top w:val="single" w:sz="12" w:space="0" w:color="000000"/>
              <w:left w:val="nil"/>
              <w:bottom w:val="single" w:sz="4" w:space="0" w:color="000000"/>
              <w:right w:val="single" w:sz="4" w:space="0" w:color="000000"/>
            </w:tcBorders>
            <w:vAlign w:val="center"/>
          </w:tcPr>
          <w:p>
            <w:pPr>
              <w:widowControl/>
              <w:spacing w:line="280" w:lineRule="exact"/>
              <w:ind w:firstLine="0" w:firstLineChars="0"/>
              <w:jc w:val="center"/>
              <w:rPr>
                <w:b/>
              </w:rPr>
            </w:pPr>
          </w:p>
        </w:tc>
        <w:tc>
          <w:tcPr>
            <w:tcW w:w="424" w:type="dxa"/>
            <w:tcBorders>
              <w:top w:val="single" w:sz="4"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rPr>
                <w:rFonts w:eastAsia="Times New Roman"/>
                <w:b/>
              </w:rPr>
            </w:pPr>
            <w:r>
              <w:rPr>
                <w:rFonts w:eastAsia="Times New Roman"/>
                <w:b/>
              </w:rPr>
              <w:t>X</w:t>
            </w:r>
          </w:p>
        </w:tc>
        <w:tc>
          <w:tcPr>
            <w:tcW w:w="567" w:type="dxa"/>
            <w:tcBorders>
              <w:top w:val="single" w:sz="4"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rPr>
                <w:rFonts w:eastAsia="Times New Roman"/>
                <w:b/>
              </w:rPr>
            </w:pPr>
            <w:r>
              <w:rPr>
                <w:rFonts w:eastAsia="Times New Roman"/>
                <w:b/>
              </w:rPr>
              <w:t>Y</w:t>
            </w:r>
          </w:p>
        </w:tc>
        <w:tc>
          <w:tcPr>
            <w:tcW w:w="982" w:type="dxa"/>
            <w:vMerge/>
            <w:tcBorders>
              <w:top w:val="single" w:sz="12" w:space="0" w:color="000000"/>
              <w:left w:val="single" w:sz="4" w:space="0" w:color="000000"/>
              <w:bottom w:val="single" w:sz="4" w:space="0" w:color="000000"/>
              <w:right w:val="single" w:sz="4" w:space="0" w:color="000000"/>
            </w:tcBorders>
            <w:vAlign w:val="center"/>
          </w:tcPr>
          <w:p>
            <w:pPr>
              <w:widowControl/>
              <w:spacing w:line="280" w:lineRule="exact"/>
              <w:ind w:firstLine="0" w:firstLineChars="0"/>
              <w:jc w:val="center"/>
              <w:rPr>
                <w:b/>
              </w:rPr>
            </w:pPr>
          </w:p>
        </w:tc>
        <w:tc>
          <w:tcPr>
            <w:tcW w:w="1003" w:type="dxa"/>
            <w:vMerge/>
            <w:tcBorders>
              <w:top w:val="single" w:sz="12" w:space="0" w:color="000000"/>
              <w:left w:val="single" w:sz="4" w:space="0" w:color="000000"/>
              <w:bottom w:val="single" w:sz="4" w:space="0" w:color="000000"/>
              <w:right w:val="single" w:sz="4" w:space="0" w:color="000000"/>
            </w:tcBorders>
            <w:vAlign w:val="center"/>
          </w:tcPr>
          <w:p>
            <w:pPr>
              <w:widowControl/>
              <w:spacing w:line="280" w:lineRule="exact"/>
              <w:ind w:firstLine="0" w:firstLineChars="0"/>
              <w:jc w:val="center"/>
              <w:rPr>
                <w:b/>
              </w:rPr>
            </w:pPr>
          </w:p>
        </w:tc>
        <w:tc>
          <w:tcPr>
            <w:tcW w:w="1134" w:type="dxa"/>
            <w:vMerge/>
            <w:tcBorders>
              <w:top w:val="single" w:sz="12" w:space="0" w:color="000000"/>
              <w:left w:val="single" w:sz="4" w:space="0" w:color="000000"/>
              <w:bottom w:val="single" w:sz="4" w:space="0" w:color="000000"/>
              <w:right w:val="single" w:sz="4" w:space="0" w:color="000000"/>
            </w:tcBorders>
            <w:vAlign w:val="center"/>
          </w:tcPr>
          <w:p>
            <w:pPr>
              <w:widowControl/>
              <w:spacing w:line="280" w:lineRule="exact"/>
              <w:ind w:firstLine="0" w:firstLineChars="0"/>
              <w:jc w:val="center"/>
              <w:rPr>
                <w:b/>
              </w:rPr>
            </w:pPr>
          </w:p>
        </w:tc>
        <w:tc>
          <w:tcPr>
            <w:tcW w:w="1444" w:type="dxa"/>
            <w:vMerge/>
            <w:tcBorders>
              <w:top w:val="single" w:sz="12" w:space="0" w:color="000000"/>
              <w:left w:val="single" w:sz="4" w:space="0" w:color="000000"/>
              <w:bottom w:val="single" w:sz="4" w:space="0" w:color="000000"/>
              <w:right w:val="single" w:sz="4" w:space="0" w:color="000000"/>
            </w:tcBorders>
            <w:vAlign w:val="center"/>
          </w:tcPr>
          <w:p>
            <w:pPr>
              <w:widowControl/>
              <w:spacing w:line="280" w:lineRule="exact"/>
              <w:ind w:firstLine="0" w:firstLineChars="0"/>
              <w:jc w:val="center"/>
              <w:rPr>
                <w:b/>
              </w:rPr>
            </w:pPr>
          </w:p>
        </w:tc>
        <w:tc>
          <w:tcPr>
            <w:tcW w:w="1220" w:type="dxa"/>
            <w:vMerge/>
            <w:tcBorders>
              <w:top w:val="single" w:sz="12" w:space="0" w:color="000000"/>
              <w:left w:val="single" w:sz="4" w:space="0" w:color="000000"/>
              <w:bottom w:val="single" w:sz="4" w:space="0" w:color="000000"/>
              <w:right w:val="single" w:sz="4" w:space="0" w:color="000000"/>
            </w:tcBorders>
            <w:vAlign w:val="center"/>
          </w:tcPr>
          <w:p>
            <w:pPr>
              <w:widowControl/>
              <w:spacing w:line="280" w:lineRule="exact"/>
              <w:ind w:firstLine="0" w:firstLineChars="0"/>
              <w:jc w:val="center"/>
              <w:rPr>
                <w:b/>
              </w:rPr>
            </w:pPr>
          </w:p>
        </w:tc>
        <w:tc>
          <w:tcPr>
            <w:tcW w:w="879" w:type="dxa"/>
            <w:vMerge/>
            <w:tcBorders>
              <w:top w:val="single" w:sz="12" w:space="0" w:color="000000"/>
              <w:left w:val="single" w:sz="4" w:space="0" w:color="000000"/>
              <w:bottom w:val="single" w:sz="4" w:space="0" w:color="000000"/>
              <w:right w:val="single" w:sz="4" w:space="0" w:color="000000"/>
            </w:tcBorders>
            <w:vAlign w:val="center"/>
          </w:tcPr>
          <w:p>
            <w:pPr>
              <w:widowControl/>
              <w:spacing w:line="280" w:lineRule="exact"/>
              <w:ind w:firstLine="0" w:firstLineChars="0"/>
              <w:jc w:val="center"/>
              <w:rPr>
                <w:b/>
              </w:rPr>
            </w:pPr>
          </w:p>
        </w:tc>
        <w:tc>
          <w:tcPr>
            <w:tcW w:w="757" w:type="dxa"/>
            <w:vMerge/>
            <w:tcBorders>
              <w:top w:val="single" w:sz="12" w:space="0" w:color="000000"/>
              <w:left w:val="single" w:sz="4" w:space="0" w:color="000000"/>
              <w:bottom w:val="single" w:sz="4" w:space="0" w:color="000000"/>
              <w:right w:val="nil"/>
            </w:tcBorders>
            <w:vAlign w:val="center"/>
          </w:tcPr>
          <w:p>
            <w:pPr>
              <w:widowControl/>
              <w:spacing w:line="280" w:lineRule="exact"/>
              <w:ind w:firstLine="0" w:firstLineChars="0"/>
              <w:jc w:val="center"/>
              <w:rPr>
                <w:b/>
              </w:rPr>
            </w:pPr>
          </w:p>
        </w:tc>
      </w:tr>
      <w:tr>
        <w:tblPrEx>
          <w:tblW w:w="9515" w:type="dxa"/>
          <w:tblInd w:w="0" w:type="dxa"/>
          <w:tblLayout w:type="fixed"/>
          <w:tblCellMar>
            <w:top w:w="0" w:type="dxa"/>
            <w:left w:w="108" w:type="dxa"/>
            <w:bottom w:w="0" w:type="dxa"/>
            <w:right w:w="108" w:type="dxa"/>
          </w:tblCellMar>
        </w:tblPrEx>
        <w:tc>
          <w:tcPr>
            <w:tcW w:w="1105" w:type="dxa"/>
            <w:tcBorders>
              <w:left w:val="nil"/>
              <w:right w:val="single" w:sz="4" w:space="0" w:color="000000"/>
            </w:tcBorders>
            <w:vAlign w:val="center"/>
          </w:tcPr>
          <w:p>
            <w:pPr>
              <w:adjustRightInd w:val="0"/>
              <w:snapToGrid w:val="0"/>
              <w:spacing w:line="280" w:lineRule="exact"/>
              <w:ind w:firstLine="0" w:firstLineChars="0"/>
              <w:jc w:val="center"/>
              <w:rPr>
                <w:rFonts w:eastAsia="Times New Roman"/>
              </w:rPr>
            </w:pPr>
            <w:r>
              <w:t>1#：项目</w:t>
            </w:r>
            <w:r>
              <w:rPr>
                <w:rFonts w:hint="eastAsia"/>
              </w:rPr>
              <w:t>下风向</w:t>
            </w:r>
          </w:p>
        </w:tc>
        <w:tc>
          <w:tcPr>
            <w:tcW w:w="424" w:type="dxa"/>
            <w:tcBorders>
              <w:left w:val="single" w:sz="4" w:space="0" w:color="000000"/>
              <w:right w:val="single" w:sz="4" w:space="0" w:color="000000"/>
            </w:tcBorders>
            <w:vAlign w:val="center"/>
          </w:tcPr>
          <w:p>
            <w:pPr>
              <w:adjustRightInd w:val="0"/>
              <w:snapToGrid w:val="0"/>
              <w:spacing w:line="280" w:lineRule="exact"/>
              <w:ind w:firstLine="0" w:firstLineChars="0"/>
              <w:jc w:val="center"/>
              <w:rPr>
                <w:rFonts w:eastAsia="Times New Roman"/>
              </w:rPr>
            </w:pPr>
            <w:r>
              <w:t>/</w:t>
            </w:r>
          </w:p>
        </w:tc>
        <w:tc>
          <w:tcPr>
            <w:tcW w:w="567" w:type="dxa"/>
            <w:tcBorders>
              <w:left w:val="single" w:sz="4" w:space="0" w:color="000000"/>
              <w:right w:val="single" w:sz="4" w:space="0" w:color="000000"/>
            </w:tcBorders>
            <w:vAlign w:val="center"/>
          </w:tcPr>
          <w:p>
            <w:pPr>
              <w:adjustRightInd w:val="0"/>
              <w:snapToGrid w:val="0"/>
              <w:spacing w:line="280" w:lineRule="exact"/>
              <w:ind w:firstLine="0" w:firstLineChars="0"/>
              <w:jc w:val="center"/>
              <w:rPr>
                <w:rFonts w:eastAsia="Times New Roman"/>
              </w:rPr>
            </w:pPr>
            <w:r>
              <w:t>/</w:t>
            </w:r>
          </w:p>
        </w:tc>
        <w:tc>
          <w:tcPr>
            <w:tcW w:w="982" w:type="dxa"/>
            <w:tcBorders>
              <w:top w:val="single" w:sz="4"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pPr>
            <w:r>
              <w:rPr>
                <w:rFonts w:hint="eastAsia"/>
              </w:rPr>
              <w:t>非甲烷总烃</w:t>
            </w:r>
          </w:p>
        </w:tc>
        <w:tc>
          <w:tcPr>
            <w:tcW w:w="1003" w:type="dxa"/>
            <w:tcBorders>
              <w:top w:val="single" w:sz="4"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pPr>
            <w:r>
              <w:rPr>
                <w:rFonts w:hint="eastAsia"/>
              </w:rPr>
              <w:t>1小时</w:t>
            </w:r>
          </w:p>
        </w:tc>
        <w:tc>
          <w:tcPr>
            <w:tcW w:w="1134" w:type="dxa"/>
            <w:tcBorders>
              <w:top w:val="single" w:sz="4"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pPr>
            <w:r>
              <w:rPr>
                <w:rFonts w:hint="eastAsia"/>
              </w:rPr>
              <w:t>2.0</w:t>
            </w:r>
          </w:p>
        </w:tc>
        <w:tc>
          <w:tcPr>
            <w:tcW w:w="1444" w:type="dxa"/>
            <w:tcBorders>
              <w:top w:val="single" w:sz="4"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pPr>
            <w:r>
              <w:rPr>
                <w:rFonts w:hint="eastAsia"/>
              </w:rPr>
              <w:t>0.27</w:t>
            </w:r>
            <w:r>
              <w:t>~0.67</w:t>
            </w:r>
          </w:p>
        </w:tc>
        <w:tc>
          <w:tcPr>
            <w:tcW w:w="1220" w:type="dxa"/>
            <w:tcBorders>
              <w:top w:val="single" w:sz="4"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pPr>
            <w:r>
              <w:rPr>
                <w:rFonts w:hint="eastAsia"/>
              </w:rPr>
              <w:t>33.5</w:t>
            </w:r>
          </w:p>
        </w:tc>
        <w:tc>
          <w:tcPr>
            <w:tcW w:w="879" w:type="dxa"/>
            <w:tcBorders>
              <w:top w:val="single" w:sz="4" w:space="0" w:color="000000"/>
              <w:left w:val="single" w:sz="4" w:space="0" w:color="000000"/>
              <w:bottom w:val="single" w:sz="4" w:space="0" w:color="000000"/>
              <w:right w:val="single" w:sz="4" w:space="0" w:color="000000"/>
            </w:tcBorders>
            <w:vAlign w:val="center"/>
          </w:tcPr>
          <w:p>
            <w:pPr>
              <w:adjustRightInd w:val="0"/>
              <w:snapToGrid w:val="0"/>
              <w:spacing w:line="280" w:lineRule="exact"/>
              <w:ind w:firstLine="0" w:firstLineChars="0"/>
              <w:jc w:val="center"/>
              <w:rPr>
                <w:rFonts w:eastAsiaTheme="minorEastAsia"/>
              </w:rPr>
            </w:pPr>
            <w:r>
              <w:rPr>
                <w:rFonts w:eastAsiaTheme="minorEastAsia" w:hint="eastAsia"/>
              </w:rPr>
              <w:t>0</w:t>
            </w:r>
          </w:p>
        </w:tc>
        <w:tc>
          <w:tcPr>
            <w:tcW w:w="757" w:type="dxa"/>
            <w:tcBorders>
              <w:top w:val="single" w:sz="4" w:space="0" w:color="000000"/>
              <w:left w:val="single" w:sz="4" w:space="0" w:color="000000"/>
              <w:bottom w:val="single" w:sz="4" w:space="0" w:color="000000"/>
              <w:right w:val="nil"/>
            </w:tcBorders>
            <w:vAlign w:val="center"/>
          </w:tcPr>
          <w:p>
            <w:pPr>
              <w:adjustRightInd w:val="0"/>
              <w:snapToGrid w:val="0"/>
              <w:spacing w:line="280" w:lineRule="exact"/>
              <w:ind w:firstLine="0" w:firstLineChars="0"/>
              <w:jc w:val="center"/>
            </w:pPr>
            <w:r>
              <w:rPr>
                <w:rFonts w:hint="eastAsia"/>
              </w:rPr>
              <w:t>达标</w:t>
            </w:r>
          </w:p>
        </w:tc>
      </w:tr>
    </w:tbl>
    <w:p>
      <w:pPr>
        <w:pStyle w:val="a1"/>
        <w:spacing w:before="156" w:beforeLines="50"/>
        <w:ind w:firstLine="480"/>
        <w:sectPr>
          <w:headerReference w:type="even" r:id="rId320"/>
          <w:headerReference w:type="default" r:id="rId321"/>
          <w:footerReference w:type="even" r:id="rId322"/>
          <w:footerReference w:type="default" r:id="rId323"/>
          <w:headerReference w:type="first" r:id="rId324"/>
          <w:footerReference w:type="first" r:id="rId325"/>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26"/>
          <w:cols w:num="1" w:space="720"/>
          <w:titlePg w:val="0"/>
          <w:docGrid w:type="linesAndChars" w:linePitch="312" w:charSpace="0"/>
        </w:sectPr>
      </w:pPr>
      <w:r>
        <w:rPr>
          <w:rFonts w:hint="eastAsia"/>
        </w:rPr>
        <w:t>由</w:t>
      </w:r>
      <w:r>
        <w:t>表</w:t>
      </w:r>
      <w:r>
        <w:rPr>
          <w:rFonts w:hint="eastAsia"/>
        </w:rPr>
        <w:t>3-2可知</w:t>
      </w:r>
      <w:r>
        <w:t>，</w:t>
      </w:r>
      <w:r>
        <w:rPr>
          <w:rFonts w:hint="eastAsia"/>
        </w:rPr>
        <w:t>项目所在区域非甲烷总烃能够满足《大气污染物综合排放标准详解》中标准限值，</w:t>
      </w:r>
      <w:r>
        <w:t>项目所在地空气质量较好。</w:t>
      </w:r>
    </w:p>
    <w:p>
      <w:pPr>
        <w:sectPr>
          <w:headerReference w:type="even" r:id="rId326"/>
          <w:headerReference w:type="default" r:id="rId327"/>
          <w:footerReference w:type="even" r:id="rId328"/>
          <w:footerReference w:type="default" r:id="rId329"/>
          <w:headerReference w:type="first" r:id="rId330"/>
          <w:footerReference w:type="first" r:id="rId331"/>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560"/>
        <w:outlineLvl w:val="0"/>
        <w:rPr>
          <w:rFonts w:eastAsia="黑体"/>
          <w:sz w:val="28"/>
        </w:rPr>
      </w:pPr>
      <w:r>
        <w:rPr>
          <w:rFonts w:eastAsia="黑体" w:hint="eastAsia"/>
          <w:sz w:val="28"/>
        </w:rPr>
        <w:t>二</w:t>
      </w:r>
      <w:r>
        <w:rPr>
          <w:rFonts w:eastAsia="黑体"/>
          <w:sz w:val="28"/>
        </w:rPr>
        <w:t>、地表水</w:t>
      </w:r>
      <w:r>
        <w:rPr>
          <w:rFonts w:eastAsia="黑体" w:hint="eastAsia"/>
          <w:sz w:val="28"/>
        </w:rPr>
        <w:t>环境</w:t>
      </w:r>
      <w:r>
        <w:rPr>
          <w:rFonts w:eastAsia="黑体"/>
          <w:sz w:val="28"/>
        </w:rPr>
        <w:t>质量现状</w:t>
      </w:r>
      <w:r>
        <w:rPr>
          <w:rFonts w:eastAsia="黑体" w:hint="eastAsia"/>
          <w:sz w:val="28"/>
        </w:rPr>
        <w:t>调查与评价</w:t>
      </w:r>
    </w:p>
    <w:p>
      <w:pPr>
        <w:pStyle w:val="a1"/>
        <w:ind w:firstLine="480"/>
      </w:pPr>
      <w:r>
        <w:rPr>
          <w:rFonts w:hint="eastAsia"/>
        </w:rPr>
        <w:t>根据</w:t>
      </w:r>
      <w:r>
        <w:t>《</w:t>
      </w:r>
      <w:r>
        <w:rPr>
          <w:rFonts w:hint="eastAsia"/>
        </w:rPr>
        <w:t>环境</w:t>
      </w:r>
      <w:r>
        <w:t>影响评价</w:t>
      </w:r>
      <w:r>
        <w:rPr>
          <w:rFonts w:hint="eastAsia"/>
        </w:rPr>
        <w:t>技术</w:t>
      </w:r>
      <w:r>
        <w:t>导则</w:t>
      </w:r>
      <w:r>
        <w:rPr>
          <w:rFonts w:hint="eastAsia"/>
        </w:rPr>
        <w:t>地表水环境</w:t>
      </w:r>
      <w:r>
        <w:t>》</w:t>
      </w:r>
      <w:r>
        <w:rPr>
          <w:rFonts w:hint="eastAsia"/>
        </w:rPr>
        <w:t>（HJ2.3-2018），项目废水不外排，评价</w:t>
      </w:r>
      <w:r>
        <w:t>等级为三级</w:t>
      </w:r>
      <w:r>
        <w:rPr>
          <w:rFonts w:hint="eastAsia"/>
        </w:rPr>
        <w:t>B，水环境质量现状调查应优先采用</w:t>
      </w:r>
      <w:r>
        <w:t>国务院生态环境保护主管部门统一发布的水环境状况信息。本次评价</w:t>
      </w:r>
      <w:r>
        <w:rPr>
          <w:rFonts w:hint="eastAsia"/>
        </w:rPr>
        <w:t>参考海南省生态环境厅2020年6月5日发布的《2019年海南省生态环境状况公报》中河流情况，明确“全省监测的52条主要河流中，文昌市文教河、石壁河和万宁市东山河、东方市罗带河等4条河流水质轻度污染；文昌市珠溪河水质为重度污染；南渡江、万泉河和昌化江干流，以及其余的44条河流水质优良。”具体截图如下：</w:t>
      </w:r>
    </w:p>
    <w:p>
      <w:pPr>
        <w:widowControl/>
        <w:spacing w:line="240" w:lineRule="auto"/>
        <w:ind w:firstLine="0" w:firstLineChars="0"/>
        <w:jc w:val="center"/>
      </w:pPr>
      <w:r>
        <w:drawing>
          <wp:inline distT="0" distB="0" distL="0" distR="0">
            <wp:extent cx="5429250" cy="2962275"/>
            <wp:effectExtent l="1905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xmlns:r="http://schemas.openxmlformats.org/officeDocument/2006/relationships" r:embed="rId332"/>
                    <a:stretch>
                      <a:fillRect/>
                    </a:stretch>
                  </pic:blipFill>
                  <pic:spPr>
                    <a:xfrm>
                      <a:off x="0" y="0"/>
                      <a:ext cx="5429250" cy="2962275"/>
                    </a:xfrm>
                    <a:prstGeom prst="rect">
                      <a:avLst/>
                    </a:prstGeom>
                    <a:noFill/>
                    <a:ln w="9525">
                      <a:noFill/>
                      <a:miter lim="800000"/>
                      <a:headEnd/>
                      <a:tailEnd/>
                    </a:ln>
                  </pic:spPr>
                </pic:pic>
              </a:graphicData>
            </a:graphic>
          </wp:inline>
        </w:drawing>
      </w:r>
    </w:p>
    <w:p>
      <w:pPr>
        <w:pStyle w:val="a1"/>
        <w:ind w:firstLine="0" w:firstLineChars="0"/>
        <w:jc w:val="center"/>
        <w:rPr>
          <w:rFonts w:eastAsia="黑体"/>
          <w:sz w:val="21"/>
          <w:szCs w:val="21"/>
        </w:rPr>
      </w:pPr>
      <w:r>
        <w:rPr>
          <w:rFonts w:eastAsia="黑体"/>
          <w:sz w:val="21"/>
          <w:szCs w:val="21"/>
        </w:rPr>
        <w:t>图3-</w:t>
      </w:r>
      <w:r>
        <w:rPr>
          <w:rFonts w:eastAsia="黑体" w:hint="eastAsia"/>
          <w:sz w:val="21"/>
          <w:szCs w:val="21"/>
        </w:rPr>
        <w:t>1  2019年海南省河流水质状况</w:t>
      </w:r>
    </w:p>
    <w:p>
      <w:pPr>
        <w:pStyle w:val="a1"/>
        <w:ind w:firstLine="480"/>
      </w:pPr>
      <w:r>
        <w:rPr>
          <w:rFonts w:hint="eastAsia"/>
        </w:rPr>
        <w:t>本项目所在区域主要地表水体为文教河，根据《2019年海南省生态环境状况公报》，文教河水质不满足《地表水环境质量标准》（GB3838-2002）</w:t>
      </w:r>
      <w:r>
        <w:t>中</w:t>
      </w:r>
      <w:r>
        <w:rPr>
          <w:rFonts w:hint="eastAsia"/>
        </w:rPr>
        <w:t>Ⅲ类标准。因此，本项目所在区域水环境质量判定为不达标区。</w:t>
      </w:r>
    </w:p>
    <w:p>
      <w:pPr>
        <w:pStyle w:val="a1"/>
        <w:ind w:firstLine="560"/>
        <w:outlineLvl w:val="0"/>
        <w:rPr>
          <w:rFonts w:eastAsia="黑体"/>
          <w:sz w:val="28"/>
        </w:rPr>
      </w:pPr>
      <w:r>
        <w:rPr>
          <w:rFonts w:eastAsia="黑体" w:hint="eastAsia"/>
          <w:sz w:val="28"/>
        </w:rPr>
        <w:t>三</w:t>
      </w:r>
      <w:r>
        <w:rPr>
          <w:rFonts w:eastAsia="黑体"/>
          <w:sz w:val="28"/>
        </w:rPr>
        <w:t>、声环境质量现状</w:t>
      </w:r>
      <w:r>
        <w:rPr>
          <w:rFonts w:eastAsia="黑体" w:hint="eastAsia"/>
          <w:sz w:val="28"/>
        </w:rPr>
        <w:t>调查与评价</w:t>
      </w:r>
    </w:p>
    <w:p>
      <w:pPr>
        <w:pStyle w:val="a1"/>
        <w:ind w:firstLine="480"/>
      </w:pPr>
      <w:r>
        <w:t>为了解项目所在地声环境质量现状，特委托</w:t>
      </w:r>
      <w:r>
        <w:rPr>
          <w:rFonts w:hint="eastAsia"/>
          <w:szCs w:val="24"/>
        </w:rPr>
        <w:t>海南中特环境监测技术有限公司</w:t>
      </w:r>
      <w:r>
        <w:t>于2020年6月28日-6月29日对项目周边</w:t>
      </w:r>
      <w:r>
        <w:rPr>
          <w:rFonts w:hint="eastAsia"/>
        </w:rPr>
        <w:t>声</w:t>
      </w:r>
      <w:r>
        <w:t>环境进行了</w:t>
      </w:r>
      <w:r>
        <w:rPr>
          <w:rFonts w:hint="eastAsia"/>
        </w:rPr>
        <w:t>监测。</w:t>
      </w:r>
    </w:p>
    <w:p>
      <w:pPr>
        <w:pStyle w:val="a1"/>
        <w:ind w:firstLine="480"/>
        <w:outlineLvl w:val="1"/>
        <w:rPr>
          <w:rFonts w:eastAsia="黑体"/>
        </w:rPr>
      </w:pPr>
      <w:r>
        <w:rPr>
          <w:rFonts w:eastAsia="黑体" w:hint="eastAsia"/>
        </w:rPr>
        <w:t>1、</w:t>
      </w:r>
      <w:r>
        <w:rPr>
          <w:rFonts w:eastAsia="黑体"/>
        </w:rPr>
        <w:t>监测布点</w:t>
      </w:r>
    </w:p>
    <w:p>
      <w:pPr>
        <w:pStyle w:val="a1"/>
        <w:ind w:firstLine="480"/>
      </w:pPr>
      <w:r>
        <w:rPr>
          <w:rFonts w:hint="eastAsia"/>
        </w:rPr>
        <w:t>本次评价</w:t>
      </w:r>
      <w:r>
        <w:t>监测</w:t>
      </w:r>
      <w:r>
        <w:rPr>
          <w:rFonts w:hint="eastAsia"/>
        </w:rPr>
        <w:t>点位见表</w:t>
      </w:r>
      <w:r>
        <w:t>3-</w:t>
      </w:r>
      <w:r>
        <w:rPr>
          <w:rFonts w:hint="eastAsia"/>
        </w:rPr>
        <w:t>3。</w:t>
      </w:r>
    </w:p>
    <w:p>
      <w:pPr>
        <w:pStyle w:val="a1"/>
        <w:ind w:firstLine="0" w:firstLineChars="0"/>
        <w:jc w:val="center"/>
        <w:rPr>
          <w:rFonts w:eastAsia="黑体"/>
          <w:sz w:val="21"/>
          <w:szCs w:val="21"/>
        </w:rPr>
      </w:pPr>
      <w:r>
        <w:rPr>
          <w:rFonts w:eastAsia="黑体" w:hint="eastAsia"/>
          <w:sz w:val="21"/>
          <w:szCs w:val="21"/>
        </w:rPr>
        <w:t>表</w:t>
      </w:r>
      <w:r>
        <w:rPr>
          <w:rFonts w:eastAsia="黑体"/>
          <w:sz w:val="21"/>
          <w:szCs w:val="21"/>
        </w:rPr>
        <w:t>3-</w:t>
      </w:r>
      <w:r>
        <w:rPr>
          <w:rFonts w:eastAsia="黑体" w:hint="eastAsia"/>
          <w:sz w:val="21"/>
          <w:szCs w:val="21"/>
        </w:rPr>
        <w:t>3  噪声监测布点表</w:t>
      </w:r>
    </w:p>
    <w:tbl>
      <w:tblPr>
        <w:tblStyle w:val="TableNormal"/>
        <w:tblW w:w="951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3256"/>
        <w:gridCol w:w="6259"/>
      </w:tblGrid>
      <w:tr>
        <w:tblPrEx>
          <w:tblW w:w="951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3256" w:type="dxa"/>
            <w:vAlign w:val="center"/>
          </w:tcPr>
          <w:p>
            <w:pPr>
              <w:spacing w:line="280" w:lineRule="exact"/>
              <w:ind w:firstLine="0" w:firstLineChars="0"/>
              <w:jc w:val="center"/>
              <w:rPr>
                <w:b/>
              </w:rPr>
            </w:pPr>
            <w:r>
              <w:rPr>
                <w:b/>
              </w:rPr>
              <w:t>编号</w:t>
            </w:r>
          </w:p>
        </w:tc>
        <w:tc>
          <w:tcPr>
            <w:tcW w:w="6259" w:type="dxa"/>
            <w:vAlign w:val="center"/>
          </w:tcPr>
          <w:p>
            <w:pPr>
              <w:spacing w:line="280" w:lineRule="exact"/>
              <w:ind w:firstLine="0" w:firstLineChars="0"/>
              <w:jc w:val="center"/>
              <w:rPr>
                <w:b/>
              </w:rPr>
            </w:pPr>
            <w:r>
              <w:rPr>
                <w:b/>
              </w:rPr>
              <w:t>地点</w:t>
            </w:r>
          </w:p>
        </w:tc>
      </w:tr>
      <w:tr>
        <w:tblPrEx>
          <w:tblW w:w="9515" w:type="dxa"/>
          <w:jc w:val="center"/>
          <w:tblLayout w:type="fixed"/>
          <w:tblCellMar>
            <w:top w:w="0" w:type="dxa"/>
            <w:left w:w="108" w:type="dxa"/>
            <w:bottom w:w="0" w:type="dxa"/>
            <w:right w:w="108" w:type="dxa"/>
          </w:tblCellMar>
        </w:tblPrEx>
        <w:trPr>
          <w:jc w:val="center"/>
        </w:trPr>
        <w:tc>
          <w:tcPr>
            <w:tcW w:w="3256" w:type="dxa"/>
            <w:vAlign w:val="center"/>
          </w:tcPr>
          <w:p>
            <w:pPr>
              <w:spacing w:line="280" w:lineRule="exact"/>
              <w:ind w:firstLine="0" w:firstLineChars="0"/>
              <w:jc w:val="center"/>
            </w:pPr>
            <w:r>
              <w:rPr>
                <w:rFonts w:hint="eastAsia"/>
              </w:rPr>
              <w:t>1</w:t>
            </w:r>
            <w:r>
              <w:t>#</w:t>
            </w:r>
          </w:p>
        </w:tc>
        <w:tc>
          <w:tcPr>
            <w:tcW w:w="6259" w:type="dxa"/>
            <w:vAlign w:val="center"/>
          </w:tcPr>
          <w:p>
            <w:pPr>
              <w:spacing w:line="280" w:lineRule="exact"/>
              <w:ind w:firstLine="0" w:firstLineChars="0"/>
              <w:jc w:val="center"/>
            </w:pPr>
            <w:r>
              <w:rPr>
                <w:rFonts w:hint="eastAsia"/>
              </w:rPr>
              <w:t>项目北场界外1m</w:t>
            </w:r>
          </w:p>
        </w:tc>
      </w:tr>
      <w:tr>
        <w:tblPrEx>
          <w:tblW w:w="9515" w:type="dxa"/>
          <w:jc w:val="center"/>
          <w:tblLayout w:type="fixed"/>
          <w:tblCellMar>
            <w:top w:w="0" w:type="dxa"/>
            <w:left w:w="108" w:type="dxa"/>
            <w:bottom w:w="0" w:type="dxa"/>
            <w:right w:w="108" w:type="dxa"/>
          </w:tblCellMar>
        </w:tblPrEx>
        <w:trPr>
          <w:jc w:val="center"/>
        </w:trPr>
        <w:tc>
          <w:tcPr>
            <w:tcW w:w="3256" w:type="dxa"/>
            <w:vAlign w:val="center"/>
          </w:tcPr>
          <w:p>
            <w:pPr>
              <w:spacing w:line="280" w:lineRule="exact"/>
              <w:ind w:firstLine="0" w:firstLineChars="0"/>
              <w:jc w:val="center"/>
            </w:pPr>
            <w:r>
              <w:t>2#</w:t>
            </w:r>
          </w:p>
        </w:tc>
        <w:tc>
          <w:tcPr>
            <w:tcW w:w="6259" w:type="dxa"/>
            <w:vAlign w:val="center"/>
          </w:tcPr>
          <w:p>
            <w:pPr>
              <w:spacing w:line="280" w:lineRule="exact"/>
              <w:ind w:firstLine="0" w:firstLineChars="0"/>
              <w:jc w:val="center"/>
            </w:pPr>
            <w:r>
              <w:rPr>
                <w:rFonts w:hint="eastAsia"/>
              </w:rPr>
              <w:t>项目东场界外1m</w:t>
            </w:r>
          </w:p>
        </w:tc>
      </w:tr>
    </w:tbl>
    <w:p>
      <w:pPr>
        <w:sectPr>
          <w:headerReference w:type="even" r:id="rId333"/>
          <w:headerReference w:type="default" r:id="rId334"/>
          <w:footerReference w:type="even" r:id="rId335"/>
          <w:footerReference w:type="default" r:id="rId336"/>
          <w:headerReference w:type="first" r:id="rId337"/>
          <w:footerReference w:type="first" r:id="rId338"/>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27"/>
          <w:cols w:num="1" w:space="720"/>
          <w:titlePg w:val="0"/>
          <w:docGrid w:type="linesAndChars" w:linePitch="312" w:charSpace="0"/>
        </w:sectPr>
      </w:pPr>
    </w:p>
    <w:p>
      <w:pPr>
        <w:sectPr>
          <w:headerReference w:type="even" r:id="rId339"/>
          <w:headerReference w:type="default" r:id="rId340"/>
          <w:footerReference w:type="even" r:id="rId341"/>
          <w:footerReference w:type="default" r:id="rId342"/>
          <w:headerReference w:type="first" r:id="rId343"/>
          <w:footerReference w:type="first" r:id="rId344"/>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51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3256"/>
        <w:gridCol w:w="6259"/>
      </w:tblGrid>
      <w:tr>
        <w:tblPrEx>
          <w:tblW w:w="951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3256" w:type="dxa"/>
            <w:vAlign w:val="center"/>
          </w:tcPr>
          <w:p>
            <w:pPr>
              <w:spacing w:line="280" w:lineRule="exact"/>
              <w:ind w:firstLine="0" w:firstLineChars="0"/>
              <w:jc w:val="center"/>
            </w:pPr>
            <w:r>
              <w:t>3#</w:t>
            </w:r>
          </w:p>
        </w:tc>
        <w:tc>
          <w:tcPr>
            <w:tcW w:w="6259" w:type="dxa"/>
            <w:vAlign w:val="center"/>
          </w:tcPr>
          <w:p>
            <w:pPr>
              <w:spacing w:line="280" w:lineRule="exact"/>
              <w:ind w:firstLine="0" w:firstLineChars="0"/>
              <w:jc w:val="center"/>
            </w:pPr>
            <w:r>
              <w:rPr>
                <w:rFonts w:hint="eastAsia"/>
              </w:rPr>
              <w:t>项目南场界外1m</w:t>
            </w:r>
          </w:p>
        </w:tc>
      </w:tr>
      <w:tr>
        <w:tblPrEx>
          <w:tblW w:w="9515" w:type="dxa"/>
          <w:jc w:val="center"/>
          <w:tblLayout w:type="fixed"/>
          <w:tblCellMar>
            <w:top w:w="0" w:type="dxa"/>
            <w:left w:w="108" w:type="dxa"/>
            <w:bottom w:w="0" w:type="dxa"/>
            <w:right w:w="108" w:type="dxa"/>
          </w:tblCellMar>
        </w:tblPrEx>
        <w:trPr>
          <w:jc w:val="center"/>
        </w:trPr>
        <w:tc>
          <w:tcPr>
            <w:tcW w:w="3256" w:type="dxa"/>
            <w:vAlign w:val="center"/>
          </w:tcPr>
          <w:p>
            <w:pPr>
              <w:spacing w:line="280" w:lineRule="exact"/>
              <w:ind w:firstLine="0" w:firstLineChars="0"/>
              <w:jc w:val="center"/>
            </w:pPr>
            <w:r>
              <w:t>4#</w:t>
            </w:r>
          </w:p>
        </w:tc>
        <w:tc>
          <w:tcPr>
            <w:tcW w:w="6259" w:type="dxa"/>
            <w:vAlign w:val="center"/>
          </w:tcPr>
          <w:p>
            <w:pPr>
              <w:spacing w:line="280" w:lineRule="exact"/>
              <w:ind w:firstLine="0" w:firstLineChars="0"/>
              <w:jc w:val="center"/>
            </w:pPr>
            <w:r>
              <w:rPr>
                <w:rFonts w:hint="eastAsia"/>
              </w:rPr>
              <w:t>项目西场界外1m</w:t>
            </w:r>
          </w:p>
        </w:tc>
      </w:tr>
      <w:tr>
        <w:tblPrEx>
          <w:tblW w:w="9515" w:type="dxa"/>
          <w:jc w:val="center"/>
          <w:tblLayout w:type="fixed"/>
          <w:tblCellMar>
            <w:top w:w="0" w:type="dxa"/>
            <w:left w:w="108" w:type="dxa"/>
            <w:bottom w:w="0" w:type="dxa"/>
            <w:right w:w="108" w:type="dxa"/>
          </w:tblCellMar>
        </w:tblPrEx>
        <w:trPr>
          <w:jc w:val="center"/>
        </w:trPr>
        <w:tc>
          <w:tcPr>
            <w:tcW w:w="3256" w:type="dxa"/>
            <w:vAlign w:val="center"/>
          </w:tcPr>
          <w:p>
            <w:pPr>
              <w:spacing w:line="280" w:lineRule="exact"/>
              <w:ind w:firstLine="0" w:firstLineChars="0"/>
              <w:jc w:val="center"/>
            </w:pPr>
            <w:r>
              <w:rPr>
                <w:rFonts w:hint="eastAsia"/>
              </w:rPr>
              <w:t>5#</w:t>
            </w:r>
          </w:p>
        </w:tc>
        <w:tc>
          <w:tcPr>
            <w:tcW w:w="6259" w:type="dxa"/>
            <w:vAlign w:val="center"/>
          </w:tcPr>
          <w:p>
            <w:pPr>
              <w:spacing w:line="280" w:lineRule="exact"/>
              <w:ind w:firstLine="0" w:firstLineChars="0"/>
              <w:jc w:val="center"/>
            </w:pPr>
            <w:r>
              <w:rPr>
                <w:rFonts w:hint="eastAsia"/>
              </w:rPr>
              <w:t>项目东侧</w:t>
            </w:r>
            <w:r>
              <w:t>60</w:t>
            </w:r>
            <w:r>
              <w:rPr>
                <w:rFonts w:hint="eastAsia"/>
              </w:rPr>
              <w:t>m处居民</w:t>
            </w:r>
          </w:p>
        </w:tc>
      </w:tr>
      <w:tr>
        <w:tblPrEx>
          <w:tblW w:w="9515" w:type="dxa"/>
          <w:jc w:val="center"/>
          <w:tblLayout w:type="fixed"/>
          <w:tblCellMar>
            <w:top w:w="0" w:type="dxa"/>
            <w:left w:w="108" w:type="dxa"/>
            <w:bottom w:w="0" w:type="dxa"/>
            <w:right w:w="108" w:type="dxa"/>
          </w:tblCellMar>
        </w:tblPrEx>
        <w:trPr>
          <w:jc w:val="center"/>
        </w:trPr>
        <w:tc>
          <w:tcPr>
            <w:tcW w:w="3256" w:type="dxa"/>
            <w:vAlign w:val="center"/>
          </w:tcPr>
          <w:p>
            <w:pPr>
              <w:spacing w:line="280" w:lineRule="exact"/>
              <w:ind w:firstLine="0" w:firstLineChars="0"/>
              <w:jc w:val="center"/>
            </w:pPr>
            <w:r>
              <w:rPr>
                <w:rFonts w:hint="eastAsia"/>
              </w:rPr>
              <w:t>6#</w:t>
            </w:r>
          </w:p>
        </w:tc>
        <w:tc>
          <w:tcPr>
            <w:tcW w:w="6259" w:type="dxa"/>
            <w:vAlign w:val="center"/>
          </w:tcPr>
          <w:p>
            <w:pPr>
              <w:spacing w:line="280" w:lineRule="exact"/>
              <w:ind w:firstLine="0" w:firstLineChars="0"/>
              <w:jc w:val="center"/>
            </w:pPr>
            <w:r>
              <w:rPr>
                <w:rFonts w:hint="eastAsia"/>
              </w:rPr>
              <w:t>项目东北侧</w:t>
            </w:r>
            <w:r>
              <w:t>6</w:t>
            </w:r>
            <w:r>
              <w:rPr>
                <w:rFonts w:hint="eastAsia"/>
              </w:rPr>
              <w:t>5m处居民</w:t>
            </w:r>
          </w:p>
        </w:tc>
      </w:tr>
      <w:tr>
        <w:tblPrEx>
          <w:tblW w:w="9515" w:type="dxa"/>
          <w:jc w:val="center"/>
          <w:tblLayout w:type="fixed"/>
          <w:tblCellMar>
            <w:top w:w="0" w:type="dxa"/>
            <w:left w:w="108" w:type="dxa"/>
            <w:bottom w:w="0" w:type="dxa"/>
            <w:right w:w="108" w:type="dxa"/>
          </w:tblCellMar>
        </w:tblPrEx>
        <w:trPr>
          <w:jc w:val="center"/>
        </w:trPr>
        <w:tc>
          <w:tcPr>
            <w:tcW w:w="3256" w:type="dxa"/>
            <w:vAlign w:val="center"/>
          </w:tcPr>
          <w:p>
            <w:pPr>
              <w:spacing w:line="280" w:lineRule="exact"/>
              <w:ind w:firstLine="0" w:firstLineChars="0"/>
              <w:jc w:val="center"/>
            </w:pPr>
            <w:r>
              <w:rPr>
                <w:rFonts w:hint="eastAsia"/>
              </w:rPr>
              <w:t>7</w:t>
            </w:r>
            <w:r>
              <w:t>#</w:t>
            </w:r>
          </w:p>
        </w:tc>
        <w:tc>
          <w:tcPr>
            <w:tcW w:w="6259" w:type="dxa"/>
            <w:vAlign w:val="center"/>
          </w:tcPr>
          <w:p>
            <w:pPr>
              <w:spacing w:line="280" w:lineRule="exact"/>
              <w:ind w:firstLine="0" w:firstLineChars="0"/>
              <w:jc w:val="center"/>
            </w:pPr>
            <w:r>
              <w:rPr>
                <w:rFonts w:hint="eastAsia"/>
              </w:rPr>
              <w:t>项目西侧</w:t>
            </w:r>
            <w:r>
              <w:t>50</w:t>
            </w:r>
            <w:r>
              <w:rPr>
                <w:rFonts w:hint="eastAsia"/>
              </w:rPr>
              <w:t>m处居民</w:t>
            </w:r>
          </w:p>
        </w:tc>
      </w:tr>
      <w:tr>
        <w:tblPrEx>
          <w:tblW w:w="9515" w:type="dxa"/>
          <w:jc w:val="center"/>
          <w:tblLayout w:type="fixed"/>
          <w:tblCellMar>
            <w:top w:w="0" w:type="dxa"/>
            <w:left w:w="108" w:type="dxa"/>
            <w:bottom w:w="0" w:type="dxa"/>
            <w:right w:w="108" w:type="dxa"/>
          </w:tblCellMar>
        </w:tblPrEx>
        <w:trPr>
          <w:jc w:val="center"/>
        </w:trPr>
        <w:tc>
          <w:tcPr>
            <w:tcW w:w="3256" w:type="dxa"/>
            <w:vAlign w:val="center"/>
          </w:tcPr>
          <w:p>
            <w:pPr>
              <w:spacing w:line="280" w:lineRule="exact"/>
              <w:ind w:firstLine="0" w:firstLineChars="0"/>
              <w:jc w:val="center"/>
            </w:pPr>
            <w:r>
              <w:rPr>
                <w:rFonts w:hint="eastAsia"/>
              </w:rPr>
              <w:t>8</w:t>
            </w:r>
            <w:r>
              <w:t>#</w:t>
            </w:r>
          </w:p>
        </w:tc>
        <w:tc>
          <w:tcPr>
            <w:tcW w:w="6259" w:type="dxa"/>
            <w:vAlign w:val="center"/>
          </w:tcPr>
          <w:p>
            <w:pPr>
              <w:spacing w:line="280" w:lineRule="exact"/>
              <w:ind w:firstLine="0" w:firstLineChars="0"/>
              <w:jc w:val="center"/>
            </w:pPr>
            <w:r>
              <w:rPr>
                <w:rFonts w:hint="eastAsia"/>
              </w:rPr>
              <w:t>项目南侧</w:t>
            </w:r>
            <w:r>
              <w:t>65</w:t>
            </w:r>
            <w:r>
              <w:rPr>
                <w:rFonts w:hint="eastAsia"/>
              </w:rPr>
              <w:t>m处居民</w:t>
            </w:r>
          </w:p>
        </w:tc>
      </w:tr>
    </w:tbl>
    <w:p>
      <w:pPr>
        <w:pStyle w:val="a1"/>
        <w:spacing w:before="156" w:beforeLines="50"/>
        <w:ind w:firstLine="480"/>
        <w:outlineLvl w:val="1"/>
        <w:rPr>
          <w:rFonts w:eastAsia="黑体"/>
        </w:rPr>
      </w:pPr>
      <w:r>
        <w:rPr>
          <w:rFonts w:eastAsia="黑体" w:hint="eastAsia"/>
        </w:rPr>
        <w:t>2、</w:t>
      </w:r>
      <w:r>
        <w:rPr>
          <w:rFonts w:eastAsia="黑体"/>
        </w:rPr>
        <w:t>监测</w:t>
      </w:r>
      <w:r>
        <w:rPr>
          <w:rFonts w:eastAsia="黑体" w:hint="eastAsia"/>
        </w:rPr>
        <w:t>因子及制度</w:t>
      </w:r>
    </w:p>
    <w:p>
      <w:pPr>
        <w:pStyle w:val="a1"/>
        <w:ind w:firstLine="480"/>
      </w:pPr>
      <w:r>
        <w:rPr>
          <w:rFonts w:hint="eastAsia"/>
        </w:rPr>
        <w:t>监测因子</w:t>
      </w:r>
      <w:r>
        <w:t>L</w:t>
      </w:r>
      <w:r>
        <w:rPr>
          <w:vertAlign w:val="subscript"/>
        </w:rPr>
        <w:t>Aeq</w:t>
      </w:r>
      <w:r>
        <w:rPr>
          <w:rFonts w:hint="eastAsia"/>
        </w:rPr>
        <w:t>，</w:t>
      </w:r>
      <w:r>
        <w:t>2020年6月28日-6月29日</w:t>
      </w:r>
      <w:r>
        <w:rPr>
          <w:rFonts w:hint="eastAsia"/>
        </w:rPr>
        <w:t>对项目厂界及</w:t>
      </w:r>
      <w:r>
        <w:t>敏感点</w:t>
      </w:r>
      <w:r>
        <w:rPr>
          <w:rFonts w:hint="eastAsia"/>
        </w:rPr>
        <w:t>声环境质量进行</w:t>
      </w:r>
      <w:r>
        <w:t>监测，连续监测</w:t>
      </w:r>
      <w:r>
        <w:rPr>
          <w:rFonts w:hint="eastAsia"/>
        </w:rPr>
        <w:t>2</w:t>
      </w:r>
      <w:r>
        <w:t>天，昼间、夜间各</w:t>
      </w:r>
      <w:r>
        <w:rPr>
          <w:rFonts w:hint="eastAsia"/>
        </w:rPr>
        <w:t>1</w:t>
      </w:r>
      <w:r>
        <w:t>次。</w:t>
      </w:r>
    </w:p>
    <w:p>
      <w:pPr>
        <w:pStyle w:val="a1"/>
        <w:ind w:firstLine="480"/>
        <w:outlineLvl w:val="1"/>
        <w:rPr>
          <w:rFonts w:eastAsia="黑体"/>
        </w:rPr>
      </w:pPr>
      <w:r>
        <w:rPr>
          <w:rFonts w:eastAsia="黑体" w:hint="eastAsia"/>
        </w:rPr>
        <w:t>3、评价标准</w:t>
      </w:r>
    </w:p>
    <w:p>
      <w:pPr>
        <w:pStyle w:val="a1"/>
        <w:ind w:firstLine="480"/>
      </w:pPr>
      <w:r>
        <w:rPr>
          <w:rFonts w:hint="eastAsia"/>
        </w:rPr>
        <w:t>项目东侧省道S</w:t>
      </w:r>
      <w:r>
        <w:t>203</w:t>
      </w:r>
      <w:r>
        <w:rPr>
          <w:rFonts w:hint="eastAsia"/>
        </w:rPr>
        <w:t>为二级公路，依据《声环境功能区划分规范》（GB/T15190-2014）和《声环境质量标准》（GB3096-2008）的有关规定，当临街建筑高于三层楼房以上（含三层）时，将临街建筑面向交通干线一侧至交通干线边界线的区域定为4a类声环境功能区。由于相邻区域为2类声环境功能区，因此本项目S</w:t>
      </w:r>
      <w:r>
        <w:t>203</w:t>
      </w:r>
      <w:r>
        <w:rPr>
          <w:rFonts w:hint="eastAsia"/>
        </w:rPr>
        <w:t>省道两侧35m±5m的范围内（</w:t>
      </w:r>
      <w:r>
        <w:t>2</w:t>
      </w:r>
      <w:r>
        <w:rPr>
          <w:rFonts w:hint="eastAsia"/>
        </w:rPr>
        <w:t>#、5#）执行《声环境质量标准》（GB3096-2008）中4a类标准，其余区域（1#、3#、4#、6#、7#、8#）执行2类标准。</w:t>
      </w:r>
    </w:p>
    <w:p>
      <w:pPr>
        <w:pStyle w:val="a1"/>
        <w:ind w:firstLine="480"/>
        <w:outlineLvl w:val="1"/>
        <w:rPr>
          <w:rFonts w:eastAsia="黑体"/>
        </w:rPr>
      </w:pPr>
      <w:r>
        <w:rPr>
          <w:rFonts w:eastAsia="黑体" w:hint="eastAsia"/>
        </w:rPr>
        <w:t>4、</w:t>
      </w:r>
      <w:r>
        <w:rPr>
          <w:rFonts w:eastAsia="黑体"/>
        </w:rPr>
        <w:t>监测结果及评价</w:t>
      </w:r>
    </w:p>
    <w:p>
      <w:pPr>
        <w:pStyle w:val="a1"/>
        <w:ind w:firstLine="480"/>
        <w:rPr>
          <w:b/>
          <w:bCs/>
        </w:rPr>
      </w:pPr>
      <w:r>
        <w:t>各监测点监测</w:t>
      </w:r>
      <w:r>
        <w:rPr>
          <w:rFonts w:hint="eastAsia"/>
        </w:rPr>
        <w:t>结果见表</w:t>
      </w:r>
      <w:r>
        <w:t>3-</w:t>
      </w:r>
      <w:r>
        <w:rPr>
          <w:rFonts w:hint="eastAsia"/>
        </w:rPr>
        <w:t>4</w:t>
      </w:r>
      <w:r>
        <w:t>。</w:t>
      </w:r>
    </w:p>
    <w:p>
      <w:pPr>
        <w:pStyle w:val="a1"/>
        <w:ind w:firstLine="0" w:firstLineChars="0"/>
        <w:jc w:val="center"/>
        <w:rPr>
          <w:rFonts w:eastAsia="黑体"/>
          <w:sz w:val="21"/>
          <w:szCs w:val="21"/>
        </w:rPr>
      </w:pPr>
      <w:r>
        <w:rPr>
          <w:rFonts w:eastAsia="黑体" w:hint="eastAsia"/>
          <w:sz w:val="21"/>
          <w:szCs w:val="21"/>
        </w:rPr>
        <w:t>表</w:t>
      </w:r>
      <w:r>
        <w:rPr>
          <w:rFonts w:eastAsia="黑体"/>
          <w:sz w:val="21"/>
          <w:szCs w:val="21"/>
        </w:rPr>
        <w:t>3-</w:t>
      </w:r>
      <w:r>
        <w:rPr>
          <w:rFonts w:eastAsia="黑体" w:hint="eastAsia"/>
          <w:sz w:val="21"/>
          <w:szCs w:val="21"/>
        </w:rPr>
        <w:t>4  噪声监测结果表  单位：</w:t>
      </w:r>
      <w:r>
        <w:rPr>
          <w:rFonts w:eastAsia="黑体"/>
          <w:sz w:val="21"/>
          <w:szCs w:val="21"/>
        </w:rPr>
        <w:t>dB(A)</w:t>
      </w:r>
    </w:p>
    <w:tbl>
      <w:tblPr>
        <w:tblStyle w:val="TableNormal"/>
        <w:tblW w:w="9515" w:type="dxa"/>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563"/>
        <w:gridCol w:w="1258"/>
        <w:gridCol w:w="1298"/>
        <w:gridCol w:w="1115"/>
        <w:gridCol w:w="1448"/>
        <w:gridCol w:w="1448"/>
        <w:gridCol w:w="1385"/>
      </w:tblGrid>
      <w:tr>
        <w:tblPrEx>
          <w:tblW w:w="9515" w:type="dxa"/>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1563" w:type="dxa"/>
            <w:vMerge w:val="restart"/>
            <w:vAlign w:val="center"/>
          </w:tcPr>
          <w:p>
            <w:pPr>
              <w:spacing w:line="280" w:lineRule="exact"/>
              <w:ind w:firstLine="0" w:firstLineChars="0"/>
              <w:jc w:val="center"/>
              <w:rPr>
                <w:rFonts w:cs="黑体"/>
                <w:b/>
              </w:rPr>
            </w:pPr>
            <w:r>
              <w:rPr>
                <w:rFonts w:cs="黑体" w:hint="eastAsia"/>
                <w:b/>
              </w:rPr>
              <w:t>监测点位</w:t>
            </w:r>
          </w:p>
        </w:tc>
        <w:tc>
          <w:tcPr>
            <w:tcW w:w="5119" w:type="dxa"/>
            <w:gridSpan w:val="4"/>
            <w:vAlign w:val="center"/>
          </w:tcPr>
          <w:p>
            <w:pPr>
              <w:spacing w:line="280" w:lineRule="exact"/>
              <w:ind w:firstLine="0" w:firstLineChars="0"/>
              <w:jc w:val="center"/>
              <w:rPr>
                <w:rFonts w:cs="黑体"/>
                <w:b/>
              </w:rPr>
            </w:pPr>
            <w:r>
              <w:rPr>
                <w:rFonts w:cs="黑体" w:hint="eastAsia"/>
                <w:b/>
              </w:rPr>
              <w:t>监测值</w:t>
            </w:r>
          </w:p>
        </w:tc>
        <w:tc>
          <w:tcPr>
            <w:tcW w:w="2833" w:type="dxa"/>
            <w:gridSpan w:val="2"/>
            <w:vAlign w:val="center"/>
          </w:tcPr>
          <w:p>
            <w:pPr>
              <w:spacing w:line="280" w:lineRule="exact"/>
              <w:ind w:firstLine="0" w:firstLineChars="0"/>
              <w:jc w:val="center"/>
              <w:rPr>
                <w:rFonts w:cs="黑体"/>
                <w:b/>
              </w:rPr>
            </w:pPr>
            <w:r>
              <w:rPr>
                <w:rFonts w:cs="黑体" w:hint="eastAsia"/>
                <w:b/>
              </w:rPr>
              <w:t>标准值</w:t>
            </w:r>
          </w:p>
        </w:tc>
      </w:tr>
      <w:tr>
        <w:tblPrEx>
          <w:tblW w:w="9515" w:type="dxa"/>
          <w:tblInd w:w="0" w:type="dxa"/>
          <w:tblLayout w:type="fixed"/>
          <w:tblCellMar>
            <w:top w:w="0" w:type="dxa"/>
            <w:left w:w="108" w:type="dxa"/>
            <w:bottom w:w="0" w:type="dxa"/>
            <w:right w:w="108" w:type="dxa"/>
          </w:tblCellMar>
        </w:tblPrEx>
        <w:tc>
          <w:tcPr>
            <w:tcW w:w="1563" w:type="dxa"/>
            <w:vMerge/>
            <w:vAlign w:val="center"/>
          </w:tcPr>
          <w:p>
            <w:pPr>
              <w:spacing w:line="280" w:lineRule="exact"/>
              <w:ind w:firstLine="0" w:firstLineChars="0"/>
              <w:jc w:val="center"/>
              <w:rPr>
                <w:rFonts w:cs="黑体"/>
              </w:rPr>
            </w:pPr>
          </w:p>
        </w:tc>
        <w:tc>
          <w:tcPr>
            <w:tcW w:w="2556" w:type="dxa"/>
            <w:gridSpan w:val="2"/>
            <w:vAlign w:val="center"/>
          </w:tcPr>
          <w:p>
            <w:pPr>
              <w:spacing w:line="280" w:lineRule="exact"/>
              <w:ind w:firstLine="0" w:firstLineChars="0"/>
              <w:jc w:val="center"/>
              <w:rPr>
                <w:rFonts w:cs="黑体"/>
              </w:rPr>
            </w:pPr>
            <w:r>
              <w:rPr>
                <w:rFonts w:cs="黑体" w:hint="eastAsia"/>
              </w:rPr>
              <w:t>2020.6.28</w:t>
            </w:r>
          </w:p>
        </w:tc>
        <w:tc>
          <w:tcPr>
            <w:tcW w:w="2563" w:type="dxa"/>
            <w:gridSpan w:val="2"/>
            <w:vAlign w:val="center"/>
          </w:tcPr>
          <w:p>
            <w:pPr>
              <w:spacing w:line="280" w:lineRule="exact"/>
              <w:ind w:firstLine="0" w:firstLineChars="0"/>
              <w:jc w:val="center"/>
              <w:rPr>
                <w:rFonts w:cs="黑体"/>
              </w:rPr>
            </w:pPr>
            <w:r>
              <w:rPr>
                <w:rFonts w:cs="黑体" w:hint="eastAsia"/>
              </w:rPr>
              <w:t>2020.6.29</w:t>
            </w:r>
          </w:p>
        </w:tc>
        <w:tc>
          <w:tcPr>
            <w:tcW w:w="1448" w:type="dxa"/>
            <w:vMerge w:val="restart"/>
            <w:vAlign w:val="center"/>
          </w:tcPr>
          <w:p>
            <w:pPr>
              <w:spacing w:line="280" w:lineRule="exact"/>
              <w:ind w:firstLine="0" w:firstLineChars="0"/>
              <w:jc w:val="center"/>
              <w:rPr>
                <w:rFonts w:cs="黑体"/>
              </w:rPr>
            </w:pPr>
            <w:r>
              <w:rPr>
                <w:rFonts w:cs="黑体" w:hint="eastAsia"/>
              </w:rPr>
              <w:t>昼间</w:t>
            </w:r>
          </w:p>
        </w:tc>
        <w:tc>
          <w:tcPr>
            <w:tcW w:w="1385" w:type="dxa"/>
            <w:vMerge w:val="restart"/>
            <w:vAlign w:val="center"/>
          </w:tcPr>
          <w:p>
            <w:pPr>
              <w:spacing w:line="280" w:lineRule="exact"/>
              <w:ind w:firstLine="0" w:firstLineChars="0"/>
              <w:jc w:val="center"/>
              <w:rPr>
                <w:rFonts w:cs="黑体"/>
              </w:rPr>
            </w:pPr>
            <w:r>
              <w:rPr>
                <w:rFonts w:cs="黑体" w:hint="eastAsia"/>
              </w:rPr>
              <w:t>夜间</w:t>
            </w:r>
          </w:p>
        </w:tc>
      </w:tr>
      <w:tr>
        <w:tblPrEx>
          <w:tblW w:w="9515" w:type="dxa"/>
          <w:tblInd w:w="0" w:type="dxa"/>
          <w:tblLayout w:type="fixed"/>
          <w:tblCellMar>
            <w:top w:w="0" w:type="dxa"/>
            <w:left w:w="108" w:type="dxa"/>
            <w:bottom w:w="0" w:type="dxa"/>
            <w:right w:w="108" w:type="dxa"/>
          </w:tblCellMar>
        </w:tblPrEx>
        <w:tc>
          <w:tcPr>
            <w:tcW w:w="1563" w:type="dxa"/>
            <w:vMerge/>
            <w:vAlign w:val="center"/>
          </w:tcPr>
          <w:p>
            <w:pPr>
              <w:spacing w:line="280" w:lineRule="exact"/>
              <w:ind w:firstLine="0" w:firstLineChars="0"/>
              <w:jc w:val="center"/>
              <w:rPr>
                <w:rFonts w:cs="黑体"/>
              </w:rPr>
            </w:pPr>
          </w:p>
        </w:tc>
        <w:tc>
          <w:tcPr>
            <w:tcW w:w="1258" w:type="dxa"/>
            <w:vAlign w:val="center"/>
          </w:tcPr>
          <w:p>
            <w:pPr>
              <w:spacing w:line="280" w:lineRule="exact"/>
              <w:ind w:firstLine="0" w:firstLineChars="0"/>
              <w:jc w:val="center"/>
              <w:rPr>
                <w:rFonts w:cs="黑体"/>
              </w:rPr>
            </w:pPr>
            <w:r>
              <w:rPr>
                <w:rFonts w:cs="黑体" w:hint="eastAsia"/>
              </w:rPr>
              <w:t>昼间</w:t>
            </w:r>
          </w:p>
        </w:tc>
        <w:tc>
          <w:tcPr>
            <w:tcW w:w="1298" w:type="dxa"/>
            <w:vAlign w:val="center"/>
          </w:tcPr>
          <w:p>
            <w:pPr>
              <w:spacing w:line="280" w:lineRule="exact"/>
              <w:ind w:firstLine="0" w:firstLineChars="0"/>
              <w:jc w:val="center"/>
              <w:rPr>
                <w:rFonts w:cs="黑体"/>
              </w:rPr>
            </w:pPr>
            <w:r>
              <w:rPr>
                <w:rFonts w:cs="黑体" w:hint="eastAsia"/>
              </w:rPr>
              <w:t>夜间</w:t>
            </w:r>
          </w:p>
        </w:tc>
        <w:tc>
          <w:tcPr>
            <w:tcW w:w="1115" w:type="dxa"/>
            <w:vAlign w:val="center"/>
          </w:tcPr>
          <w:p>
            <w:pPr>
              <w:spacing w:line="280" w:lineRule="exact"/>
              <w:ind w:firstLine="0" w:firstLineChars="0"/>
              <w:jc w:val="center"/>
              <w:rPr>
                <w:rFonts w:cs="黑体"/>
              </w:rPr>
            </w:pPr>
            <w:r>
              <w:rPr>
                <w:rFonts w:cs="黑体" w:hint="eastAsia"/>
              </w:rPr>
              <w:t>昼间</w:t>
            </w:r>
          </w:p>
        </w:tc>
        <w:tc>
          <w:tcPr>
            <w:tcW w:w="1448" w:type="dxa"/>
            <w:vAlign w:val="center"/>
          </w:tcPr>
          <w:p>
            <w:pPr>
              <w:spacing w:line="280" w:lineRule="exact"/>
              <w:ind w:firstLine="0" w:firstLineChars="0"/>
              <w:jc w:val="center"/>
              <w:rPr>
                <w:rFonts w:cs="黑体"/>
              </w:rPr>
            </w:pPr>
            <w:r>
              <w:rPr>
                <w:rFonts w:cs="黑体" w:hint="eastAsia"/>
              </w:rPr>
              <w:t>夜间</w:t>
            </w:r>
          </w:p>
        </w:tc>
        <w:tc>
          <w:tcPr>
            <w:tcW w:w="1448" w:type="dxa"/>
            <w:vMerge/>
            <w:vAlign w:val="center"/>
          </w:tcPr>
          <w:p>
            <w:pPr>
              <w:spacing w:line="280" w:lineRule="exact"/>
              <w:ind w:firstLine="0" w:firstLineChars="0"/>
              <w:jc w:val="center"/>
              <w:rPr>
                <w:rFonts w:cs="黑体"/>
              </w:rPr>
            </w:pPr>
          </w:p>
        </w:tc>
        <w:tc>
          <w:tcPr>
            <w:tcW w:w="1385" w:type="dxa"/>
            <w:vMerge/>
            <w:vAlign w:val="center"/>
          </w:tcPr>
          <w:p>
            <w:pPr>
              <w:spacing w:line="280" w:lineRule="exact"/>
              <w:ind w:firstLine="0" w:firstLineChars="0"/>
              <w:jc w:val="center"/>
              <w:rPr>
                <w:rFonts w:cs="黑体"/>
              </w:rPr>
            </w:pPr>
          </w:p>
        </w:tc>
      </w:tr>
      <w:tr>
        <w:tblPrEx>
          <w:tblW w:w="9515" w:type="dxa"/>
          <w:tblInd w:w="0" w:type="dxa"/>
          <w:tblLayout w:type="fixed"/>
          <w:tblCellMar>
            <w:top w:w="0" w:type="dxa"/>
            <w:left w:w="108" w:type="dxa"/>
            <w:bottom w:w="0" w:type="dxa"/>
            <w:right w:w="108" w:type="dxa"/>
          </w:tblCellMar>
        </w:tblPrEx>
        <w:trPr>
          <w:trHeight w:val="70"/>
        </w:trPr>
        <w:tc>
          <w:tcPr>
            <w:tcW w:w="1563" w:type="dxa"/>
            <w:vAlign w:val="center"/>
          </w:tcPr>
          <w:p>
            <w:pPr>
              <w:spacing w:line="280" w:lineRule="exact"/>
              <w:ind w:firstLine="0" w:firstLineChars="0"/>
              <w:jc w:val="center"/>
              <w:rPr>
                <w:kern w:val="0"/>
              </w:rPr>
            </w:pPr>
            <w:r>
              <w:rPr>
                <w:kern w:val="0"/>
              </w:rPr>
              <w:t>1#</w:t>
            </w:r>
          </w:p>
        </w:tc>
        <w:tc>
          <w:tcPr>
            <w:tcW w:w="1258" w:type="dxa"/>
            <w:vAlign w:val="center"/>
          </w:tcPr>
          <w:p>
            <w:pPr>
              <w:spacing w:line="280" w:lineRule="exact"/>
              <w:ind w:firstLine="0" w:firstLineChars="0"/>
              <w:jc w:val="center"/>
              <w:rPr>
                <w:kern w:val="0"/>
              </w:rPr>
            </w:pPr>
            <w:r>
              <w:rPr>
                <w:rFonts w:hint="eastAsia"/>
                <w:kern w:val="0"/>
              </w:rPr>
              <w:t>50.3</w:t>
            </w:r>
          </w:p>
        </w:tc>
        <w:tc>
          <w:tcPr>
            <w:tcW w:w="1298" w:type="dxa"/>
            <w:vAlign w:val="center"/>
          </w:tcPr>
          <w:p>
            <w:pPr>
              <w:spacing w:line="280" w:lineRule="exact"/>
              <w:ind w:firstLine="0" w:firstLineChars="0"/>
              <w:jc w:val="center"/>
              <w:rPr>
                <w:kern w:val="0"/>
              </w:rPr>
            </w:pPr>
            <w:r>
              <w:rPr>
                <w:rFonts w:hint="eastAsia"/>
                <w:kern w:val="0"/>
              </w:rPr>
              <w:t>42.2</w:t>
            </w:r>
          </w:p>
        </w:tc>
        <w:tc>
          <w:tcPr>
            <w:tcW w:w="1115" w:type="dxa"/>
            <w:vAlign w:val="center"/>
          </w:tcPr>
          <w:p>
            <w:pPr>
              <w:spacing w:line="280" w:lineRule="exact"/>
              <w:ind w:firstLine="0" w:firstLineChars="0"/>
              <w:jc w:val="center"/>
              <w:rPr>
                <w:kern w:val="0"/>
              </w:rPr>
            </w:pPr>
            <w:r>
              <w:rPr>
                <w:rFonts w:hint="eastAsia"/>
                <w:kern w:val="0"/>
              </w:rPr>
              <w:t>50.8</w:t>
            </w:r>
          </w:p>
        </w:tc>
        <w:tc>
          <w:tcPr>
            <w:tcW w:w="1448" w:type="dxa"/>
            <w:vAlign w:val="center"/>
          </w:tcPr>
          <w:p>
            <w:pPr>
              <w:spacing w:line="280" w:lineRule="exact"/>
              <w:ind w:firstLine="0" w:firstLineChars="0"/>
              <w:jc w:val="center"/>
              <w:rPr>
                <w:kern w:val="0"/>
              </w:rPr>
            </w:pPr>
            <w:r>
              <w:rPr>
                <w:rFonts w:hint="eastAsia"/>
                <w:kern w:val="0"/>
              </w:rPr>
              <w:t>43</w:t>
            </w:r>
            <w:r>
              <w:rPr>
                <w:kern w:val="0"/>
              </w:rPr>
              <w:t>.9</w:t>
            </w:r>
          </w:p>
        </w:tc>
        <w:tc>
          <w:tcPr>
            <w:tcW w:w="1448" w:type="dxa"/>
            <w:vAlign w:val="center"/>
          </w:tcPr>
          <w:p>
            <w:pPr>
              <w:spacing w:line="280" w:lineRule="exact"/>
              <w:ind w:firstLine="0" w:firstLineChars="0"/>
              <w:jc w:val="center"/>
              <w:rPr>
                <w:rFonts w:cs="黑体"/>
              </w:rPr>
            </w:pPr>
            <w:r>
              <w:rPr>
                <w:rFonts w:cs="黑体" w:hint="eastAsia"/>
              </w:rPr>
              <w:t>60</w:t>
            </w:r>
          </w:p>
        </w:tc>
        <w:tc>
          <w:tcPr>
            <w:tcW w:w="1385" w:type="dxa"/>
            <w:vAlign w:val="center"/>
          </w:tcPr>
          <w:p>
            <w:pPr>
              <w:spacing w:line="280" w:lineRule="exact"/>
              <w:ind w:firstLine="0" w:firstLineChars="0"/>
              <w:jc w:val="center"/>
              <w:rPr>
                <w:rFonts w:cs="黑体"/>
              </w:rPr>
            </w:pPr>
            <w:r>
              <w:rPr>
                <w:rFonts w:cs="黑体" w:hint="eastAsia"/>
              </w:rPr>
              <w:t>50</w:t>
            </w:r>
          </w:p>
        </w:tc>
      </w:tr>
      <w:tr>
        <w:tblPrEx>
          <w:tblW w:w="9515" w:type="dxa"/>
          <w:tblInd w:w="0" w:type="dxa"/>
          <w:tblLayout w:type="fixed"/>
          <w:tblCellMar>
            <w:top w:w="0" w:type="dxa"/>
            <w:left w:w="108" w:type="dxa"/>
            <w:bottom w:w="0" w:type="dxa"/>
            <w:right w:w="108" w:type="dxa"/>
          </w:tblCellMar>
        </w:tblPrEx>
        <w:tc>
          <w:tcPr>
            <w:tcW w:w="1563" w:type="dxa"/>
            <w:vAlign w:val="center"/>
          </w:tcPr>
          <w:p>
            <w:pPr>
              <w:spacing w:line="280" w:lineRule="exact"/>
              <w:ind w:firstLine="0" w:firstLineChars="0"/>
              <w:jc w:val="center"/>
              <w:rPr>
                <w:kern w:val="0"/>
              </w:rPr>
            </w:pPr>
            <w:r>
              <w:rPr>
                <w:kern w:val="0"/>
              </w:rPr>
              <w:t>2#</w:t>
            </w:r>
          </w:p>
        </w:tc>
        <w:tc>
          <w:tcPr>
            <w:tcW w:w="1258" w:type="dxa"/>
            <w:vAlign w:val="center"/>
          </w:tcPr>
          <w:p>
            <w:pPr>
              <w:spacing w:line="280" w:lineRule="exact"/>
              <w:ind w:firstLine="0" w:firstLineChars="0"/>
              <w:jc w:val="center"/>
              <w:rPr>
                <w:kern w:val="0"/>
              </w:rPr>
            </w:pPr>
            <w:r>
              <w:rPr>
                <w:rFonts w:hint="eastAsia"/>
                <w:kern w:val="0"/>
              </w:rPr>
              <w:t>57.7</w:t>
            </w:r>
          </w:p>
        </w:tc>
        <w:tc>
          <w:tcPr>
            <w:tcW w:w="1298" w:type="dxa"/>
            <w:vAlign w:val="center"/>
          </w:tcPr>
          <w:p>
            <w:pPr>
              <w:spacing w:line="280" w:lineRule="exact"/>
              <w:ind w:firstLine="0" w:firstLineChars="0"/>
              <w:jc w:val="center"/>
              <w:rPr>
                <w:kern w:val="0"/>
              </w:rPr>
            </w:pPr>
            <w:r>
              <w:rPr>
                <w:rFonts w:hint="eastAsia"/>
                <w:kern w:val="0"/>
              </w:rPr>
              <w:t>48.5</w:t>
            </w:r>
          </w:p>
        </w:tc>
        <w:tc>
          <w:tcPr>
            <w:tcW w:w="1115" w:type="dxa"/>
            <w:vAlign w:val="center"/>
          </w:tcPr>
          <w:p>
            <w:pPr>
              <w:spacing w:line="280" w:lineRule="exact"/>
              <w:ind w:firstLine="0" w:firstLineChars="0"/>
              <w:jc w:val="center"/>
              <w:rPr>
                <w:kern w:val="0"/>
              </w:rPr>
            </w:pPr>
            <w:r>
              <w:rPr>
                <w:rFonts w:hint="eastAsia"/>
                <w:kern w:val="0"/>
              </w:rPr>
              <w:t>57.3</w:t>
            </w:r>
          </w:p>
        </w:tc>
        <w:tc>
          <w:tcPr>
            <w:tcW w:w="1448" w:type="dxa"/>
            <w:vAlign w:val="center"/>
          </w:tcPr>
          <w:p>
            <w:pPr>
              <w:spacing w:line="280" w:lineRule="exact"/>
              <w:ind w:firstLine="0" w:firstLineChars="0"/>
              <w:jc w:val="center"/>
              <w:rPr>
                <w:kern w:val="0"/>
              </w:rPr>
            </w:pPr>
            <w:r>
              <w:rPr>
                <w:rFonts w:hint="eastAsia"/>
                <w:kern w:val="0"/>
              </w:rPr>
              <w:t>48.5</w:t>
            </w:r>
          </w:p>
        </w:tc>
        <w:tc>
          <w:tcPr>
            <w:tcW w:w="1448" w:type="dxa"/>
            <w:vAlign w:val="center"/>
          </w:tcPr>
          <w:p>
            <w:pPr>
              <w:spacing w:line="280" w:lineRule="exact"/>
              <w:ind w:firstLine="0" w:firstLineChars="0"/>
              <w:jc w:val="center"/>
              <w:rPr>
                <w:rFonts w:cs="黑体"/>
              </w:rPr>
            </w:pPr>
            <w:r>
              <w:rPr>
                <w:rFonts w:cs="黑体" w:hint="eastAsia"/>
              </w:rPr>
              <w:t>70</w:t>
            </w:r>
          </w:p>
        </w:tc>
        <w:tc>
          <w:tcPr>
            <w:tcW w:w="1385" w:type="dxa"/>
            <w:vAlign w:val="center"/>
          </w:tcPr>
          <w:p>
            <w:pPr>
              <w:spacing w:line="280" w:lineRule="exact"/>
              <w:ind w:firstLine="0" w:firstLineChars="0"/>
              <w:jc w:val="center"/>
              <w:rPr>
                <w:rFonts w:cs="黑体"/>
              </w:rPr>
            </w:pPr>
            <w:r>
              <w:rPr>
                <w:rFonts w:cs="黑体" w:hint="eastAsia"/>
              </w:rPr>
              <w:t>55</w:t>
            </w:r>
          </w:p>
        </w:tc>
      </w:tr>
      <w:tr>
        <w:tblPrEx>
          <w:tblW w:w="9515" w:type="dxa"/>
          <w:tblInd w:w="0" w:type="dxa"/>
          <w:tblLayout w:type="fixed"/>
          <w:tblCellMar>
            <w:top w:w="0" w:type="dxa"/>
            <w:left w:w="108" w:type="dxa"/>
            <w:bottom w:w="0" w:type="dxa"/>
            <w:right w:w="108" w:type="dxa"/>
          </w:tblCellMar>
        </w:tblPrEx>
        <w:tc>
          <w:tcPr>
            <w:tcW w:w="1563" w:type="dxa"/>
            <w:vAlign w:val="center"/>
          </w:tcPr>
          <w:p>
            <w:pPr>
              <w:spacing w:line="280" w:lineRule="exact"/>
              <w:ind w:firstLine="0" w:firstLineChars="0"/>
              <w:jc w:val="center"/>
              <w:rPr>
                <w:kern w:val="0"/>
              </w:rPr>
            </w:pPr>
            <w:r>
              <w:rPr>
                <w:rFonts w:hint="eastAsia"/>
                <w:kern w:val="0"/>
              </w:rPr>
              <w:t>3#</w:t>
            </w:r>
          </w:p>
        </w:tc>
        <w:tc>
          <w:tcPr>
            <w:tcW w:w="1258" w:type="dxa"/>
            <w:vAlign w:val="center"/>
          </w:tcPr>
          <w:p>
            <w:pPr>
              <w:spacing w:line="280" w:lineRule="exact"/>
              <w:ind w:firstLine="0" w:firstLineChars="0"/>
              <w:jc w:val="center"/>
              <w:rPr>
                <w:kern w:val="0"/>
              </w:rPr>
            </w:pPr>
            <w:r>
              <w:rPr>
                <w:rFonts w:hint="eastAsia"/>
                <w:kern w:val="0"/>
              </w:rPr>
              <w:t>51.8</w:t>
            </w:r>
          </w:p>
        </w:tc>
        <w:tc>
          <w:tcPr>
            <w:tcW w:w="1298" w:type="dxa"/>
            <w:vAlign w:val="center"/>
          </w:tcPr>
          <w:p>
            <w:pPr>
              <w:spacing w:line="280" w:lineRule="exact"/>
              <w:ind w:firstLine="0" w:firstLineChars="0"/>
              <w:jc w:val="center"/>
              <w:rPr>
                <w:kern w:val="0"/>
              </w:rPr>
            </w:pPr>
            <w:r>
              <w:rPr>
                <w:rFonts w:hint="eastAsia"/>
                <w:kern w:val="0"/>
              </w:rPr>
              <w:t>42.6</w:t>
            </w:r>
          </w:p>
        </w:tc>
        <w:tc>
          <w:tcPr>
            <w:tcW w:w="1115" w:type="dxa"/>
            <w:vAlign w:val="center"/>
          </w:tcPr>
          <w:p>
            <w:pPr>
              <w:spacing w:line="280" w:lineRule="exact"/>
              <w:ind w:firstLine="0" w:firstLineChars="0"/>
              <w:jc w:val="center"/>
              <w:rPr>
                <w:kern w:val="0"/>
              </w:rPr>
            </w:pPr>
            <w:r>
              <w:rPr>
                <w:rFonts w:hint="eastAsia"/>
                <w:kern w:val="0"/>
              </w:rPr>
              <w:t>51.5</w:t>
            </w:r>
          </w:p>
        </w:tc>
        <w:tc>
          <w:tcPr>
            <w:tcW w:w="1448" w:type="dxa"/>
            <w:vAlign w:val="center"/>
          </w:tcPr>
          <w:p>
            <w:pPr>
              <w:spacing w:line="280" w:lineRule="exact"/>
              <w:ind w:firstLine="0" w:firstLineChars="0"/>
              <w:jc w:val="center"/>
              <w:rPr>
                <w:kern w:val="0"/>
              </w:rPr>
            </w:pPr>
            <w:r>
              <w:rPr>
                <w:rFonts w:hint="eastAsia"/>
                <w:kern w:val="0"/>
              </w:rPr>
              <w:t>42.3</w:t>
            </w:r>
          </w:p>
        </w:tc>
        <w:tc>
          <w:tcPr>
            <w:tcW w:w="1448" w:type="dxa"/>
            <w:vAlign w:val="center"/>
          </w:tcPr>
          <w:p>
            <w:pPr>
              <w:spacing w:line="280" w:lineRule="exact"/>
              <w:ind w:firstLine="0" w:firstLineChars="0"/>
              <w:jc w:val="center"/>
              <w:rPr>
                <w:rFonts w:cs="黑体"/>
              </w:rPr>
            </w:pPr>
            <w:r>
              <w:rPr>
                <w:rFonts w:cs="黑体" w:hint="eastAsia"/>
              </w:rPr>
              <w:t>60</w:t>
            </w:r>
          </w:p>
        </w:tc>
        <w:tc>
          <w:tcPr>
            <w:tcW w:w="1385" w:type="dxa"/>
            <w:vAlign w:val="center"/>
          </w:tcPr>
          <w:p>
            <w:pPr>
              <w:spacing w:line="280" w:lineRule="exact"/>
              <w:ind w:firstLine="0" w:firstLineChars="0"/>
              <w:jc w:val="center"/>
              <w:rPr>
                <w:rFonts w:cs="黑体"/>
              </w:rPr>
            </w:pPr>
            <w:r>
              <w:rPr>
                <w:rFonts w:cs="黑体" w:hint="eastAsia"/>
              </w:rPr>
              <w:t>50</w:t>
            </w:r>
          </w:p>
        </w:tc>
      </w:tr>
      <w:tr>
        <w:tblPrEx>
          <w:tblW w:w="9515" w:type="dxa"/>
          <w:tblInd w:w="0" w:type="dxa"/>
          <w:tblLayout w:type="fixed"/>
          <w:tblCellMar>
            <w:top w:w="0" w:type="dxa"/>
            <w:left w:w="108" w:type="dxa"/>
            <w:bottom w:w="0" w:type="dxa"/>
            <w:right w:w="108" w:type="dxa"/>
          </w:tblCellMar>
        </w:tblPrEx>
        <w:trPr>
          <w:trHeight w:val="120"/>
        </w:trPr>
        <w:tc>
          <w:tcPr>
            <w:tcW w:w="1563" w:type="dxa"/>
            <w:vAlign w:val="center"/>
          </w:tcPr>
          <w:p>
            <w:pPr>
              <w:spacing w:line="280" w:lineRule="exact"/>
              <w:ind w:firstLine="0" w:firstLineChars="0"/>
              <w:jc w:val="center"/>
              <w:rPr>
                <w:kern w:val="0"/>
              </w:rPr>
            </w:pPr>
            <w:r>
              <w:rPr>
                <w:rFonts w:hint="eastAsia"/>
                <w:kern w:val="0"/>
              </w:rPr>
              <w:t>4#</w:t>
            </w:r>
          </w:p>
        </w:tc>
        <w:tc>
          <w:tcPr>
            <w:tcW w:w="1258" w:type="dxa"/>
            <w:vAlign w:val="center"/>
          </w:tcPr>
          <w:p>
            <w:pPr>
              <w:spacing w:line="280" w:lineRule="exact"/>
              <w:ind w:firstLine="0" w:firstLineChars="0"/>
              <w:jc w:val="center"/>
              <w:rPr>
                <w:kern w:val="0"/>
              </w:rPr>
            </w:pPr>
            <w:r>
              <w:rPr>
                <w:rFonts w:hint="eastAsia"/>
                <w:kern w:val="0"/>
              </w:rPr>
              <w:t>50.8</w:t>
            </w:r>
          </w:p>
        </w:tc>
        <w:tc>
          <w:tcPr>
            <w:tcW w:w="1298" w:type="dxa"/>
            <w:vAlign w:val="center"/>
          </w:tcPr>
          <w:p>
            <w:pPr>
              <w:spacing w:line="280" w:lineRule="exact"/>
              <w:ind w:firstLine="0" w:firstLineChars="0"/>
              <w:jc w:val="center"/>
              <w:rPr>
                <w:kern w:val="0"/>
              </w:rPr>
            </w:pPr>
            <w:r>
              <w:rPr>
                <w:rFonts w:hint="eastAsia"/>
                <w:kern w:val="0"/>
              </w:rPr>
              <w:t>41.4</w:t>
            </w:r>
          </w:p>
        </w:tc>
        <w:tc>
          <w:tcPr>
            <w:tcW w:w="1115" w:type="dxa"/>
            <w:vAlign w:val="center"/>
          </w:tcPr>
          <w:p>
            <w:pPr>
              <w:spacing w:line="280" w:lineRule="exact"/>
              <w:ind w:firstLine="0" w:firstLineChars="0"/>
              <w:jc w:val="center"/>
              <w:rPr>
                <w:kern w:val="0"/>
              </w:rPr>
            </w:pPr>
            <w:r>
              <w:rPr>
                <w:rFonts w:hint="eastAsia"/>
                <w:kern w:val="0"/>
              </w:rPr>
              <w:t>50.7</w:t>
            </w:r>
          </w:p>
        </w:tc>
        <w:tc>
          <w:tcPr>
            <w:tcW w:w="1448" w:type="dxa"/>
            <w:vAlign w:val="center"/>
          </w:tcPr>
          <w:p>
            <w:pPr>
              <w:spacing w:line="280" w:lineRule="exact"/>
              <w:ind w:firstLine="0" w:firstLineChars="0"/>
              <w:jc w:val="center"/>
              <w:rPr>
                <w:kern w:val="0"/>
              </w:rPr>
            </w:pPr>
            <w:r>
              <w:rPr>
                <w:rFonts w:hint="eastAsia"/>
                <w:kern w:val="0"/>
              </w:rPr>
              <w:t>41.7</w:t>
            </w:r>
          </w:p>
        </w:tc>
        <w:tc>
          <w:tcPr>
            <w:tcW w:w="1448" w:type="dxa"/>
            <w:vAlign w:val="center"/>
          </w:tcPr>
          <w:p>
            <w:pPr>
              <w:spacing w:line="280" w:lineRule="exact"/>
              <w:ind w:firstLine="0" w:firstLineChars="0"/>
              <w:jc w:val="center"/>
              <w:rPr>
                <w:rFonts w:cs="黑体"/>
              </w:rPr>
            </w:pPr>
            <w:r>
              <w:rPr>
                <w:rFonts w:cs="黑体" w:hint="eastAsia"/>
              </w:rPr>
              <w:t>60</w:t>
            </w:r>
          </w:p>
        </w:tc>
        <w:tc>
          <w:tcPr>
            <w:tcW w:w="1385" w:type="dxa"/>
            <w:vAlign w:val="center"/>
          </w:tcPr>
          <w:p>
            <w:pPr>
              <w:spacing w:line="280" w:lineRule="exact"/>
              <w:ind w:firstLine="0" w:firstLineChars="0"/>
              <w:jc w:val="center"/>
              <w:rPr>
                <w:rFonts w:cs="黑体"/>
              </w:rPr>
            </w:pPr>
            <w:r>
              <w:rPr>
                <w:rFonts w:cs="黑体" w:hint="eastAsia"/>
              </w:rPr>
              <w:t>50</w:t>
            </w:r>
          </w:p>
        </w:tc>
      </w:tr>
      <w:tr>
        <w:tblPrEx>
          <w:tblW w:w="9515" w:type="dxa"/>
          <w:tblInd w:w="0" w:type="dxa"/>
          <w:tblLayout w:type="fixed"/>
          <w:tblCellMar>
            <w:top w:w="0" w:type="dxa"/>
            <w:left w:w="108" w:type="dxa"/>
            <w:bottom w:w="0" w:type="dxa"/>
            <w:right w:w="108" w:type="dxa"/>
          </w:tblCellMar>
        </w:tblPrEx>
        <w:trPr>
          <w:trHeight w:val="120"/>
        </w:trPr>
        <w:tc>
          <w:tcPr>
            <w:tcW w:w="1563" w:type="dxa"/>
            <w:vAlign w:val="center"/>
          </w:tcPr>
          <w:p>
            <w:pPr>
              <w:spacing w:line="280" w:lineRule="exact"/>
              <w:ind w:firstLine="0" w:firstLineChars="0"/>
              <w:jc w:val="center"/>
              <w:rPr>
                <w:kern w:val="0"/>
              </w:rPr>
            </w:pPr>
            <w:r>
              <w:rPr>
                <w:rFonts w:hint="eastAsia"/>
                <w:kern w:val="0"/>
              </w:rPr>
              <w:t>5#</w:t>
            </w:r>
          </w:p>
        </w:tc>
        <w:tc>
          <w:tcPr>
            <w:tcW w:w="1258" w:type="dxa"/>
            <w:vAlign w:val="center"/>
          </w:tcPr>
          <w:p>
            <w:pPr>
              <w:spacing w:line="280" w:lineRule="exact"/>
              <w:ind w:firstLine="0" w:firstLineChars="0"/>
              <w:jc w:val="center"/>
              <w:rPr>
                <w:kern w:val="0"/>
              </w:rPr>
            </w:pPr>
            <w:r>
              <w:rPr>
                <w:rFonts w:hint="eastAsia"/>
                <w:kern w:val="0"/>
              </w:rPr>
              <w:t>59.5</w:t>
            </w:r>
          </w:p>
        </w:tc>
        <w:tc>
          <w:tcPr>
            <w:tcW w:w="1298" w:type="dxa"/>
            <w:vAlign w:val="center"/>
          </w:tcPr>
          <w:p>
            <w:pPr>
              <w:spacing w:line="280" w:lineRule="exact"/>
              <w:ind w:firstLine="0" w:firstLineChars="0"/>
              <w:jc w:val="center"/>
              <w:rPr>
                <w:kern w:val="0"/>
              </w:rPr>
            </w:pPr>
            <w:r>
              <w:rPr>
                <w:rFonts w:hint="eastAsia"/>
                <w:kern w:val="0"/>
              </w:rPr>
              <w:t>49.8</w:t>
            </w:r>
          </w:p>
        </w:tc>
        <w:tc>
          <w:tcPr>
            <w:tcW w:w="1115" w:type="dxa"/>
            <w:vAlign w:val="center"/>
          </w:tcPr>
          <w:p>
            <w:pPr>
              <w:spacing w:line="280" w:lineRule="exact"/>
              <w:ind w:firstLine="0" w:firstLineChars="0"/>
              <w:jc w:val="center"/>
              <w:rPr>
                <w:kern w:val="0"/>
              </w:rPr>
            </w:pPr>
            <w:r>
              <w:rPr>
                <w:rFonts w:hint="eastAsia"/>
                <w:kern w:val="0"/>
              </w:rPr>
              <w:t>59.1</w:t>
            </w:r>
          </w:p>
        </w:tc>
        <w:tc>
          <w:tcPr>
            <w:tcW w:w="1448" w:type="dxa"/>
            <w:vAlign w:val="center"/>
          </w:tcPr>
          <w:p>
            <w:pPr>
              <w:spacing w:line="280" w:lineRule="exact"/>
              <w:ind w:firstLine="0" w:firstLineChars="0"/>
              <w:jc w:val="center"/>
              <w:rPr>
                <w:kern w:val="0"/>
              </w:rPr>
            </w:pPr>
            <w:r>
              <w:rPr>
                <w:rFonts w:hint="eastAsia"/>
                <w:kern w:val="0"/>
              </w:rPr>
              <w:t>49.3</w:t>
            </w:r>
          </w:p>
        </w:tc>
        <w:tc>
          <w:tcPr>
            <w:tcW w:w="1448" w:type="dxa"/>
            <w:vAlign w:val="center"/>
          </w:tcPr>
          <w:p>
            <w:pPr>
              <w:spacing w:line="280" w:lineRule="exact"/>
              <w:ind w:firstLine="0" w:firstLineChars="0"/>
              <w:jc w:val="center"/>
              <w:rPr>
                <w:rFonts w:cs="黑体"/>
              </w:rPr>
            </w:pPr>
            <w:r>
              <w:rPr>
                <w:rFonts w:cs="黑体" w:hint="eastAsia"/>
              </w:rPr>
              <w:t>70</w:t>
            </w:r>
          </w:p>
        </w:tc>
        <w:tc>
          <w:tcPr>
            <w:tcW w:w="1385" w:type="dxa"/>
            <w:vAlign w:val="center"/>
          </w:tcPr>
          <w:p>
            <w:pPr>
              <w:spacing w:line="280" w:lineRule="exact"/>
              <w:ind w:firstLine="0" w:firstLineChars="0"/>
              <w:jc w:val="center"/>
              <w:rPr>
                <w:rFonts w:cs="黑体"/>
              </w:rPr>
            </w:pPr>
            <w:r>
              <w:rPr>
                <w:rFonts w:cs="黑体" w:hint="eastAsia"/>
              </w:rPr>
              <w:t>55</w:t>
            </w:r>
          </w:p>
        </w:tc>
      </w:tr>
      <w:tr>
        <w:tblPrEx>
          <w:tblW w:w="9515" w:type="dxa"/>
          <w:tblInd w:w="0" w:type="dxa"/>
          <w:tblLayout w:type="fixed"/>
          <w:tblCellMar>
            <w:top w:w="0" w:type="dxa"/>
            <w:left w:w="108" w:type="dxa"/>
            <w:bottom w:w="0" w:type="dxa"/>
            <w:right w:w="108" w:type="dxa"/>
          </w:tblCellMar>
        </w:tblPrEx>
        <w:trPr>
          <w:trHeight w:val="120"/>
        </w:trPr>
        <w:tc>
          <w:tcPr>
            <w:tcW w:w="1563" w:type="dxa"/>
            <w:vAlign w:val="center"/>
          </w:tcPr>
          <w:p>
            <w:pPr>
              <w:spacing w:line="280" w:lineRule="exact"/>
              <w:ind w:firstLine="0" w:firstLineChars="0"/>
              <w:jc w:val="center"/>
              <w:rPr>
                <w:kern w:val="0"/>
              </w:rPr>
            </w:pPr>
            <w:r>
              <w:rPr>
                <w:rFonts w:hint="eastAsia"/>
                <w:kern w:val="0"/>
              </w:rPr>
              <w:t>6#</w:t>
            </w:r>
          </w:p>
        </w:tc>
        <w:tc>
          <w:tcPr>
            <w:tcW w:w="1258" w:type="dxa"/>
            <w:vAlign w:val="center"/>
          </w:tcPr>
          <w:p>
            <w:pPr>
              <w:spacing w:line="280" w:lineRule="exact"/>
              <w:ind w:firstLine="0" w:firstLineChars="0"/>
              <w:jc w:val="center"/>
              <w:rPr>
                <w:kern w:val="0"/>
              </w:rPr>
            </w:pPr>
            <w:r>
              <w:rPr>
                <w:rFonts w:hint="eastAsia"/>
                <w:kern w:val="0"/>
              </w:rPr>
              <w:t>53.0</w:t>
            </w:r>
          </w:p>
        </w:tc>
        <w:tc>
          <w:tcPr>
            <w:tcW w:w="1298" w:type="dxa"/>
            <w:vAlign w:val="center"/>
          </w:tcPr>
          <w:p>
            <w:pPr>
              <w:spacing w:line="280" w:lineRule="exact"/>
              <w:ind w:firstLine="0" w:firstLineChars="0"/>
              <w:jc w:val="center"/>
              <w:rPr>
                <w:kern w:val="0"/>
              </w:rPr>
            </w:pPr>
            <w:r>
              <w:rPr>
                <w:rFonts w:hint="eastAsia"/>
                <w:kern w:val="0"/>
              </w:rPr>
              <w:t>43.4</w:t>
            </w:r>
          </w:p>
        </w:tc>
        <w:tc>
          <w:tcPr>
            <w:tcW w:w="1115" w:type="dxa"/>
            <w:vAlign w:val="center"/>
          </w:tcPr>
          <w:p>
            <w:pPr>
              <w:spacing w:line="280" w:lineRule="exact"/>
              <w:ind w:firstLine="0" w:firstLineChars="0"/>
              <w:jc w:val="center"/>
              <w:rPr>
                <w:kern w:val="0"/>
              </w:rPr>
            </w:pPr>
            <w:r>
              <w:rPr>
                <w:rFonts w:hint="eastAsia"/>
                <w:kern w:val="0"/>
              </w:rPr>
              <w:t>52.4</w:t>
            </w:r>
          </w:p>
        </w:tc>
        <w:tc>
          <w:tcPr>
            <w:tcW w:w="1448" w:type="dxa"/>
            <w:vAlign w:val="center"/>
          </w:tcPr>
          <w:p>
            <w:pPr>
              <w:spacing w:line="280" w:lineRule="exact"/>
              <w:ind w:firstLine="0" w:firstLineChars="0"/>
              <w:jc w:val="center"/>
              <w:rPr>
                <w:kern w:val="0"/>
              </w:rPr>
            </w:pPr>
            <w:r>
              <w:rPr>
                <w:rFonts w:hint="eastAsia"/>
                <w:kern w:val="0"/>
              </w:rPr>
              <w:t>43.7</w:t>
            </w:r>
          </w:p>
        </w:tc>
        <w:tc>
          <w:tcPr>
            <w:tcW w:w="1448" w:type="dxa"/>
            <w:vAlign w:val="center"/>
          </w:tcPr>
          <w:p>
            <w:pPr>
              <w:spacing w:line="280" w:lineRule="exact"/>
              <w:ind w:firstLine="0" w:firstLineChars="0"/>
              <w:jc w:val="center"/>
              <w:rPr>
                <w:rFonts w:cs="黑体"/>
              </w:rPr>
            </w:pPr>
            <w:r>
              <w:rPr>
                <w:rFonts w:cs="黑体" w:hint="eastAsia"/>
              </w:rPr>
              <w:t>60</w:t>
            </w:r>
          </w:p>
        </w:tc>
        <w:tc>
          <w:tcPr>
            <w:tcW w:w="1385" w:type="dxa"/>
            <w:vAlign w:val="center"/>
          </w:tcPr>
          <w:p>
            <w:pPr>
              <w:spacing w:line="280" w:lineRule="exact"/>
              <w:ind w:firstLine="0" w:firstLineChars="0"/>
              <w:jc w:val="center"/>
              <w:rPr>
                <w:rFonts w:cs="黑体"/>
              </w:rPr>
            </w:pPr>
            <w:r>
              <w:rPr>
                <w:rFonts w:cs="黑体" w:hint="eastAsia"/>
              </w:rPr>
              <w:t>50</w:t>
            </w:r>
          </w:p>
        </w:tc>
      </w:tr>
      <w:tr>
        <w:tblPrEx>
          <w:tblW w:w="9515" w:type="dxa"/>
          <w:tblInd w:w="0" w:type="dxa"/>
          <w:tblLayout w:type="fixed"/>
          <w:tblCellMar>
            <w:top w:w="0" w:type="dxa"/>
            <w:left w:w="108" w:type="dxa"/>
            <w:bottom w:w="0" w:type="dxa"/>
            <w:right w:w="108" w:type="dxa"/>
          </w:tblCellMar>
        </w:tblPrEx>
        <w:trPr>
          <w:trHeight w:val="120"/>
        </w:trPr>
        <w:tc>
          <w:tcPr>
            <w:tcW w:w="1563" w:type="dxa"/>
            <w:vAlign w:val="center"/>
          </w:tcPr>
          <w:p>
            <w:pPr>
              <w:spacing w:line="280" w:lineRule="exact"/>
              <w:ind w:firstLine="0" w:firstLineChars="0"/>
              <w:jc w:val="center"/>
              <w:rPr>
                <w:kern w:val="0"/>
              </w:rPr>
            </w:pPr>
            <w:r>
              <w:rPr>
                <w:rFonts w:hint="eastAsia"/>
              </w:rPr>
              <w:t>7</w:t>
            </w:r>
            <w:r>
              <w:t>#</w:t>
            </w:r>
          </w:p>
        </w:tc>
        <w:tc>
          <w:tcPr>
            <w:tcW w:w="1258" w:type="dxa"/>
            <w:vAlign w:val="center"/>
          </w:tcPr>
          <w:p>
            <w:pPr>
              <w:spacing w:line="280" w:lineRule="exact"/>
              <w:ind w:firstLine="0" w:firstLineChars="0"/>
              <w:jc w:val="center"/>
              <w:rPr>
                <w:kern w:val="0"/>
              </w:rPr>
            </w:pPr>
            <w:r>
              <w:rPr>
                <w:rFonts w:hint="eastAsia"/>
                <w:kern w:val="0"/>
              </w:rPr>
              <w:t>49.6</w:t>
            </w:r>
          </w:p>
        </w:tc>
        <w:tc>
          <w:tcPr>
            <w:tcW w:w="1298" w:type="dxa"/>
            <w:vAlign w:val="center"/>
          </w:tcPr>
          <w:p>
            <w:pPr>
              <w:spacing w:line="280" w:lineRule="exact"/>
              <w:ind w:firstLine="0" w:firstLineChars="0"/>
              <w:jc w:val="center"/>
              <w:rPr>
                <w:kern w:val="0"/>
              </w:rPr>
            </w:pPr>
            <w:r>
              <w:rPr>
                <w:rFonts w:hint="eastAsia"/>
                <w:kern w:val="0"/>
              </w:rPr>
              <w:t>41.3</w:t>
            </w:r>
          </w:p>
        </w:tc>
        <w:tc>
          <w:tcPr>
            <w:tcW w:w="1115" w:type="dxa"/>
            <w:vAlign w:val="center"/>
          </w:tcPr>
          <w:p>
            <w:pPr>
              <w:spacing w:line="280" w:lineRule="exact"/>
              <w:ind w:firstLine="0" w:firstLineChars="0"/>
              <w:jc w:val="center"/>
              <w:rPr>
                <w:kern w:val="0"/>
              </w:rPr>
            </w:pPr>
            <w:r>
              <w:rPr>
                <w:rFonts w:hint="eastAsia"/>
                <w:kern w:val="0"/>
              </w:rPr>
              <w:t>49.4</w:t>
            </w:r>
          </w:p>
        </w:tc>
        <w:tc>
          <w:tcPr>
            <w:tcW w:w="1448" w:type="dxa"/>
            <w:vAlign w:val="center"/>
          </w:tcPr>
          <w:p>
            <w:pPr>
              <w:spacing w:line="280" w:lineRule="exact"/>
              <w:ind w:firstLine="0" w:firstLineChars="0"/>
              <w:jc w:val="center"/>
              <w:rPr>
                <w:kern w:val="0"/>
              </w:rPr>
            </w:pPr>
            <w:r>
              <w:rPr>
                <w:rFonts w:hint="eastAsia"/>
                <w:kern w:val="0"/>
              </w:rPr>
              <w:t>40.7</w:t>
            </w:r>
          </w:p>
        </w:tc>
        <w:tc>
          <w:tcPr>
            <w:tcW w:w="1448" w:type="dxa"/>
            <w:vAlign w:val="center"/>
          </w:tcPr>
          <w:p>
            <w:pPr>
              <w:spacing w:line="280" w:lineRule="exact"/>
              <w:ind w:firstLine="0" w:firstLineChars="0"/>
              <w:jc w:val="center"/>
              <w:rPr>
                <w:rFonts w:cs="黑体"/>
              </w:rPr>
            </w:pPr>
            <w:r>
              <w:rPr>
                <w:rFonts w:cs="黑体" w:hint="eastAsia"/>
              </w:rPr>
              <w:t>60</w:t>
            </w:r>
          </w:p>
        </w:tc>
        <w:tc>
          <w:tcPr>
            <w:tcW w:w="1385" w:type="dxa"/>
            <w:vAlign w:val="center"/>
          </w:tcPr>
          <w:p>
            <w:pPr>
              <w:spacing w:line="280" w:lineRule="exact"/>
              <w:ind w:firstLine="0" w:firstLineChars="0"/>
              <w:jc w:val="center"/>
              <w:rPr>
                <w:rFonts w:cs="黑体"/>
              </w:rPr>
            </w:pPr>
            <w:r>
              <w:rPr>
                <w:rFonts w:cs="黑体" w:hint="eastAsia"/>
              </w:rPr>
              <w:t>50</w:t>
            </w:r>
          </w:p>
        </w:tc>
      </w:tr>
      <w:tr>
        <w:tblPrEx>
          <w:tblW w:w="9515" w:type="dxa"/>
          <w:tblInd w:w="0" w:type="dxa"/>
          <w:tblLayout w:type="fixed"/>
          <w:tblCellMar>
            <w:top w:w="0" w:type="dxa"/>
            <w:left w:w="108" w:type="dxa"/>
            <w:bottom w:w="0" w:type="dxa"/>
            <w:right w:w="108" w:type="dxa"/>
          </w:tblCellMar>
        </w:tblPrEx>
        <w:trPr>
          <w:trHeight w:val="120"/>
        </w:trPr>
        <w:tc>
          <w:tcPr>
            <w:tcW w:w="1563" w:type="dxa"/>
            <w:vAlign w:val="center"/>
          </w:tcPr>
          <w:p>
            <w:pPr>
              <w:spacing w:line="280" w:lineRule="exact"/>
              <w:ind w:firstLine="0" w:firstLineChars="0"/>
              <w:jc w:val="center"/>
              <w:rPr>
                <w:kern w:val="0"/>
              </w:rPr>
            </w:pPr>
            <w:r>
              <w:rPr>
                <w:rFonts w:hint="eastAsia"/>
              </w:rPr>
              <w:t>8</w:t>
            </w:r>
            <w:r>
              <w:t>#</w:t>
            </w:r>
          </w:p>
        </w:tc>
        <w:tc>
          <w:tcPr>
            <w:tcW w:w="1258" w:type="dxa"/>
            <w:vAlign w:val="center"/>
          </w:tcPr>
          <w:p>
            <w:pPr>
              <w:spacing w:line="280" w:lineRule="exact"/>
              <w:ind w:firstLine="0" w:firstLineChars="0"/>
              <w:jc w:val="center"/>
              <w:rPr>
                <w:kern w:val="0"/>
              </w:rPr>
            </w:pPr>
            <w:r>
              <w:rPr>
                <w:rFonts w:hint="eastAsia"/>
                <w:kern w:val="0"/>
              </w:rPr>
              <w:t>54.3</w:t>
            </w:r>
          </w:p>
        </w:tc>
        <w:tc>
          <w:tcPr>
            <w:tcW w:w="1298" w:type="dxa"/>
            <w:vAlign w:val="center"/>
          </w:tcPr>
          <w:p>
            <w:pPr>
              <w:spacing w:line="280" w:lineRule="exact"/>
              <w:ind w:firstLine="0" w:firstLineChars="0"/>
              <w:jc w:val="center"/>
              <w:rPr>
                <w:kern w:val="0"/>
              </w:rPr>
            </w:pPr>
            <w:r>
              <w:rPr>
                <w:rFonts w:hint="eastAsia"/>
                <w:kern w:val="0"/>
              </w:rPr>
              <w:t>42.9</w:t>
            </w:r>
          </w:p>
        </w:tc>
        <w:tc>
          <w:tcPr>
            <w:tcW w:w="1115" w:type="dxa"/>
            <w:vAlign w:val="center"/>
          </w:tcPr>
          <w:p>
            <w:pPr>
              <w:spacing w:line="280" w:lineRule="exact"/>
              <w:ind w:firstLine="0" w:firstLineChars="0"/>
              <w:jc w:val="center"/>
              <w:rPr>
                <w:kern w:val="0"/>
              </w:rPr>
            </w:pPr>
            <w:r>
              <w:rPr>
                <w:rFonts w:hint="eastAsia"/>
                <w:kern w:val="0"/>
              </w:rPr>
              <w:t>53.7</w:t>
            </w:r>
          </w:p>
        </w:tc>
        <w:tc>
          <w:tcPr>
            <w:tcW w:w="1448" w:type="dxa"/>
            <w:vAlign w:val="center"/>
          </w:tcPr>
          <w:p>
            <w:pPr>
              <w:spacing w:line="280" w:lineRule="exact"/>
              <w:ind w:firstLine="0" w:firstLineChars="0"/>
              <w:jc w:val="center"/>
              <w:rPr>
                <w:kern w:val="0"/>
              </w:rPr>
            </w:pPr>
            <w:r>
              <w:rPr>
                <w:rFonts w:hint="eastAsia"/>
                <w:kern w:val="0"/>
              </w:rPr>
              <w:t>42.6</w:t>
            </w:r>
          </w:p>
        </w:tc>
        <w:tc>
          <w:tcPr>
            <w:tcW w:w="1448" w:type="dxa"/>
            <w:vAlign w:val="center"/>
          </w:tcPr>
          <w:p>
            <w:pPr>
              <w:spacing w:line="280" w:lineRule="exact"/>
              <w:ind w:firstLine="0" w:firstLineChars="0"/>
              <w:jc w:val="center"/>
              <w:rPr>
                <w:rFonts w:cs="黑体"/>
              </w:rPr>
            </w:pPr>
            <w:r>
              <w:rPr>
                <w:rFonts w:cs="黑体" w:hint="eastAsia"/>
              </w:rPr>
              <w:t>60</w:t>
            </w:r>
          </w:p>
        </w:tc>
        <w:tc>
          <w:tcPr>
            <w:tcW w:w="1385" w:type="dxa"/>
            <w:vAlign w:val="center"/>
          </w:tcPr>
          <w:p>
            <w:pPr>
              <w:spacing w:line="280" w:lineRule="exact"/>
              <w:ind w:firstLine="0" w:firstLineChars="0"/>
              <w:jc w:val="center"/>
              <w:rPr>
                <w:rFonts w:cs="黑体"/>
              </w:rPr>
            </w:pPr>
            <w:r>
              <w:rPr>
                <w:rFonts w:cs="黑体" w:hint="eastAsia"/>
              </w:rPr>
              <w:t>50</w:t>
            </w:r>
          </w:p>
        </w:tc>
      </w:tr>
    </w:tbl>
    <w:p>
      <w:pPr>
        <w:pStyle w:val="a1"/>
        <w:spacing w:before="156" w:beforeLines="50"/>
        <w:ind w:firstLine="480"/>
      </w:pPr>
      <w:r>
        <w:t>由</w:t>
      </w:r>
      <w:r>
        <w:rPr>
          <w:rFonts w:hint="eastAsia"/>
        </w:rPr>
        <w:t>上表</w:t>
      </w:r>
      <w:r>
        <w:t>的监测结果统计表可以看出，项目</w:t>
      </w:r>
      <w:r>
        <w:rPr>
          <w:rFonts w:hint="eastAsia"/>
        </w:rPr>
        <w:t>1#、3#、4#、6#、7#、8#各</w:t>
      </w:r>
      <w:r>
        <w:t>监测点</w:t>
      </w:r>
      <w:r>
        <w:rPr>
          <w:rFonts w:hint="eastAsia"/>
        </w:rPr>
        <w:t>昼夜环境噪声均低于</w:t>
      </w:r>
      <w:r>
        <w:t>《</w:t>
      </w:r>
      <w:r>
        <w:rPr>
          <w:rFonts w:hint="eastAsia"/>
        </w:rPr>
        <w:t>声环境</w:t>
      </w:r>
      <w:r>
        <w:t>质量标准》（GB3096-</w:t>
      </w:r>
      <w:r>
        <w:rPr>
          <w:rFonts w:hint="eastAsia"/>
        </w:rPr>
        <w:t>2008</w:t>
      </w:r>
      <w:r>
        <w:t>）中的</w:t>
      </w:r>
      <w:r>
        <w:rPr>
          <w:rFonts w:hint="eastAsia"/>
        </w:rPr>
        <w:t>2</w:t>
      </w:r>
      <w:r>
        <w:t>类标准</w:t>
      </w:r>
      <w:r>
        <w:rPr>
          <w:rFonts w:hint="eastAsia"/>
        </w:rPr>
        <w:t>限值，2#、5#各</w:t>
      </w:r>
      <w:r>
        <w:t>监测点</w:t>
      </w:r>
      <w:r>
        <w:rPr>
          <w:rFonts w:hint="eastAsia"/>
        </w:rPr>
        <w:t>昼夜环境噪声均低于</w:t>
      </w:r>
      <w:r>
        <w:t>《</w:t>
      </w:r>
      <w:r>
        <w:rPr>
          <w:rFonts w:hint="eastAsia"/>
        </w:rPr>
        <w:t>声环境</w:t>
      </w:r>
      <w:r>
        <w:t>质量标准》（GB3096-</w:t>
      </w:r>
      <w:r>
        <w:rPr>
          <w:rFonts w:hint="eastAsia"/>
        </w:rPr>
        <w:t>2008</w:t>
      </w:r>
      <w:r>
        <w:t>）中的</w:t>
      </w:r>
      <w:r>
        <w:rPr>
          <w:rFonts w:hint="eastAsia"/>
        </w:rPr>
        <w:t>4a</w:t>
      </w:r>
      <w:r>
        <w:t>类标准</w:t>
      </w:r>
      <w:r>
        <w:rPr>
          <w:rFonts w:hint="eastAsia"/>
        </w:rPr>
        <w:t>限值，表明</w:t>
      </w:r>
      <w:r>
        <w:t>项目所在区域声学环境质量良好。</w:t>
      </w:r>
    </w:p>
    <w:p>
      <w:pPr>
        <w:pStyle w:val="a1"/>
        <w:spacing w:before="156" w:beforeLines="50"/>
        <w:ind w:firstLine="560"/>
        <w:outlineLvl w:val="0"/>
        <w:rPr>
          <w:rFonts w:ascii="黑体" w:eastAsia="黑体" w:hAnsi="黑体"/>
          <w:sz w:val="28"/>
        </w:rPr>
        <w:sectPr>
          <w:headerReference w:type="even" r:id="rId345"/>
          <w:headerReference w:type="default" r:id="rId346"/>
          <w:footerReference w:type="even" r:id="rId347"/>
          <w:footerReference w:type="default" r:id="rId348"/>
          <w:headerReference w:type="first" r:id="rId349"/>
          <w:footerReference w:type="first" r:id="rId350"/>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28"/>
          <w:cols w:num="1" w:space="720"/>
          <w:titlePg w:val="0"/>
          <w:docGrid w:type="linesAndChars" w:linePitch="312" w:charSpace="0"/>
        </w:sectPr>
      </w:pPr>
      <w:r>
        <w:rPr>
          <w:rFonts w:ascii="黑体" w:eastAsia="黑体" w:hAnsi="黑体" w:hint="eastAsia"/>
          <w:sz w:val="28"/>
        </w:rPr>
        <w:t>四</w:t>
      </w:r>
      <w:r>
        <w:rPr>
          <w:rFonts w:ascii="黑体" w:eastAsia="黑体" w:hAnsi="黑体"/>
          <w:sz w:val="28"/>
        </w:rPr>
        <w:t>、生态环境现状</w:t>
      </w:r>
    </w:p>
    <w:p>
      <w:pPr>
        <w:sectPr>
          <w:headerReference w:type="even" r:id="rId351"/>
          <w:headerReference w:type="default" r:id="rId352"/>
          <w:footerReference w:type="even" r:id="rId353"/>
          <w:footerReference w:type="default" r:id="rId354"/>
          <w:headerReference w:type="first" r:id="rId355"/>
          <w:footerReference w:type="first" r:id="rId356"/>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pStyle w:val="a1"/>
        <w:ind w:firstLine="480"/>
      </w:pPr>
      <w:r>
        <w:rPr>
          <w:rFonts w:hint="eastAsia"/>
        </w:rPr>
        <w:t>本</w:t>
      </w:r>
      <w:r>
        <w:t>项目选址于</w:t>
      </w:r>
      <w:r>
        <w:rPr>
          <w:rFonts w:hint="eastAsia"/>
          <w:szCs w:val="24"/>
        </w:rPr>
        <w:t>海南省文昌市文教镇宝藏解放坡</w:t>
      </w:r>
      <w:r>
        <w:t>，区域内由于人为活动频繁，已不存在原生植被，植被为人工植被。区内无大型野生动物及古大珍稀植物，无特殊文物保护单位。</w:t>
      </w:r>
    </w:p>
    <w:p>
      <w:pPr>
        <w:ind w:firstLine="0" w:firstLineChars="0"/>
        <w:rPr>
          <w:sz w:val="24"/>
          <w:szCs w:val="24"/>
          <w:u w:val="single"/>
        </w:rPr>
      </w:pPr>
      <w:r>
        <w:rPr>
          <w:sz w:val="24"/>
          <w:szCs w:val="24"/>
          <w:u w:val="single"/>
        </w:rPr>
        <w:pict>
          <v:shape id="AutoShape 54" o:spid="_x0000_s1029" type="#_x0000_t32" style="width:474.7pt;height:0;margin-top:8pt;margin-left:-4.9pt;mso-height-relative:page;mso-width-relative:page;position:absolute;z-index:251662336" coordsize="21600,21600" filled="f">
            <v:path arrowok="t"/>
          </v:shape>
        </w:pict>
      </w:r>
    </w:p>
    <w:p>
      <w:pPr>
        <w:pStyle w:val="a1"/>
        <w:ind w:firstLine="0" w:firstLineChars="0"/>
        <w:outlineLvl w:val="0"/>
        <w:rPr>
          <w:rFonts w:eastAsia="黑体"/>
          <w:sz w:val="28"/>
        </w:rPr>
      </w:pPr>
      <w:r>
        <w:rPr>
          <w:rFonts w:eastAsia="黑体" w:hint="eastAsia"/>
          <w:sz w:val="28"/>
        </w:rPr>
        <w:t>主要环境保护目标（列出名单及保护级别）</w:t>
      </w:r>
    </w:p>
    <w:p>
      <w:pPr>
        <w:pStyle w:val="a1"/>
        <w:ind w:firstLine="560"/>
        <w:outlineLvl w:val="0"/>
        <w:rPr>
          <w:rFonts w:ascii="黑体" w:eastAsia="黑体" w:hAnsi="黑体"/>
          <w:sz w:val="28"/>
        </w:rPr>
      </w:pPr>
      <w:r>
        <w:rPr>
          <w:rFonts w:ascii="黑体" w:eastAsia="黑体" w:hAnsi="黑体" w:hint="eastAsia"/>
          <w:sz w:val="28"/>
        </w:rPr>
        <w:t>一</w:t>
      </w:r>
      <w:r>
        <w:rPr>
          <w:rFonts w:ascii="黑体" w:eastAsia="黑体" w:hAnsi="黑体"/>
          <w:sz w:val="28"/>
        </w:rPr>
        <w:t>、外环境关系</w:t>
      </w:r>
    </w:p>
    <w:p>
      <w:pPr>
        <w:adjustRightInd w:val="0"/>
        <w:snapToGrid w:val="0"/>
        <w:ind w:firstLine="480"/>
      </w:pPr>
      <w:r>
        <w:rPr>
          <w:rFonts w:hint="eastAsia"/>
          <w:sz w:val="24"/>
          <w:szCs w:val="24"/>
        </w:rPr>
        <w:t>本项目位于文昌市文教镇宝藏解放坡，项目利用原有用地进行液化石油气储罐的改扩建，不涉及新增用地。</w:t>
      </w:r>
      <w:r>
        <w:rPr>
          <w:sz w:val="24"/>
          <w:szCs w:val="24"/>
        </w:rPr>
        <w:t>根据现场勘查，</w:t>
      </w:r>
      <w:r>
        <w:rPr>
          <w:rFonts w:hint="eastAsia"/>
          <w:sz w:val="24"/>
          <w:szCs w:val="24"/>
        </w:rPr>
        <w:t>项目</w:t>
      </w:r>
      <w:r>
        <w:rPr>
          <w:sz w:val="24"/>
          <w:szCs w:val="24"/>
        </w:rPr>
        <w:t>周边外环境关系如下</w:t>
      </w:r>
      <w:r>
        <w:rPr>
          <w:rFonts w:hint="eastAsia"/>
          <w:sz w:val="24"/>
          <w:szCs w:val="24"/>
        </w:rPr>
        <w:t>：</w:t>
      </w:r>
    </w:p>
    <w:p>
      <w:pPr>
        <w:pStyle w:val="a1"/>
        <w:ind w:firstLine="480"/>
        <w:rPr>
          <w:szCs w:val="24"/>
        </w:rPr>
      </w:pPr>
      <w:r>
        <w:rPr>
          <w:rFonts w:hint="eastAsia"/>
          <w:szCs w:val="24"/>
        </w:rPr>
        <w:t>项目厂区</w:t>
      </w:r>
      <w:r>
        <w:rPr>
          <w:szCs w:val="24"/>
        </w:rPr>
        <w:t>北侧为林地</w:t>
      </w:r>
      <w:r>
        <w:rPr>
          <w:rFonts w:hint="eastAsia"/>
          <w:szCs w:val="24"/>
        </w:rPr>
        <w:t>，</w:t>
      </w:r>
      <w:r>
        <w:rPr>
          <w:szCs w:val="24"/>
        </w:rPr>
        <w:t>约</w:t>
      </w:r>
      <w:r>
        <w:rPr>
          <w:rFonts w:hint="eastAsia"/>
          <w:szCs w:val="24"/>
        </w:rPr>
        <w:t>65m有1户宝藏居民，约200m为文教道班；</w:t>
      </w:r>
      <w:r>
        <w:rPr>
          <w:szCs w:val="24"/>
        </w:rPr>
        <w:t>西侧紧邻林地</w:t>
      </w:r>
      <w:r>
        <w:rPr>
          <w:rFonts w:hint="eastAsia"/>
          <w:szCs w:val="24"/>
        </w:rPr>
        <w:t>，</w:t>
      </w:r>
      <w:r>
        <w:rPr>
          <w:szCs w:val="24"/>
        </w:rPr>
        <w:t>约</w:t>
      </w:r>
      <w:r>
        <w:rPr>
          <w:rFonts w:hint="eastAsia"/>
          <w:szCs w:val="24"/>
        </w:rPr>
        <w:t>10m为空置厂房，约50m有1户宝藏居民；南侧紧邻林地，约65m为有3户宝藏居民；东侧约32m为S203铺文线，约60m有14户宝藏居民。</w:t>
      </w:r>
    </w:p>
    <w:p>
      <w:pPr>
        <w:adjustRightInd w:val="0"/>
        <w:snapToGrid w:val="0"/>
        <w:ind w:firstLine="480"/>
        <w:rPr>
          <w:sz w:val="24"/>
          <w:szCs w:val="24"/>
        </w:rPr>
      </w:pPr>
      <w:r>
        <w:rPr>
          <w:sz w:val="24"/>
          <w:szCs w:val="24"/>
        </w:rPr>
        <w:t>项目区域主要环境敏感目标为</w:t>
      </w:r>
      <w:r>
        <w:rPr>
          <w:rFonts w:hint="eastAsia"/>
          <w:sz w:val="24"/>
          <w:szCs w:val="24"/>
        </w:rPr>
        <w:t>项目周边</w:t>
      </w:r>
      <w:r>
        <w:rPr>
          <w:sz w:val="24"/>
          <w:szCs w:val="24"/>
        </w:rPr>
        <w:t>的居民。区域不涉及自然保护区、风景名胜区、世界文化和自然遗产地、饮用水水源保护区等环境敏感区</w:t>
      </w:r>
      <w:r>
        <w:rPr>
          <w:rFonts w:hint="eastAsia"/>
          <w:sz w:val="24"/>
          <w:szCs w:val="24"/>
        </w:rPr>
        <w:t>。</w:t>
      </w:r>
    </w:p>
    <w:p>
      <w:pPr>
        <w:ind w:firstLine="465" w:firstLineChars="0"/>
        <w:rPr>
          <w:kern w:val="0"/>
          <w:sz w:val="24"/>
          <w:szCs w:val="24"/>
        </w:rPr>
      </w:pPr>
      <w:r>
        <w:rPr>
          <w:rFonts w:hint="eastAsia"/>
          <w:kern w:val="0"/>
          <w:sz w:val="24"/>
          <w:szCs w:val="24"/>
        </w:rPr>
        <w:t>项目外环境关系图如下：</w:t>
      </w:r>
    </w:p>
    <w:tbl>
      <w:tblPr>
        <w:tblStyle w:val="TableNormal"/>
        <w:tblW w:w="9299" w:type="dxa"/>
        <w:tblInd w:w="0" w:type="dxa"/>
        <w:tblLayout w:type="fixed"/>
        <w:tblCellMar>
          <w:top w:w="0" w:type="dxa"/>
          <w:left w:w="108" w:type="dxa"/>
          <w:bottom w:w="0" w:type="dxa"/>
          <w:right w:w="108" w:type="dxa"/>
        </w:tblCellMar>
      </w:tblPr>
      <w:tblGrid>
        <w:gridCol w:w="4698"/>
        <w:gridCol w:w="4601"/>
      </w:tblGrid>
      <w:tr>
        <w:tblPrEx>
          <w:tblW w:w="9299" w:type="dxa"/>
          <w:tblInd w:w="0" w:type="dxa"/>
          <w:tblLayout w:type="fixed"/>
          <w:tblCellMar>
            <w:top w:w="0" w:type="dxa"/>
            <w:left w:w="108" w:type="dxa"/>
            <w:bottom w:w="0" w:type="dxa"/>
            <w:right w:w="108" w:type="dxa"/>
          </w:tblCellMar>
        </w:tblPrEx>
        <w:trPr>
          <w:trHeight w:val="2130"/>
        </w:trPr>
        <w:tc>
          <w:tcPr>
            <w:tcW w:w="4698" w:type="dxa"/>
            <w:vAlign w:val="center"/>
          </w:tcPr>
          <w:p>
            <w:pPr>
              <w:spacing w:line="240" w:lineRule="auto"/>
              <w:ind w:firstLine="0" w:firstLineChars="0"/>
              <w:jc w:val="center"/>
              <w:rPr>
                <w:kern w:val="0"/>
                <w:szCs w:val="20"/>
              </w:rPr>
            </w:pPr>
            <w:r>
              <w:drawing>
                <wp:inline distT="0" distB="0" distL="0" distR="0">
                  <wp:extent cx="2324100" cy="1743075"/>
                  <wp:effectExtent l="19050" t="0" r="0" b="0"/>
                  <wp:docPr id="20" name="图片 16" descr="C:\Users\HP\Desktop\我的项目\报告表\四川丰元机械制造有限公司技改项目\现场图片\IMG_30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6" descr="C:\Users\HP\Desktop\我的项目\报告表\四川丰元机械制造有限公司技改项目\现场图片\IMG_3093.JPG"/>
                          <pic:cNvPicPr>
                            <a:picLocks noChangeAspect="1" noChangeArrowheads="1"/>
                          </pic:cNvPicPr>
                        </pic:nvPicPr>
                        <pic:blipFill>
                          <a:blip xmlns:r="http://schemas.openxmlformats.org/officeDocument/2006/relationships" r:embed="rId357" cstate="print"/>
                          <a:stretch>
                            <a:fillRect/>
                          </a:stretch>
                        </pic:blipFill>
                        <pic:spPr>
                          <a:xfrm flipH="1">
                            <a:off x="0" y="0"/>
                            <a:ext cx="2324100" cy="1743075"/>
                          </a:xfrm>
                          <a:prstGeom prst="rect">
                            <a:avLst/>
                          </a:prstGeom>
                          <a:noFill/>
                          <a:ln w="9525">
                            <a:noFill/>
                            <a:miter lim="800000"/>
                            <a:headEnd/>
                            <a:tailEnd/>
                          </a:ln>
                        </pic:spPr>
                      </pic:pic>
                    </a:graphicData>
                  </a:graphic>
                </wp:inline>
              </w:drawing>
            </w:r>
          </w:p>
        </w:tc>
        <w:tc>
          <w:tcPr>
            <w:tcW w:w="4601" w:type="dxa"/>
            <w:vAlign w:val="center"/>
          </w:tcPr>
          <w:p>
            <w:pPr>
              <w:spacing w:line="240" w:lineRule="auto"/>
              <w:ind w:firstLine="0" w:firstLineChars="0"/>
              <w:jc w:val="center"/>
              <w:rPr>
                <w:kern w:val="0"/>
                <w:szCs w:val="20"/>
              </w:rPr>
            </w:pPr>
            <w:r>
              <w:drawing>
                <wp:inline distT="0" distB="0" distL="0" distR="0">
                  <wp:extent cx="2325370" cy="1743710"/>
                  <wp:effectExtent l="19050" t="0" r="0" b="0"/>
                  <wp:docPr id="4" name="图片 2" descr="C:\Users\HP\Desktop\我的项目\报告表\中国石化销售有限公司海南临高供气站项目\现场照片\微信图片_2020041720525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C:\Users\HP\Desktop\我的项目\报告表\中国石化销售有限公司海南临高供气站项目\现场照片\微信图片_202004172052587.jpg"/>
                          <pic:cNvPicPr>
                            <a:picLocks noChangeAspect="1" noChangeArrowheads="1"/>
                          </pic:cNvPicPr>
                        </pic:nvPicPr>
                        <pic:blipFill>
                          <a:blip xmlns:r="http://schemas.openxmlformats.org/officeDocument/2006/relationships" r:embed="rId358" cstate="print"/>
                          <a:stretch>
                            <a:fillRect/>
                          </a:stretch>
                        </pic:blipFill>
                        <pic:spPr>
                          <a:xfrm>
                            <a:off x="0" y="0"/>
                            <a:ext cx="2325600" cy="1744200"/>
                          </a:xfrm>
                          <a:prstGeom prst="rect">
                            <a:avLst/>
                          </a:prstGeom>
                          <a:noFill/>
                          <a:ln w="9525">
                            <a:noFill/>
                            <a:miter lim="800000"/>
                            <a:headEnd/>
                            <a:tailEnd/>
                          </a:ln>
                        </pic:spPr>
                      </pic:pic>
                    </a:graphicData>
                  </a:graphic>
                </wp:inline>
              </w:drawing>
            </w:r>
          </w:p>
        </w:tc>
      </w:tr>
      <w:tr>
        <w:tblPrEx>
          <w:tblW w:w="9299" w:type="dxa"/>
          <w:tblInd w:w="0" w:type="dxa"/>
          <w:tblLayout w:type="fixed"/>
          <w:tblCellMar>
            <w:top w:w="0" w:type="dxa"/>
            <w:left w:w="108" w:type="dxa"/>
            <w:bottom w:w="0" w:type="dxa"/>
            <w:right w:w="108" w:type="dxa"/>
          </w:tblCellMar>
        </w:tblPrEx>
        <w:tc>
          <w:tcPr>
            <w:tcW w:w="4698" w:type="dxa"/>
            <w:vAlign w:val="center"/>
          </w:tcPr>
          <w:p>
            <w:pPr>
              <w:pStyle w:val="a1"/>
              <w:spacing w:line="240" w:lineRule="auto"/>
              <w:ind w:firstLine="0" w:firstLineChars="0"/>
              <w:jc w:val="center"/>
              <w:rPr>
                <w:rFonts w:eastAsia="黑体"/>
                <w:kern w:val="0"/>
              </w:rPr>
            </w:pPr>
            <w:r>
              <w:rPr>
                <w:rFonts w:eastAsia="黑体" w:hint="eastAsia"/>
                <w:sz w:val="21"/>
                <w:szCs w:val="21"/>
              </w:rPr>
              <w:t>项目厂区大门</w:t>
            </w:r>
          </w:p>
        </w:tc>
        <w:tc>
          <w:tcPr>
            <w:tcW w:w="4601" w:type="dxa"/>
            <w:vAlign w:val="center"/>
          </w:tcPr>
          <w:p>
            <w:pPr>
              <w:pStyle w:val="a1"/>
              <w:spacing w:line="240" w:lineRule="auto"/>
              <w:ind w:firstLine="0" w:firstLineChars="0"/>
              <w:jc w:val="center"/>
              <w:rPr>
                <w:rFonts w:eastAsia="黑体"/>
                <w:sz w:val="21"/>
                <w:szCs w:val="21"/>
              </w:rPr>
            </w:pPr>
            <w:r>
              <w:rPr>
                <w:rFonts w:eastAsia="黑体" w:hint="eastAsia"/>
                <w:sz w:val="21"/>
                <w:szCs w:val="21"/>
              </w:rPr>
              <w:t>项目西侧林地现状</w:t>
            </w:r>
          </w:p>
        </w:tc>
      </w:tr>
      <w:tr>
        <w:tblPrEx>
          <w:tblW w:w="9299" w:type="dxa"/>
          <w:tblInd w:w="0" w:type="dxa"/>
          <w:tblLayout w:type="fixed"/>
          <w:tblCellMar>
            <w:top w:w="0" w:type="dxa"/>
            <w:left w:w="108" w:type="dxa"/>
            <w:bottom w:w="0" w:type="dxa"/>
            <w:right w:w="108" w:type="dxa"/>
          </w:tblCellMar>
        </w:tblPrEx>
        <w:tc>
          <w:tcPr>
            <w:tcW w:w="4698" w:type="dxa"/>
            <w:vAlign w:val="center"/>
          </w:tcPr>
          <w:p>
            <w:pPr>
              <w:spacing w:line="240" w:lineRule="auto"/>
              <w:ind w:firstLine="0" w:firstLineChars="0"/>
              <w:jc w:val="center"/>
              <w:rPr>
                <w:kern w:val="0"/>
                <w:szCs w:val="20"/>
              </w:rPr>
            </w:pPr>
            <w:r>
              <w:drawing>
                <wp:inline distT="0" distB="0" distL="0" distR="0">
                  <wp:extent cx="2325370" cy="1743710"/>
                  <wp:effectExtent l="19050" t="0" r="0" b="0"/>
                  <wp:docPr id="6" name="图片 3" descr="C:\Users\HP\Desktop\我的项目\报告表\中国石化销售有限公司海南临高供气站项目\现场照片\微信图片_20200417205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C:\Users\HP\Desktop\我的项目\报告表\中国石化销售有限公司海南临高供气站项目\现场照片\微信图片_20200417205258.jpg"/>
                          <pic:cNvPicPr>
                            <a:picLocks noChangeAspect="1" noChangeArrowheads="1"/>
                          </pic:cNvPicPr>
                        </pic:nvPicPr>
                        <pic:blipFill>
                          <a:blip xmlns:r="http://schemas.openxmlformats.org/officeDocument/2006/relationships" r:embed="rId359" cstate="print"/>
                          <a:stretch>
                            <a:fillRect/>
                          </a:stretch>
                        </pic:blipFill>
                        <pic:spPr>
                          <a:xfrm>
                            <a:off x="0" y="0"/>
                            <a:ext cx="2325600" cy="1744200"/>
                          </a:xfrm>
                          <a:prstGeom prst="rect">
                            <a:avLst/>
                          </a:prstGeom>
                          <a:noFill/>
                          <a:ln w="9525">
                            <a:noFill/>
                            <a:miter lim="800000"/>
                            <a:headEnd/>
                            <a:tailEnd/>
                          </a:ln>
                        </pic:spPr>
                      </pic:pic>
                    </a:graphicData>
                  </a:graphic>
                </wp:inline>
              </w:drawing>
            </w:r>
          </w:p>
        </w:tc>
        <w:tc>
          <w:tcPr>
            <w:tcW w:w="4601" w:type="dxa"/>
            <w:vAlign w:val="center"/>
          </w:tcPr>
          <w:p>
            <w:pPr>
              <w:spacing w:line="240" w:lineRule="auto"/>
              <w:ind w:firstLine="0" w:firstLineChars="0"/>
              <w:jc w:val="center"/>
              <w:rPr>
                <w:kern w:val="0"/>
                <w:szCs w:val="20"/>
              </w:rPr>
            </w:pPr>
            <w:r>
              <w:drawing>
                <wp:inline distT="0" distB="0" distL="0" distR="0">
                  <wp:extent cx="2143760" cy="1607820"/>
                  <wp:effectExtent l="19050" t="0" r="8545" b="0"/>
                  <wp:docPr id="30" name="图片 30"/>
                  <wp:cNvGraphicFramePr/>
                  <a:graphic xmlns:a="http://schemas.openxmlformats.org/drawingml/2006/main">
                    <a:graphicData uri="http://schemas.openxmlformats.org/drawingml/2006/picture">
                      <pic:pic xmlns:pic="http://schemas.openxmlformats.org/drawingml/2006/picture">
                        <pic:nvPicPr>
                          <pic:cNvPr id="30" name="图片 30"/>
                          <pic:cNvPicPr/>
                        </pic:nvPicPr>
                        <pic:blipFill>
                          <a:blip xmlns:r="http://schemas.openxmlformats.org/officeDocument/2006/relationships" r:embed="rId360" cstate="print"/>
                          <a:stretch>
                            <a:fillRect/>
                          </a:stretch>
                        </pic:blipFill>
                        <pic:spPr>
                          <a:xfrm>
                            <a:off x="0" y="0"/>
                            <a:ext cx="2144105" cy="1608078"/>
                          </a:xfrm>
                          <a:prstGeom prst="rect">
                            <a:avLst/>
                          </a:prstGeom>
                        </pic:spPr>
                      </pic:pic>
                    </a:graphicData>
                  </a:graphic>
                </wp:inline>
              </w:drawing>
            </w:r>
          </w:p>
        </w:tc>
      </w:tr>
      <w:tr>
        <w:tblPrEx>
          <w:tblW w:w="9299" w:type="dxa"/>
          <w:tblInd w:w="0" w:type="dxa"/>
          <w:tblLayout w:type="fixed"/>
          <w:tblCellMar>
            <w:top w:w="0" w:type="dxa"/>
            <w:left w:w="108" w:type="dxa"/>
            <w:bottom w:w="0" w:type="dxa"/>
            <w:right w:w="108" w:type="dxa"/>
          </w:tblCellMar>
        </w:tblPrEx>
        <w:tc>
          <w:tcPr>
            <w:tcW w:w="4698" w:type="dxa"/>
            <w:vAlign w:val="center"/>
          </w:tcPr>
          <w:p>
            <w:pPr>
              <w:pStyle w:val="a1"/>
              <w:spacing w:line="240" w:lineRule="auto"/>
              <w:ind w:firstLine="0" w:firstLineChars="0"/>
              <w:jc w:val="center"/>
              <w:rPr>
                <w:rFonts w:eastAsia="黑体"/>
                <w:sz w:val="21"/>
                <w:szCs w:val="21"/>
              </w:rPr>
            </w:pPr>
            <w:r>
              <w:rPr>
                <w:rFonts w:eastAsia="黑体"/>
                <w:sz w:val="21"/>
                <w:szCs w:val="21"/>
              </w:rPr>
              <w:t>项目</w:t>
            </w:r>
            <w:r>
              <w:rPr>
                <w:rFonts w:eastAsia="黑体" w:hint="eastAsia"/>
                <w:sz w:val="21"/>
                <w:szCs w:val="21"/>
              </w:rPr>
              <w:t>北侧林地</w:t>
            </w:r>
            <w:r>
              <w:rPr>
                <w:rFonts w:eastAsia="黑体"/>
                <w:sz w:val="21"/>
                <w:szCs w:val="21"/>
              </w:rPr>
              <w:t>现状</w:t>
            </w:r>
          </w:p>
        </w:tc>
        <w:tc>
          <w:tcPr>
            <w:tcW w:w="4601" w:type="dxa"/>
            <w:vAlign w:val="center"/>
          </w:tcPr>
          <w:p>
            <w:pPr>
              <w:spacing w:line="240" w:lineRule="auto"/>
              <w:ind w:firstLine="0" w:firstLineChars="0"/>
              <w:jc w:val="center"/>
              <w:rPr>
                <w:rFonts w:eastAsia="黑体"/>
                <w:kern w:val="0"/>
              </w:rPr>
            </w:pPr>
            <w:r>
              <w:rPr>
                <w:rFonts w:eastAsia="黑体" w:hint="eastAsia"/>
                <w:kern w:val="0"/>
              </w:rPr>
              <w:t>项</w:t>
            </w:r>
            <w:r>
              <w:rPr>
                <w:rFonts w:eastAsia="黑体" w:hint="eastAsia"/>
              </w:rPr>
              <w:t>目东侧居民现状</w:t>
            </w:r>
          </w:p>
        </w:tc>
      </w:tr>
    </w:tbl>
    <w:p>
      <w:pPr>
        <w:sectPr>
          <w:headerReference w:type="even" r:id="rId361"/>
          <w:headerReference w:type="default" r:id="rId362"/>
          <w:footerReference w:type="even" r:id="rId363"/>
          <w:footerReference w:type="default" r:id="rId364"/>
          <w:headerReference w:type="first" r:id="rId365"/>
          <w:footerReference w:type="first" r:id="rId366"/>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29"/>
          <w:cols w:num="1" w:space="720"/>
          <w:titlePg w:val="0"/>
          <w:docGrid w:type="linesAndChars" w:linePitch="312" w:charSpace="0"/>
        </w:sectPr>
      </w:pPr>
    </w:p>
    <w:p>
      <w:pPr>
        <w:sectPr>
          <w:headerReference w:type="even" r:id="rId367"/>
          <w:headerReference w:type="default" r:id="rId368"/>
          <w:footerReference w:type="even" r:id="rId369"/>
          <w:footerReference w:type="default" r:id="rId370"/>
          <w:headerReference w:type="first" r:id="rId371"/>
          <w:footerReference w:type="first" r:id="rId372"/>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299" w:type="dxa"/>
        <w:tblInd w:w="0" w:type="dxa"/>
        <w:tblLayout w:type="fixed"/>
        <w:tblCellMar>
          <w:top w:w="0" w:type="dxa"/>
          <w:left w:w="108" w:type="dxa"/>
          <w:bottom w:w="0" w:type="dxa"/>
          <w:right w:w="108" w:type="dxa"/>
        </w:tblCellMar>
      </w:tblPr>
      <w:tblGrid>
        <w:gridCol w:w="4698"/>
        <w:gridCol w:w="4601"/>
      </w:tblGrid>
      <w:tr>
        <w:tblPrEx>
          <w:tblW w:w="9299" w:type="dxa"/>
          <w:tblInd w:w="0" w:type="dxa"/>
          <w:tblLayout w:type="fixed"/>
          <w:tblCellMar>
            <w:top w:w="0" w:type="dxa"/>
            <w:left w:w="108" w:type="dxa"/>
            <w:bottom w:w="0" w:type="dxa"/>
            <w:right w:w="108" w:type="dxa"/>
          </w:tblCellMar>
        </w:tblPrEx>
        <w:tc>
          <w:tcPr>
            <w:tcW w:w="4698" w:type="dxa"/>
            <w:vAlign w:val="center"/>
          </w:tcPr>
          <w:p>
            <w:pPr>
              <w:spacing w:line="240" w:lineRule="auto"/>
              <w:ind w:firstLine="0" w:firstLineChars="0"/>
              <w:jc w:val="center"/>
              <w:rPr>
                <w:kern w:val="0"/>
                <w:szCs w:val="20"/>
              </w:rPr>
            </w:pPr>
            <w:r>
              <w:drawing>
                <wp:inline distT="0" distB="0" distL="0" distR="0">
                  <wp:extent cx="2325370" cy="1743710"/>
                  <wp:effectExtent l="19050" t="0" r="0" b="0"/>
                  <wp:docPr id="3" name="图片 3" descr="C:\Users\HP\Desktop\我的项目\报告表\中国石化销售有限公司海南临高供气站项目\现场照片\微信图片_20200417205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HP\Desktop\我的项目\报告表\中国石化销售有限公司海南临高供气站项目\现场照片\微信图片_20200417205258.jpg"/>
                          <pic:cNvPicPr>
                            <a:picLocks noChangeAspect="1" noChangeArrowheads="1"/>
                          </pic:cNvPicPr>
                        </pic:nvPicPr>
                        <pic:blipFill>
                          <a:blip xmlns:r="http://schemas.openxmlformats.org/officeDocument/2006/relationships" r:embed="rId373" cstate="print"/>
                          <a:stretch>
                            <a:fillRect/>
                          </a:stretch>
                        </pic:blipFill>
                        <pic:spPr>
                          <a:xfrm>
                            <a:off x="0" y="0"/>
                            <a:ext cx="2325600" cy="1744200"/>
                          </a:xfrm>
                          <a:prstGeom prst="rect">
                            <a:avLst/>
                          </a:prstGeom>
                          <a:noFill/>
                          <a:ln w="9525">
                            <a:noFill/>
                            <a:miter lim="800000"/>
                            <a:headEnd/>
                            <a:tailEnd/>
                          </a:ln>
                        </pic:spPr>
                      </pic:pic>
                    </a:graphicData>
                  </a:graphic>
                </wp:inline>
              </w:drawing>
            </w:r>
          </w:p>
        </w:tc>
        <w:tc>
          <w:tcPr>
            <w:tcW w:w="4601" w:type="dxa"/>
            <w:vAlign w:val="center"/>
          </w:tcPr>
          <w:p>
            <w:pPr>
              <w:spacing w:line="240" w:lineRule="auto"/>
              <w:ind w:firstLine="0" w:firstLineChars="0"/>
              <w:jc w:val="center"/>
              <w:rPr>
                <w:kern w:val="0"/>
                <w:szCs w:val="20"/>
              </w:rPr>
            </w:pPr>
            <w:r>
              <w:drawing>
                <wp:inline distT="0" distB="0" distL="0" distR="0">
                  <wp:extent cx="2143760" cy="1607820"/>
                  <wp:effectExtent l="19050" t="0" r="8546" b="0"/>
                  <wp:docPr id="12" name="图片 30"/>
                  <wp:cNvGraphicFramePr/>
                  <a:graphic xmlns:a="http://schemas.openxmlformats.org/drawingml/2006/main">
                    <a:graphicData uri="http://schemas.openxmlformats.org/drawingml/2006/picture">
                      <pic:pic xmlns:pic="http://schemas.openxmlformats.org/drawingml/2006/picture">
                        <pic:nvPicPr>
                          <pic:cNvPr id="12" name="图片 30"/>
                          <pic:cNvPicPr/>
                        </pic:nvPicPr>
                        <pic:blipFill>
                          <a:blip xmlns:r="http://schemas.openxmlformats.org/officeDocument/2006/relationships" r:embed="rId374" cstate="print"/>
                          <a:stretch>
                            <a:fillRect/>
                          </a:stretch>
                        </pic:blipFill>
                        <pic:spPr>
                          <a:xfrm>
                            <a:off x="0" y="0"/>
                            <a:ext cx="2144104" cy="1608078"/>
                          </a:xfrm>
                          <a:prstGeom prst="rect">
                            <a:avLst/>
                          </a:prstGeom>
                        </pic:spPr>
                      </pic:pic>
                    </a:graphicData>
                  </a:graphic>
                </wp:inline>
              </w:drawing>
            </w:r>
          </w:p>
        </w:tc>
      </w:tr>
      <w:tr>
        <w:tblPrEx>
          <w:tblW w:w="9299" w:type="dxa"/>
          <w:tblInd w:w="0" w:type="dxa"/>
          <w:tblLayout w:type="fixed"/>
          <w:tblCellMar>
            <w:top w:w="0" w:type="dxa"/>
            <w:left w:w="108" w:type="dxa"/>
            <w:bottom w:w="0" w:type="dxa"/>
            <w:right w:w="108" w:type="dxa"/>
          </w:tblCellMar>
        </w:tblPrEx>
        <w:tc>
          <w:tcPr>
            <w:tcW w:w="4698" w:type="dxa"/>
            <w:vAlign w:val="center"/>
          </w:tcPr>
          <w:p>
            <w:pPr>
              <w:pStyle w:val="a1"/>
              <w:spacing w:line="240" w:lineRule="auto"/>
              <w:ind w:firstLine="0" w:firstLineChars="0"/>
              <w:jc w:val="center"/>
              <w:rPr>
                <w:rFonts w:eastAsia="黑体"/>
                <w:sz w:val="21"/>
                <w:szCs w:val="21"/>
              </w:rPr>
            </w:pPr>
            <w:r>
              <w:rPr>
                <w:rFonts w:eastAsia="黑体"/>
                <w:sz w:val="21"/>
                <w:szCs w:val="21"/>
              </w:rPr>
              <w:t>项目</w:t>
            </w:r>
            <w:r>
              <w:rPr>
                <w:rFonts w:eastAsia="黑体" w:hint="eastAsia"/>
                <w:sz w:val="21"/>
                <w:szCs w:val="21"/>
              </w:rPr>
              <w:t>南侧林地</w:t>
            </w:r>
            <w:r>
              <w:rPr>
                <w:rFonts w:eastAsia="黑体"/>
                <w:sz w:val="21"/>
                <w:szCs w:val="21"/>
              </w:rPr>
              <w:t>现状</w:t>
            </w:r>
          </w:p>
        </w:tc>
        <w:tc>
          <w:tcPr>
            <w:tcW w:w="4601" w:type="dxa"/>
            <w:vAlign w:val="center"/>
          </w:tcPr>
          <w:p>
            <w:pPr>
              <w:spacing w:line="240" w:lineRule="auto"/>
              <w:ind w:firstLine="0" w:firstLineChars="0"/>
              <w:jc w:val="center"/>
              <w:rPr>
                <w:rFonts w:eastAsia="黑体"/>
                <w:kern w:val="0"/>
              </w:rPr>
            </w:pPr>
            <w:r>
              <w:rPr>
                <w:rFonts w:eastAsia="黑体" w:hint="eastAsia"/>
                <w:kern w:val="0"/>
              </w:rPr>
              <w:t>项</w:t>
            </w:r>
            <w:r>
              <w:rPr>
                <w:rFonts w:eastAsia="黑体" w:hint="eastAsia"/>
              </w:rPr>
              <w:t>目东侧道路现状</w:t>
            </w:r>
          </w:p>
        </w:tc>
      </w:tr>
    </w:tbl>
    <w:p>
      <w:pPr>
        <w:pStyle w:val="a1"/>
        <w:ind w:firstLine="560"/>
        <w:outlineLvl w:val="0"/>
        <w:rPr>
          <w:rFonts w:eastAsia="黑体"/>
          <w:sz w:val="28"/>
        </w:rPr>
      </w:pPr>
      <w:r>
        <w:rPr>
          <w:rFonts w:eastAsia="黑体" w:hint="eastAsia"/>
          <w:sz w:val="28"/>
        </w:rPr>
        <w:t>二</w:t>
      </w:r>
      <w:r>
        <w:rPr>
          <w:rFonts w:eastAsia="黑体"/>
          <w:sz w:val="28"/>
        </w:rPr>
        <w:t>、主要保护目标</w:t>
      </w:r>
    </w:p>
    <w:p>
      <w:pPr>
        <w:pStyle w:val="a1"/>
        <w:ind w:firstLine="480"/>
      </w:pPr>
      <w:r>
        <w:t>根据本项目排污特点和外环境特征，确定环境保护目标如下：</w:t>
      </w:r>
    </w:p>
    <w:p>
      <w:pPr>
        <w:pStyle w:val="a1"/>
        <w:ind w:firstLine="480"/>
        <w:outlineLvl w:val="1"/>
        <w:rPr>
          <w:rFonts w:eastAsia="黑体"/>
        </w:rPr>
      </w:pPr>
      <w:r>
        <w:rPr>
          <w:rFonts w:eastAsia="黑体"/>
        </w:rPr>
        <w:t>1、大气环境</w:t>
      </w:r>
      <w:r>
        <w:rPr>
          <w:rFonts w:eastAsia="黑体" w:hint="eastAsia"/>
        </w:rPr>
        <w:t>保护目标</w:t>
      </w:r>
    </w:p>
    <w:p>
      <w:pPr>
        <w:pStyle w:val="a1"/>
        <w:ind w:firstLine="480"/>
      </w:pPr>
      <w:r>
        <w:t>项目所在地区为</w:t>
      </w:r>
      <w:r>
        <w:rPr>
          <w:rFonts w:hint="eastAsia"/>
        </w:rPr>
        <w:t>农村区域</w:t>
      </w:r>
      <w:r>
        <w:t>，其环境空气质量应满足《环境空气质量标准》（GB3095-2012）中二级标准的要求，评价范围内主要保护目标环境空气质量不因项目的建设而发生改变。</w:t>
      </w:r>
    </w:p>
    <w:p>
      <w:pPr>
        <w:pStyle w:val="a1"/>
        <w:ind w:firstLine="480"/>
        <w:outlineLvl w:val="1"/>
        <w:rPr>
          <w:rFonts w:eastAsia="黑体"/>
        </w:rPr>
      </w:pPr>
      <w:r>
        <w:rPr>
          <w:rFonts w:eastAsia="黑体"/>
        </w:rPr>
        <w:t>2、</w:t>
      </w:r>
      <w:r>
        <w:rPr>
          <w:rFonts w:eastAsia="黑体" w:hint="eastAsia"/>
        </w:rPr>
        <w:t>地表水环境</w:t>
      </w:r>
      <w:r>
        <w:rPr>
          <w:rFonts w:eastAsia="黑体"/>
        </w:rPr>
        <w:t>保护目标</w:t>
      </w:r>
    </w:p>
    <w:p>
      <w:pPr>
        <w:pStyle w:val="a1"/>
        <w:ind w:firstLine="480"/>
      </w:pPr>
      <w:r>
        <w:rPr>
          <w:rFonts w:hint="eastAsia"/>
        </w:rPr>
        <w:t>本项目地表水环境保护目标为项目西侧约970</w:t>
      </w:r>
      <w:r>
        <w:t>m处</w:t>
      </w:r>
      <w:r>
        <w:rPr>
          <w:rFonts w:hint="eastAsia"/>
        </w:rPr>
        <w:t>的文教河，确保项目实施后不改变区域地表水的环境质量现状，即文教河水质执行《地表水环境质量标准》（</w:t>
      </w:r>
      <w:r>
        <w:t>GB3838-2002</w:t>
      </w:r>
      <w:r>
        <w:rPr>
          <w:rFonts w:hint="eastAsia"/>
        </w:rPr>
        <w:t>）中Ⅲ类水域标准。</w:t>
      </w:r>
    </w:p>
    <w:p>
      <w:pPr>
        <w:pStyle w:val="a1"/>
        <w:ind w:firstLine="480"/>
        <w:outlineLvl w:val="1"/>
        <w:rPr>
          <w:rFonts w:eastAsia="黑体"/>
        </w:rPr>
      </w:pPr>
      <w:r>
        <w:rPr>
          <w:rFonts w:eastAsia="黑体"/>
        </w:rPr>
        <w:t>3、声</w:t>
      </w:r>
      <w:r>
        <w:rPr>
          <w:rFonts w:eastAsia="黑体" w:hint="eastAsia"/>
        </w:rPr>
        <w:t>学</w:t>
      </w:r>
      <w:r>
        <w:rPr>
          <w:rFonts w:eastAsia="黑体"/>
        </w:rPr>
        <w:t>环境</w:t>
      </w:r>
      <w:r>
        <w:rPr>
          <w:rFonts w:eastAsia="黑体" w:hint="eastAsia"/>
        </w:rPr>
        <w:t>保护目标</w:t>
      </w:r>
    </w:p>
    <w:p>
      <w:pPr>
        <w:pStyle w:val="a1"/>
        <w:ind w:firstLine="480"/>
      </w:pPr>
      <w:r>
        <w:rPr>
          <w:rFonts w:hint="eastAsia"/>
        </w:rPr>
        <w:t>本项目声学环境保护目标为项目厂界周围</w:t>
      </w:r>
      <w:r>
        <w:t>200m</w:t>
      </w:r>
      <w:r>
        <w:rPr>
          <w:rFonts w:hint="eastAsia"/>
        </w:rPr>
        <w:t>范围内的噪声敏感区，确保项目实施后不产生噪声超标现象，S</w:t>
      </w:r>
      <w:r>
        <w:t>203</w:t>
      </w:r>
      <w:r>
        <w:rPr>
          <w:rFonts w:hint="eastAsia"/>
        </w:rPr>
        <w:t>省道两侧35m±5m的范围内执行《声环境质量标准》（GB3096-2008）中4a类标准，其余区域执行2类标准。</w:t>
      </w:r>
    </w:p>
    <w:p>
      <w:pPr>
        <w:pStyle w:val="a1"/>
        <w:ind w:firstLine="480"/>
        <w:outlineLvl w:val="1"/>
        <w:rPr>
          <w:rFonts w:eastAsia="黑体"/>
        </w:rPr>
      </w:pPr>
      <w:r>
        <w:rPr>
          <w:rFonts w:eastAsia="黑体" w:hint="eastAsia"/>
        </w:rPr>
        <w:t>4</w:t>
      </w:r>
      <w:r>
        <w:rPr>
          <w:rFonts w:eastAsia="黑体"/>
        </w:rPr>
        <w:t>、</w:t>
      </w:r>
      <w:r>
        <w:rPr>
          <w:rFonts w:eastAsia="黑体" w:hint="eastAsia"/>
        </w:rPr>
        <w:t>固体废物</w:t>
      </w:r>
    </w:p>
    <w:p>
      <w:pPr>
        <w:pStyle w:val="a1"/>
        <w:ind w:firstLine="480"/>
      </w:pPr>
      <w:r>
        <w:t>项目运营期产生的固体废物均得到妥善处置</w:t>
      </w:r>
      <w:r>
        <w:rPr>
          <w:rFonts w:hint="eastAsia"/>
        </w:rPr>
        <w:t>，</w:t>
      </w:r>
      <w:r>
        <w:t>不产生二次污染</w:t>
      </w:r>
      <w:r>
        <w:rPr>
          <w:rFonts w:hint="eastAsia"/>
        </w:rPr>
        <w:t>。</w:t>
      </w:r>
    </w:p>
    <w:p>
      <w:pPr>
        <w:pStyle w:val="a1"/>
        <w:ind w:firstLine="480"/>
      </w:pPr>
      <w:r>
        <w:rPr>
          <w:rFonts w:hint="eastAsia"/>
        </w:rPr>
        <w:t>综合本项目性质、特点、所在区域的环境关系及环境特征、项目投入运营后污染物排放情况以及区域环境质量保护的总体要求，确定项目外环境关系和保护目标详见表</w:t>
      </w:r>
      <w:r>
        <w:t>3-</w:t>
      </w:r>
      <w:r>
        <w:rPr>
          <w:rFonts w:hint="eastAsia"/>
        </w:rPr>
        <w:t>5。</w:t>
      </w:r>
    </w:p>
    <w:p>
      <w:pPr>
        <w:widowControl/>
        <w:spacing w:line="240" w:lineRule="auto"/>
        <w:ind w:firstLine="0" w:firstLineChars="0"/>
        <w:jc w:val="center"/>
        <w:rPr>
          <w:rFonts w:eastAsia="黑体"/>
        </w:rPr>
      </w:pPr>
      <w:r>
        <w:rPr>
          <w:rFonts w:eastAsia="黑体" w:hint="eastAsia"/>
        </w:rPr>
        <w:t>表</w:t>
      </w:r>
      <w:r>
        <w:rPr>
          <w:rFonts w:eastAsia="黑体"/>
        </w:rPr>
        <w:t>3-</w:t>
      </w:r>
      <w:r>
        <w:rPr>
          <w:rFonts w:eastAsia="黑体" w:hint="eastAsia"/>
        </w:rPr>
        <w:t>5  本项目环境保护目标表</w:t>
      </w:r>
    </w:p>
    <w:tbl>
      <w:tblPr>
        <w:tblStyle w:val="TableNormal"/>
        <w:tblW w:w="9355" w:type="dxa"/>
        <w:jc w:val="center"/>
        <w:tblBorders>
          <w:top w:val="single" w:sz="2" w:space="0" w:color="auto"/>
          <w:left w:val="none" w:sz="0" w:space="0" w:color="auto"/>
          <w:bottom w:val="single" w:sz="2"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844"/>
        <w:gridCol w:w="1497"/>
        <w:gridCol w:w="1927"/>
        <w:gridCol w:w="2139"/>
        <w:gridCol w:w="1270"/>
        <w:gridCol w:w="1678"/>
      </w:tblGrid>
      <w:tr>
        <w:tblPrEx>
          <w:tblW w:w="9355" w:type="dxa"/>
          <w:jc w:val="center"/>
          <w:tblBorders>
            <w:top w:val="single" w:sz="2" w:space="0" w:color="auto"/>
            <w:left w:val="none" w:sz="0" w:space="0" w:color="auto"/>
            <w:bottom w:val="single" w:sz="2"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280"/>
          <w:jc w:val="center"/>
        </w:trPr>
        <w:tc>
          <w:tcPr>
            <w:tcW w:w="844" w:type="dxa"/>
            <w:vMerge w:val="restart"/>
            <w:vAlign w:val="center"/>
          </w:tcPr>
          <w:p>
            <w:pPr>
              <w:pStyle w:val="a18"/>
              <w:spacing w:line="280" w:lineRule="exact"/>
              <w:ind w:left="0" w:firstLine="0" w:leftChars="0"/>
              <w:rPr>
                <w:rFonts w:ascii="Times New Roman"/>
                <w:b/>
                <w:sz w:val="21"/>
                <w:szCs w:val="21"/>
              </w:rPr>
            </w:pPr>
            <w:r>
              <w:rPr>
                <w:rFonts w:ascii="Times New Roman"/>
                <w:b/>
                <w:sz w:val="21"/>
                <w:szCs w:val="21"/>
              </w:rPr>
              <w:t>环境要素</w:t>
            </w:r>
          </w:p>
        </w:tc>
        <w:tc>
          <w:tcPr>
            <w:tcW w:w="1497" w:type="dxa"/>
            <w:vMerge w:val="restart"/>
            <w:vAlign w:val="center"/>
          </w:tcPr>
          <w:p>
            <w:pPr>
              <w:pStyle w:val="a18"/>
              <w:spacing w:line="280" w:lineRule="exact"/>
              <w:ind w:left="0" w:firstLine="0" w:leftChars="0"/>
              <w:rPr>
                <w:rFonts w:ascii="Times New Roman"/>
                <w:b/>
                <w:sz w:val="21"/>
                <w:szCs w:val="21"/>
              </w:rPr>
            </w:pPr>
            <w:r>
              <w:rPr>
                <w:rFonts w:ascii="Times New Roman"/>
                <w:b/>
                <w:sz w:val="21"/>
                <w:szCs w:val="21"/>
              </w:rPr>
              <w:t>保护对象</w:t>
            </w:r>
          </w:p>
        </w:tc>
        <w:tc>
          <w:tcPr>
            <w:tcW w:w="1927" w:type="dxa"/>
            <w:vMerge w:val="restart"/>
            <w:vAlign w:val="center"/>
          </w:tcPr>
          <w:p>
            <w:pPr>
              <w:pStyle w:val="a18"/>
              <w:spacing w:line="280" w:lineRule="exact"/>
              <w:ind w:left="0" w:firstLine="0" w:leftChars="0"/>
              <w:rPr>
                <w:rFonts w:ascii="Times New Roman"/>
                <w:b/>
                <w:sz w:val="21"/>
                <w:szCs w:val="21"/>
              </w:rPr>
            </w:pPr>
            <w:r>
              <w:rPr>
                <w:rFonts w:ascii="Times New Roman"/>
                <w:b/>
                <w:sz w:val="21"/>
                <w:szCs w:val="21"/>
              </w:rPr>
              <w:t>保护内容</w:t>
            </w:r>
          </w:p>
        </w:tc>
        <w:tc>
          <w:tcPr>
            <w:tcW w:w="2139" w:type="dxa"/>
            <w:vMerge w:val="restart"/>
            <w:vAlign w:val="center"/>
          </w:tcPr>
          <w:p>
            <w:pPr>
              <w:pStyle w:val="a18"/>
              <w:spacing w:line="280" w:lineRule="exact"/>
              <w:ind w:left="0" w:firstLine="0" w:leftChars="0"/>
              <w:rPr>
                <w:rFonts w:ascii="Times New Roman"/>
                <w:b/>
                <w:sz w:val="21"/>
                <w:szCs w:val="21"/>
              </w:rPr>
            </w:pPr>
            <w:r>
              <w:rPr>
                <w:rFonts w:ascii="Times New Roman"/>
                <w:b/>
                <w:sz w:val="21"/>
                <w:szCs w:val="21"/>
              </w:rPr>
              <w:t>环境功能区</w:t>
            </w:r>
          </w:p>
        </w:tc>
        <w:tc>
          <w:tcPr>
            <w:tcW w:w="1270" w:type="dxa"/>
            <w:vMerge w:val="restart"/>
            <w:vAlign w:val="center"/>
          </w:tcPr>
          <w:p>
            <w:pPr>
              <w:pStyle w:val="a18"/>
              <w:spacing w:line="280" w:lineRule="exact"/>
              <w:ind w:left="0" w:firstLine="0" w:leftChars="0"/>
              <w:rPr>
                <w:rFonts w:ascii="Times New Roman"/>
                <w:b/>
                <w:sz w:val="21"/>
                <w:szCs w:val="21"/>
              </w:rPr>
            </w:pPr>
            <w:r>
              <w:rPr>
                <w:rFonts w:ascii="Times New Roman"/>
                <w:b/>
                <w:sz w:val="21"/>
                <w:szCs w:val="21"/>
              </w:rPr>
              <w:t>相对厂址方位</w:t>
            </w:r>
          </w:p>
        </w:tc>
        <w:tc>
          <w:tcPr>
            <w:tcW w:w="1678" w:type="dxa"/>
            <w:vMerge w:val="restart"/>
            <w:vAlign w:val="center"/>
          </w:tcPr>
          <w:p>
            <w:pPr>
              <w:pStyle w:val="a18"/>
              <w:spacing w:line="280" w:lineRule="exact"/>
              <w:ind w:left="0" w:firstLine="0" w:leftChars="0"/>
              <w:rPr>
                <w:rFonts w:ascii="Times New Roman"/>
                <w:b/>
                <w:sz w:val="21"/>
                <w:szCs w:val="21"/>
              </w:rPr>
            </w:pPr>
            <w:r>
              <w:rPr>
                <w:rFonts w:ascii="Times New Roman"/>
                <w:b/>
                <w:sz w:val="21"/>
                <w:szCs w:val="21"/>
              </w:rPr>
              <w:t>相对厂址距离/m</w:t>
            </w:r>
          </w:p>
        </w:tc>
      </w:tr>
      <w:tr>
        <w:tblPrEx>
          <w:tblW w:w="9355" w:type="dxa"/>
          <w:jc w:val="center"/>
          <w:tblLayout w:type="fixed"/>
          <w:tblCellMar>
            <w:top w:w="0" w:type="dxa"/>
            <w:left w:w="28" w:type="dxa"/>
            <w:bottom w:w="0" w:type="dxa"/>
            <w:right w:w="28" w:type="dxa"/>
          </w:tblCellMar>
        </w:tblPrEx>
        <w:trPr>
          <w:trHeight w:val="28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Merge/>
            <w:vAlign w:val="center"/>
          </w:tcPr>
          <w:p>
            <w:pPr>
              <w:pStyle w:val="a18"/>
              <w:spacing w:line="280" w:lineRule="exact"/>
              <w:ind w:left="0" w:firstLine="0" w:leftChars="0"/>
              <w:rPr>
                <w:rFonts w:ascii="Times New Roman"/>
                <w:sz w:val="21"/>
                <w:szCs w:val="21"/>
              </w:rPr>
            </w:pPr>
          </w:p>
        </w:tc>
        <w:tc>
          <w:tcPr>
            <w:tcW w:w="1927" w:type="dxa"/>
            <w:vMerge/>
            <w:vAlign w:val="center"/>
          </w:tcPr>
          <w:p>
            <w:pPr>
              <w:pStyle w:val="a18"/>
              <w:spacing w:line="280" w:lineRule="exact"/>
              <w:ind w:left="0" w:firstLine="0" w:leftChars="0"/>
              <w:rPr>
                <w:rFonts w:ascii="Times New Roman"/>
                <w:sz w:val="21"/>
                <w:szCs w:val="21"/>
              </w:rPr>
            </w:pPr>
          </w:p>
        </w:tc>
        <w:tc>
          <w:tcPr>
            <w:tcW w:w="2139" w:type="dxa"/>
            <w:vMerge/>
            <w:vAlign w:val="center"/>
          </w:tcPr>
          <w:p>
            <w:pPr>
              <w:pStyle w:val="a18"/>
              <w:spacing w:line="280" w:lineRule="exact"/>
              <w:ind w:left="0" w:firstLine="0" w:leftChars="0"/>
              <w:rPr>
                <w:rFonts w:ascii="Times New Roman"/>
                <w:sz w:val="21"/>
                <w:szCs w:val="21"/>
              </w:rPr>
            </w:pPr>
          </w:p>
        </w:tc>
        <w:tc>
          <w:tcPr>
            <w:tcW w:w="1270" w:type="dxa"/>
            <w:vMerge/>
            <w:vAlign w:val="center"/>
          </w:tcPr>
          <w:p>
            <w:pPr>
              <w:pStyle w:val="a18"/>
              <w:spacing w:line="280" w:lineRule="exact"/>
              <w:ind w:left="0" w:firstLine="0" w:leftChars="0"/>
              <w:rPr>
                <w:rFonts w:ascii="Times New Roman"/>
                <w:sz w:val="21"/>
                <w:szCs w:val="21"/>
              </w:rPr>
            </w:pPr>
          </w:p>
        </w:tc>
        <w:tc>
          <w:tcPr>
            <w:tcW w:w="1678" w:type="dxa"/>
            <w:vMerge/>
            <w:vAlign w:val="center"/>
          </w:tcPr>
          <w:p>
            <w:pPr>
              <w:pStyle w:val="a18"/>
              <w:spacing w:line="280" w:lineRule="exact"/>
              <w:ind w:left="0" w:firstLine="0" w:leftChars="0"/>
              <w:rPr>
                <w:rFonts w:ascii="Times New Roman"/>
                <w:sz w:val="21"/>
                <w:szCs w:val="21"/>
              </w:rPr>
            </w:pP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restart"/>
            <w:vAlign w:val="center"/>
          </w:tcPr>
          <w:p>
            <w:pPr>
              <w:pStyle w:val="a18"/>
              <w:spacing w:line="280" w:lineRule="exact"/>
              <w:ind w:left="0" w:firstLine="0" w:leftChars="0"/>
              <w:rPr>
                <w:rFonts w:ascii="Times New Roman"/>
                <w:sz w:val="21"/>
                <w:szCs w:val="21"/>
              </w:rPr>
            </w:pPr>
            <w:r>
              <w:rPr>
                <w:rFonts w:ascii="Times New Roman"/>
                <w:sz w:val="21"/>
                <w:szCs w:val="21"/>
              </w:rPr>
              <w:t>大气</w:t>
            </w:r>
          </w:p>
          <w:p>
            <w:pPr>
              <w:pStyle w:val="a18"/>
              <w:spacing w:line="280" w:lineRule="exact"/>
              <w:ind w:left="0" w:firstLine="0" w:leftChars="0"/>
              <w:rPr>
                <w:rFonts w:ascii="Times New Roman"/>
                <w:sz w:val="21"/>
                <w:szCs w:val="21"/>
              </w:rPr>
            </w:pPr>
            <w:r>
              <w:rPr>
                <w:rFonts w:ascii="Times New Roman"/>
                <w:sz w:val="21"/>
                <w:szCs w:val="21"/>
              </w:rPr>
              <w:t>环境</w:t>
            </w:r>
          </w:p>
        </w:tc>
        <w:tc>
          <w:tcPr>
            <w:tcW w:w="149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宝藏</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60户，240人</w:t>
            </w:r>
          </w:p>
        </w:tc>
        <w:tc>
          <w:tcPr>
            <w:tcW w:w="2139" w:type="dxa"/>
            <w:vMerge w:val="restart"/>
            <w:vAlign w:val="center"/>
          </w:tcPr>
          <w:p>
            <w:pPr>
              <w:pStyle w:val="a18"/>
              <w:spacing w:line="280" w:lineRule="exact"/>
              <w:ind w:left="0" w:firstLine="0" w:leftChars="0"/>
              <w:rPr>
                <w:rFonts w:ascii="Times New Roman"/>
                <w:sz w:val="21"/>
                <w:szCs w:val="21"/>
              </w:rPr>
            </w:pPr>
            <w:r>
              <w:rPr>
                <w:rFonts w:ascii="Times New Roman"/>
                <w:sz w:val="21"/>
                <w:szCs w:val="21"/>
              </w:rPr>
              <w:t>GB3095－2012中的二类区</w:t>
            </w: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400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宋六村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100户，400人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1800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宝藏</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40户，160人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65</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大昌政</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30户，120人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1680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新宅园</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30户，120人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1500</w:t>
            </w:r>
          </w:p>
        </w:tc>
      </w:tr>
    </w:tbl>
    <w:p>
      <w:pPr>
        <w:sectPr>
          <w:headerReference w:type="even" r:id="rId375"/>
          <w:headerReference w:type="default" r:id="rId376"/>
          <w:footerReference w:type="even" r:id="rId377"/>
          <w:footerReference w:type="default" r:id="rId378"/>
          <w:headerReference w:type="first" r:id="rId379"/>
          <w:footerReference w:type="first" r:id="rId380"/>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30"/>
          <w:cols w:num="1" w:space="720"/>
          <w:titlePg w:val="0"/>
          <w:docGrid w:type="linesAndChars" w:linePitch="312" w:charSpace="0"/>
        </w:sectPr>
      </w:pPr>
    </w:p>
    <w:p>
      <w:pPr>
        <w:sectPr>
          <w:headerReference w:type="even" r:id="rId381"/>
          <w:headerReference w:type="default" r:id="rId382"/>
          <w:footerReference w:type="even" r:id="rId383"/>
          <w:footerReference w:type="default" r:id="rId384"/>
          <w:headerReference w:type="first" r:id="rId385"/>
          <w:footerReference w:type="first" r:id="rId386"/>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355" w:type="dxa"/>
        <w:jc w:val="center"/>
        <w:tblBorders>
          <w:top w:val="single" w:sz="2" w:space="0" w:color="auto"/>
          <w:left w:val="none" w:sz="0" w:space="0" w:color="auto"/>
          <w:bottom w:val="single" w:sz="2"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844"/>
        <w:gridCol w:w="1497"/>
        <w:gridCol w:w="1927"/>
        <w:gridCol w:w="2139"/>
        <w:gridCol w:w="1270"/>
        <w:gridCol w:w="1678"/>
      </w:tblGrid>
      <w:tr>
        <w:tblPrEx>
          <w:tblW w:w="9355" w:type="dxa"/>
          <w:jc w:val="center"/>
          <w:tblBorders>
            <w:top w:val="single" w:sz="2" w:space="0" w:color="auto"/>
            <w:left w:val="none" w:sz="0" w:space="0" w:color="auto"/>
            <w:bottom w:val="single" w:sz="2"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270"/>
          <w:jc w:val="center"/>
        </w:trPr>
        <w:tc>
          <w:tcPr>
            <w:tcW w:w="844" w:type="dxa"/>
            <w:vMerge w:val="restart"/>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昌征仔</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60户，240人</w:t>
            </w:r>
          </w:p>
        </w:tc>
        <w:tc>
          <w:tcPr>
            <w:tcW w:w="2139" w:type="dxa"/>
            <w:vMerge w:val="restart"/>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1860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宝藏</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14户，60人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进康</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100户，400人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600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光辉村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15户，60人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2170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儀凤坡</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12户，50人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2430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良东</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140户，560人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1680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宝藏</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5户，20人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65</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清泉</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100户，400人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760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熔炉村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400户，1600人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1550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田墩</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30户，120人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490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出头</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55户，220人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孝友村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110户，440人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2180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香山</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35户，140人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940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新村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4户，16人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2350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老家昌</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15户，60人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830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山桃</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60户，240人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1170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下路</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40户，160人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920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崀尾</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20户，80人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1240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康美</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20户，80人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2030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三加东</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20户，80人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2760</w:t>
            </w:r>
          </w:p>
        </w:tc>
      </w:tr>
      <w:tr>
        <w:tblPrEx>
          <w:tblW w:w="9355" w:type="dxa"/>
          <w:jc w:val="center"/>
          <w:tblLayout w:type="fixed"/>
          <w:tblCellMar>
            <w:top w:w="0" w:type="dxa"/>
            <w:left w:w="28" w:type="dxa"/>
            <w:bottom w:w="0" w:type="dxa"/>
            <w:right w:w="28" w:type="dxa"/>
          </w:tblCellMar>
        </w:tblPrEx>
        <w:trPr>
          <w:trHeight w:val="411"/>
          <w:jc w:val="center"/>
        </w:trPr>
        <w:tc>
          <w:tcPr>
            <w:tcW w:w="844" w:type="dxa"/>
            <w:vMerge w:val="restart"/>
            <w:vAlign w:val="center"/>
          </w:tcPr>
          <w:p>
            <w:pPr>
              <w:pStyle w:val="a18"/>
              <w:spacing w:line="280" w:lineRule="exact"/>
              <w:ind w:left="0" w:firstLine="0" w:leftChars="0"/>
              <w:rPr>
                <w:rFonts w:ascii="Times New Roman"/>
                <w:sz w:val="21"/>
                <w:szCs w:val="21"/>
              </w:rPr>
            </w:pPr>
            <w:r>
              <w:rPr>
                <w:rFonts w:ascii="Times New Roman"/>
                <w:sz w:val="21"/>
                <w:szCs w:val="21"/>
              </w:rPr>
              <w:t>地表水环境</w:t>
            </w:r>
          </w:p>
        </w:tc>
        <w:tc>
          <w:tcPr>
            <w:tcW w:w="149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文教河</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工农业用水</w:t>
            </w:r>
          </w:p>
        </w:tc>
        <w:tc>
          <w:tcPr>
            <w:tcW w:w="2139" w:type="dxa"/>
            <w:vMerge w:val="restart"/>
            <w:vAlign w:val="center"/>
          </w:tcPr>
          <w:p>
            <w:pPr>
              <w:pStyle w:val="a18"/>
              <w:spacing w:line="280" w:lineRule="exact"/>
              <w:ind w:left="0" w:firstLine="0" w:leftChars="0"/>
              <w:rPr>
                <w:rFonts w:ascii="Times New Roman"/>
                <w:sz w:val="21"/>
                <w:szCs w:val="21"/>
              </w:rPr>
            </w:pPr>
            <w:r>
              <w:rPr>
                <w:rFonts w:ascii="Times New Roman"/>
                <w:sz w:val="21"/>
                <w:szCs w:val="21"/>
              </w:rPr>
              <w:t>GB3838-2002中的Ⅲ类水域</w:t>
            </w: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970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北水溪</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工农业用水</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2140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restart"/>
            <w:vAlign w:val="center"/>
          </w:tcPr>
          <w:p>
            <w:pPr>
              <w:pStyle w:val="a18"/>
              <w:spacing w:line="280" w:lineRule="exact"/>
              <w:ind w:left="0" w:firstLine="0" w:leftChars="0"/>
              <w:rPr>
                <w:rFonts w:ascii="Times New Roman"/>
                <w:sz w:val="21"/>
                <w:szCs w:val="21"/>
              </w:rPr>
            </w:pPr>
            <w:r>
              <w:rPr>
                <w:rFonts w:ascii="Times New Roman"/>
                <w:sz w:val="21"/>
                <w:szCs w:val="21"/>
              </w:rPr>
              <w:t>声环境</w:t>
            </w:r>
          </w:p>
        </w:tc>
        <w:tc>
          <w:tcPr>
            <w:tcW w:w="149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宝藏</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4户，16人</w:t>
            </w:r>
          </w:p>
        </w:tc>
        <w:tc>
          <w:tcPr>
            <w:tcW w:w="2139" w:type="dxa"/>
            <w:vMerge w:val="restart"/>
            <w:vAlign w:val="center"/>
          </w:tcPr>
          <w:p>
            <w:pPr>
              <w:pStyle w:val="a18"/>
              <w:spacing w:line="280" w:lineRule="exact"/>
              <w:ind w:left="0" w:firstLine="0" w:leftChars="0"/>
              <w:rPr>
                <w:rFonts w:ascii="Times New Roman"/>
                <w:sz w:val="21"/>
                <w:szCs w:val="21"/>
              </w:rPr>
            </w:pPr>
            <w:r>
              <w:rPr>
                <w:rFonts w:ascii="Times New Roman"/>
                <w:sz w:val="21"/>
                <w:szCs w:val="21"/>
              </w:rPr>
              <w:t>GB3096-2008中的</w:t>
            </w:r>
            <w:r>
              <w:rPr>
                <w:rFonts w:ascii="Times New Roman" w:hint="eastAsia"/>
                <w:sz w:val="21"/>
                <w:szCs w:val="21"/>
              </w:rPr>
              <w:t>2类、4a</w:t>
            </w:r>
            <w:r>
              <w:rPr>
                <w:rFonts w:ascii="Times New Roman"/>
                <w:sz w:val="21"/>
                <w:szCs w:val="21"/>
              </w:rPr>
              <w:t>类功能区</w:t>
            </w: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65</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宝藏</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3户，12人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65</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宝藏</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1户，4人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50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宝藏</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14户，56人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restart"/>
            <w:vAlign w:val="center"/>
          </w:tcPr>
          <w:p>
            <w:pPr>
              <w:pStyle w:val="a18"/>
              <w:spacing w:line="280" w:lineRule="exact"/>
              <w:ind w:left="0" w:firstLine="0" w:leftChars="0"/>
              <w:rPr>
                <w:rFonts w:ascii="Times New Roman"/>
                <w:sz w:val="21"/>
                <w:szCs w:val="21"/>
              </w:rPr>
            </w:pPr>
            <w:r>
              <w:rPr>
                <w:rFonts w:ascii="Times New Roman"/>
                <w:sz w:val="21"/>
                <w:szCs w:val="21"/>
              </w:rPr>
              <w:t>风险评价保护目标</w:t>
            </w:r>
            <w:r>
              <w:rPr>
                <w:rFonts w:ascii="Times New Roman" w:hint="eastAsia"/>
                <w:sz w:val="21"/>
                <w:szCs w:val="21"/>
              </w:rPr>
              <w:t>（5km范围）</w:t>
            </w:r>
          </w:p>
        </w:tc>
        <w:tc>
          <w:tcPr>
            <w:tcW w:w="149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宝藏</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60户，240人</w:t>
            </w:r>
          </w:p>
        </w:tc>
        <w:tc>
          <w:tcPr>
            <w:tcW w:w="2139" w:type="dxa"/>
            <w:vMerge w:val="restart"/>
            <w:vAlign w:val="center"/>
          </w:tcPr>
          <w:p>
            <w:pPr>
              <w:pStyle w:val="a18"/>
              <w:spacing w:line="280" w:lineRule="exact"/>
              <w:ind w:left="0" w:firstLine="0" w:leftChars="0"/>
              <w:rPr>
                <w:rFonts w:ascii="Times New Roman"/>
                <w:sz w:val="21"/>
                <w:szCs w:val="21"/>
              </w:rPr>
            </w:pPr>
            <w:r>
              <w:rPr>
                <w:rFonts w:ascii="Times New Roman"/>
                <w:sz w:val="21"/>
                <w:szCs w:val="21"/>
              </w:rPr>
              <w:t>GB3095－2012中的二类区</w:t>
            </w: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400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宋六村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200户，800人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1800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宝藏</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40户，160人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65</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南台村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50户，200人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3150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昌远</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65户，260人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4300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大昌政</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30户，120人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1680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新宅园</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30户，120人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1500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昌征仔</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60户，240人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1860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石龙</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65户，260人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2650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吉水村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90户，360人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2930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宝藏</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14户，60人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进康</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100户，400人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600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光辉村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160户，640人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2170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宝陵村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80户，320人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4150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儀凤坡</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60户，240人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2430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茂山</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40户，160人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3490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栋家</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60户，240人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3920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良东</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140户，560人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1680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红峰村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170户，680人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2750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乌士</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40户，160人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3880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宝栋村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100户，400人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3800</w:t>
            </w:r>
          </w:p>
        </w:tc>
      </w:tr>
    </w:tbl>
    <w:p>
      <w:pPr>
        <w:sectPr>
          <w:headerReference w:type="even" r:id="rId387"/>
          <w:headerReference w:type="default" r:id="rId388"/>
          <w:footerReference w:type="even" r:id="rId389"/>
          <w:footerReference w:type="default" r:id="rId390"/>
          <w:headerReference w:type="first" r:id="rId391"/>
          <w:footerReference w:type="first" r:id="rId392"/>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31"/>
          <w:cols w:num="1" w:space="720"/>
          <w:titlePg w:val="0"/>
          <w:docGrid w:type="linesAndChars" w:linePitch="312" w:charSpace="0"/>
        </w:sectPr>
      </w:pPr>
    </w:p>
    <w:p>
      <w:pPr>
        <w:sectPr>
          <w:headerReference w:type="even" r:id="rId393"/>
          <w:headerReference w:type="default" r:id="rId394"/>
          <w:footerReference w:type="even" r:id="rId395"/>
          <w:footerReference w:type="default" r:id="rId396"/>
          <w:headerReference w:type="first" r:id="rId397"/>
          <w:footerReference w:type="first" r:id="rId398"/>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355" w:type="dxa"/>
        <w:jc w:val="center"/>
        <w:tblBorders>
          <w:top w:val="single" w:sz="2" w:space="0" w:color="auto"/>
          <w:left w:val="none" w:sz="0" w:space="0" w:color="auto"/>
          <w:bottom w:val="single" w:sz="2"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844"/>
        <w:gridCol w:w="1497"/>
        <w:gridCol w:w="1927"/>
        <w:gridCol w:w="2139"/>
        <w:gridCol w:w="1270"/>
        <w:gridCol w:w="1678"/>
      </w:tblGrid>
      <w:tr>
        <w:tblPrEx>
          <w:tblW w:w="9355" w:type="dxa"/>
          <w:jc w:val="center"/>
          <w:tblBorders>
            <w:top w:val="single" w:sz="2" w:space="0" w:color="auto"/>
            <w:left w:val="none" w:sz="0" w:space="0" w:color="auto"/>
            <w:bottom w:val="single" w:sz="2"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270"/>
          <w:jc w:val="center"/>
        </w:trPr>
        <w:tc>
          <w:tcPr>
            <w:tcW w:w="844" w:type="dxa"/>
            <w:vMerge w:val="restart"/>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东排山</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50户，200人</w:t>
            </w:r>
          </w:p>
        </w:tc>
        <w:tc>
          <w:tcPr>
            <w:tcW w:w="2139" w:type="dxa"/>
            <w:vMerge w:val="restart"/>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4360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同源村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160户，640人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3660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坡头</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90户，360人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4640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宝藏</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5户，20人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65</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清泉</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100户，400人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760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熔炉村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400户，1600人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1550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坡柳村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50户，200人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4850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田墩</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30户，120人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490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出头</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55户，220人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孝友村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110户，440人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2180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中村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280户，1120人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2820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宝典村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220户，880人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2960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大架林</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90户，360人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4350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加美村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250户，1000人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3720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文南村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230户，920人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3600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水吼村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110户，440人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4470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敦泰</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50户，200人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SW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4040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香山</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35户，140人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940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新村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130户，520人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2350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老家昌</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15户，60人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830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山桃</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60户，240人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1170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下路</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40户，160人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920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崀尾</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20户，80人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1240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康美</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20户，80人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2030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三加东</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35户，140人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2760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三加西</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75户，300人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3370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文教美</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80户，320人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3000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后园</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25户，100人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3560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培龙村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160户，640人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3700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老家山</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30户，150人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4550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西坡</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30户，120人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4860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宝兴</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25户，100人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4970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sz w:val="21"/>
                <w:szCs w:val="21"/>
              </w:rPr>
              <w:t>凤头村</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150户，600人</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NW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3640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文教河</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工农业用水</w:t>
            </w:r>
          </w:p>
        </w:tc>
        <w:tc>
          <w:tcPr>
            <w:tcW w:w="2139" w:type="dxa"/>
            <w:vMerge w:val="restart"/>
            <w:vAlign w:val="center"/>
          </w:tcPr>
          <w:p>
            <w:pPr>
              <w:pStyle w:val="a18"/>
              <w:spacing w:line="280" w:lineRule="exact"/>
              <w:ind w:left="0" w:firstLine="0" w:leftChars="0"/>
              <w:rPr>
                <w:rFonts w:ascii="Times New Roman"/>
                <w:sz w:val="21"/>
                <w:szCs w:val="21"/>
              </w:rPr>
            </w:pPr>
            <w:r>
              <w:rPr>
                <w:rFonts w:ascii="Times New Roman"/>
                <w:sz w:val="21"/>
                <w:szCs w:val="21"/>
              </w:rPr>
              <w:t>GB3838-2002中的Ⅲ类水域</w:t>
            </w: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W</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970</w:t>
            </w:r>
          </w:p>
        </w:tc>
      </w:tr>
      <w:tr>
        <w:tblPrEx>
          <w:tblW w:w="9355" w:type="dxa"/>
          <w:jc w:val="center"/>
          <w:tblLayout w:type="fixed"/>
          <w:tblCellMar>
            <w:top w:w="0" w:type="dxa"/>
            <w:left w:w="28" w:type="dxa"/>
            <w:bottom w:w="0" w:type="dxa"/>
            <w:right w:w="28" w:type="dxa"/>
          </w:tblCellMar>
        </w:tblPrEx>
        <w:trPr>
          <w:trHeight w:val="270"/>
          <w:jc w:val="center"/>
        </w:trPr>
        <w:tc>
          <w:tcPr>
            <w:tcW w:w="844" w:type="dxa"/>
            <w:vMerge/>
            <w:vAlign w:val="center"/>
          </w:tcPr>
          <w:p>
            <w:pPr>
              <w:pStyle w:val="a18"/>
              <w:spacing w:line="280" w:lineRule="exact"/>
              <w:ind w:left="0" w:firstLine="0" w:leftChars="0"/>
              <w:rPr>
                <w:rFonts w:ascii="Times New Roman"/>
                <w:sz w:val="21"/>
                <w:szCs w:val="21"/>
              </w:rPr>
            </w:pPr>
          </w:p>
        </w:tc>
        <w:tc>
          <w:tcPr>
            <w:tcW w:w="149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北水溪</w:t>
            </w:r>
          </w:p>
        </w:tc>
        <w:tc>
          <w:tcPr>
            <w:tcW w:w="1927"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工农业用水</w:t>
            </w:r>
          </w:p>
        </w:tc>
        <w:tc>
          <w:tcPr>
            <w:tcW w:w="2139" w:type="dxa"/>
            <w:vMerge/>
            <w:vAlign w:val="center"/>
          </w:tcPr>
          <w:p>
            <w:pPr>
              <w:pStyle w:val="a18"/>
              <w:spacing w:line="280" w:lineRule="exact"/>
              <w:ind w:left="0" w:firstLine="0" w:leftChars="0"/>
              <w:rPr>
                <w:rFonts w:ascii="Times New Roman"/>
                <w:sz w:val="21"/>
                <w:szCs w:val="21"/>
              </w:rPr>
            </w:pPr>
          </w:p>
        </w:tc>
        <w:tc>
          <w:tcPr>
            <w:tcW w:w="1270"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E</w:t>
            </w:r>
          </w:p>
        </w:tc>
        <w:tc>
          <w:tcPr>
            <w:tcW w:w="1678" w:type="dxa"/>
            <w:vAlign w:val="center"/>
          </w:tcPr>
          <w:p>
            <w:pPr>
              <w:pStyle w:val="a18"/>
              <w:spacing w:line="280" w:lineRule="exact"/>
              <w:ind w:left="0" w:firstLine="0" w:leftChars="0"/>
              <w:rPr>
                <w:rFonts w:ascii="Times New Roman"/>
                <w:sz w:val="21"/>
                <w:szCs w:val="21"/>
              </w:rPr>
            </w:pPr>
            <w:r>
              <w:rPr>
                <w:rFonts w:ascii="Times New Roman" w:hint="eastAsia"/>
                <w:sz w:val="21"/>
                <w:szCs w:val="21"/>
              </w:rPr>
              <w:t>2140</w:t>
            </w:r>
          </w:p>
        </w:tc>
      </w:tr>
    </w:tbl>
    <w:p>
      <w:pPr>
        <w:sectPr>
          <w:headerReference w:type="even" r:id="rId399"/>
          <w:headerReference w:type="default" r:id="rId400"/>
          <w:footerReference w:type="even" r:id="rId401"/>
          <w:footerReference w:type="default" r:id="rId402"/>
          <w:headerReference w:type="first" r:id="rId403"/>
          <w:footerReference w:type="first" r:id="rId404"/>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32"/>
          <w:cols w:num="1" w:space="720"/>
          <w:titlePg w:val="0"/>
          <w:docGrid w:type="linesAndChars" w:linePitch="312" w:charSpace="0"/>
        </w:sectPr>
      </w:pPr>
    </w:p>
    <w:p>
      <w:pPr>
        <w:sectPr>
          <w:headerReference w:type="even" r:id="rId405"/>
          <w:headerReference w:type="default" r:id="rId406"/>
          <w:footerReference w:type="even" r:id="rId407"/>
          <w:footerReference w:type="default" r:id="rId408"/>
          <w:headerReference w:type="first" r:id="rId409"/>
          <w:footerReference w:type="first" r:id="rId410"/>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299" w:type="dxa"/>
        <w:tblInd w:w="0" w:type="dxa"/>
        <w:tblBorders>
          <w:top w:val="none" w:sz="0" w:space="0" w:color="auto"/>
          <w:left w:val="none" w:sz="0" w:space="0" w:color="auto"/>
          <w:bottom w:val="none" w:sz="0" w:space="0" w:color="auto"/>
          <w:right w:val="none" w:sz="0" w:space="0" w:color="auto"/>
          <w:insideH w:val="single" w:sz="2" w:space="0" w:color="auto"/>
          <w:insideV w:val="single" w:sz="2" w:space="0" w:color="auto"/>
        </w:tblBorders>
        <w:tblLayout w:type="fixed"/>
        <w:tblCellMar>
          <w:top w:w="0" w:type="dxa"/>
          <w:left w:w="108" w:type="dxa"/>
          <w:bottom w:w="0" w:type="dxa"/>
          <w:right w:w="108" w:type="dxa"/>
        </w:tblCellMar>
      </w:tblPr>
      <w:tblGrid>
        <w:gridCol w:w="930"/>
        <w:gridCol w:w="8369"/>
      </w:tblGrid>
      <w:tr>
        <w:tblPrEx>
          <w:tblW w:w="9299" w:type="dxa"/>
          <w:tblInd w:w="0" w:type="dxa"/>
          <w:tblBorders>
            <w:top w:val="none" w:sz="0" w:space="0" w:color="auto"/>
            <w:left w:val="none" w:sz="0" w:space="0" w:color="auto"/>
            <w:bottom w:val="none" w:sz="0" w:space="0" w:color="auto"/>
            <w:right w:val="none" w:sz="0" w:space="0" w:color="auto"/>
            <w:insideH w:val="single" w:sz="2" w:space="0" w:color="auto"/>
            <w:insideV w:val="single" w:sz="2" w:space="0" w:color="auto"/>
          </w:tblBorders>
          <w:tblLayout w:type="fixed"/>
          <w:tblCellMar>
            <w:top w:w="0" w:type="dxa"/>
            <w:left w:w="108" w:type="dxa"/>
            <w:bottom w:w="0" w:type="dxa"/>
            <w:right w:w="108" w:type="dxa"/>
          </w:tblCellMar>
        </w:tblPrEx>
        <w:trPr>
          <w:cantSplit/>
          <w:trHeight w:val="13798"/>
        </w:trPr>
        <w:tc>
          <w:tcPr>
            <w:tcW w:w="930" w:type="dxa"/>
            <w:tcBorders>
              <w:top w:val="nil"/>
            </w:tcBorders>
            <w:textDirection w:val="tbRlV"/>
            <w:vAlign w:val="center"/>
          </w:tcPr>
          <w:p>
            <w:pPr>
              <w:ind w:firstLine="0" w:firstLineChars="0"/>
              <w:jc w:val="center"/>
              <w:rPr>
                <w:b/>
                <w:bCs/>
                <w:sz w:val="24"/>
                <w:szCs w:val="24"/>
              </w:rPr>
            </w:pPr>
            <w:r>
              <w:rPr>
                <w:b/>
                <w:bCs/>
                <w:sz w:val="28"/>
                <w:szCs w:val="24"/>
              </w:rPr>
              <w:pict>
                <v:shape id="Text Box 55" o:spid="_x0000_s1030" type="#_x0000_t202" style="width:467.95pt;height:36.85pt;margin-top:-35.9pt;margin-left:-43.1pt;mso-height-relative:page;mso-width-relative:page;position:absolute;z-index:251666432" coordsize="21600,21600" stroked="f">
                  <v:stroke joinstyle="miter"/>
                  <v:textbox>
                    <w:txbxContent>
                      <w:p>
                        <w:pPr>
                          <w:spacing w:line="240" w:lineRule="auto"/>
                          <w:ind w:firstLine="0" w:firstLineChars="0"/>
                          <w:rPr>
                            <w:rFonts w:ascii="黑体" w:eastAsia="黑体" w:hAnsi="黑体"/>
                            <w:sz w:val="32"/>
                            <w:szCs w:val="32"/>
                          </w:rPr>
                        </w:pPr>
                        <w:r>
                          <w:rPr>
                            <w:rFonts w:ascii="黑体" w:eastAsia="黑体" w:hAnsi="黑体"/>
                            <w:sz w:val="32"/>
                            <w:szCs w:val="32"/>
                          </w:rPr>
                          <w:t>评价</w:t>
                        </w:r>
                        <w:r>
                          <w:rPr>
                            <w:rFonts w:ascii="黑体" w:eastAsia="黑体" w:hAnsi="黑体" w:hint="eastAsia"/>
                            <w:sz w:val="32"/>
                            <w:szCs w:val="32"/>
                          </w:rPr>
                          <w:t>适用</w:t>
                        </w:r>
                        <w:r>
                          <w:rPr>
                            <w:rFonts w:ascii="黑体" w:eastAsia="黑体" w:hAnsi="黑体"/>
                            <w:sz w:val="32"/>
                            <w:szCs w:val="32"/>
                          </w:rPr>
                          <w:t>标准</w:t>
                        </w:r>
                        <w:r>
                          <w:rPr>
                            <w:rFonts w:ascii="黑体" w:eastAsia="黑体" w:hAnsi="黑体" w:hint="eastAsia"/>
                            <w:sz w:val="32"/>
                            <w:szCs w:val="32"/>
                          </w:rPr>
                          <w:t xml:space="preserve">                                      （表四）</w:t>
                        </w:r>
                      </w:p>
                    </w:txbxContent>
                  </v:textbox>
                </v:shape>
              </w:pict>
            </w:r>
            <w:r>
              <w:rPr>
                <w:b/>
                <w:bCs/>
                <w:sz w:val="28"/>
                <w:szCs w:val="24"/>
              </w:rPr>
              <w:pict>
                <v:line id="Line 1372" o:spid="_x0000_s1031" style="mso-height-relative:page;mso-width-relative:page;position:absolute;z-index:251664384" from="-70.25pt,157.4pt" to="-70.2pt,157.4pt" coordsize="21600,21600" o:allowincell="f"/>
              </w:pict>
            </w:r>
            <w:r>
              <w:rPr>
                <w:b/>
                <w:bCs/>
                <w:sz w:val="28"/>
                <w:szCs w:val="24"/>
              </w:rPr>
              <w:pict>
                <v:line id="Line 1371" o:spid="_x0000_s1032" style="mso-height-relative:page;mso-width-relative:page;position:absolute;z-index:251663360" from="-54.65pt,136.4pt" to="-54.6pt,136.4pt" coordsize="21600,21600" o:allowincell="f"/>
              </w:pict>
            </w:r>
            <w:r>
              <w:rPr>
                <w:b/>
                <w:bCs/>
                <w:sz w:val="28"/>
                <w:szCs w:val="24"/>
              </w:rPr>
              <w:t>环境质量标准</w:t>
            </w:r>
          </w:p>
        </w:tc>
        <w:tc>
          <w:tcPr>
            <w:tcW w:w="8369" w:type="dxa"/>
            <w:tcBorders>
              <w:top w:val="nil"/>
            </w:tcBorders>
          </w:tcPr>
          <w:p>
            <w:pPr>
              <w:pStyle w:val="Heading1"/>
              <w:ind w:firstLine="482"/>
            </w:pPr>
            <w:r>
              <w:rPr>
                <w:b/>
                <w:bCs/>
                <w:sz w:val="24"/>
                <w:szCs w:val="24"/>
              </w:rPr>
              <w:pict>
                <v:shape id="文本框 374" o:spid="_x0000_s1033" type="#_x0000_t202" style="width:462pt;height:31.2pt;margin-top:-30.85pt;margin-left:-43.4pt;mso-height-relative:page;mso-position-horizontal-relative:page;mso-position-vertical-relative:page;mso-width-relative:page;position:absolute;z-index:251665408" coordsize="21600,21600" o:allowincell="f" filled="f" stroked="f">
                  <v:stroke joinstyle="miter"/>
                  <v:textbox inset="0,0,0,0">
                    <w:txbxContent>
                      <w:p>
                        <w:pPr>
                          <w:pStyle w:val="BodyText"/>
                          <w:spacing w:after="156" w:afterLines="50" w:line="440" w:lineRule="exact"/>
                          <w:ind w:firstLine="0" w:firstLineChars="0"/>
                          <w:rPr>
                            <w:rFonts w:eastAsia="黑体"/>
                          </w:rPr>
                        </w:pPr>
                        <w:r>
                          <w:rPr>
                            <w:rFonts w:eastAsia="黑体" w:hint="eastAsia"/>
                            <w:sz w:val="32"/>
                          </w:rPr>
                          <w:t>评价适用标准（表四）</w:t>
                        </w:r>
                      </w:p>
                      <w:p>
                        <w:pPr>
                          <w:ind w:left="481" w:firstLine="420" w:leftChars="229"/>
                        </w:pPr>
                      </w:p>
                    </w:txbxContent>
                  </v:textbox>
                </v:shape>
              </w:pict>
            </w:r>
            <w:r>
              <w:rPr>
                <w:rFonts w:hint="eastAsia"/>
              </w:rPr>
              <w:t>一</w:t>
            </w:r>
            <w:r>
              <w:rPr>
                <w:kern w:val="2"/>
                <w:szCs w:val="28"/>
              </w:rPr>
              <w:t>、环境空气</w:t>
            </w:r>
          </w:p>
          <w:p>
            <w:pPr>
              <w:pStyle w:val="a1"/>
              <w:ind w:firstLine="480"/>
            </w:pPr>
            <w:r>
              <w:t>项目所在地</w:t>
            </w:r>
            <w:r>
              <w:rPr>
                <w:rFonts w:hint="eastAsia"/>
              </w:rPr>
              <w:t>常规污染物</w:t>
            </w:r>
            <w:r>
              <w:t>执行《环境空气质量标准》(GB3095-2012)中的二级标准，见表4-1</w:t>
            </w:r>
            <w:r>
              <w:rPr>
                <w:rFonts w:hint="eastAsia"/>
              </w:rPr>
              <w:t>；非甲烷总烃参照执行《大气污染物</w:t>
            </w:r>
            <w:r>
              <w:t>综合排放标准详解</w:t>
            </w:r>
            <w:r>
              <w:rPr>
                <w:rFonts w:hint="eastAsia"/>
              </w:rPr>
              <w:t>》中标准限值，表4-2。</w:t>
            </w:r>
          </w:p>
          <w:p>
            <w:pPr>
              <w:pStyle w:val="a1"/>
              <w:ind w:firstLine="0" w:firstLineChars="0"/>
              <w:jc w:val="center"/>
              <w:rPr>
                <w:rFonts w:eastAsia="黑体"/>
                <w:sz w:val="21"/>
                <w:szCs w:val="21"/>
              </w:rPr>
            </w:pPr>
            <w:r>
              <w:rPr>
                <w:rFonts w:eastAsia="黑体" w:hint="eastAsia"/>
                <w:sz w:val="21"/>
                <w:szCs w:val="21"/>
              </w:rPr>
              <w:t>表4-1  环境空气质量标准  单位：</w:t>
            </w:r>
            <w:r>
              <w:rPr>
                <w:rFonts w:eastAsia="黑体"/>
                <w:sz w:val="21"/>
                <w:szCs w:val="21"/>
              </w:rPr>
              <w:t>mg/m</w:t>
            </w:r>
            <w:r>
              <w:rPr>
                <w:rFonts w:eastAsia="黑体"/>
                <w:sz w:val="21"/>
                <w:szCs w:val="21"/>
                <w:vertAlign w:val="superscript"/>
              </w:rPr>
              <w:t>3</w:t>
            </w:r>
          </w:p>
          <w:tbl>
            <w:tblPr>
              <w:tblStyle w:val="TableNormal"/>
              <w:tblW w:w="8153" w:type="dxa"/>
              <w:jc w:val="center"/>
              <w:tblBorders>
                <w:top w:val="single" w:sz="4" w:space="0" w:color="auto"/>
                <w:left w:val="none" w:sz="0" w:space="0" w:color="auto"/>
                <w:bottom w:val="single" w:sz="4"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
            <w:tblGrid>
              <w:gridCol w:w="1742"/>
              <w:gridCol w:w="1618"/>
              <w:gridCol w:w="1632"/>
              <w:gridCol w:w="1603"/>
              <w:gridCol w:w="1558"/>
            </w:tblGrid>
            <w:tr>
              <w:tblPrEx>
                <w:tblW w:w="8153" w:type="dxa"/>
                <w:jc w:val="center"/>
                <w:tblBorders>
                  <w:top w:val="single" w:sz="4" w:space="0" w:color="auto"/>
                  <w:left w:val="none" w:sz="0" w:space="0" w:color="auto"/>
                  <w:bottom w:val="single" w:sz="4"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Ex>
              <w:trPr>
                <w:cantSplit/>
                <w:jc w:val="center"/>
              </w:trPr>
              <w:tc>
                <w:tcPr>
                  <w:tcW w:w="1742" w:type="dxa"/>
                  <w:vMerge w:val="restart"/>
                  <w:tcBorders>
                    <w:top w:val="single" w:sz="4" w:space="0" w:color="auto"/>
                    <w:left w:val="nil"/>
                    <w:bottom w:val="single" w:sz="6" w:space="0" w:color="auto"/>
                    <w:right w:val="single" w:sz="6" w:space="0" w:color="auto"/>
                  </w:tcBorders>
                  <w:vAlign w:val="center"/>
                </w:tcPr>
                <w:p>
                  <w:pPr>
                    <w:spacing w:line="280" w:lineRule="exact"/>
                    <w:ind w:firstLine="0" w:firstLineChars="0"/>
                    <w:jc w:val="center"/>
                    <w:rPr>
                      <w:b/>
                    </w:rPr>
                  </w:pPr>
                  <w:r>
                    <w:rPr>
                      <w:b/>
                    </w:rPr>
                    <w:t>污染物</w:t>
                  </w:r>
                </w:p>
              </w:tc>
              <w:tc>
                <w:tcPr>
                  <w:tcW w:w="4853" w:type="dxa"/>
                  <w:gridSpan w:val="3"/>
                  <w:tcBorders>
                    <w:top w:val="single" w:sz="4" w:space="0" w:color="auto"/>
                    <w:left w:val="single" w:sz="6" w:space="0" w:color="auto"/>
                    <w:bottom w:val="single" w:sz="6" w:space="0" w:color="auto"/>
                    <w:right w:val="single" w:sz="6" w:space="0" w:color="auto"/>
                  </w:tcBorders>
                  <w:vAlign w:val="center"/>
                </w:tcPr>
                <w:p>
                  <w:pPr>
                    <w:spacing w:line="280" w:lineRule="exact"/>
                    <w:ind w:firstLine="0" w:firstLineChars="0"/>
                    <w:jc w:val="center"/>
                    <w:rPr>
                      <w:b/>
                    </w:rPr>
                  </w:pPr>
                  <w:r>
                    <w:rPr>
                      <w:b/>
                    </w:rPr>
                    <w:t>各项污染物的浓度限值</w:t>
                  </w:r>
                </w:p>
              </w:tc>
              <w:tc>
                <w:tcPr>
                  <w:tcW w:w="1558" w:type="dxa"/>
                  <w:vMerge w:val="restart"/>
                  <w:tcBorders>
                    <w:top w:val="single" w:sz="4" w:space="0" w:color="auto"/>
                    <w:left w:val="single" w:sz="6" w:space="0" w:color="auto"/>
                    <w:bottom w:val="single" w:sz="6" w:space="0" w:color="auto"/>
                    <w:right w:val="nil"/>
                  </w:tcBorders>
                  <w:vAlign w:val="center"/>
                </w:tcPr>
                <w:p>
                  <w:pPr>
                    <w:spacing w:line="280" w:lineRule="exact"/>
                    <w:ind w:firstLine="0" w:firstLineChars="0"/>
                    <w:jc w:val="center"/>
                    <w:rPr>
                      <w:b/>
                    </w:rPr>
                  </w:pPr>
                  <w:r>
                    <w:rPr>
                      <w:b/>
                    </w:rPr>
                    <w:t>依据</w:t>
                  </w:r>
                </w:p>
              </w:tc>
            </w:tr>
            <w:tr>
              <w:tblPrEx>
                <w:tblW w:w="8153" w:type="dxa"/>
                <w:jc w:val="center"/>
                <w:tblLayout w:type="fixed"/>
                <w:tblCellMar>
                  <w:top w:w="0" w:type="dxa"/>
                  <w:left w:w="108" w:type="dxa"/>
                  <w:bottom w:w="0" w:type="dxa"/>
                  <w:right w:w="108" w:type="dxa"/>
                </w:tblCellMar>
              </w:tblPrEx>
              <w:trPr>
                <w:cantSplit/>
                <w:jc w:val="center"/>
              </w:trPr>
              <w:tc>
                <w:tcPr>
                  <w:tcW w:w="1742" w:type="dxa"/>
                  <w:vMerge/>
                  <w:tcBorders>
                    <w:top w:val="single" w:sz="4" w:space="0" w:color="auto"/>
                    <w:left w:val="nil"/>
                    <w:bottom w:val="single" w:sz="6" w:space="0" w:color="auto"/>
                    <w:right w:val="single" w:sz="6" w:space="0" w:color="auto"/>
                  </w:tcBorders>
                  <w:vAlign w:val="center"/>
                </w:tcPr>
                <w:p>
                  <w:pPr>
                    <w:widowControl/>
                    <w:spacing w:line="280" w:lineRule="exact"/>
                    <w:ind w:firstLine="0" w:firstLineChars="0"/>
                    <w:jc w:val="left"/>
                  </w:pPr>
                </w:p>
              </w:tc>
              <w:tc>
                <w:tcPr>
                  <w:tcW w:w="1618"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rPr>
                      <w:b/>
                    </w:rPr>
                  </w:pPr>
                  <w:r>
                    <w:rPr>
                      <w:b/>
                    </w:rPr>
                    <w:t>1小时平均</w:t>
                  </w:r>
                </w:p>
              </w:tc>
              <w:tc>
                <w:tcPr>
                  <w:tcW w:w="1632"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rPr>
                      <w:b/>
                    </w:rPr>
                  </w:pPr>
                  <w:r>
                    <w:rPr>
                      <w:b/>
                    </w:rPr>
                    <w:t>24小时平均</w:t>
                  </w:r>
                </w:p>
              </w:tc>
              <w:tc>
                <w:tcPr>
                  <w:tcW w:w="1603"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rPr>
                      <w:b/>
                    </w:rPr>
                  </w:pPr>
                  <w:r>
                    <w:rPr>
                      <w:b/>
                    </w:rPr>
                    <w:t>年平均</w:t>
                  </w:r>
                </w:p>
              </w:tc>
              <w:tc>
                <w:tcPr>
                  <w:tcW w:w="1558" w:type="dxa"/>
                  <w:vMerge/>
                  <w:tcBorders>
                    <w:top w:val="single" w:sz="4" w:space="0" w:color="auto"/>
                    <w:left w:val="single" w:sz="6" w:space="0" w:color="auto"/>
                    <w:bottom w:val="single" w:sz="6" w:space="0" w:color="auto"/>
                    <w:right w:val="nil"/>
                  </w:tcBorders>
                  <w:vAlign w:val="center"/>
                </w:tcPr>
                <w:p>
                  <w:pPr>
                    <w:widowControl/>
                    <w:spacing w:line="280" w:lineRule="exact"/>
                    <w:ind w:firstLine="0" w:firstLineChars="0"/>
                    <w:jc w:val="left"/>
                  </w:pPr>
                </w:p>
              </w:tc>
            </w:tr>
            <w:tr>
              <w:tblPrEx>
                <w:tblW w:w="8153" w:type="dxa"/>
                <w:jc w:val="center"/>
                <w:tblLayout w:type="fixed"/>
                <w:tblCellMar>
                  <w:top w:w="0" w:type="dxa"/>
                  <w:left w:w="108" w:type="dxa"/>
                  <w:bottom w:w="0" w:type="dxa"/>
                  <w:right w:w="108" w:type="dxa"/>
                </w:tblCellMar>
              </w:tblPrEx>
              <w:trPr>
                <w:cantSplit/>
                <w:jc w:val="center"/>
              </w:trPr>
              <w:tc>
                <w:tcPr>
                  <w:tcW w:w="1742" w:type="dxa"/>
                  <w:tcBorders>
                    <w:top w:val="single" w:sz="6" w:space="0" w:color="auto"/>
                    <w:left w:val="nil"/>
                    <w:bottom w:val="single" w:sz="6" w:space="0" w:color="auto"/>
                    <w:right w:val="single" w:sz="6" w:space="0" w:color="auto"/>
                  </w:tcBorders>
                  <w:vAlign w:val="center"/>
                </w:tcPr>
                <w:p>
                  <w:pPr>
                    <w:spacing w:line="280" w:lineRule="exact"/>
                    <w:ind w:firstLine="0" w:firstLineChars="0"/>
                    <w:jc w:val="center"/>
                  </w:pPr>
                  <w:r>
                    <w:t>SO</w:t>
                  </w:r>
                  <w:r>
                    <w:rPr>
                      <w:vertAlign w:val="subscript"/>
                    </w:rPr>
                    <w:t>2</w:t>
                  </w:r>
                </w:p>
              </w:tc>
              <w:tc>
                <w:tcPr>
                  <w:tcW w:w="1618"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0.50</w:t>
                  </w:r>
                </w:p>
              </w:tc>
              <w:tc>
                <w:tcPr>
                  <w:tcW w:w="1632"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0.15</w:t>
                  </w:r>
                </w:p>
              </w:tc>
              <w:tc>
                <w:tcPr>
                  <w:tcW w:w="1603"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0.06</w:t>
                  </w:r>
                </w:p>
              </w:tc>
              <w:tc>
                <w:tcPr>
                  <w:tcW w:w="1558" w:type="dxa"/>
                  <w:vMerge w:val="restart"/>
                  <w:tcBorders>
                    <w:top w:val="single" w:sz="6" w:space="0" w:color="auto"/>
                    <w:left w:val="single" w:sz="6" w:space="0" w:color="auto"/>
                    <w:right w:val="nil"/>
                  </w:tcBorders>
                  <w:vAlign w:val="center"/>
                </w:tcPr>
                <w:p>
                  <w:pPr>
                    <w:spacing w:line="280" w:lineRule="exact"/>
                    <w:ind w:firstLine="0" w:firstLineChars="0"/>
                    <w:jc w:val="center"/>
                  </w:pPr>
                  <w:r>
                    <w:t>(GB3095-2012)中的二级标准</w:t>
                  </w:r>
                </w:p>
              </w:tc>
            </w:tr>
            <w:tr>
              <w:tblPrEx>
                <w:tblW w:w="8153" w:type="dxa"/>
                <w:jc w:val="center"/>
                <w:tblLayout w:type="fixed"/>
                <w:tblCellMar>
                  <w:top w:w="0" w:type="dxa"/>
                  <w:left w:w="108" w:type="dxa"/>
                  <w:bottom w:w="0" w:type="dxa"/>
                  <w:right w:w="108" w:type="dxa"/>
                </w:tblCellMar>
              </w:tblPrEx>
              <w:trPr>
                <w:cantSplit/>
                <w:jc w:val="center"/>
              </w:trPr>
              <w:tc>
                <w:tcPr>
                  <w:tcW w:w="1742" w:type="dxa"/>
                  <w:tcBorders>
                    <w:top w:val="single" w:sz="6" w:space="0" w:color="auto"/>
                    <w:left w:val="nil"/>
                    <w:bottom w:val="single" w:sz="6" w:space="0" w:color="auto"/>
                    <w:right w:val="single" w:sz="6" w:space="0" w:color="auto"/>
                  </w:tcBorders>
                  <w:vAlign w:val="center"/>
                </w:tcPr>
                <w:p>
                  <w:pPr>
                    <w:spacing w:line="280" w:lineRule="exact"/>
                    <w:ind w:firstLine="0" w:firstLineChars="0"/>
                    <w:jc w:val="center"/>
                  </w:pPr>
                  <w:r>
                    <w:t>NO</w:t>
                  </w:r>
                  <w:r>
                    <w:rPr>
                      <w:vertAlign w:val="subscript"/>
                    </w:rPr>
                    <w:t>2</w:t>
                  </w:r>
                </w:p>
              </w:tc>
              <w:tc>
                <w:tcPr>
                  <w:tcW w:w="1618"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0.20</w:t>
                  </w:r>
                </w:p>
              </w:tc>
              <w:tc>
                <w:tcPr>
                  <w:tcW w:w="1632"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0.08</w:t>
                  </w:r>
                </w:p>
              </w:tc>
              <w:tc>
                <w:tcPr>
                  <w:tcW w:w="1603"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0.04</w:t>
                  </w:r>
                </w:p>
              </w:tc>
              <w:tc>
                <w:tcPr>
                  <w:tcW w:w="1558" w:type="dxa"/>
                  <w:vMerge/>
                  <w:tcBorders>
                    <w:left w:val="single" w:sz="6" w:space="0" w:color="auto"/>
                    <w:right w:val="nil"/>
                  </w:tcBorders>
                  <w:vAlign w:val="center"/>
                </w:tcPr>
                <w:p>
                  <w:pPr>
                    <w:widowControl/>
                    <w:spacing w:line="280" w:lineRule="exact"/>
                    <w:ind w:firstLine="0" w:firstLineChars="0"/>
                    <w:jc w:val="left"/>
                  </w:pPr>
                </w:p>
              </w:tc>
            </w:tr>
            <w:tr>
              <w:tblPrEx>
                <w:tblW w:w="8153" w:type="dxa"/>
                <w:jc w:val="center"/>
                <w:tblLayout w:type="fixed"/>
                <w:tblCellMar>
                  <w:top w:w="0" w:type="dxa"/>
                  <w:left w:w="108" w:type="dxa"/>
                  <w:bottom w:w="0" w:type="dxa"/>
                  <w:right w:w="108" w:type="dxa"/>
                </w:tblCellMar>
              </w:tblPrEx>
              <w:trPr>
                <w:cantSplit/>
                <w:jc w:val="center"/>
              </w:trPr>
              <w:tc>
                <w:tcPr>
                  <w:tcW w:w="1742" w:type="dxa"/>
                  <w:tcBorders>
                    <w:top w:val="single" w:sz="6" w:space="0" w:color="auto"/>
                    <w:left w:val="nil"/>
                    <w:bottom w:val="single" w:sz="6" w:space="0" w:color="auto"/>
                    <w:right w:val="single" w:sz="6" w:space="0" w:color="auto"/>
                  </w:tcBorders>
                  <w:vAlign w:val="center"/>
                </w:tcPr>
                <w:p>
                  <w:pPr>
                    <w:spacing w:line="280" w:lineRule="exact"/>
                    <w:ind w:firstLine="0" w:firstLineChars="0"/>
                    <w:jc w:val="center"/>
                  </w:pPr>
                  <w:r>
                    <w:t>TSP</w:t>
                  </w:r>
                </w:p>
              </w:tc>
              <w:tc>
                <w:tcPr>
                  <w:tcW w:w="1618"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w:t>
                  </w:r>
                </w:p>
              </w:tc>
              <w:tc>
                <w:tcPr>
                  <w:tcW w:w="1632"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0.30</w:t>
                  </w:r>
                </w:p>
              </w:tc>
              <w:tc>
                <w:tcPr>
                  <w:tcW w:w="1603"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0.20</w:t>
                  </w:r>
                </w:p>
              </w:tc>
              <w:tc>
                <w:tcPr>
                  <w:tcW w:w="1558" w:type="dxa"/>
                  <w:vMerge/>
                  <w:tcBorders>
                    <w:left w:val="single" w:sz="6" w:space="0" w:color="auto"/>
                    <w:right w:val="nil"/>
                  </w:tcBorders>
                  <w:vAlign w:val="center"/>
                </w:tcPr>
                <w:p>
                  <w:pPr>
                    <w:widowControl/>
                    <w:spacing w:line="280" w:lineRule="exact"/>
                    <w:ind w:firstLine="0" w:firstLineChars="0"/>
                    <w:jc w:val="left"/>
                  </w:pPr>
                </w:p>
              </w:tc>
            </w:tr>
            <w:tr>
              <w:tblPrEx>
                <w:tblW w:w="8153" w:type="dxa"/>
                <w:jc w:val="center"/>
                <w:tblLayout w:type="fixed"/>
                <w:tblCellMar>
                  <w:top w:w="0" w:type="dxa"/>
                  <w:left w:w="108" w:type="dxa"/>
                  <w:bottom w:w="0" w:type="dxa"/>
                  <w:right w:w="108" w:type="dxa"/>
                </w:tblCellMar>
              </w:tblPrEx>
              <w:trPr>
                <w:cantSplit/>
                <w:jc w:val="center"/>
              </w:trPr>
              <w:tc>
                <w:tcPr>
                  <w:tcW w:w="1742" w:type="dxa"/>
                  <w:tcBorders>
                    <w:top w:val="single" w:sz="6" w:space="0" w:color="auto"/>
                    <w:left w:val="nil"/>
                    <w:bottom w:val="single" w:sz="6" w:space="0" w:color="auto"/>
                    <w:right w:val="single" w:sz="6" w:space="0" w:color="auto"/>
                  </w:tcBorders>
                  <w:vAlign w:val="center"/>
                </w:tcPr>
                <w:p>
                  <w:pPr>
                    <w:spacing w:line="280" w:lineRule="exact"/>
                    <w:ind w:firstLine="0" w:firstLineChars="0"/>
                    <w:jc w:val="center"/>
                  </w:pPr>
                  <w:r>
                    <w:t>PM</w:t>
                  </w:r>
                  <w:r>
                    <w:rPr>
                      <w:vertAlign w:val="subscript"/>
                    </w:rPr>
                    <w:t>10</w:t>
                  </w:r>
                </w:p>
              </w:tc>
              <w:tc>
                <w:tcPr>
                  <w:tcW w:w="1618"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w:t>
                  </w:r>
                </w:p>
              </w:tc>
              <w:tc>
                <w:tcPr>
                  <w:tcW w:w="1632"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0.15</w:t>
                  </w:r>
                </w:p>
              </w:tc>
              <w:tc>
                <w:tcPr>
                  <w:tcW w:w="1603"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0.07</w:t>
                  </w:r>
                </w:p>
              </w:tc>
              <w:tc>
                <w:tcPr>
                  <w:tcW w:w="1558" w:type="dxa"/>
                  <w:vMerge/>
                  <w:tcBorders>
                    <w:left w:val="single" w:sz="6" w:space="0" w:color="auto"/>
                    <w:right w:val="nil"/>
                  </w:tcBorders>
                  <w:vAlign w:val="center"/>
                </w:tcPr>
                <w:p>
                  <w:pPr>
                    <w:widowControl/>
                    <w:spacing w:line="280" w:lineRule="exact"/>
                    <w:ind w:firstLine="0" w:firstLineChars="0"/>
                    <w:jc w:val="left"/>
                  </w:pPr>
                </w:p>
              </w:tc>
            </w:tr>
            <w:tr>
              <w:tblPrEx>
                <w:tblW w:w="8153" w:type="dxa"/>
                <w:jc w:val="center"/>
                <w:tblLayout w:type="fixed"/>
                <w:tblCellMar>
                  <w:top w:w="0" w:type="dxa"/>
                  <w:left w:w="108" w:type="dxa"/>
                  <w:bottom w:w="0" w:type="dxa"/>
                  <w:right w:w="108" w:type="dxa"/>
                </w:tblCellMar>
              </w:tblPrEx>
              <w:trPr>
                <w:cantSplit/>
                <w:jc w:val="center"/>
              </w:trPr>
              <w:tc>
                <w:tcPr>
                  <w:tcW w:w="1742" w:type="dxa"/>
                  <w:tcBorders>
                    <w:top w:val="single" w:sz="6" w:space="0" w:color="auto"/>
                    <w:left w:val="nil"/>
                    <w:bottom w:val="single" w:sz="6" w:space="0" w:color="auto"/>
                    <w:right w:val="single" w:sz="6" w:space="0" w:color="auto"/>
                  </w:tcBorders>
                  <w:vAlign w:val="center"/>
                </w:tcPr>
                <w:p>
                  <w:pPr>
                    <w:spacing w:line="280" w:lineRule="exact"/>
                    <w:ind w:firstLine="0" w:firstLineChars="0"/>
                    <w:jc w:val="center"/>
                  </w:pPr>
                  <w:r>
                    <w:t>PM</w:t>
                  </w:r>
                  <w:r>
                    <w:rPr>
                      <w:vertAlign w:val="subscript"/>
                    </w:rPr>
                    <w:t>2.5</w:t>
                  </w:r>
                </w:p>
              </w:tc>
              <w:tc>
                <w:tcPr>
                  <w:tcW w:w="1618"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w:t>
                  </w:r>
                </w:p>
              </w:tc>
              <w:tc>
                <w:tcPr>
                  <w:tcW w:w="1632"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0.075</w:t>
                  </w:r>
                </w:p>
              </w:tc>
              <w:tc>
                <w:tcPr>
                  <w:tcW w:w="1603"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0.035</w:t>
                  </w:r>
                </w:p>
              </w:tc>
              <w:tc>
                <w:tcPr>
                  <w:tcW w:w="1558" w:type="dxa"/>
                  <w:vMerge/>
                  <w:tcBorders>
                    <w:left w:val="single" w:sz="6" w:space="0" w:color="auto"/>
                    <w:right w:val="nil"/>
                  </w:tcBorders>
                  <w:vAlign w:val="center"/>
                </w:tcPr>
                <w:p>
                  <w:pPr>
                    <w:widowControl/>
                    <w:spacing w:line="280" w:lineRule="exact"/>
                    <w:ind w:firstLine="0" w:firstLineChars="0"/>
                    <w:jc w:val="left"/>
                  </w:pPr>
                </w:p>
              </w:tc>
            </w:tr>
            <w:tr>
              <w:tblPrEx>
                <w:tblW w:w="8153" w:type="dxa"/>
                <w:jc w:val="center"/>
                <w:tblLayout w:type="fixed"/>
                <w:tblCellMar>
                  <w:top w:w="0" w:type="dxa"/>
                  <w:left w:w="108" w:type="dxa"/>
                  <w:bottom w:w="0" w:type="dxa"/>
                  <w:right w:w="108" w:type="dxa"/>
                </w:tblCellMar>
              </w:tblPrEx>
              <w:trPr>
                <w:cantSplit/>
                <w:jc w:val="center"/>
              </w:trPr>
              <w:tc>
                <w:tcPr>
                  <w:tcW w:w="1742" w:type="dxa"/>
                  <w:tcBorders>
                    <w:top w:val="single" w:sz="6" w:space="0" w:color="auto"/>
                    <w:left w:val="nil"/>
                    <w:bottom w:val="single" w:sz="6" w:space="0" w:color="auto"/>
                    <w:right w:val="single" w:sz="6" w:space="0" w:color="auto"/>
                  </w:tcBorders>
                  <w:vAlign w:val="center"/>
                </w:tcPr>
                <w:p>
                  <w:pPr>
                    <w:spacing w:line="280" w:lineRule="exact"/>
                    <w:ind w:firstLine="0" w:firstLineChars="0"/>
                    <w:jc w:val="center"/>
                  </w:pPr>
                  <w:r>
                    <w:t>CO</w:t>
                  </w:r>
                </w:p>
              </w:tc>
              <w:tc>
                <w:tcPr>
                  <w:tcW w:w="1618"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10</w:t>
                  </w:r>
                </w:p>
              </w:tc>
              <w:tc>
                <w:tcPr>
                  <w:tcW w:w="1632"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4</w:t>
                  </w:r>
                </w:p>
              </w:tc>
              <w:tc>
                <w:tcPr>
                  <w:tcW w:w="1603" w:type="dxa"/>
                  <w:tcBorders>
                    <w:top w:val="single" w:sz="6" w:space="0" w:color="auto"/>
                    <w:left w:val="single" w:sz="6" w:space="0" w:color="auto"/>
                    <w:bottom w:val="single" w:sz="6" w:space="0" w:color="auto"/>
                    <w:right w:val="single" w:sz="6" w:space="0" w:color="auto"/>
                  </w:tcBorders>
                  <w:vAlign w:val="center"/>
                </w:tcPr>
                <w:p>
                  <w:pPr>
                    <w:spacing w:line="280" w:lineRule="exact"/>
                    <w:ind w:firstLine="0" w:firstLineChars="0"/>
                    <w:jc w:val="center"/>
                  </w:pPr>
                  <w:r>
                    <w:t>/</w:t>
                  </w:r>
                </w:p>
              </w:tc>
              <w:tc>
                <w:tcPr>
                  <w:tcW w:w="1558" w:type="dxa"/>
                  <w:vMerge/>
                  <w:tcBorders>
                    <w:left w:val="single" w:sz="6" w:space="0" w:color="auto"/>
                    <w:right w:val="nil"/>
                  </w:tcBorders>
                  <w:vAlign w:val="center"/>
                </w:tcPr>
                <w:p>
                  <w:pPr>
                    <w:widowControl/>
                    <w:spacing w:line="280" w:lineRule="exact"/>
                    <w:ind w:firstLine="0" w:firstLineChars="0"/>
                    <w:jc w:val="left"/>
                  </w:pPr>
                </w:p>
              </w:tc>
            </w:tr>
            <w:tr>
              <w:tblPrEx>
                <w:tblW w:w="8153" w:type="dxa"/>
                <w:jc w:val="center"/>
                <w:tblLayout w:type="fixed"/>
                <w:tblCellMar>
                  <w:top w:w="0" w:type="dxa"/>
                  <w:left w:w="108" w:type="dxa"/>
                  <w:bottom w:w="0" w:type="dxa"/>
                  <w:right w:w="108" w:type="dxa"/>
                </w:tblCellMar>
              </w:tblPrEx>
              <w:trPr>
                <w:cantSplit/>
                <w:jc w:val="center"/>
              </w:trPr>
              <w:tc>
                <w:tcPr>
                  <w:tcW w:w="1742" w:type="dxa"/>
                  <w:tcBorders>
                    <w:top w:val="single" w:sz="6" w:space="0" w:color="auto"/>
                    <w:left w:val="nil"/>
                    <w:bottom w:val="single" w:sz="4" w:space="0" w:color="auto"/>
                    <w:right w:val="single" w:sz="6" w:space="0" w:color="auto"/>
                  </w:tcBorders>
                  <w:vAlign w:val="center"/>
                </w:tcPr>
                <w:p>
                  <w:pPr>
                    <w:spacing w:line="280" w:lineRule="exact"/>
                    <w:ind w:firstLine="0" w:firstLineChars="0"/>
                    <w:jc w:val="center"/>
                  </w:pPr>
                  <w:r>
                    <w:t>O</w:t>
                  </w:r>
                  <w:r>
                    <w:rPr>
                      <w:vertAlign w:val="subscript"/>
                    </w:rPr>
                    <w:t>3</w:t>
                  </w:r>
                </w:p>
              </w:tc>
              <w:tc>
                <w:tcPr>
                  <w:tcW w:w="1618" w:type="dxa"/>
                  <w:tcBorders>
                    <w:top w:val="single" w:sz="6" w:space="0" w:color="auto"/>
                    <w:left w:val="single" w:sz="6" w:space="0" w:color="auto"/>
                    <w:bottom w:val="single" w:sz="4" w:space="0" w:color="auto"/>
                    <w:right w:val="single" w:sz="6" w:space="0" w:color="auto"/>
                  </w:tcBorders>
                  <w:vAlign w:val="center"/>
                </w:tcPr>
                <w:p>
                  <w:pPr>
                    <w:spacing w:line="280" w:lineRule="exact"/>
                    <w:ind w:firstLine="0" w:firstLineChars="0"/>
                    <w:jc w:val="center"/>
                  </w:pPr>
                  <w:r>
                    <w:t>0.2</w:t>
                  </w:r>
                </w:p>
              </w:tc>
              <w:tc>
                <w:tcPr>
                  <w:tcW w:w="1632" w:type="dxa"/>
                  <w:tcBorders>
                    <w:top w:val="single" w:sz="6" w:space="0" w:color="auto"/>
                    <w:left w:val="single" w:sz="6" w:space="0" w:color="auto"/>
                    <w:bottom w:val="single" w:sz="4" w:space="0" w:color="auto"/>
                    <w:right w:val="single" w:sz="6" w:space="0" w:color="auto"/>
                  </w:tcBorders>
                  <w:vAlign w:val="center"/>
                </w:tcPr>
                <w:p>
                  <w:pPr>
                    <w:spacing w:line="280" w:lineRule="exact"/>
                    <w:ind w:firstLine="0" w:firstLineChars="0"/>
                    <w:jc w:val="center"/>
                  </w:pPr>
                  <w:r>
                    <w:t>/</w:t>
                  </w:r>
                </w:p>
              </w:tc>
              <w:tc>
                <w:tcPr>
                  <w:tcW w:w="1603" w:type="dxa"/>
                  <w:tcBorders>
                    <w:top w:val="single" w:sz="6" w:space="0" w:color="auto"/>
                    <w:left w:val="single" w:sz="6" w:space="0" w:color="auto"/>
                    <w:bottom w:val="single" w:sz="4" w:space="0" w:color="auto"/>
                    <w:right w:val="single" w:sz="6" w:space="0" w:color="auto"/>
                  </w:tcBorders>
                  <w:vAlign w:val="center"/>
                </w:tcPr>
                <w:p>
                  <w:pPr>
                    <w:spacing w:line="280" w:lineRule="exact"/>
                    <w:ind w:firstLine="0" w:firstLineChars="0"/>
                    <w:jc w:val="center"/>
                  </w:pPr>
                  <w:r>
                    <w:t>/</w:t>
                  </w:r>
                </w:p>
              </w:tc>
              <w:tc>
                <w:tcPr>
                  <w:tcW w:w="1558" w:type="dxa"/>
                  <w:vMerge/>
                  <w:tcBorders>
                    <w:left w:val="single" w:sz="6" w:space="0" w:color="auto"/>
                    <w:bottom w:val="single" w:sz="4" w:space="0" w:color="auto"/>
                    <w:right w:val="nil"/>
                  </w:tcBorders>
                  <w:vAlign w:val="center"/>
                </w:tcPr>
                <w:p>
                  <w:pPr>
                    <w:widowControl/>
                    <w:spacing w:line="280" w:lineRule="exact"/>
                    <w:ind w:firstLine="0" w:firstLineChars="0"/>
                    <w:jc w:val="left"/>
                  </w:pPr>
                </w:p>
              </w:tc>
            </w:tr>
          </w:tbl>
          <w:p>
            <w:pPr>
              <w:pStyle w:val="a1"/>
              <w:spacing w:before="156" w:beforeLines="50"/>
              <w:ind w:firstLine="0" w:firstLineChars="0"/>
              <w:jc w:val="center"/>
              <w:rPr>
                <w:rFonts w:eastAsia="黑体"/>
                <w:sz w:val="21"/>
                <w:szCs w:val="21"/>
              </w:rPr>
            </w:pPr>
            <w:r>
              <w:rPr>
                <w:rFonts w:eastAsia="黑体" w:hint="eastAsia"/>
                <w:sz w:val="21"/>
                <w:szCs w:val="21"/>
              </w:rPr>
              <w:t>表4-2  《大气污染物综合排放标准详解》中非甲烷总烃浓度限值</w:t>
            </w:r>
          </w:p>
          <w:tbl>
            <w:tblPr>
              <w:tblStyle w:val="TableNormal"/>
              <w:tblW w:w="8153" w:type="dxa"/>
              <w:jc w:val="center"/>
              <w:tblBorders>
                <w:top w:val="single" w:sz="12" w:space="0" w:color="000000"/>
                <w:left w:val="none" w:sz="0" w:space="0" w:color="auto"/>
                <w:bottom w:val="single" w:sz="12" w:space="0" w:color="000000"/>
                <w:right w:val="none" w:sz="0" w:space="0" w:color="auto"/>
                <w:insideH w:val="single" w:sz="6" w:space="0" w:color="000000"/>
                <w:insideV w:val="single" w:sz="6" w:space="0" w:color="000000"/>
              </w:tblBorders>
              <w:tblLayout w:type="fixed"/>
              <w:tblCellMar>
                <w:top w:w="0" w:type="dxa"/>
                <w:left w:w="108" w:type="dxa"/>
                <w:bottom w:w="0" w:type="dxa"/>
                <w:right w:w="108" w:type="dxa"/>
              </w:tblCellMar>
            </w:tblPr>
            <w:tblGrid>
              <w:gridCol w:w="2357"/>
              <w:gridCol w:w="2035"/>
              <w:gridCol w:w="1888"/>
              <w:gridCol w:w="1873"/>
            </w:tblGrid>
            <w:tr>
              <w:tblPrEx>
                <w:tblW w:w="8153" w:type="dxa"/>
                <w:jc w:val="center"/>
                <w:tblBorders>
                  <w:top w:val="single" w:sz="12" w:space="0" w:color="000000"/>
                  <w:left w:val="none" w:sz="0" w:space="0" w:color="auto"/>
                  <w:bottom w:val="single" w:sz="12" w:space="0" w:color="000000"/>
                  <w:right w:val="none" w:sz="0" w:space="0" w:color="auto"/>
                  <w:insideH w:val="single" w:sz="6" w:space="0" w:color="000000"/>
                  <w:insideV w:val="single" w:sz="6" w:space="0" w:color="000000"/>
                </w:tblBorders>
                <w:tblLayout w:type="fixed"/>
                <w:tblCellMar>
                  <w:top w:w="0" w:type="dxa"/>
                  <w:left w:w="108" w:type="dxa"/>
                  <w:bottom w:w="0" w:type="dxa"/>
                  <w:right w:w="108" w:type="dxa"/>
                </w:tblCellMar>
              </w:tblPrEx>
              <w:trPr>
                <w:trHeight w:val="283"/>
                <w:jc w:val="center"/>
              </w:trPr>
              <w:tc>
                <w:tcPr>
                  <w:tcW w:w="2357" w:type="dxa"/>
                  <w:vMerge w:val="restart"/>
                  <w:vAlign w:val="center"/>
                </w:tcPr>
                <w:p>
                  <w:pPr>
                    <w:snapToGrid w:val="0"/>
                    <w:spacing w:line="280" w:lineRule="exact"/>
                    <w:ind w:firstLine="0" w:firstLineChars="0"/>
                    <w:jc w:val="center"/>
                    <w:rPr>
                      <w:b/>
                    </w:rPr>
                  </w:pPr>
                  <w:r>
                    <w:rPr>
                      <w:b/>
                    </w:rPr>
                    <w:t>污染物名称</w:t>
                  </w:r>
                </w:p>
              </w:tc>
              <w:tc>
                <w:tcPr>
                  <w:tcW w:w="5796" w:type="dxa"/>
                  <w:gridSpan w:val="3"/>
                  <w:vAlign w:val="center"/>
                </w:tcPr>
                <w:p>
                  <w:pPr>
                    <w:snapToGrid w:val="0"/>
                    <w:spacing w:line="280" w:lineRule="exact"/>
                    <w:ind w:firstLine="0" w:firstLineChars="0"/>
                    <w:jc w:val="center"/>
                    <w:rPr>
                      <w:b/>
                    </w:rPr>
                  </w:pPr>
                  <w:r>
                    <w:rPr>
                      <w:b/>
                    </w:rPr>
                    <w:t>浓度限值</w:t>
                  </w:r>
                  <w:r>
                    <w:rPr>
                      <w:rFonts w:hint="eastAsia"/>
                      <w:b/>
                    </w:rPr>
                    <w:t>（mg/m</w:t>
                  </w:r>
                  <w:r>
                    <w:rPr>
                      <w:rFonts w:hint="eastAsia"/>
                      <w:b/>
                      <w:vertAlign w:val="superscript"/>
                    </w:rPr>
                    <w:t>3</w:t>
                  </w:r>
                  <w:r>
                    <w:rPr>
                      <w:rFonts w:hint="eastAsia"/>
                      <w:b/>
                    </w:rPr>
                    <w:t>）</w:t>
                  </w:r>
                </w:p>
              </w:tc>
            </w:tr>
            <w:tr>
              <w:tblPrEx>
                <w:tblW w:w="8153" w:type="dxa"/>
                <w:jc w:val="center"/>
                <w:tblLayout w:type="fixed"/>
                <w:tblCellMar>
                  <w:top w:w="0" w:type="dxa"/>
                  <w:left w:w="108" w:type="dxa"/>
                  <w:bottom w:w="0" w:type="dxa"/>
                  <w:right w:w="108" w:type="dxa"/>
                </w:tblCellMar>
              </w:tblPrEx>
              <w:trPr>
                <w:trHeight w:val="283"/>
                <w:jc w:val="center"/>
              </w:trPr>
              <w:tc>
                <w:tcPr>
                  <w:tcW w:w="2357" w:type="dxa"/>
                  <w:vMerge/>
                  <w:vAlign w:val="center"/>
                </w:tcPr>
                <w:p>
                  <w:pPr>
                    <w:snapToGrid w:val="0"/>
                    <w:spacing w:line="280" w:lineRule="exact"/>
                    <w:ind w:firstLine="0" w:firstLineChars="0"/>
                    <w:jc w:val="center"/>
                    <w:rPr>
                      <w:b/>
                    </w:rPr>
                  </w:pPr>
                </w:p>
              </w:tc>
              <w:tc>
                <w:tcPr>
                  <w:tcW w:w="2035" w:type="dxa"/>
                  <w:vAlign w:val="center"/>
                </w:tcPr>
                <w:p>
                  <w:pPr>
                    <w:snapToGrid w:val="0"/>
                    <w:spacing w:line="280" w:lineRule="exact"/>
                    <w:ind w:firstLine="0" w:firstLineChars="0"/>
                    <w:jc w:val="center"/>
                    <w:rPr>
                      <w:b/>
                    </w:rPr>
                  </w:pPr>
                  <w:r>
                    <w:rPr>
                      <w:rFonts w:hint="eastAsia"/>
                      <w:b/>
                    </w:rPr>
                    <w:t>1小时</w:t>
                  </w:r>
                  <w:r>
                    <w:rPr>
                      <w:b/>
                    </w:rPr>
                    <w:t>平均</w:t>
                  </w:r>
                </w:p>
              </w:tc>
              <w:tc>
                <w:tcPr>
                  <w:tcW w:w="1888" w:type="dxa"/>
                  <w:vAlign w:val="center"/>
                </w:tcPr>
                <w:p>
                  <w:pPr>
                    <w:snapToGrid w:val="0"/>
                    <w:spacing w:line="280" w:lineRule="exact"/>
                    <w:ind w:firstLine="0" w:firstLineChars="0"/>
                    <w:jc w:val="center"/>
                    <w:rPr>
                      <w:b/>
                    </w:rPr>
                  </w:pPr>
                  <w:r>
                    <w:rPr>
                      <w:b/>
                    </w:rPr>
                    <w:t>24小时平均</w:t>
                  </w:r>
                </w:p>
              </w:tc>
              <w:tc>
                <w:tcPr>
                  <w:tcW w:w="1873" w:type="dxa"/>
                  <w:vAlign w:val="center"/>
                </w:tcPr>
                <w:p>
                  <w:pPr>
                    <w:snapToGrid w:val="0"/>
                    <w:spacing w:line="280" w:lineRule="exact"/>
                    <w:ind w:firstLine="0" w:firstLineChars="0"/>
                    <w:jc w:val="center"/>
                    <w:rPr>
                      <w:b/>
                    </w:rPr>
                  </w:pPr>
                  <w:r>
                    <w:rPr>
                      <w:b/>
                    </w:rPr>
                    <w:t>年平均</w:t>
                  </w:r>
                </w:p>
              </w:tc>
            </w:tr>
            <w:tr>
              <w:tblPrEx>
                <w:tblW w:w="8153" w:type="dxa"/>
                <w:jc w:val="center"/>
                <w:tblLayout w:type="fixed"/>
                <w:tblCellMar>
                  <w:top w:w="0" w:type="dxa"/>
                  <w:left w:w="108" w:type="dxa"/>
                  <w:bottom w:w="0" w:type="dxa"/>
                  <w:right w:w="108" w:type="dxa"/>
                </w:tblCellMar>
              </w:tblPrEx>
              <w:trPr>
                <w:trHeight w:val="283"/>
                <w:jc w:val="center"/>
              </w:trPr>
              <w:tc>
                <w:tcPr>
                  <w:tcW w:w="2357" w:type="dxa"/>
                  <w:vAlign w:val="center"/>
                </w:tcPr>
                <w:p>
                  <w:pPr>
                    <w:snapToGrid w:val="0"/>
                    <w:spacing w:line="280" w:lineRule="exact"/>
                    <w:ind w:firstLine="0" w:firstLineChars="0"/>
                    <w:jc w:val="center"/>
                  </w:pPr>
                  <w:r>
                    <w:rPr>
                      <w:rFonts w:hint="eastAsia"/>
                    </w:rPr>
                    <w:t>非甲烷总烃</w:t>
                  </w:r>
                </w:p>
              </w:tc>
              <w:tc>
                <w:tcPr>
                  <w:tcW w:w="2035" w:type="dxa"/>
                  <w:vAlign w:val="center"/>
                </w:tcPr>
                <w:p>
                  <w:pPr>
                    <w:snapToGrid w:val="0"/>
                    <w:spacing w:line="280" w:lineRule="exact"/>
                    <w:ind w:firstLine="0" w:firstLineChars="0"/>
                    <w:jc w:val="center"/>
                  </w:pPr>
                  <w:r>
                    <w:rPr>
                      <w:rFonts w:hint="eastAsia"/>
                    </w:rPr>
                    <w:t>2.0</w:t>
                  </w:r>
                </w:p>
              </w:tc>
              <w:tc>
                <w:tcPr>
                  <w:tcW w:w="1888" w:type="dxa"/>
                  <w:vAlign w:val="center"/>
                </w:tcPr>
                <w:p>
                  <w:pPr>
                    <w:snapToGrid w:val="0"/>
                    <w:spacing w:line="280" w:lineRule="exact"/>
                    <w:ind w:firstLine="0" w:firstLineChars="0"/>
                    <w:jc w:val="center"/>
                  </w:pPr>
                  <w:r>
                    <w:rPr>
                      <w:rFonts w:hint="eastAsia"/>
                    </w:rPr>
                    <w:t>/</w:t>
                  </w:r>
                </w:p>
              </w:tc>
              <w:tc>
                <w:tcPr>
                  <w:tcW w:w="1873" w:type="dxa"/>
                  <w:vAlign w:val="center"/>
                </w:tcPr>
                <w:p>
                  <w:pPr>
                    <w:snapToGrid w:val="0"/>
                    <w:spacing w:line="280" w:lineRule="exact"/>
                    <w:ind w:firstLine="0" w:firstLineChars="0"/>
                    <w:jc w:val="center"/>
                  </w:pPr>
                  <w:r>
                    <w:rPr>
                      <w:rFonts w:hint="eastAsia"/>
                    </w:rPr>
                    <w:t>/</w:t>
                  </w:r>
                </w:p>
              </w:tc>
            </w:tr>
          </w:tbl>
          <w:p>
            <w:pPr>
              <w:pStyle w:val="Heading1"/>
              <w:spacing w:before="156" w:beforeLines="50"/>
              <w:ind w:firstLine="560"/>
              <w:rPr>
                <w:kern w:val="2"/>
                <w:szCs w:val="28"/>
              </w:rPr>
            </w:pPr>
            <w:r>
              <w:rPr>
                <w:rFonts w:hint="eastAsia"/>
                <w:kern w:val="2"/>
                <w:szCs w:val="28"/>
              </w:rPr>
              <w:t>二</w:t>
            </w:r>
            <w:r>
              <w:rPr>
                <w:kern w:val="2"/>
                <w:szCs w:val="28"/>
              </w:rPr>
              <w:t>、地表水环境</w:t>
            </w:r>
          </w:p>
          <w:p>
            <w:pPr>
              <w:pStyle w:val="a1"/>
              <w:ind w:firstLine="480"/>
            </w:pPr>
            <w:r>
              <w:t>项目区域主要地表水为项目西侧的</w:t>
            </w:r>
            <w:r>
              <w:rPr>
                <w:rFonts w:hint="eastAsia"/>
              </w:rPr>
              <w:t>文教河，其</w:t>
            </w:r>
            <w:r>
              <w:t>水质执行《地表水环境质量标准》（GB3838-2002）中</w:t>
            </w:r>
            <w:r>
              <w:rPr>
                <w:rFonts w:cs="宋体" w:hint="eastAsia"/>
              </w:rPr>
              <w:t>Ⅲ</w:t>
            </w:r>
            <w:r>
              <w:t>类标准</w:t>
            </w:r>
            <w:r>
              <w:rPr>
                <w:rFonts w:hint="eastAsia"/>
              </w:rPr>
              <w:t>，见</w:t>
            </w:r>
            <w:r>
              <w:t>表</w:t>
            </w:r>
            <w:r>
              <w:rPr>
                <w:rFonts w:hint="eastAsia"/>
              </w:rPr>
              <w:t>4-3</w:t>
            </w:r>
            <w:r>
              <w:t>。</w:t>
            </w:r>
          </w:p>
          <w:p>
            <w:pPr>
              <w:pStyle w:val="a1"/>
              <w:ind w:firstLine="0" w:firstLineChars="0"/>
              <w:jc w:val="center"/>
              <w:rPr>
                <w:rFonts w:eastAsia="黑体"/>
                <w:sz w:val="21"/>
                <w:szCs w:val="21"/>
              </w:rPr>
            </w:pPr>
            <w:r>
              <w:rPr>
                <w:rFonts w:eastAsia="黑体" w:hint="eastAsia"/>
                <w:sz w:val="21"/>
                <w:szCs w:val="21"/>
              </w:rPr>
              <w:t xml:space="preserve">表4-3  </w:t>
            </w:r>
            <w:r>
              <w:rPr>
                <w:rFonts w:eastAsia="黑体"/>
                <w:sz w:val="21"/>
                <w:szCs w:val="21"/>
              </w:rPr>
              <w:t>《地表水环境质量标准》（GB3838-2002）</w:t>
            </w:r>
            <w:r>
              <w:rPr>
                <w:rFonts w:eastAsia="黑体" w:hint="eastAsia"/>
                <w:sz w:val="21"/>
                <w:szCs w:val="21"/>
              </w:rPr>
              <w:t xml:space="preserve">  单位：mg/L，pH为无量纲</w:t>
            </w:r>
          </w:p>
          <w:tbl>
            <w:tblPr>
              <w:tblStyle w:val="TableNormal"/>
              <w:tblW w:w="8153"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2051"/>
              <w:gridCol w:w="1981"/>
              <w:gridCol w:w="2126"/>
              <w:gridCol w:w="1995"/>
            </w:tblGrid>
            <w:tr>
              <w:tblPrEx>
                <w:tblW w:w="8153"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60"/>
                <w:jc w:val="center"/>
              </w:trPr>
              <w:tc>
                <w:tcPr>
                  <w:tcW w:w="2051" w:type="dxa"/>
                  <w:vAlign w:val="center"/>
                </w:tcPr>
                <w:p>
                  <w:pPr>
                    <w:spacing w:line="280" w:lineRule="exact"/>
                    <w:ind w:firstLine="0" w:firstLineChars="0"/>
                    <w:jc w:val="center"/>
                    <w:rPr>
                      <w:b/>
                      <w:bCs/>
                      <w:kern w:val="0"/>
                    </w:rPr>
                  </w:pPr>
                  <w:r>
                    <w:rPr>
                      <w:b/>
                      <w:bCs/>
                      <w:kern w:val="0"/>
                    </w:rPr>
                    <w:t>指标</w:t>
                  </w:r>
                </w:p>
              </w:tc>
              <w:tc>
                <w:tcPr>
                  <w:tcW w:w="1981" w:type="dxa"/>
                  <w:vAlign w:val="center"/>
                </w:tcPr>
                <w:p>
                  <w:pPr>
                    <w:spacing w:line="280" w:lineRule="exact"/>
                    <w:ind w:firstLine="0" w:firstLineChars="0"/>
                    <w:jc w:val="center"/>
                    <w:rPr>
                      <w:b/>
                      <w:bCs/>
                      <w:kern w:val="0"/>
                    </w:rPr>
                  </w:pPr>
                  <w:r>
                    <w:rPr>
                      <w:rFonts w:cs="宋体" w:hint="eastAsia"/>
                      <w:b/>
                      <w:bCs/>
                      <w:kern w:val="0"/>
                    </w:rPr>
                    <w:t>Ⅲ</w:t>
                  </w:r>
                  <w:r>
                    <w:rPr>
                      <w:b/>
                      <w:bCs/>
                      <w:kern w:val="0"/>
                    </w:rPr>
                    <w:t>类水域标准</w:t>
                  </w:r>
                </w:p>
              </w:tc>
              <w:tc>
                <w:tcPr>
                  <w:tcW w:w="2126" w:type="dxa"/>
                  <w:vAlign w:val="center"/>
                </w:tcPr>
                <w:p>
                  <w:pPr>
                    <w:spacing w:line="280" w:lineRule="exact"/>
                    <w:ind w:firstLine="0" w:firstLineChars="0"/>
                    <w:jc w:val="center"/>
                    <w:rPr>
                      <w:b/>
                      <w:bCs/>
                      <w:kern w:val="0"/>
                    </w:rPr>
                  </w:pPr>
                  <w:r>
                    <w:rPr>
                      <w:b/>
                      <w:bCs/>
                      <w:kern w:val="0"/>
                    </w:rPr>
                    <w:t>指标</w:t>
                  </w:r>
                </w:p>
              </w:tc>
              <w:tc>
                <w:tcPr>
                  <w:tcW w:w="1995" w:type="dxa"/>
                  <w:vAlign w:val="center"/>
                </w:tcPr>
                <w:p>
                  <w:pPr>
                    <w:tabs>
                      <w:tab w:val="left" w:pos="1224"/>
                    </w:tabs>
                    <w:spacing w:line="280" w:lineRule="exact"/>
                    <w:ind w:firstLine="0" w:firstLineChars="0"/>
                    <w:jc w:val="center"/>
                    <w:rPr>
                      <w:rFonts w:cs="宋体"/>
                      <w:b/>
                      <w:bCs/>
                      <w:kern w:val="0"/>
                    </w:rPr>
                  </w:pPr>
                  <w:r>
                    <w:rPr>
                      <w:rFonts w:cs="宋体" w:hint="eastAsia"/>
                      <w:b/>
                      <w:bCs/>
                      <w:kern w:val="0"/>
                    </w:rPr>
                    <w:t>Ⅲ</w:t>
                  </w:r>
                  <w:r>
                    <w:rPr>
                      <w:b/>
                      <w:bCs/>
                      <w:kern w:val="0"/>
                    </w:rPr>
                    <w:t>类水域标准</w:t>
                  </w:r>
                </w:p>
              </w:tc>
            </w:tr>
            <w:tr>
              <w:tblPrEx>
                <w:tblW w:w="8153" w:type="dxa"/>
                <w:jc w:val="center"/>
                <w:tblLayout w:type="fixed"/>
                <w:tblCellMar>
                  <w:top w:w="0" w:type="dxa"/>
                  <w:left w:w="108" w:type="dxa"/>
                  <w:bottom w:w="0" w:type="dxa"/>
                  <w:right w:w="108" w:type="dxa"/>
                </w:tblCellMar>
              </w:tblPrEx>
              <w:trPr>
                <w:cantSplit/>
                <w:trHeight w:val="286"/>
                <w:jc w:val="center"/>
              </w:trPr>
              <w:tc>
                <w:tcPr>
                  <w:tcW w:w="2051" w:type="dxa"/>
                  <w:vAlign w:val="center"/>
                </w:tcPr>
                <w:p>
                  <w:pPr>
                    <w:spacing w:line="280" w:lineRule="exact"/>
                    <w:ind w:firstLine="0" w:firstLineChars="0"/>
                    <w:jc w:val="center"/>
                    <w:rPr>
                      <w:bCs/>
                      <w:kern w:val="0"/>
                    </w:rPr>
                  </w:pPr>
                  <w:r>
                    <w:rPr>
                      <w:bCs/>
                      <w:kern w:val="0"/>
                    </w:rPr>
                    <w:t>pH</w:t>
                  </w:r>
                </w:p>
              </w:tc>
              <w:tc>
                <w:tcPr>
                  <w:tcW w:w="1981" w:type="dxa"/>
                  <w:vAlign w:val="center"/>
                </w:tcPr>
                <w:p>
                  <w:pPr>
                    <w:spacing w:line="280" w:lineRule="exact"/>
                    <w:ind w:firstLine="0" w:firstLineChars="0"/>
                    <w:jc w:val="center"/>
                    <w:rPr>
                      <w:bCs/>
                    </w:rPr>
                  </w:pPr>
                  <w:r>
                    <w:rPr>
                      <w:bCs/>
                    </w:rPr>
                    <w:t>6~9</w:t>
                  </w:r>
                </w:p>
              </w:tc>
              <w:tc>
                <w:tcPr>
                  <w:tcW w:w="2126" w:type="dxa"/>
                  <w:vAlign w:val="center"/>
                </w:tcPr>
                <w:p>
                  <w:pPr>
                    <w:spacing w:line="280" w:lineRule="exact"/>
                    <w:ind w:firstLine="0" w:firstLineChars="0"/>
                    <w:jc w:val="center"/>
                    <w:rPr>
                      <w:bCs/>
                      <w:kern w:val="0"/>
                    </w:rPr>
                  </w:pPr>
                  <w:r>
                    <w:rPr>
                      <w:bCs/>
                      <w:kern w:val="0"/>
                    </w:rPr>
                    <w:t>NH</w:t>
                  </w:r>
                  <w:r>
                    <w:rPr>
                      <w:bCs/>
                      <w:kern w:val="0"/>
                      <w:vertAlign w:val="subscript"/>
                    </w:rPr>
                    <w:t>3</w:t>
                  </w:r>
                  <w:r>
                    <w:rPr>
                      <w:bCs/>
                      <w:kern w:val="0"/>
                    </w:rPr>
                    <w:t>-N</w:t>
                  </w:r>
                </w:p>
              </w:tc>
              <w:tc>
                <w:tcPr>
                  <w:tcW w:w="1995" w:type="dxa"/>
                  <w:vAlign w:val="center"/>
                </w:tcPr>
                <w:p>
                  <w:pPr>
                    <w:spacing w:line="280" w:lineRule="exact"/>
                    <w:ind w:firstLine="0" w:firstLineChars="0"/>
                    <w:jc w:val="center"/>
                    <w:rPr>
                      <w:bCs/>
                    </w:rPr>
                  </w:pPr>
                  <w:r>
                    <w:rPr>
                      <w:bCs/>
                      <w:lang w:val="en-GB"/>
                    </w:rPr>
                    <w:t>≤</w:t>
                  </w:r>
                  <w:r>
                    <w:rPr>
                      <w:bCs/>
                    </w:rPr>
                    <w:t>1.0</w:t>
                  </w:r>
                </w:p>
              </w:tc>
            </w:tr>
            <w:tr>
              <w:tblPrEx>
                <w:tblW w:w="8153" w:type="dxa"/>
                <w:jc w:val="center"/>
                <w:tblLayout w:type="fixed"/>
                <w:tblCellMar>
                  <w:top w:w="0" w:type="dxa"/>
                  <w:left w:w="108" w:type="dxa"/>
                  <w:bottom w:w="0" w:type="dxa"/>
                  <w:right w:w="108" w:type="dxa"/>
                </w:tblCellMar>
              </w:tblPrEx>
              <w:trPr>
                <w:cantSplit/>
                <w:trHeight w:val="272"/>
                <w:jc w:val="center"/>
              </w:trPr>
              <w:tc>
                <w:tcPr>
                  <w:tcW w:w="2051" w:type="dxa"/>
                  <w:vAlign w:val="center"/>
                </w:tcPr>
                <w:p>
                  <w:pPr>
                    <w:spacing w:line="280" w:lineRule="exact"/>
                    <w:ind w:firstLine="0" w:firstLineChars="0"/>
                    <w:jc w:val="center"/>
                    <w:rPr>
                      <w:bCs/>
                      <w:kern w:val="0"/>
                    </w:rPr>
                  </w:pPr>
                  <w:r>
                    <w:rPr>
                      <w:bCs/>
                      <w:kern w:val="0"/>
                    </w:rPr>
                    <w:t>BOD</w:t>
                  </w:r>
                  <w:r>
                    <w:rPr>
                      <w:bCs/>
                      <w:kern w:val="0"/>
                      <w:vertAlign w:val="subscript"/>
                    </w:rPr>
                    <w:t>5</w:t>
                  </w:r>
                </w:p>
              </w:tc>
              <w:tc>
                <w:tcPr>
                  <w:tcW w:w="1981" w:type="dxa"/>
                  <w:vAlign w:val="center"/>
                </w:tcPr>
                <w:p>
                  <w:pPr>
                    <w:spacing w:line="280" w:lineRule="exact"/>
                    <w:ind w:firstLine="0" w:firstLineChars="0"/>
                    <w:jc w:val="center"/>
                    <w:rPr>
                      <w:bCs/>
                    </w:rPr>
                  </w:pPr>
                  <w:r>
                    <w:rPr>
                      <w:bCs/>
                      <w:lang w:val="en-GB"/>
                    </w:rPr>
                    <w:t>≤</w:t>
                  </w:r>
                  <w:r>
                    <w:rPr>
                      <w:bCs/>
                    </w:rPr>
                    <w:t>4</w:t>
                  </w:r>
                </w:p>
              </w:tc>
              <w:tc>
                <w:tcPr>
                  <w:tcW w:w="2126" w:type="dxa"/>
                  <w:vAlign w:val="center"/>
                </w:tcPr>
                <w:p>
                  <w:pPr>
                    <w:spacing w:line="280" w:lineRule="exact"/>
                    <w:ind w:firstLine="0" w:firstLineChars="0"/>
                    <w:jc w:val="center"/>
                    <w:rPr>
                      <w:bCs/>
                      <w:kern w:val="0"/>
                    </w:rPr>
                  </w:pPr>
                  <w:r>
                    <w:rPr>
                      <w:bCs/>
                      <w:kern w:val="0"/>
                    </w:rPr>
                    <w:t>总磷</w:t>
                  </w:r>
                </w:p>
              </w:tc>
              <w:tc>
                <w:tcPr>
                  <w:tcW w:w="1995" w:type="dxa"/>
                  <w:vAlign w:val="center"/>
                </w:tcPr>
                <w:p>
                  <w:pPr>
                    <w:spacing w:line="280" w:lineRule="exact"/>
                    <w:ind w:firstLine="0" w:firstLineChars="0"/>
                    <w:jc w:val="center"/>
                    <w:rPr>
                      <w:bCs/>
                    </w:rPr>
                  </w:pPr>
                  <w:r>
                    <w:rPr>
                      <w:bCs/>
                      <w:lang w:val="en-GB"/>
                    </w:rPr>
                    <w:t>≤</w:t>
                  </w:r>
                  <w:r>
                    <w:rPr>
                      <w:bCs/>
                    </w:rPr>
                    <w:t>0.2</w:t>
                  </w:r>
                </w:p>
              </w:tc>
            </w:tr>
            <w:tr>
              <w:tblPrEx>
                <w:tblW w:w="8153" w:type="dxa"/>
                <w:jc w:val="center"/>
                <w:tblLayout w:type="fixed"/>
                <w:tblCellMar>
                  <w:top w:w="0" w:type="dxa"/>
                  <w:left w:w="108" w:type="dxa"/>
                  <w:bottom w:w="0" w:type="dxa"/>
                  <w:right w:w="108" w:type="dxa"/>
                </w:tblCellMar>
              </w:tblPrEx>
              <w:trPr>
                <w:cantSplit/>
                <w:trHeight w:val="195"/>
                <w:jc w:val="center"/>
              </w:trPr>
              <w:tc>
                <w:tcPr>
                  <w:tcW w:w="2051" w:type="dxa"/>
                  <w:vAlign w:val="center"/>
                </w:tcPr>
                <w:p>
                  <w:pPr>
                    <w:spacing w:line="280" w:lineRule="exact"/>
                    <w:ind w:firstLine="0" w:firstLineChars="0"/>
                    <w:jc w:val="center"/>
                    <w:rPr>
                      <w:bCs/>
                      <w:kern w:val="0"/>
                    </w:rPr>
                  </w:pPr>
                  <w:r>
                    <w:rPr>
                      <w:bCs/>
                      <w:kern w:val="0"/>
                    </w:rPr>
                    <w:t>COD</w:t>
                  </w:r>
                </w:p>
              </w:tc>
              <w:tc>
                <w:tcPr>
                  <w:tcW w:w="1981" w:type="dxa"/>
                  <w:vAlign w:val="center"/>
                </w:tcPr>
                <w:p>
                  <w:pPr>
                    <w:spacing w:line="280" w:lineRule="exact"/>
                    <w:ind w:firstLine="0" w:firstLineChars="0"/>
                    <w:jc w:val="center"/>
                    <w:rPr>
                      <w:bCs/>
                    </w:rPr>
                  </w:pPr>
                  <w:r>
                    <w:rPr>
                      <w:bCs/>
                    </w:rPr>
                    <w:t>≤20</w:t>
                  </w:r>
                </w:p>
              </w:tc>
              <w:tc>
                <w:tcPr>
                  <w:tcW w:w="2126" w:type="dxa"/>
                  <w:vAlign w:val="center"/>
                </w:tcPr>
                <w:p>
                  <w:pPr>
                    <w:spacing w:line="280" w:lineRule="exact"/>
                    <w:ind w:firstLine="0" w:firstLineChars="0"/>
                    <w:jc w:val="center"/>
                    <w:rPr>
                      <w:bCs/>
                      <w:kern w:val="0"/>
                    </w:rPr>
                  </w:pPr>
                  <w:r>
                    <w:rPr>
                      <w:bCs/>
                      <w:kern w:val="0"/>
                    </w:rPr>
                    <w:t>石油类</w:t>
                  </w:r>
                </w:p>
              </w:tc>
              <w:tc>
                <w:tcPr>
                  <w:tcW w:w="1995" w:type="dxa"/>
                  <w:vAlign w:val="center"/>
                </w:tcPr>
                <w:p>
                  <w:pPr>
                    <w:spacing w:line="280" w:lineRule="exact"/>
                    <w:ind w:firstLine="0" w:firstLineChars="0"/>
                    <w:jc w:val="center"/>
                    <w:rPr>
                      <w:bCs/>
                      <w:lang w:val="en-GB"/>
                    </w:rPr>
                  </w:pPr>
                  <w:r>
                    <w:rPr>
                      <w:bCs/>
                      <w:lang w:val="en-GB"/>
                    </w:rPr>
                    <w:t>≤</w:t>
                  </w:r>
                  <w:r>
                    <w:rPr>
                      <w:bCs/>
                    </w:rPr>
                    <w:t>0.05</w:t>
                  </w:r>
                </w:p>
              </w:tc>
            </w:tr>
          </w:tbl>
          <w:p>
            <w:pPr>
              <w:pStyle w:val="Heading1"/>
              <w:spacing w:before="156" w:beforeLines="50"/>
              <w:ind w:firstLine="560"/>
              <w:rPr>
                <w:kern w:val="2"/>
                <w:szCs w:val="28"/>
              </w:rPr>
            </w:pPr>
            <w:r>
              <w:rPr>
                <w:rFonts w:hint="eastAsia"/>
                <w:kern w:val="2"/>
                <w:szCs w:val="28"/>
              </w:rPr>
              <w:t>三</w:t>
            </w:r>
            <w:r>
              <w:rPr>
                <w:kern w:val="2"/>
                <w:szCs w:val="28"/>
              </w:rPr>
              <w:t>、声环境</w:t>
            </w:r>
          </w:p>
          <w:p>
            <w:pPr>
              <w:pStyle w:val="a1"/>
              <w:ind w:firstLine="480"/>
            </w:pPr>
            <w:r>
              <w:rPr>
                <w:rFonts w:hint="eastAsia"/>
              </w:rPr>
              <w:t>项目东侧省道S</w:t>
            </w:r>
            <w:r>
              <w:t>203</w:t>
            </w:r>
            <w:r>
              <w:rPr>
                <w:rFonts w:hint="eastAsia"/>
              </w:rPr>
              <w:t>为二级公路，依据《声环境功能区划分规范》（GB/T15190-2014）和</w:t>
            </w:r>
            <w:r>
              <w:t>《声环境质量标准》（GB3096-2008）的有关规定</w:t>
            </w:r>
            <w:r>
              <w:rPr>
                <w:rFonts w:hint="eastAsia"/>
              </w:rPr>
              <w:t>，当临街建筑高于三层楼房以上（含三层）时，将临街建筑面向交通干线一侧至交通干线边界线的区域定为4a类声环境功能区。由于相邻区域为2类声环境功能区，因此本项目S</w:t>
            </w:r>
            <w:r>
              <w:t>203</w:t>
            </w:r>
            <w:r>
              <w:rPr>
                <w:rFonts w:hint="eastAsia"/>
              </w:rPr>
              <w:t>省道两侧35m±5m的范围内执行</w:t>
            </w:r>
            <w:r>
              <w:t>《声环境质量标准》（GB3096-2008）中</w:t>
            </w:r>
            <w:r>
              <w:rPr>
                <w:rFonts w:hint="eastAsia"/>
              </w:rPr>
              <w:t>4a类标准，其余区域执行2类标准，标准限值见下表4-4。</w:t>
            </w:r>
          </w:p>
          <w:p>
            <w:pPr>
              <w:pStyle w:val="a1"/>
              <w:ind w:firstLine="560"/>
              <w:rPr>
                <w:rFonts w:ascii="黑体" w:eastAsia="黑体" w:hAnsi="黑体"/>
                <w:sz w:val="28"/>
              </w:rPr>
            </w:pPr>
          </w:p>
        </w:tc>
      </w:tr>
    </w:tbl>
    <w:p>
      <w:pPr>
        <w:sectPr>
          <w:headerReference w:type="even" r:id="rId411"/>
          <w:headerReference w:type="default" r:id="rId412"/>
          <w:footerReference w:type="even" r:id="rId413"/>
          <w:footerReference w:type="default" r:id="rId414"/>
          <w:headerReference w:type="first" r:id="rId415"/>
          <w:footerReference w:type="first" r:id="rId416"/>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33"/>
          <w:cols w:num="1" w:space="720"/>
          <w:titlePg w:val="0"/>
          <w:docGrid w:type="linesAndChars" w:linePitch="312" w:charSpace="0"/>
        </w:sectPr>
      </w:pPr>
    </w:p>
    <w:p>
      <w:pPr>
        <w:sectPr>
          <w:headerReference w:type="even" r:id="rId417"/>
          <w:headerReference w:type="default" r:id="rId418"/>
          <w:footerReference w:type="even" r:id="rId419"/>
          <w:footerReference w:type="default" r:id="rId420"/>
          <w:headerReference w:type="first" r:id="rId421"/>
          <w:footerReference w:type="first" r:id="rId422"/>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299" w:type="dxa"/>
        <w:tblInd w:w="0" w:type="dxa"/>
        <w:tblBorders>
          <w:top w:val="none" w:sz="0" w:space="0" w:color="auto"/>
          <w:left w:val="none" w:sz="0" w:space="0" w:color="auto"/>
          <w:bottom w:val="none" w:sz="0" w:space="0" w:color="auto"/>
          <w:right w:val="none" w:sz="0" w:space="0" w:color="auto"/>
          <w:insideH w:val="single" w:sz="2" w:space="0" w:color="auto"/>
          <w:insideV w:val="single" w:sz="2" w:space="0" w:color="auto"/>
        </w:tblBorders>
        <w:tblLayout w:type="fixed"/>
        <w:tblCellMar>
          <w:top w:w="0" w:type="dxa"/>
          <w:left w:w="108" w:type="dxa"/>
          <w:bottom w:w="0" w:type="dxa"/>
          <w:right w:w="108" w:type="dxa"/>
        </w:tblCellMar>
      </w:tblPr>
      <w:tblGrid>
        <w:gridCol w:w="930"/>
        <w:gridCol w:w="8369"/>
      </w:tblGrid>
      <w:tr>
        <w:tblPrEx>
          <w:tblW w:w="9299" w:type="dxa"/>
          <w:tblInd w:w="0" w:type="dxa"/>
          <w:tblBorders>
            <w:top w:val="none" w:sz="0" w:space="0" w:color="auto"/>
            <w:left w:val="none" w:sz="0" w:space="0" w:color="auto"/>
            <w:bottom w:val="none" w:sz="0" w:space="0" w:color="auto"/>
            <w:right w:val="none" w:sz="0" w:space="0" w:color="auto"/>
            <w:insideH w:val="single" w:sz="2" w:space="0" w:color="auto"/>
            <w:insideV w:val="single" w:sz="2" w:space="0" w:color="auto"/>
          </w:tblBorders>
          <w:tblLayout w:type="fixed"/>
          <w:tblCellMar>
            <w:top w:w="0" w:type="dxa"/>
            <w:left w:w="108" w:type="dxa"/>
            <w:bottom w:w="0" w:type="dxa"/>
            <w:right w:w="108" w:type="dxa"/>
          </w:tblCellMar>
        </w:tblPrEx>
        <w:trPr>
          <w:cantSplit/>
          <w:trHeight w:val="13798"/>
        </w:trPr>
        <w:tc>
          <w:tcPr>
            <w:tcW w:w="930" w:type="dxa"/>
            <w:textDirection w:val="tbRlV"/>
            <w:vAlign w:val="center"/>
          </w:tcPr>
          <w:p>
            <w:pPr>
              <w:ind w:firstLine="0" w:firstLineChars="0"/>
              <w:jc w:val="center"/>
              <w:rPr>
                <w:b/>
                <w:bCs/>
                <w:sz w:val="28"/>
                <w:szCs w:val="24"/>
              </w:rPr>
            </w:pPr>
          </w:p>
        </w:tc>
        <w:tc>
          <w:tcPr>
            <w:tcW w:w="8369" w:type="dxa"/>
            <w:tcBorders>
              <w:bottom w:val="single" w:sz="4" w:space="0" w:color="auto"/>
            </w:tcBorders>
          </w:tcPr>
          <w:p>
            <w:pPr>
              <w:pStyle w:val="a1"/>
              <w:ind w:firstLine="0" w:firstLineChars="0"/>
              <w:jc w:val="center"/>
              <w:rPr>
                <w:rFonts w:eastAsia="黑体"/>
                <w:sz w:val="21"/>
                <w:szCs w:val="21"/>
              </w:rPr>
            </w:pPr>
            <w:r>
              <w:rPr>
                <w:rFonts w:eastAsia="黑体" w:hint="eastAsia"/>
                <w:sz w:val="21"/>
                <w:szCs w:val="21"/>
              </w:rPr>
              <w:t>表4-4  环境噪声标准限值  单位：dB（A）</w:t>
            </w:r>
          </w:p>
          <w:tbl>
            <w:tblPr>
              <w:tblStyle w:val="TableNormal"/>
              <w:tblW w:w="8153"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2614"/>
              <w:gridCol w:w="2835"/>
              <w:gridCol w:w="2704"/>
            </w:tblGrid>
            <w:tr>
              <w:tblPrEx>
                <w:tblW w:w="8153"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23"/>
                <w:jc w:val="center"/>
              </w:trPr>
              <w:tc>
                <w:tcPr>
                  <w:tcW w:w="2614" w:type="dxa"/>
                  <w:tcBorders>
                    <w:tl2br w:val="single" w:sz="4" w:space="0" w:color="auto"/>
                  </w:tcBorders>
                  <w:vAlign w:val="center"/>
                </w:tcPr>
                <w:p>
                  <w:pPr>
                    <w:autoSpaceDE w:val="0"/>
                    <w:autoSpaceDN w:val="0"/>
                    <w:spacing w:line="280" w:lineRule="exact"/>
                    <w:ind w:firstLine="0" w:firstLineChars="0"/>
                    <w:jc w:val="right"/>
                    <w:rPr>
                      <w:rFonts w:eastAsia="黑体" w:cs="黑体"/>
                      <w:b/>
                      <w:bCs/>
                      <w:kern w:val="0"/>
                      <w:lang w:val="zh-CN"/>
                    </w:rPr>
                  </w:pPr>
                  <w:r>
                    <w:rPr>
                      <w:rFonts w:eastAsia="黑体" w:cs="黑体"/>
                      <w:b/>
                      <w:bCs/>
                      <w:kern w:val="0"/>
                    </w:rPr>
                    <w:pict>
                      <v:group id="__TH_G12五号122" o:spid="_x0000_s1034" style="width:130.7pt;height:16.15pt;margin-top:0;margin-left:-5.4pt;mso-height-relative:page;mso-width-relative:page;position:absolute;z-index:251667456" coordorigin="2234,1743" coordsize="2614,323203">
                        <v:line id="__TH_L119" o:spid="_x0000_s1035" style="position:absolute" from="2234,1743" to="4848,2066" coordsize="21600,21600"/>
                        <v:shape id="__TH_B11120" o:spid="_x0000_s1036" type="#_x0000_t202" style="width:252;height:263;left:3952;position:absolute;top:1743" coordsize="21600,21600" filled="f" stroked="f">
                          <v:stroke joinstyle="miter"/>
                          <v:textbox inset="0,0,0,0">
                            <w:txbxContent>
                              <w:p>
                                <w:pPr>
                                  <w:snapToGrid w:val="0"/>
                                  <w:ind w:firstLine="420"/>
                                  <w:rPr>
                                    <w:color w:val="FF0000"/>
                                  </w:rPr>
                                </w:pPr>
                                <w:r>
                                  <w:rPr>
                                    <w:rFonts w:hint="eastAsia"/>
                                    <w:color w:val="FF0000"/>
                                  </w:rPr>
                                  <w:t>类</w:t>
                                </w:r>
                              </w:p>
                            </w:txbxContent>
                          </v:textbox>
                        </v:shape>
                        <v:shape id="__TH_B12121" o:spid="_x0000_s1037" type="#_x0000_t202" style="width:252;height:263;left:4381;position:absolute;top:1796" coordsize="21600,21600" filled="f" stroked="f">
                          <v:stroke joinstyle="miter"/>
                          <v:textbox inset="0,0,0,0">
                            <w:txbxContent>
                              <w:p>
                                <w:pPr>
                                  <w:snapToGrid w:val="0"/>
                                  <w:ind w:firstLine="420"/>
                                  <w:rPr>
                                    <w:color w:val="FF0000"/>
                                  </w:rPr>
                                </w:pPr>
                                <w:r>
                                  <w:rPr>
                                    <w:rFonts w:hint="eastAsia"/>
                                    <w:color w:val="FF0000"/>
                                  </w:rPr>
                                  <w:t>别</w:t>
                                </w:r>
                              </w:p>
                            </w:txbxContent>
                          </v:textbox>
                        </v:shape>
                      </v:group>
                    </w:pict>
                  </w:r>
                  <w:r>
                    <w:rPr>
                      <w:rFonts w:eastAsia="黑体" w:cs="黑体"/>
                      <w:b/>
                      <w:bCs/>
                      <w:kern w:val="0"/>
                      <w:lang w:val="zh-CN"/>
                    </w:rPr>
                    <w:t>时段</w:t>
                  </w:r>
                </w:p>
                <w:p>
                  <w:pPr>
                    <w:autoSpaceDE w:val="0"/>
                    <w:autoSpaceDN w:val="0"/>
                    <w:spacing w:line="280" w:lineRule="exact"/>
                    <w:ind w:firstLine="0" w:firstLineChars="0"/>
                    <w:jc w:val="left"/>
                    <w:rPr>
                      <w:rFonts w:eastAsia="黑体" w:cs="黑体"/>
                      <w:bCs/>
                      <w:kern w:val="0"/>
                      <w:lang w:val="zh-CN"/>
                    </w:rPr>
                  </w:pPr>
                  <w:r>
                    <w:rPr>
                      <w:rFonts w:eastAsia="黑体" w:cs="黑体" w:hint="eastAsia"/>
                      <w:b/>
                      <w:bCs/>
                      <w:kern w:val="0"/>
                      <w:lang w:val="zh-CN"/>
                    </w:rPr>
                    <w:t>声环境功能区类别</w:t>
                  </w:r>
                </w:p>
              </w:tc>
              <w:tc>
                <w:tcPr>
                  <w:tcW w:w="2835" w:type="dxa"/>
                  <w:vAlign w:val="center"/>
                </w:tcPr>
                <w:p>
                  <w:pPr>
                    <w:autoSpaceDE w:val="0"/>
                    <w:autoSpaceDN w:val="0"/>
                    <w:spacing w:line="280" w:lineRule="exact"/>
                    <w:ind w:firstLine="0" w:firstLineChars="0"/>
                    <w:jc w:val="center"/>
                    <w:rPr>
                      <w:rFonts w:eastAsia="黑体" w:cs="黑体"/>
                      <w:bCs/>
                      <w:kern w:val="0"/>
                      <w:lang w:val="zh-CN"/>
                    </w:rPr>
                  </w:pPr>
                  <w:r>
                    <w:rPr>
                      <w:b/>
                      <w:kern w:val="0"/>
                    </w:rPr>
                    <w:t>昼间</w:t>
                  </w:r>
                </w:p>
              </w:tc>
              <w:tc>
                <w:tcPr>
                  <w:tcW w:w="2704" w:type="dxa"/>
                  <w:vAlign w:val="center"/>
                </w:tcPr>
                <w:p>
                  <w:pPr>
                    <w:autoSpaceDE w:val="0"/>
                    <w:autoSpaceDN w:val="0"/>
                    <w:spacing w:line="280" w:lineRule="exact"/>
                    <w:ind w:firstLine="0" w:firstLineChars="0"/>
                    <w:jc w:val="center"/>
                    <w:rPr>
                      <w:rFonts w:eastAsia="黑体" w:cs="黑体"/>
                      <w:bCs/>
                      <w:kern w:val="0"/>
                      <w:lang w:val="zh-CN"/>
                    </w:rPr>
                  </w:pPr>
                  <w:r>
                    <w:rPr>
                      <w:b/>
                      <w:kern w:val="0"/>
                    </w:rPr>
                    <w:t>夜间</w:t>
                  </w:r>
                </w:p>
              </w:tc>
            </w:tr>
            <w:tr>
              <w:tblPrEx>
                <w:tblW w:w="8153" w:type="dxa"/>
                <w:jc w:val="center"/>
                <w:tblLayout w:type="fixed"/>
                <w:tblCellMar>
                  <w:top w:w="0" w:type="dxa"/>
                  <w:left w:w="108" w:type="dxa"/>
                  <w:bottom w:w="0" w:type="dxa"/>
                  <w:right w:w="108" w:type="dxa"/>
                </w:tblCellMar>
              </w:tblPrEx>
              <w:trPr>
                <w:trHeight w:val="340"/>
                <w:jc w:val="center"/>
              </w:trPr>
              <w:tc>
                <w:tcPr>
                  <w:tcW w:w="2614" w:type="dxa"/>
                  <w:vAlign w:val="center"/>
                </w:tcPr>
                <w:p>
                  <w:pPr>
                    <w:autoSpaceDE w:val="0"/>
                    <w:autoSpaceDN w:val="0"/>
                    <w:spacing w:line="280" w:lineRule="exact"/>
                    <w:ind w:firstLine="0" w:firstLineChars="0"/>
                    <w:jc w:val="center"/>
                    <w:rPr>
                      <w:rFonts w:eastAsia="黑体" w:cs="黑体"/>
                      <w:bCs/>
                      <w:kern w:val="0"/>
                      <w:lang w:val="zh-CN"/>
                    </w:rPr>
                  </w:pPr>
                  <w:r>
                    <w:rPr>
                      <w:rFonts w:eastAsia="黑体" w:cs="黑体" w:hint="eastAsia"/>
                      <w:bCs/>
                      <w:kern w:val="0"/>
                      <w:lang w:val="zh-CN"/>
                    </w:rPr>
                    <w:t>2类</w:t>
                  </w:r>
                </w:p>
              </w:tc>
              <w:tc>
                <w:tcPr>
                  <w:tcW w:w="2835" w:type="dxa"/>
                  <w:vAlign w:val="center"/>
                </w:tcPr>
                <w:p>
                  <w:pPr>
                    <w:autoSpaceDE w:val="0"/>
                    <w:autoSpaceDN w:val="0"/>
                    <w:spacing w:line="280" w:lineRule="exact"/>
                    <w:ind w:firstLine="0" w:firstLineChars="0"/>
                    <w:jc w:val="center"/>
                    <w:rPr>
                      <w:rFonts w:eastAsia="黑体" w:cs="黑体"/>
                      <w:bCs/>
                      <w:kern w:val="0"/>
                      <w:lang w:val="zh-CN"/>
                    </w:rPr>
                  </w:pPr>
                  <w:r>
                    <w:rPr>
                      <w:rFonts w:eastAsia="黑体" w:cs="黑体" w:hint="eastAsia"/>
                      <w:bCs/>
                      <w:kern w:val="0"/>
                      <w:lang w:val="zh-CN"/>
                    </w:rPr>
                    <w:t>60</w:t>
                  </w:r>
                </w:p>
              </w:tc>
              <w:tc>
                <w:tcPr>
                  <w:tcW w:w="2704" w:type="dxa"/>
                  <w:vAlign w:val="center"/>
                </w:tcPr>
                <w:p>
                  <w:pPr>
                    <w:autoSpaceDE w:val="0"/>
                    <w:autoSpaceDN w:val="0"/>
                    <w:spacing w:line="280" w:lineRule="exact"/>
                    <w:ind w:firstLine="0" w:firstLineChars="0"/>
                    <w:jc w:val="center"/>
                    <w:rPr>
                      <w:rFonts w:eastAsia="黑体" w:cs="黑体"/>
                      <w:bCs/>
                      <w:kern w:val="0"/>
                      <w:lang w:val="zh-CN"/>
                    </w:rPr>
                  </w:pPr>
                  <w:r>
                    <w:rPr>
                      <w:rFonts w:eastAsia="黑体" w:cs="黑体" w:hint="eastAsia"/>
                      <w:bCs/>
                      <w:kern w:val="0"/>
                      <w:lang w:val="zh-CN"/>
                    </w:rPr>
                    <w:t>50</w:t>
                  </w:r>
                </w:p>
              </w:tc>
            </w:tr>
            <w:tr>
              <w:tblPrEx>
                <w:tblW w:w="8153" w:type="dxa"/>
                <w:jc w:val="center"/>
                <w:tblLayout w:type="fixed"/>
                <w:tblCellMar>
                  <w:top w:w="0" w:type="dxa"/>
                  <w:left w:w="108" w:type="dxa"/>
                  <w:bottom w:w="0" w:type="dxa"/>
                  <w:right w:w="108" w:type="dxa"/>
                </w:tblCellMar>
              </w:tblPrEx>
              <w:trPr>
                <w:trHeight w:val="340"/>
                <w:jc w:val="center"/>
              </w:trPr>
              <w:tc>
                <w:tcPr>
                  <w:tcW w:w="2614" w:type="dxa"/>
                  <w:vAlign w:val="center"/>
                </w:tcPr>
                <w:p>
                  <w:pPr>
                    <w:autoSpaceDE w:val="0"/>
                    <w:autoSpaceDN w:val="0"/>
                    <w:spacing w:line="280" w:lineRule="exact"/>
                    <w:ind w:firstLine="0" w:firstLineChars="0"/>
                    <w:jc w:val="center"/>
                    <w:rPr>
                      <w:rFonts w:eastAsia="黑体" w:cs="黑体"/>
                      <w:bCs/>
                      <w:kern w:val="0"/>
                      <w:lang w:val="zh-CN"/>
                    </w:rPr>
                  </w:pPr>
                  <w:r>
                    <w:rPr>
                      <w:rFonts w:eastAsia="黑体" w:cs="黑体" w:hint="eastAsia"/>
                      <w:bCs/>
                      <w:kern w:val="0"/>
                      <w:lang w:val="zh-CN"/>
                    </w:rPr>
                    <w:t>4a类</w:t>
                  </w:r>
                </w:p>
              </w:tc>
              <w:tc>
                <w:tcPr>
                  <w:tcW w:w="2835" w:type="dxa"/>
                  <w:vAlign w:val="center"/>
                </w:tcPr>
                <w:p>
                  <w:pPr>
                    <w:autoSpaceDE w:val="0"/>
                    <w:autoSpaceDN w:val="0"/>
                    <w:spacing w:line="280" w:lineRule="exact"/>
                    <w:ind w:firstLine="0" w:firstLineChars="0"/>
                    <w:jc w:val="center"/>
                    <w:rPr>
                      <w:rFonts w:eastAsia="黑体" w:cs="黑体"/>
                      <w:bCs/>
                      <w:kern w:val="0"/>
                      <w:lang w:val="zh-CN"/>
                    </w:rPr>
                  </w:pPr>
                  <w:r>
                    <w:rPr>
                      <w:rFonts w:hint="eastAsia"/>
                      <w:kern w:val="0"/>
                    </w:rPr>
                    <w:t>70</w:t>
                  </w:r>
                </w:p>
              </w:tc>
              <w:tc>
                <w:tcPr>
                  <w:tcW w:w="2704" w:type="dxa"/>
                  <w:vAlign w:val="center"/>
                </w:tcPr>
                <w:p>
                  <w:pPr>
                    <w:autoSpaceDE w:val="0"/>
                    <w:autoSpaceDN w:val="0"/>
                    <w:spacing w:line="280" w:lineRule="exact"/>
                    <w:ind w:firstLine="0" w:firstLineChars="0"/>
                    <w:jc w:val="center"/>
                    <w:rPr>
                      <w:rFonts w:eastAsia="黑体" w:cs="黑体"/>
                      <w:bCs/>
                      <w:kern w:val="0"/>
                      <w:lang w:val="zh-CN"/>
                    </w:rPr>
                  </w:pPr>
                  <w:r>
                    <w:rPr>
                      <w:kern w:val="0"/>
                    </w:rPr>
                    <w:t>5</w:t>
                  </w:r>
                  <w:r>
                    <w:rPr>
                      <w:rFonts w:hint="eastAsia"/>
                      <w:kern w:val="0"/>
                    </w:rPr>
                    <w:t>5</w:t>
                  </w:r>
                </w:p>
              </w:tc>
            </w:tr>
          </w:tbl>
          <w:p>
            <w:pPr>
              <w:pStyle w:val="Heading1"/>
              <w:ind w:firstLine="482"/>
              <w:rPr>
                <w:b/>
                <w:bCs/>
                <w:sz w:val="24"/>
                <w:szCs w:val="24"/>
              </w:rPr>
            </w:pPr>
          </w:p>
        </w:tc>
      </w:tr>
    </w:tbl>
    <w:p>
      <w:pPr>
        <w:sectPr>
          <w:headerReference w:type="even" r:id="rId423"/>
          <w:headerReference w:type="default" r:id="rId424"/>
          <w:footerReference w:type="even" r:id="rId425"/>
          <w:footerReference w:type="default" r:id="rId426"/>
          <w:headerReference w:type="first" r:id="rId427"/>
          <w:footerReference w:type="first" r:id="rId428"/>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34"/>
          <w:cols w:num="1" w:space="720"/>
          <w:titlePg w:val="0"/>
          <w:docGrid w:type="linesAndChars" w:linePitch="312" w:charSpace="0"/>
        </w:sectPr>
      </w:pPr>
    </w:p>
    <w:p>
      <w:pPr>
        <w:sectPr>
          <w:headerReference w:type="even" r:id="rId429"/>
          <w:headerReference w:type="default" r:id="rId430"/>
          <w:footerReference w:type="even" r:id="rId431"/>
          <w:footerReference w:type="default" r:id="rId432"/>
          <w:headerReference w:type="first" r:id="rId433"/>
          <w:footerReference w:type="first" r:id="rId434"/>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299" w:type="dxa"/>
        <w:tblInd w:w="0" w:type="dxa"/>
        <w:tblBorders>
          <w:top w:val="none" w:sz="0" w:space="0" w:color="auto"/>
          <w:left w:val="none" w:sz="0" w:space="0" w:color="auto"/>
          <w:bottom w:val="none" w:sz="0" w:space="0" w:color="auto"/>
          <w:right w:val="none" w:sz="0" w:space="0" w:color="auto"/>
          <w:insideH w:val="single" w:sz="2" w:space="0" w:color="auto"/>
          <w:insideV w:val="single" w:sz="2" w:space="0" w:color="auto"/>
        </w:tblBorders>
        <w:tblLayout w:type="fixed"/>
        <w:tblCellMar>
          <w:top w:w="0" w:type="dxa"/>
          <w:left w:w="108" w:type="dxa"/>
          <w:bottom w:w="0" w:type="dxa"/>
          <w:right w:w="108" w:type="dxa"/>
        </w:tblCellMar>
      </w:tblPr>
      <w:tblGrid>
        <w:gridCol w:w="930"/>
        <w:gridCol w:w="8369"/>
      </w:tblGrid>
      <w:tr>
        <w:tblPrEx>
          <w:tblW w:w="9299" w:type="dxa"/>
          <w:tblInd w:w="0" w:type="dxa"/>
          <w:tblBorders>
            <w:top w:val="none" w:sz="0" w:space="0" w:color="auto"/>
            <w:left w:val="none" w:sz="0" w:space="0" w:color="auto"/>
            <w:bottom w:val="none" w:sz="0" w:space="0" w:color="auto"/>
            <w:right w:val="none" w:sz="0" w:space="0" w:color="auto"/>
            <w:insideH w:val="single" w:sz="2" w:space="0" w:color="auto"/>
            <w:insideV w:val="single" w:sz="2" w:space="0" w:color="auto"/>
          </w:tblBorders>
          <w:tblLayout w:type="fixed"/>
          <w:tblCellMar>
            <w:top w:w="0" w:type="dxa"/>
            <w:left w:w="108" w:type="dxa"/>
            <w:bottom w:w="0" w:type="dxa"/>
            <w:right w:w="108" w:type="dxa"/>
          </w:tblCellMar>
        </w:tblPrEx>
        <w:trPr>
          <w:cantSplit/>
          <w:trHeight w:val="12627"/>
        </w:trPr>
        <w:tc>
          <w:tcPr>
            <w:tcW w:w="930" w:type="dxa"/>
            <w:tcBorders>
              <w:top w:val="single" w:sz="4" w:space="0" w:color="auto"/>
            </w:tcBorders>
            <w:textDirection w:val="tbRlV"/>
            <w:vAlign w:val="center"/>
          </w:tcPr>
          <w:p>
            <w:pPr>
              <w:ind w:left="113" w:right="113" w:firstLine="0" w:firstLineChars="0"/>
              <w:jc w:val="center"/>
              <w:rPr>
                <w:b/>
                <w:bCs/>
                <w:sz w:val="24"/>
                <w:szCs w:val="24"/>
              </w:rPr>
            </w:pPr>
            <w:r>
              <w:rPr>
                <w:rFonts w:hint="eastAsia"/>
                <w:b/>
                <w:bCs/>
                <w:sz w:val="28"/>
                <w:szCs w:val="24"/>
              </w:rPr>
              <w:t>污染物排放标准</w:t>
            </w:r>
          </w:p>
        </w:tc>
        <w:tc>
          <w:tcPr>
            <w:tcW w:w="8369" w:type="dxa"/>
            <w:tcBorders>
              <w:top w:val="single" w:sz="4" w:space="0" w:color="auto"/>
              <w:bottom w:val="single" w:sz="4" w:space="0" w:color="auto"/>
            </w:tcBorders>
          </w:tcPr>
          <w:p>
            <w:pPr>
              <w:pStyle w:val="Heading1"/>
              <w:ind w:firstLine="560"/>
              <w:rPr>
                <w:kern w:val="2"/>
                <w:szCs w:val="28"/>
              </w:rPr>
            </w:pPr>
            <w:r>
              <w:rPr>
                <w:rFonts w:hint="eastAsia"/>
                <w:kern w:val="2"/>
                <w:szCs w:val="28"/>
              </w:rPr>
              <w:t>一</w:t>
            </w:r>
            <w:r>
              <w:rPr>
                <w:kern w:val="2"/>
                <w:szCs w:val="28"/>
              </w:rPr>
              <w:t>、废气</w:t>
            </w:r>
          </w:p>
          <w:p>
            <w:pPr>
              <w:pStyle w:val="a1"/>
              <w:ind w:firstLine="480"/>
            </w:pPr>
            <w:r>
              <w:rPr>
                <w:rFonts w:hint="eastAsia"/>
              </w:rPr>
              <w:t>项目运营期废气主要为液化石油气槽车卸气、灌装时逸出的无组织废气，主要为非甲烷总烃；柴油发电机临时发电产生的废气，主要污染物为SO</w:t>
            </w:r>
            <w:r>
              <w:rPr>
                <w:rFonts w:hint="eastAsia"/>
                <w:vertAlign w:val="subscript"/>
              </w:rPr>
              <w:t>2</w:t>
            </w:r>
            <w:r>
              <w:rPr>
                <w:rFonts w:hint="eastAsia"/>
              </w:rPr>
              <w:t>、NO</w:t>
            </w:r>
            <w:r>
              <w:rPr>
                <w:rFonts w:hint="eastAsia"/>
                <w:vertAlign w:val="subscript"/>
              </w:rPr>
              <w:t>X</w:t>
            </w:r>
            <w:r>
              <w:rPr>
                <w:rFonts w:hint="eastAsia"/>
              </w:rPr>
              <w:t>、颗粒物；均执行</w:t>
            </w:r>
            <w:r>
              <w:t>《</w:t>
            </w:r>
            <w:r>
              <w:rPr>
                <w:rFonts w:hint="eastAsia"/>
              </w:rPr>
              <w:t>大气污染物</w:t>
            </w:r>
            <w:r>
              <w:t>综合排放标准》</w:t>
            </w:r>
            <w:r>
              <w:rPr>
                <w:rFonts w:hint="eastAsia"/>
              </w:rPr>
              <w:t>（GB16297-1996）中二级标准，</w:t>
            </w:r>
            <w:r>
              <w:t>详见表</w:t>
            </w:r>
            <w:r>
              <w:rPr>
                <w:rFonts w:hint="eastAsia"/>
              </w:rPr>
              <w:t>4-5</w:t>
            </w:r>
            <w:r>
              <w:t>。食堂油烟废气执行《饮食业油烟排放标准（试行）》中标准限值</w:t>
            </w:r>
            <w:r>
              <w:rPr>
                <w:rFonts w:hint="eastAsia"/>
              </w:rPr>
              <w:t>，</w:t>
            </w:r>
            <w:r>
              <w:t>见表</w:t>
            </w:r>
            <w:r>
              <w:rPr>
                <w:rFonts w:hint="eastAsia"/>
              </w:rPr>
              <w:t>4-6</w:t>
            </w:r>
            <w:r>
              <w:t>；</w:t>
            </w:r>
          </w:p>
          <w:p>
            <w:pPr>
              <w:pStyle w:val="a1"/>
              <w:ind w:firstLine="0" w:firstLineChars="0"/>
              <w:jc w:val="center"/>
              <w:rPr>
                <w:rFonts w:eastAsia="黑体"/>
                <w:sz w:val="21"/>
                <w:szCs w:val="21"/>
              </w:rPr>
            </w:pPr>
            <w:r>
              <w:rPr>
                <w:rFonts w:eastAsia="黑体"/>
                <w:sz w:val="21"/>
                <w:szCs w:val="21"/>
              </w:rPr>
              <w:t>表4-</w:t>
            </w:r>
            <w:r>
              <w:rPr>
                <w:rFonts w:eastAsia="黑体" w:hint="eastAsia"/>
                <w:sz w:val="21"/>
                <w:szCs w:val="21"/>
              </w:rPr>
              <w:t xml:space="preserve">5  </w:t>
            </w:r>
            <w:r>
              <w:rPr>
                <w:rFonts w:eastAsia="黑体"/>
                <w:sz w:val="21"/>
                <w:szCs w:val="21"/>
              </w:rPr>
              <w:t>《</w:t>
            </w:r>
            <w:r>
              <w:rPr>
                <w:rFonts w:eastAsia="黑体" w:hint="eastAsia"/>
                <w:sz w:val="21"/>
                <w:szCs w:val="21"/>
              </w:rPr>
              <w:t>大气污染物</w:t>
            </w:r>
            <w:r>
              <w:rPr>
                <w:rFonts w:eastAsia="黑体"/>
                <w:sz w:val="21"/>
                <w:szCs w:val="21"/>
              </w:rPr>
              <w:t>综合排放标准》</w:t>
            </w:r>
            <w:r>
              <w:rPr>
                <w:rFonts w:eastAsia="黑体" w:hint="eastAsia"/>
                <w:sz w:val="21"/>
                <w:szCs w:val="21"/>
              </w:rPr>
              <w:t>（GB16297-1996）二级</w:t>
            </w:r>
            <w:r>
              <w:rPr>
                <w:rFonts w:eastAsia="黑体"/>
                <w:sz w:val="21"/>
                <w:szCs w:val="21"/>
              </w:rPr>
              <w:t>标准</w:t>
            </w:r>
          </w:p>
          <w:tbl>
            <w:tblPr>
              <w:tblStyle w:val="TableNormal"/>
              <w:tblW w:w="8153" w:type="dxa"/>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
            <w:tblGrid>
              <w:gridCol w:w="1480"/>
              <w:gridCol w:w="2410"/>
              <w:gridCol w:w="2410"/>
              <w:gridCol w:w="1853"/>
            </w:tblGrid>
            <w:tr>
              <w:tblPrEx>
                <w:tblW w:w="8153" w:type="dxa"/>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Ex>
              <w:trPr>
                <w:trHeight w:val="292"/>
              </w:trPr>
              <w:tc>
                <w:tcPr>
                  <w:tcW w:w="1480" w:type="dxa"/>
                  <w:vMerge w:val="restart"/>
                  <w:vAlign w:val="center"/>
                </w:tcPr>
                <w:p>
                  <w:pPr>
                    <w:pStyle w:val="a8"/>
                    <w:adjustRightInd w:val="0"/>
                    <w:snapToGrid w:val="0"/>
                    <w:spacing w:line="280" w:lineRule="exact"/>
                    <w:ind w:left="0" w:leftChars="0"/>
                    <w:jc w:val="center"/>
                    <w:rPr>
                      <w:rFonts w:ascii="Times New Roman" w:hAnsi="Times New Roman" w:eastAsiaTheme="minorEastAsia"/>
                      <w:b/>
                    </w:rPr>
                  </w:pPr>
                  <w:r>
                    <w:rPr>
                      <w:rFonts w:ascii="Times New Roman" w:hAnsi="Times New Roman" w:eastAsiaTheme="minorEastAsia"/>
                      <w:b/>
                    </w:rPr>
                    <w:t>污染物</w:t>
                  </w:r>
                </w:p>
              </w:tc>
              <w:tc>
                <w:tcPr>
                  <w:tcW w:w="2410" w:type="dxa"/>
                  <w:vMerge w:val="restart"/>
                  <w:vAlign w:val="center"/>
                </w:tcPr>
                <w:p>
                  <w:pPr>
                    <w:pStyle w:val="a8"/>
                    <w:adjustRightInd w:val="0"/>
                    <w:snapToGrid w:val="0"/>
                    <w:spacing w:line="280" w:lineRule="exact"/>
                    <w:ind w:left="0" w:leftChars="0"/>
                    <w:jc w:val="center"/>
                    <w:rPr>
                      <w:rFonts w:ascii="Times New Roman" w:hAnsi="Times New Roman" w:eastAsiaTheme="minorEastAsia"/>
                      <w:b/>
                    </w:rPr>
                  </w:pPr>
                  <w:r>
                    <w:rPr>
                      <w:rFonts w:ascii="Times New Roman" w:hAnsi="Times New Roman" w:eastAsiaTheme="minorEastAsia"/>
                      <w:b/>
                    </w:rPr>
                    <w:t>最高允许排放浓度</w:t>
                  </w:r>
                </w:p>
                <w:p>
                  <w:pPr>
                    <w:pStyle w:val="a8"/>
                    <w:adjustRightInd w:val="0"/>
                    <w:snapToGrid w:val="0"/>
                    <w:spacing w:line="280" w:lineRule="exact"/>
                    <w:ind w:left="0" w:leftChars="0"/>
                    <w:jc w:val="center"/>
                    <w:rPr>
                      <w:rFonts w:ascii="Times New Roman" w:hAnsi="Times New Roman" w:eastAsiaTheme="minorEastAsia"/>
                      <w:b/>
                    </w:rPr>
                  </w:pPr>
                  <w:r>
                    <w:rPr>
                      <w:rFonts w:ascii="Times New Roman" w:hAnsi="Times New Roman" w:eastAsiaTheme="minorEastAsia" w:hint="eastAsia"/>
                      <w:b/>
                    </w:rPr>
                    <w:t>（mg/m</w:t>
                  </w:r>
                  <w:r>
                    <w:rPr>
                      <w:rFonts w:ascii="Times New Roman" w:hAnsi="Times New Roman" w:eastAsiaTheme="minorEastAsia" w:hint="eastAsia"/>
                      <w:b/>
                      <w:vertAlign w:val="superscript"/>
                    </w:rPr>
                    <w:t>3</w:t>
                  </w:r>
                  <w:r>
                    <w:rPr>
                      <w:rFonts w:ascii="Times New Roman" w:hAnsi="Times New Roman" w:eastAsiaTheme="minorEastAsia" w:hint="eastAsia"/>
                      <w:b/>
                    </w:rPr>
                    <w:t>）</w:t>
                  </w:r>
                </w:p>
              </w:tc>
              <w:tc>
                <w:tcPr>
                  <w:tcW w:w="4263" w:type="dxa"/>
                  <w:gridSpan w:val="2"/>
                  <w:vAlign w:val="center"/>
                </w:tcPr>
                <w:p>
                  <w:pPr>
                    <w:pStyle w:val="a8"/>
                    <w:adjustRightInd w:val="0"/>
                    <w:snapToGrid w:val="0"/>
                    <w:spacing w:line="280" w:lineRule="exact"/>
                    <w:ind w:left="0" w:leftChars="0"/>
                    <w:jc w:val="center"/>
                    <w:rPr>
                      <w:rFonts w:ascii="Times New Roman" w:hAnsi="Times New Roman" w:eastAsiaTheme="minorEastAsia"/>
                      <w:b/>
                    </w:rPr>
                  </w:pPr>
                  <w:r>
                    <w:rPr>
                      <w:rFonts w:ascii="Times New Roman" w:hAnsi="Times New Roman" w:eastAsiaTheme="minorEastAsia"/>
                      <w:b/>
                    </w:rPr>
                    <w:t>无组织排放监控浓度限值</w:t>
                  </w:r>
                </w:p>
              </w:tc>
            </w:tr>
            <w:tr>
              <w:tblPrEx>
                <w:tblW w:w="8153" w:type="dxa"/>
                <w:tblInd w:w="0" w:type="dxa"/>
                <w:tblLayout w:type="fixed"/>
                <w:tblCellMar>
                  <w:top w:w="0" w:type="dxa"/>
                  <w:left w:w="108" w:type="dxa"/>
                  <w:bottom w:w="0" w:type="dxa"/>
                  <w:right w:w="108" w:type="dxa"/>
                </w:tblCellMar>
              </w:tblPrEx>
              <w:trPr>
                <w:trHeight w:val="292"/>
              </w:trPr>
              <w:tc>
                <w:tcPr>
                  <w:tcW w:w="1480" w:type="dxa"/>
                  <w:vMerge/>
                  <w:vAlign w:val="center"/>
                </w:tcPr>
                <w:p>
                  <w:pPr>
                    <w:pStyle w:val="a8"/>
                    <w:adjustRightInd w:val="0"/>
                    <w:snapToGrid w:val="0"/>
                    <w:spacing w:line="280" w:lineRule="exact"/>
                    <w:ind w:left="0" w:leftChars="0"/>
                    <w:jc w:val="center"/>
                    <w:rPr>
                      <w:rFonts w:ascii="Times New Roman" w:eastAsiaTheme="minorEastAsia" w:hAnsiTheme="minorEastAsia"/>
                      <w:b/>
                    </w:rPr>
                  </w:pPr>
                </w:p>
              </w:tc>
              <w:tc>
                <w:tcPr>
                  <w:tcW w:w="2410" w:type="dxa"/>
                  <w:vMerge/>
                  <w:vAlign w:val="center"/>
                </w:tcPr>
                <w:p>
                  <w:pPr>
                    <w:pStyle w:val="a8"/>
                    <w:adjustRightInd w:val="0"/>
                    <w:snapToGrid w:val="0"/>
                    <w:spacing w:line="280" w:lineRule="exact"/>
                    <w:ind w:left="0" w:leftChars="0"/>
                    <w:jc w:val="center"/>
                    <w:rPr>
                      <w:rFonts w:ascii="Times New Roman" w:eastAsiaTheme="minorEastAsia" w:hAnsiTheme="minorEastAsia"/>
                      <w:b/>
                    </w:rPr>
                  </w:pPr>
                </w:p>
              </w:tc>
              <w:tc>
                <w:tcPr>
                  <w:tcW w:w="2410" w:type="dxa"/>
                  <w:vAlign w:val="center"/>
                </w:tcPr>
                <w:p>
                  <w:pPr>
                    <w:pStyle w:val="a8"/>
                    <w:adjustRightInd w:val="0"/>
                    <w:snapToGrid w:val="0"/>
                    <w:spacing w:line="280" w:lineRule="exact"/>
                    <w:ind w:left="0" w:leftChars="0"/>
                    <w:jc w:val="center"/>
                    <w:rPr>
                      <w:rFonts w:ascii="Times New Roman" w:eastAsiaTheme="minorEastAsia" w:hAnsiTheme="minorEastAsia"/>
                      <w:b/>
                    </w:rPr>
                  </w:pPr>
                  <w:r>
                    <w:rPr>
                      <w:rFonts w:ascii="Times New Roman" w:eastAsiaTheme="minorEastAsia" w:hAnsiTheme="minorEastAsia"/>
                      <w:b/>
                    </w:rPr>
                    <w:t>监控点</w:t>
                  </w:r>
                </w:p>
              </w:tc>
              <w:tc>
                <w:tcPr>
                  <w:tcW w:w="1853" w:type="dxa"/>
                  <w:vAlign w:val="center"/>
                </w:tcPr>
                <w:p>
                  <w:pPr>
                    <w:pStyle w:val="a8"/>
                    <w:adjustRightInd w:val="0"/>
                    <w:snapToGrid w:val="0"/>
                    <w:spacing w:line="280" w:lineRule="exact"/>
                    <w:ind w:left="0" w:leftChars="0"/>
                    <w:jc w:val="center"/>
                    <w:rPr>
                      <w:rFonts w:ascii="Times New Roman" w:eastAsiaTheme="minorEastAsia" w:hAnsiTheme="minorEastAsia"/>
                      <w:b/>
                    </w:rPr>
                  </w:pPr>
                  <w:r>
                    <w:rPr>
                      <w:rFonts w:ascii="Times New Roman" w:eastAsiaTheme="minorEastAsia" w:hAnsiTheme="minorEastAsia"/>
                      <w:b/>
                    </w:rPr>
                    <w:t>浓度</w:t>
                  </w:r>
                  <w:r>
                    <w:rPr>
                      <w:rFonts w:ascii="Times New Roman" w:hAnsi="Times New Roman" w:eastAsiaTheme="minorEastAsia" w:hint="eastAsia"/>
                      <w:b/>
                    </w:rPr>
                    <w:t>（mg/m</w:t>
                  </w:r>
                  <w:r>
                    <w:rPr>
                      <w:rFonts w:ascii="Times New Roman" w:hAnsi="Times New Roman" w:eastAsiaTheme="minorEastAsia" w:hint="eastAsia"/>
                      <w:b/>
                      <w:vertAlign w:val="superscript"/>
                    </w:rPr>
                    <w:t>3</w:t>
                  </w:r>
                  <w:r>
                    <w:rPr>
                      <w:rFonts w:ascii="Times New Roman" w:hAnsi="Times New Roman" w:eastAsiaTheme="minorEastAsia" w:hint="eastAsia"/>
                      <w:b/>
                    </w:rPr>
                    <w:t>）</w:t>
                  </w:r>
                </w:p>
              </w:tc>
            </w:tr>
            <w:tr>
              <w:tblPrEx>
                <w:tblW w:w="8153" w:type="dxa"/>
                <w:tblInd w:w="0" w:type="dxa"/>
                <w:tblLayout w:type="fixed"/>
                <w:tblCellMar>
                  <w:top w:w="0" w:type="dxa"/>
                  <w:left w:w="108" w:type="dxa"/>
                  <w:bottom w:w="0" w:type="dxa"/>
                  <w:right w:w="108" w:type="dxa"/>
                </w:tblCellMar>
              </w:tblPrEx>
              <w:trPr>
                <w:trHeight w:val="248"/>
              </w:trPr>
              <w:tc>
                <w:tcPr>
                  <w:tcW w:w="1480"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SO</w:t>
                  </w:r>
                  <w:r>
                    <w:rPr>
                      <w:rFonts w:ascii="Times New Roman" w:hAnsi="Times New Roman" w:eastAsiaTheme="minorEastAsia"/>
                      <w:vertAlign w:val="subscript"/>
                    </w:rPr>
                    <w:t>2</w:t>
                  </w:r>
                </w:p>
              </w:tc>
              <w:tc>
                <w:tcPr>
                  <w:tcW w:w="2410"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hint="eastAsia"/>
                    </w:rPr>
                    <w:t>550</w:t>
                  </w:r>
                </w:p>
              </w:tc>
              <w:tc>
                <w:tcPr>
                  <w:tcW w:w="2410"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周界外浓度最高点</w:t>
                  </w:r>
                </w:p>
              </w:tc>
              <w:tc>
                <w:tcPr>
                  <w:tcW w:w="1853"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hint="eastAsia"/>
                    </w:rPr>
                    <w:t>0.4</w:t>
                  </w:r>
                </w:p>
              </w:tc>
            </w:tr>
            <w:tr>
              <w:tblPrEx>
                <w:tblW w:w="8153" w:type="dxa"/>
                <w:tblInd w:w="0" w:type="dxa"/>
                <w:tblLayout w:type="fixed"/>
                <w:tblCellMar>
                  <w:top w:w="0" w:type="dxa"/>
                  <w:left w:w="108" w:type="dxa"/>
                  <w:bottom w:w="0" w:type="dxa"/>
                  <w:right w:w="108" w:type="dxa"/>
                </w:tblCellMar>
              </w:tblPrEx>
              <w:trPr>
                <w:trHeight w:val="248"/>
              </w:trPr>
              <w:tc>
                <w:tcPr>
                  <w:tcW w:w="1480"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NO</w:t>
                  </w:r>
                  <w:r>
                    <w:rPr>
                      <w:rFonts w:ascii="Times New Roman" w:hAnsi="Times New Roman" w:eastAsiaTheme="minorEastAsia"/>
                      <w:vertAlign w:val="subscript"/>
                    </w:rPr>
                    <w:t>X</w:t>
                  </w:r>
                </w:p>
              </w:tc>
              <w:tc>
                <w:tcPr>
                  <w:tcW w:w="2410"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hint="eastAsia"/>
                    </w:rPr>
                    <w:t>240</w:t>
                  </w:r>
                </w:p>
              </w:tc>
              <w:tc>
                <w:tcPr>
                  <w:tcW w:w="2410"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周界外浓度最高点</w:t>
                  </w:r>
                </w:p>
              </w:tc>
              <w:tc>
                <w:tcPr>
                  <w:tcW w:w="1853"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hint="eastAsia"/>
                    </w:rPr>
                    <w:t>0.12</w:t>
                  </w:r>
                </w:p>
              </w:tc>
            </w:tr>
            <w:tr>
              <w:tblPrEx>
                <w:tblW w:w="8153" w:type="dxa"/>
                <w:tblInd w:w="0" w:type="dxa"/>
                <w:tblLayout w:type="fixed"/>
                <w:tblCellMar>
                  <w:top w:w="0" w:type="dxa"/>
                  <w:left w:w="108" w:type="dxa"/>
                  <w:bottom w:w="0" w:type="dxa"/>
                  <w:right w:w="108" w:type="dxa"/>
                </w:tblCellMar>
              </w:tblPrEx>
              <w:trPr>
                <w:trHeight w:val="248"/>
              </w:trPr>
              <w:tc>
                <w:tcPr>
                  <w:tcW w:w="1480"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hint="eastAsia"/>
                    </w:rPr>
                    <w:t>颗粒物</w:t>
                  </w:r>
                </w:p>
              </w:tc>
              <w:tc>
                <w:tcPr>
                  <w:tcW w:w="2410"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hint="eastAsia"/>
                    </w:rPr>
                    <w:t>120</w:t>
                  </w:r>
                </w:p>
              </w:tc>
              <w:tc>
                <w:tcPr>
                  <w:tcW w:w="2410"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周界外浓度最高点</w:t>
                  </w:r>
                </w:p>
              </w:tc>
              <w:tc>
                <w:tcPr>
                  <w:tcW w:w="1853"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hint="eastAsia"/>
                    </w:rPr>
                    <w:t>1.0</w:t>
                  </w:r>
                </w:p>
              </w:tc>
            </w:tr>
            <w:tr>
              <w:tblPrEx>
                <w:tblW w:w="8153" w:type="dxa"/>
                <w:tblInd w:w="0" w:type="dxa"/>
                <w:tblLayout w:type="fixed"/>
                <w:tblCellMar>
                  <w:top w:w="0" w:type="dxa"/>
                  <w:left w:w="108" w:type="dxa"/>
                  <w:bottom w:w="0" w:type="dxa"/>
                  <w:right w:w="108" w:type="dxa"/>
                </w:tblCellMar>
              </w:tblPrEx>
              <w:trPr>
                <w:trHeight w:val="248"/>
              </w:trPr>
              <w:tc>
                <w:tcPr>
                  <w:tcW w:w="1480"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hint="eastAsia"/>
                    </w:rPr>
                    <w:t>非甲烷总烃</w:t>
                  </w:r>
                </w:p>
              </w:tc>
              <w:tc>
                <w:tcPr>
                  <w:tcW w:w="2410"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hint="eastAsia"/>
                    </w:rPr>
                    <w:t>120</w:t>
                  </w:r>
                </w:p>
              </w:tc>
              <w:tc>
                <w:tcPr>
                  <w:tcW w:w="2410"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周界外浓度最高点</w:t>
                  </w:r>
                </w:p>
              </w:tc>
              <w:tc>
                <w:tcPr>
                  <w:tcW w:w="1853"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hint="eastAsia"/>
                    </w:rPr>
                    <w:t>4.0</w:t>
                  </w:r>
                </w:p>
              </w:tc>
            </w:tr>
          </w:tbl>
          <w:p>
            <w:pPr>
              <w:pStyle w:val="a1"/>
              <w:ind w:firstLine="0" w:firstLineChars="0"/>
              <w:jc w:val="center"/>
              <w:rPr>
                <w:rFonts w:eastAsia="黑体"/>
                <w:sz w:val="21"/>
                <w:szCs w:val="21"/>
              </w:rPr>
            </w:pPr>
            <w:r>
              <w:rPr>
                <w:rFonts w:eastAsia="黑体"/>
                <w:sz w:val="21"/>
                <w:szCs w:val="21"/>
              </w:rPr>
              <w:t>表4-</w:t>
            </w:r>
            <w:r>
              <w:rPr>
                <w:rFonts w:eastAsia="黑体" w:hint="eastAsia"/>
                <w:sz w:val="21"/>
                <w:szCs w:val="21"/>
              </w:rPr>
              <w:t>6  《饮食业油烟排放标准（试行）》</w:t>
            </w:r>
          </w:p>
          <w:tbl>
            <w:tblPr>
              <w:tblStyle w:val="TableNormal"/>
              <w:tblW w:w="8153" w:type="dxa"/>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
            <w:tblGrid>
              <w:gridCol w:w="3382"/>
              <w:gridCol w:w="1497"/>
              <w:gridCol w:w="1652"/>
              <w:gridCol w:w="1622"/>
            </w:tblGrid>
            <w:tr>
              <w:tblPrEx>
                <w:tblW w:w="8153" w:type="dxa"/>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Ex>
              <w:trPr>
                <w:trHeight w:val="292"/>
              </w:trPr>
              <w:tc>
                <w:tcPr>
                  <w:tcW w:w="3382" w:type="dxa"/>
                  <w:vAlign w:val="center"/>
                </w:tcPr>
                <w:p>
                  <w:pPr>
                    <w:pStyle w:val="a8"/>
                    <w:adjustRightInd w:val="0"/>
                    <w:snapToGrid w:val="0"/>
                    <w:spacing w:line="280" w:lineRule="exact"/>
                    <w:ind w:left="0" w:leftChars="0"/>
                    <w:jc w:val="center"/>
                    <w:rPr>
                      <w:rFonts w:ascii="Times New Roman" w:hAnsi="Times New Roman" w:eastAsiaTheme="minorEastAsia"/>
                      <w:b/>
                    </w:rPr>
                  </w:pPr>
                  <w:r>
                    <w:rPr>
                      <w:rFonts w:ascii="Times New Roman" w:eastAsiaTheme="minorEastAsia" w:hAnsiTheme="minorEastAsia"/>
                      <w:b/>
                    </w:rPr>
                    <w:t>规模</w:t>
                  </w:r>
                </w:p>
              </w:tc>
              <w:tc>
                <w:tcPr>
                  <w:tcW w:w="1497" w:type="dxa"/>
                  <w:vAlign w:val="center"/>
                </w:tcPr>
                <w:p>
                  <w:pPr>
                    <w:pStyle w:val="a8"/>
                    <w:adjustRightInd w:val="0"/>
                    <w:snapToGrid w:val="0"/>
                    <w:spacing w:line="280" w:lineRule="exact"/>
                    <w:ind w:left="0" w:leftChars="0"/>
                    <w:jc w:val="center"/>
                    <w:rPr>
                      <w:rFonts w:ascii="Times New Roman" w:hAnsi="Times New Roman" w:eastAsiaTheme="minorEastAsia"/>
                      <w:b/>
                    </w:rPr>
                  </w:pPr>
                  <w:r>
                    <w:rPr>
                      <w:rFonts w:ascii="Times New Roman" w:eastAsiaTheme="minorEastAsia" w:hAnsiTheme="minorEastAsia"/>
                      <w:b/>
                    </w:rPr>
                    <w:t>小型</w:t>
                  </w:r>
                </w:p>
              </w:tc>
              <w:tc>
                <w:tcPr>
                  <w:tcW w:w="1652" w:type="dxa"/>
                  <w:vAlign w:val="center"/>
                </w:tcPr>
                <w:p>
                  <w:pPr>
                    <w:pStyle w:val="a8"/>
                    <w:adjustRightInd w:val="0"/>
                    <w:snapToGrid w:val="0"/>
                    <w:spacing w:line="280" w:lineRule="exact"/>
                    <w:ind w:left="0" w:leftChars="0"/>
                    <w:jc w:val="center"/>
                    <w:rPr>
                      <w:rFonts w:ascii="Times New Roman" w:hAnsi="Times New Roman" w:eastAsiaTheme="minorEastAsia"/>
                      <w:b/>
                    </w:rPr>
                  </w:pPr>
                  <w:r>
                    <w:rPr>
                      <w:rFonts w:ascii="Times New Roman" w:eastAsiaTheme="minorEastAsia" w:hAnsiTheme="minorEastAsia"/>
                      <w:b/>
                    </w:rPr>
                    <w:t>中型</w:t>
                  </w:r>
                </w:p>
              </w:tc>
              <w:tc>
                <w:tcPr>
                  <w:tcW w:w="1622" w:type="dxa"/>
                  <w:vAlign w:val="center"/>
                </w:tcPr>
                <w:p>
                  <w:pPr>
                    <w:pStyle w:val="a8"/>
                    <w:adjustRightInd w:val="0"/>
                    <w:snapToGrid w:val="0"/>
                    <w:spacing w:line="280" w:lineRule="exact"/>
                    <w:ind w:left="0" w:leftChars="0"/>
                    <w:jc w:val="center"/>
                    <w:rPr>
                      <w:rFonts w:ascii="Times New Roman" w:hAnsi="Times New Roman" w:eastAsiaTheme="minorEastAsia"/>
                      <w:b/>
                    </w:rPr>
                  </w:pPr>
                  <w:r>
                    <w:rPr>
                      <w:rFonts w:ascii="Times New Roman" w:eastAsiaTheme="minorEastAsia" w:hAnsiTheme="minorEastAsia"/>
                      <w:b/>
                    </w:rPr>
                    <w:t>大型</w:t>
                  </w:r>
                </w:p>
              </w:tc>
            </w:tr>
            <w:tr>
              <w:tblPrEx>
                <w:tblW w:w="8153" w:type="dxa"/>
                <w:tblInd w:w="0" w:type="dxa"/>
                <w:tblLayout w:type="fixed"/>
                <w:tblCellMar>
                  <w:top w:w="0" w:type="dxa"/>
                  <w:left w:w="108" w:type="dxa"/>
                  <w:bottom w:w="0" w:type="dxa"/>
                  <w:right w:w="108" w:type="dxa"/>
                </w:tblCellMar>
              </w:tblPrEx>
              <w:trPr>
                <w:trHeight w:val="248"/>
              </w:trPr>
              <w:tc>
                <w:tcPr>
                  <w:tcW w:w="3382"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eastAsiaTheme="minorEastAsia" w:hAnsiTheme="minorEastAsia"/>
                    </w:rPr>
                    <w:t>基准灶头数</w:t>
                  </w:r>
                </w:p>
              </w:tc>
              <w:tc>
                <w:tcPr>
                  <w:tcW w:w="1497"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≥1</w:t>
                  </w:r>
                  <w:r>
                    <w:rPr>
                      <w:rFonts w:ascii="Times New Roman" w:eastAsiaTheme="minorEastAsia" w:hAnsiTheme="minorEastAsia"/>
                    </w:rPr>
                    <w:t>，＜</w:t>
                  </w:r>
                  <w:r>
                    <w:rPr>
                      <w:rFonts w:ascii="Times New Roman" w:hAnsi="Times New Roman" w:eastAsiaTheme="minorEastAsia"/>
                    </w:rPr>
                    <w:t>3</w:t>
                  </w:r>
                </w:p>
              </w:tc>
              <w:tc>
                <w:tcPr>
                  <w:tcW w:w="1652"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≥3</w:t>
                  </w:r>
                  <w:r>
                    <w:rPr>
                      <w:rFonts w:ascii="Times New Roman" w:eastAsiaTheme="minorEastAsia" w:hAnsiTheme="minorEastAsia"/>
                    </w:rPr>
                    <w:t>，＜</w:t>
                  </w:r>
                  <w:r>
                    <w:rPr>
                      <w:rFonts w:ascii="Times New Roman" w:hAnsi="Times New Roman" w:eastAsiaTheme="minorEastAsia"/>
                    </w:rPr>
                    <w:t>6</w:t>
                  </w:r>
                </w:p>
              </w:tc>
              <w:tc>
                <w:tcPr>
                  <w:tcW w:w="1622"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≥6</w:t>
                  </w:r>
                </w:p>
              </w:tc>
            </w:tr>
            <w:tr>
              <w:tblPrEx>
                <w:tblW w:w="8153" w:type="dxa"/>
                <w:tblInd w:w="0" w:type="dxa"/>
                <w:tblLayout w:type="fixed"/>
                <w:tblCellMar>
                  <w:top w:w="0" w:type="dxa"/>
                  <w:left w:w="108" w:type="dxa"/>
                  <w:bottom w:w="0" w:type="dxa"/>
                  <w:right w:w="108" w:type="dxa"/>
                </w:tblCellMar>
              </w:tblPrEx>
              <w:trPr>
                <w:trHeight w:val="248"/>
              </w:trPr>
              <w:tc>
                <w:tcPr>
                  <w:tcW w:w="3382"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eastAsiaTheme="minorEastAsia" w:hAnsiTheme="minorEastAsia"/>
                    </w:rPr>
                    <w:t>对应排气罩灶面总投影面积（</w:t>
                  </w:r>
                  <w:r>
                    <w:rPr>
                      <w:rFonts w:ascii="Times New Roman" w:hAnsi="Times New Roman" w:eastAsiaTheme="minorEastAsia"/>
                    </w:rPr>
                    <w:t>m</w:t>
                  </w:r>
                  <w:r>
                    <w:rPr>
                      <w:rFonts w:ascii="Times New Roman" w:hAnsi="Times New Roman" w:eastAsiaTheme="minorEastAsia"/>
                      <w:vertAlign w:val="superscript"/>
                    </w:rPr>
                    <w:t>2</w:t>
                  </w:r>
                  <w:r>
                    <w:rPr>
                      <w:rFonts w:ascii="Times New Roman" w:eastAsiaTheme="minorEastAsia" w:hAnsiTheme="minorEastAsia"/>
                    </w:rPr>
                    <w:t>）</w:t>
                  </w:r>
                </w:p>
              </w:tc>
              <w:tc>
                <w:tcPr>
                  <w:tcW w:w="1497"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≥1.1</w:t>
                  </w:r>
                  <w:r>
                    <w:rPr>
                      <w:rFonts w:ascii="Times New Roman" w:eastAsiaTheme="minorEastAsia" w:hAnsiTheme="minorEastAsia"/>
                    </w:rPr>
                    <w:t>，＜</w:t>
                  </w:r>
                  <w:r>
                    <w:rPr>
                      <w:rFonts w:ascii="Times New Roman" w:hAnsi="Times New Roman" w:eastAsiaTheme="minorEastAsia"/>
                    </w:rPr>
                    <w:t>3.3</w:t>
                  </w:r>
                </w:p>
              </w:tc>
              <w:tc>
                <w:tcPr>
                  <w:tcW w:w="1652"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≥3.3</w:t>
                  </w:r>
                  <w:r>
                    <w:rPr>
                      <w:rFonts w:ascii="Times New Roman" w:eastAsiaTheme="minorEastAsia" w:hAnsiTheme="minorEastAsia"/>
                    </w:rPr>
                    <w:t>，＜</w:t>
                  </w:r>
                  <w:r>
                    <w:rPr>
                      <w:rFonts w:ascii="Times New Roman" w:hAnsi="Times New Roman" w:eastAsiaTheme="minorEastAsia"/>
                    </w:rPr>
                    <w:t>6.6</w:t>
                  </w:r>
                </w:p>
              </w:tc>
              <w:tc>
                <w:tcPr>
                  <w:tcW w:w="1622"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≥6.6</w:t>
                  </w:r>
                </w:p>
              </w:tc>
            </w:tr>
            <w:tr>
              <w:tblPrEx>
                <w:tblW w:w="8153" w:type="dxa"/>
                <w:tblInd w:w="0" w:type="dxa"/>
                <w:tblLayout w:type="fixed"/>
                <w:tblCellMar>
                  <w:top w:w="0" w:type="dxa"/>
                  <w:left w:w="108" w:type="dxa"/>
                  <w:bottom w:w="0" w:type="dxa"/>
                  <w:right w:w="108" w:type="dxa"/>
                </w:tblCellMar>
              </w:tblPrEx>
              <w:trPr>
                <w:trHeight w:val="248"/>
              </w:trPr>
              <w:tc>
                <w:tcPr>
                  <w:tcW w:w="3382"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eastAsiaTheme="minorEastAsia" w:hAnsiTheme="minorEastAsia"/>
                    </w:rPr>
                    <w:t>最高允许排放浓度（</w:t>
                  </w:r>
                  <w:r>
                    <w:rPr>
                      <w:rFonts w:ascii="Times New Roman" w:hAnsi="Times New Roman" w:eastAsiaTheme="minorEastAsia"/>
                    </w:rPr>
                    <w:t>mg/m</w:t>
                  </w:r>
                  <w:r>
                    <w:rPr>
                      <w:rFonts w:ascii="Times New Roman" w:hAnsi="Times New Roman" w:eastAsiaTheme="minorEastAsia"/>
                      <w:vertAlign w:val="superscript"/>
                    </w:rPr>
                    <w:t>3</w:t>
                  </w:r>
                  <w:r>
                    <w:rPr>
                      <w:rFonts w:ascii="Times New Roman" w:eastAsiaTheme="minorEastAsia" w:hAnsiTheme="minorEastAsia"/>
                    </w:rPr>
                    <w:t>）</w:t>
                  </w:r>
                </w:p>
              </w:tc>
              <w:tc>
                <w:tcPr>
                  <w:tcW w:w="4771" w:type="dxa"/>
                  <w:gridSpan w:val="3"/>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2.0</w:t>
                  </w:r>
                </w:p>
              </w:tc>
            </w:tr>
            <w:tr>
              <w:tblPrEx>
                <w:tblW w:w="8153" w:type="dxa"/>
                <w:tblInd w:w="0" w:type="dxa"/>
                <w:tblLayout w:type="fixed"/>
                <w:tblCellMar>
                  <w:top w:w="0" w:type="dxa"/>
                  <w:left w:w="108" w:type="dxa"/>
                  <w:bottom w:w="0" w:type="dxa"/>
                  <w:right w:w="108" w:type="dxa"/>
                </w:tblCellMar>
              </w:tblPrEx>
              <w:trPr>
                <w:trHeight w:val="248"/>
              </w:trPr>
              <w:tc>
                <w:tcPr>
                  <w:tcW w:w="3382"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eastAsiaTheme="minorEastAsia" w:hAnsiTheme="minorEastAsia"/>
                    </w:rPr>
                    <w:t>净化设施最低去除效率（</w:t>
                  </w:r>
                  <w:r>
                    <w:rPr>
                      <w:rFonts w:ascii="Times New Roman" w:hAnsi="Times New Roman" w:eastAsiaTheme="minorEastAsia"/>
                    </w:rPr>
                    <w:t>%</w:t>
                  </w:r>
                  <w:r>
                    <w:rPr>
                      <w:rFonts w:ascii="Times New Roman" w:eastAsiaTheme="minorEastAsia" w:hAnsiTheme="minorEastAsia"/>
                    </w:rPr>
                    <w:t>）</w:t>
                  </w:r>
                </w:p>
              </w:tc>
              <w:tc>
                <w:tcPr>
                  <w:tcW w:w="1497"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60</w:t>
                  </w:r>
                </w:p>
              </w:tc>
              <w:tc>
                <w:tcPr>
                  <w:tcW w:w="1652"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75</w:t>
                  </w:r>
                </w:p>
              </w:tc>
              <w:tc>
                <w:tcPr>
                  <w:tcW w:w="1622" w:type="dxa"/>
                  <w:vAlign w:val="center"/>
                </w:tcPr>
                <w:p>
                  <w:pPr>
                    <w:pStyle w:val="a8"/>
                    <w:adjustRightInd w:val="0"/>
                    <w:snapToGrid w:val="0"/>
                    <w:spacing w:line="280" w:lineRule="exact"/>
                    <w:ind w:left="0" w:leftChars="0"/>
                    <w:jc w:val="center"/>
                    <w:rPr>
                      <w:rFonts w:ascii="Times New Roman" w:hAnsi="Times New Roman" w:eastAsiaTheme="minorEastAsia"/>
                    </w:rPr>
                  </w:pPr>
                  <w:r>
                    <w:rPr>
                      <w:rFonts w:ascii="Times New Roman" w:hAnsi="Times New Roman" w:eastAsiaTheme="minorEastAsia"/>
                    </w:rPr>
                    <w:t>85</w:t>
                  </w:r>
                </w:p>
              </w:tc>
            </w:tr>
          </w:tbl>
          <w:p>
            <w:pPr>
              <w:pStyle w:val="Heading1"/>
              <w:ind w:firstLine="560"/>
              <w:rPr>
                <w:kern w:val="2"/>
                <w:szCs w:val="28"/>
              </w:rPr>
            </w:pPr>
            <w:r>
              <w:rPr>
                <w:rFonts w:hint="eastAsia"/>
                <w:kern w:val="2"/>
                <w:szCs w:val="28"/>
              </w:rPr>
              <w:t>二</w:t>
            </w:r>
            <w:r>
              <w:rPr>
                <w:kern w:val="2"/>
                <w:szCs w:val="28"/>
              </w:rPr>
              <w:t>、废</w:t>
            </w:r>
            <w:r>
              <w:rPr>
                <w:rFonts w:hint="eastAsia"/>
                <w:kern w:val="2"/>
                <w:szCs w:val="28"/>
              </w:rPr>
              <w:t>水</w:t>
            </w:r>
          </w:p>
          <w:p>
            <w:pPr>
              <w:pStyle w:val="a1"/>
              <w:ind w:firstLine="480"/>
            </w:pPr>
            <w:r>
              <w:rPr>
                <w:rFonts w:hint="eastAsia"/>
              </w:rPr>
              <w:t>项目无生产废水产生，仅产生生活污水和食堂废水，食堂废水经隔油装置处理后同生活污水一同</w:t>
            </w:r>
            <w:r>
              <w:rPr>
                <w:rFonts w:hint="eastAsia"/>
                <w:szCs w:val="24"/>
              </w:rPr>
              <w:t>经化粪池处理后由周边农户定期清掏用于其农地施肥</w:t>
            </w:r>
            <w:r>
              <w:rPr>
                <w:rFonts w:hint="eastAsia"/>
              </w:rPr>
              <w:t>，不外排。</w:t>
            </w:r>
          </w:p>
          <w:p>
            <w:pPr>
              <w:pStyle w:val="Heading1"/>
              <w:ind w:firstLine="560"/>
              <w:rPr>
                <w:kern w:val="2"/>
                <w:szCs w:val="28"/>
              </w:rPr>
            </w:pPr>
            <w:r>
              <w:rPr>
                <w:rFonts w:hint="eastAsia"/>
                <w:kern w:val="2"/>
                <w:szCs w:val="28"/>
              </w:rPr>
              <w:t>三</w:t>
            </w:r>
            <w:r>
              <w:rPr>
                <w:kern w:val="2"/>
                <w:szCs w:val="28"/>
              </w:rPr>
              <w:t>、</w:t>
            </w:r>
            <w:r>
              <w:rPr>
                <w:rFonts w:hint="eastAsia"/>
                <w:kern w:val="2"/>
                <w:szCs w:val="28"/>
              </w:rPr>
              <w:t>噪声</w:t>
            </w:r>
          </w:p>
          <w:p>
            <w:pPr>
              <w:pStyle w:val="a1"/>
              <w:ind w:firstLine="480"/>
            </w:pPr>
            <w:r>
              <w:t>项目运营期厂界噪声排放执行</w:t>
            </w:r>
            <w:r>
              <w:rPr>
                <w:bCs/>
              </w:rPr>
              <w:t>《工业企业厂界环境噪声排放标准》（GB12348-2008）</w:t>
            </w:r>
            <w:r>
              <w:t>中</w:t>
            </w:r>
            <w:r>
              <w:rPr>
                <w:rFonts w:hint="eastAsia"/>
              </w:rPr>
              <w:t>2</w:t>
            </w:r>
            <w:r>
              <w:t>类标准，标准限值见表4-</w:t>
            </w:r>
            <w:r>
              <w:rPr>
                <w:rFonts w:hint="eastAsia"/>
              </w:rPr>
              <w:t>7</w:t>
            </w:r>
            <w:r>
              <w:t>。</w:t>
            </w:r>
          </w:p>
          <w:p>
            <w:pPr>
              <w:pStyle w:val="a1"/>
              <w:ind w:firstLine="0" w:firstLineChars="0"/>
              <w:jc w:val="center"/>
              <w:rPr>
                <w:rFonts w:eastAsia="黑体"/>
                <w:sz w:val="21"/>
                <w:szCs w:val="21"/>
              </w:rPr>
            </w:pPr>
            <w:r>
              <w:rPr>
                <w:rFonts w:eastAsia="黑体"/>
                <w:sz w:val="21"/>
                <w:szCs w:val="21"/>
              </w:rPr>
              <w:t>表</w:t>
            </w:r>
            <w:r>
              <w:rPr>
                <w:rFonts w:eastAsia="黑体" w:hint="eastAsia"/>
                <w:sz w:val="21"/>
                <w:szCs w:val="21"/>
              </w:rPr>
              <w:t xml:space="preserve">4-7  </w:t>
            </w:r>
            <w:r>
              <w:rPr>
                <w:rFonts w:eastAsia="黑体"/>
                <w:sz w:val="21"/>
                <w:szCs w:val="21"/>
              </w:rPr>
              <w:t>工业企业厂界噪声标准限值</w:t>
            </w:r>
            <w:r>
              <w:rPr>
                <w:rFonts w:eastAsia="黑体" w:hint="eastAsia"/>
                <w:sz w:val="21"/>
                <w:szCs w:val="21"/>
              </w:rPr>
              <w:t xml:space="preserve">  </w:t>
            </w:r>
            <w:r>
              <w:rPr>
                <w:rFonts w:eastAsia="黑体"/>
                <w:sz w:val="21"/>
                <w:szCs w:val="21"/>
              </w:rPr>
              <w:t>单位：dB(A)</w:t>
            </w:r>
          </w:p>
          <w:tbl>
            <w:tblPr>
              <w:tblStyle w:val="TableNormal"/>
              <w:tblW w:w="8153"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28" w:type="dxa"/>
                <w:bottom w:w="0" w:type="dxa"/>
                <w:right w:w="28" w:type="dxa"/>
              </w:tblCellMar>
            </w:tblPr>
            <w:tblGrid>
              <w:gridCol w:w="2482"/>
              <w:gridCol w:w="2744"/>
              <w:gridCol w:w="2927"/>
            </w:tblGrid>
            <w:tr>
              <w:tblPrEx>
                <w:tblW w:w="8153"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28" w:type="dxa"/>
                  <w:bottom w:w="0" w:type="dxa"/>
                  <w:right w:w="28" w:type="dxa"/>
                </w:tblCellMar>
              </w:tblPrEx>
              <w:trPr>
                <w:trHeight w:hRule="exact" w:val="435"/>
                <w:jc w:val="center"/>
              </w:trPr>
              <w:tc>
                <w:tcPr>
                  <w:tcW w:w="2482" w:type="dxa"/>
                  <w:vAlign w:val="center"/>
                </w:tcPr>
                <w:p>
                  <w:pPr>
                    <w:pStyle w:val="a21"/>
                    <w:spacing w:after="0" w:line="280" w:lineRule="exact"/>
                    <w:ind w:firstLine="0" w:firstLineChars="0"/>
                    <w:jc w:val="center"/>
                    <w:rPr>
                      <w:rFonts w:eastAsiaTheme="minorEastAsia"/>
                      <w:b/>
                      <w:color w:val="auto"/>
                      <w:sz w:val="21"/>
                      <w:szCs w:val="21"/>
                    </w:rPr>
                  </w:pPr>
                  <w:r>
                    <w:rPr>
                      <w:rFonts w:eastAsiaTheme="minorEastAsia" w:hAnsiTheme="minorEastAsia"/>
                      <w:b/>
                      <w:color w:val="auto"/>
                      <w:sz w:val="21"/>
                      <w:szCs w:val="21"/>
                    </w:rPr>
                    <w:t>类别</w:t>
                  </w:r>
                </w:p>
              </w:tc>
              <w:tc>
                <w:tcPr>
                  <w:tcW w:w="2744" w:type="dxa"/>
                  <w:vAlign w:val="center"/>
                </w:tcPr>
                <w:p>
                  <w:pPr>
                    <w:pStyle w:val="a21"/>
                    <w:spacing w:after="0" w:line="280" w:lineRule="exact"/>
                    <w:ind w:firstLine="0" w:firstLineChars="0"/>
                    <w:jc w:val="center"/>
                    <w:rPr>
                      <w:rFonts w:eastAsiaTheme="minorEastAsia"/>
                      <w:b/>
                      <w:color w:val="auto"/>
                      <w:sz w:val="21"/>
                      <w:szCs w:val="21"/>
                    </w:rPr>
                  </w:pPr>
                  <w:r>
                    <w:rPr>
                      <w:rFonts w:eastAsiaTheme="minorEastAsia" w:hAnsiTheme="minorEastAsia"/>
                      <w:b/>
                      <w:color w:val="auto"/>
                      <w:sz w:val="21"/>
                      <w:szCs w:val="21"/>
                    </w:rPr>
                    <w:t>昼间</w:t>
                  </w:r>
                </w:p>
              </w:tc>
              <w:tc>
                <w:tcPr>
                  <w:tcW w:w="2927" w:type="dxa"/>
                  <w:vAlign w:val="center"/>
                </w:tcPr>
                <w:p>
                  <w:pPr>
                    <w:pStyle w:val="a21"/>
                    <w:spacing w:after="0" w:line="280" w:lineRule="exact"/>
                    <w:ind w:firstLine="0" w:firstLineChars="0"/>
                    <w:jc w:val="center"/>
                    <w:rPr>
                      <w:rFonts w:eastAsiaTheme="minorEastAsia"/>
                      <w:b/>
                      <w:color w:val="auto"/>
                      <w:sz w:val="21"/>
                      <w:szCs w:val="21"/>
                    </w:rPr>
                  </w:pPr>
                  <w:r>
                    <w:rPr>
                      <w:rFonts w:eastAsiaTheme="minorEastAsia" w:hAnsiTheme="minorEastAsia"/>
                      <w:b/>
                      <w:color w:val="auto"/>
                      <w:sz w:val="21"/>
                      <w:szCs w:val="21"/>
                    </w:rPr>
                    <w:t>夜间</w:t>
                  </w:r>
                </w:p>
              </w:tc>
            </w:tr>
            <w:tr>
              <w:tblPrEx>
                <w:tblW w:w="8153" w:type="dxa"/>
                <w:jc w:val="center"/>
                <w:tblLayout w:type="fixed"/>
                <w:tblCellMar>
                  <w:top w:w="0" w:type="dxa"/>
                  <w:left w:w="28" w:type="dxa"/>
                  <w:bottom w:w="0" w:type="dxa"/>
                  <w:right w:w="28" w:type="dxa"/>
                </w:tblCellMar>
              </w:tblPrEx>
              <w:trPr>
                <w:trHeight w:hRule="exact" w:val="408"/>
                <w:jc w:val="center"/>
              </w:trPr>
              <w:tc>
                <w:tcPr>
                  <w:tcW w:w="2482" w:type="dxa"/>
                  <w:vAlign w:val="center"/>
                </w:tcPr>
                <w:p>
                  <w:pPr>
                    <w:pStyle w:val="a21"/>
                    <w:spacing w:after="0" w:line="280" w:lineRule="exact"/>
                    <w:ind w:firstLine="0" w:firstLineChars="0"/>
                    <w:jc w:val="center"/>
                    <w:rPr>
                      <w:rFonts w:eastAsiaTheme="minorEastAsia"/>
                      <w:color w:val="auto"/>
                      <w:sz w:val="21"/>
                      <w:szCs w:val="21"/>
                    </w:rPr>
                  </w:pPr>
                  <w:r>
                    <w:rPr>
                      <w:rFonts w:eastAsiaTheme="minorEastAsia" w:hint="eastAsia"/>
                      <w:color w:val="auto"/>
                      <w:sz w:val="21"/>
                      <w:szCs w:val="21"/>
                    </w:rPr>
                    <w:t>2</w:t>
                  </w:r>
                  <w:r>
                    <w:rPr>
                      <w:rFonts w:eastAsiaTheme="minorEastAsia" w:hAnsiTheme="minorEastAsia"/>
                      <w:color w:val="auto"/>
                      <w:sz w:val="21"/>
                      <w:szCs w:val="21"/>
                    </w:rPr>
                    <w:t>类</w:t>
                  </w:r>
                </w:p>
              </w:tc>
              <w:tc>
                <w:tcPr>
                  <w:tcW w:w="2744" w:type="dxa"/>
                  <w:vAlign w:val="center"/>
                </w:tcPr>
                <w:p>
                  <w:pPr>
                    <w:pStyle w:val="a21"/>
                    <w:spacing w:after="0" w:line="280" w:lineRule="exact"/>
                    <w:ind w:firstLine="0" w:firstLineChars="0"/>
                    <w:jc w:val="center"/>
                    <w:rPr>
                      <w:rFonts w:eastAsiaTheme="minorEastAsia"/>
                      <w:color w:val="auto"/>
                      <w:sz w:val="21"/>
                      <w:szCs w:val="21"/>
                    </w:rPr>
                  </w:pPr>
                  <w:r>
                    <w:rPr>
                      <w:rFonts w:eastAsiaTheme="minorEastAsia"/>
                      <w:color w:val="auto"/>
                      <w:sz w:val="21"/>
                      <w:szCs w:val="21"/>
                    </w:rPr>
                    <w:t>6</w:t>
                  </w:r>
                  <w:r>
                    <w:rPr>
                      <w:rFonts w:eastAsiaTheme="minorEastAsia" w:hint="eastAsia"/>
                      <w:color w:val="auto"/>
                      <w:sz w:val="21"/>
                      <w:szCs w:val="21"/>
                    </w:rPr>
                    <w:t>0</w:t>
                  </w:r>
                </w:p>
              </w:tc>
              <w:tc>
                <w:tcPr>
                  <w:tcW w:w="2927" w:type="dxa"/>
                  <w:vAlign w:val="center"/>
                </w:tcPr>
                <w:p>
                  <w:pPr>
                    <w:pStyle w:val="a21"/>
                    <w:spacing w:after="0" w:line="280" w:lineRule="exact"/>
                    <w:ind w:firstLine="0" w:firstLineChars="0"/>
                    <w:jc w:val="center"/>
                    <w:rPr>
                      <w:rFonts w:eastAsiaTheme="minorEastAsia"/>
                      <w:color w:val="auto"/>
                      <w:sz w:val="21"/>
                      <w:szCs w:val="21"/>
                    </w:rPr>
                  </w:pPr>
                  <w:r>
                    <w:rPr>
                      <w:rFonts w:eastAsiaTheme="minorEastAsia"/>
                      <w:color w:val="auto"/>
                      <w:sz w:val="21"/>
                      <w:szCs w:val="21"/>
                    </w:rPr>
                    <w:t>5</w:t>
                  </w:r>
                  <w:r>
                    <w:rPr>
                      <w:rFonts w:eastAsiaTheme="minorEastAsia" w:hint="eastAsia"/>
                      <w:color w:val="auto"/>
                      <w:sz w:val="21"/>
                      <w:szCs w:val="21"/>
                    </w:rPr>
                    <w:t>0</w:t>
                  </w:r>
                </w:p>
              </w:tc>
            </w:tr>
          </w:tbl>
          <w:p>
            <w:pPr>
              <w:pStyle w:val="Heading1"/>
              <w:ind w:firstLine="560"/>
              <w:rPr>
                <w:kern w:val="2"/>
                <w:szCs w:val="28"/>
              </w:rPr>
            </w:pPr>
            <w:r>
              <w:rPr>
                <w:rFonts w:hint="eastAsia"/>
                <w:kern w:val="2"/>
                <w:szCs w:val="28"/>
              </w:rPr>
              <w:t>四</w:t>
            </w:r>
            <w:r>
              <w:rPr>
                <w:kern w:val="2"/>
                <w:szCs w:val="28"/>
              </w:rPr>
              <w:t>、</w:t>
            </w:r>
            <w:r>
              <w:rPr>
                <w:rFonts w:hint="eastAsia"/>
                <w:kern w:val="2"/>
                <w:szCs w:val="28"/>
              </w:rPr>
              <w:t>固体废物</w:t>
            </w:r>
          </w:p>
          <w:p>
            <w:pPr>
              <w:pStyle w:val="a1"/>
              <w:ind w:firstLine="480"/>
            </w:pPr>
            <w:r>
              <w:t>按照《中华人民共和国固体废弃物防治法》的要求，固体废物要妥善处置，不得形成二次污染，一般固废执行《一般工业固体废物贮存、处置场污染控制标准》（GB18599-2001）及其2013修改单；危险废物执行《危险废物贮存污染控制标准》(GB18597-2001)标准及其2013修改单。</w:t>
            </w:r>
          </w:p>
          <w:p>
            <w:pPr>
              <w:ind w:firstLine="420"/>
            </w:pPr>
          </w:p>
          <w:p>
            <w:pPr>
              <w:ind w:firstLine="420"/>
            </w:pPr>
          </w:p>
          <w:p>
            <w:pPr>
              <w:ind w:firstLine="420"/>
            </w:pPr>
          </w:p>
          <w:p>
            <w:pPr>
              <w:ind w:firstLine="420"/>
            </w:pPr>
          </w:p>
        </w:tc>
      </w:tr>
    </w:tbl>
    <w:p>
      <w:pPr>
        <w:sectPr>
          <w:headerReference w:type="even" r:id="rId435"/>
          <w:headerReference w:type="default" r:id="rId436"/>
          <w:footerReference w:type="even" r:id="rId437"/>
          <w:footerReference w:type="default" r:id="rId438"/>
          <w:headerReference w:type="first" r:id="rId439"/>
          <w:footerReference w:type="first" r:id="rId440"/>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35"/>
          <w:cols w:num="1" w:space="720"/>
          <w:titlePg w:val="0"/>
          <w:docGrid w:type="linesAndChars" w:linePitch="312" w:charSpace="0"/>
        </w:sectPr>
      </w:pPr>
    </w:p>
    <w:p>
      <w:pPr>
        <w:sectPr>
          <w:headerReference w:type="even" r:id="rId441"/>
          <w:headerReference w:type="default" r:id="rId442"/>
          <w:footerReference w:type="even" r:id="rId443"/>
          <w:footerReference w:type="default" r:id="rId444"/>
          <w:headerReference w:type="first" r:id="rId445"/>
          <w:footerReference w:type="first" r:id="rId446"/>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tbl>
      <w:tblPr>
        <w:tblStyle w:val="TableNormal"/>
        <w:tblW w:w="9299" w:type="dxa"/>
        <w:tblInd w:w="0" w:type="dxa"/>
        <w:tblBorders>
          <w:top w:val="none" w:sz="0" w:space="0" w:color="auto"/>
          <w:left w:val="none" w:sz="0" w:space="0" w:color="auto"/>
          <w:bottom w:val="none" w:sz="0" w:space="0" w:color="auto"/>
          <w:right w:val="none" w:sz="0" w:space="0" w:color="auto"/>
          <w:insideH w:val="single" w:sz="2" w:space="0" w:color="auto"/>
          <w:insideV w:val="single" w:sz="2" w:space="0" w:color="auto"/>
        </w:tblBorders>
        <w:tblLayout w:type="fixed"/>
        <w:tblCellMar>
          <w:top w:w="0" w:type="dxa"/>
          <w:left w:w="108" w:type="dxa"/>
          <w:bottom w:w="0" w:type="dxa"/>
          <w:right w:w="108" w:type="dxa"/>
        </w:tblCellMar>
      </w:tblPr>
      <w:tblGrid>
        <w:gridCol w:w="930"/>
        <w:gridCol w:w="8369"/>
      </w:tblGrid>
      <w:tr>
        <w:tblPrEx>
          <w:tblW w:w="9299" w:type="dxa"/>
          <w:tblInd w:w="0" w:type="dxa"/>
          <w:tblBorders>
            <w:top w:val="none" w:sz="0" w:space="0" w:color="auto"/>
            <w:left w:val="none" w:sz="0" w:space="0" w:color="auto"/>
            <w:bottom w:val="none" w:sz="0" w:space="0" w:color="auto"/>
            <w:right w:val="none" w:sz="0" w:space="0" w:color="auto"/>
            <w:insideH w:val="single" w:sz="2" w:space="0" w:color="auto"/>
            <w:insideV w:val="single" w:sz="2" w:space="0" w:color="auto"/>
          </w:tblBorders>
          <w:tblLayout w:type="fixed"/>
          <w:tblCellMar>
            <w:top w:w="0" w:type="dxa"/>
            <w:left w:w="108" w:type="dxa"/>
            <w:bottom w:w="0" w:type="dxa"/>
            <w:right w:w="108" w:type="dxa"/>
          </w:tblCellMar>
        </w:tblPrEx>
        <w:trPr>
          <w:cantSplit/>
          <w:trHeight w:val="9615"/>
        </w:trPr>
        <w:tc>
          <w:tcPr>
            <w:tcW w:w="930" w:type="dxa"/>
            <w:tcBorders>
              <w:top w:val="single" w:sz="4" w:space="0" w:color="auto"/>
              <w:bottom w:val="nil"/>
            </w:tcBorders>
            <w:textDirection w:val="tbRlV"/>
            <w:vAlign w:val="center"/>
          </w:tcPr>
          <w:p>
            <w:pPr>
              <w:ind w:left="113" w:right="113" w:firstLine="263" w:firstLineChars="94"/>
              <w:jc w:val="center"/>
              <w:rPr>
                <w:b/>
                <w:bCs/>
              </w:rPr>
            </w:pPr>
            <w:r>
              <w:rPr>
                <w:rFonts w:hint="eastAsia"/>
                <w:b/>
                <w:bCs/>
                <w:sz w:val="28"/>
              </w:rPr>
              <w:t>总量控制指标</w:t>
            </w:r>
          </w:p>
        </w:tc>
        <w:tc>
          <w:tcPr>
            <w:tcW w:w="8369" w:type="dxa"/>
            <w:tcBorders>
              <w:top w:val="single" w:sz="4" w:space="0" w:color="auto"/>
              <w:bottom w:val="nil"/>
            </w:tcBorders>
          </w:tcPr>
          <w:p>
            <w:pPr>
              <w:pStyle w:val="a1"/>
              <w:ind w:firstLine="480"/>
            </w:pPr>
            <w:r>
              <w:rPr>
                <w:rFonts w:hint="eastAsia"/>
              </w:rPr>
              <w:t>根据《国务院关于印发“十三五”生态环境保护规划的通知》（国发〔2016〕65号）《国务院关于印发大气污染防治行动计划的通知》[国发（2013）37号]，总量控制指标为COD、NH</w:t>
            </w:r>
            <w:r>
              <w:rPr>
                <w:rFonts w:hint="eastAsia"/>
                <w:vertAlign w:val="subscript"/>
              </w:rPr>
              <w:t>3</w:t>
            </w:r>
            <w:r>
              <w:rPr>
                <w:rFonts w:hint="eastAsia"/>
              </w:rPr>
              <w:t>-N、SO</w:t>
            </w:r>
            <w:r>
              <w:rPr>
                <w:rFonts w:hint="eastAsia"/>
                <w:vertAlign w:val="subscript"/>
              </w:rPr>
              <w:t>2</w:t>
            </w:r>
            <w:r>
              <w:rPr>
                <w:rFonts w:hint="eastAsia"/>
              </w:rPr>
              <w:t>、NO</w:t>
            </w:r>
            <w:r>
              <w:rPr>
                <w:rFonts w:hint="eastAsia"/>
                <w:vertAlign w:val="subscript"/>
              </w:rPr>
              <w:t>X</w:t>
            </w:r>
            <w:r>
              <w:rPr>
                <w:rFonts w:hint="eastAsia"/>
              </w:rPr>
              <w:t>、烟（粉）尘、挥发性有机物等六项。</w:t>
            </w:r>
          </w:p>
          <w:p>
            <w:pPr>
              <w:pStyle w:val="a1"/>
              <w:ind w:firstLine="480"/>
            </w:pPr>
            <w:r>
              <w:rPr>
                <w:rFonts w:hint="eastAsia"/>
              </w:rPr>
              <w:t>本项目生活污水及食堂废水均经处理后用于周边农地施肥，不外排，无需申请总量；运营过程中产生的废气主要为非甲烷总烃，为无组织排放，无需申请总量。</w:t>
            </w:r>
          </w:p>
        </w:tc>
      </w:tr>
    </w:tbl>
    <w:p>
      <w:pPr>
        <w:sectPr>
          <w:headerReference w:type="even" r:id="rId447"/>
          <w:headerReference w:type="default" r:id="rId448"/>
          <w:footerReference w:type="even" r:id="rId449"/>
          <w:footerReference w:type="default" r:id="rId450"/>
          <w:headerReference w:type="first" r:id="rId451"/>
          <w:footerReference w:type="first" r:id="rId452"/>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36"/>
          <w:cols w:num="1" w:space="720"/>
          <w:titlePg w:val="0"/>
          <w:docGrid w:type="linesAndChars" w:linePitch="312" w:charSpace="0"/>
        </w:sectPr>
      </w:pPr>
    </w:p>
    <w:p>
      <w:pPr>
        <w:sectPr>
          <w:headerReference w:type="even" r:id="rId453"/>
          <w:headerReference w:type="default" r:id="rId454"/>
          <w:footerReference w:type="even" r:id="rId455"/>
          <w:footerReference w:type="default" r:id="rId456"/>
          <w:headerReference w:type="first" r:id="rId457"/>
          <w:footerReference w:type="first" r:id="rId458"/>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pPr>
    </w:p>
    <w:p>
      <w:pPr>
        <w:widowControl/>
        <w:spacing w:line="240" w:lineRule="auto"/>
        <w:ind w:firstLine="560"/>
        <w:jc w:val="left"/>
        <w:rPr>
          <w:rFonts w:eastAsia="黑体"/>
          <w:sz w:val="28"/>
          <w:szCs w:val="28"/>
        </w:rPr>
      </w:pPr>
      <w:r>
        <w:rPr>
          <w:rFonts w:ascii="黑体" w:eastAsia="黑体" w:hAnsi="黑体" w:cs="黑体"/>
          <w:sz w:val="28"/>
          <w:szCs w:val="28"/>
        </w:rPr>
        <w:pict>
          <v:shape id="文本框 350" o:spid="_x0000_s1038" type="#_x0000_t202" style="width:461.05pt;height:31.2pt;margin-top:37.45pt;margin-left:67.25pt;mso-height-relative:page;mso-position-horizontal-relative:page;mso-position-vertical-relative:page;mso-width-relative:page;position:absolute;z-index:251668480" coordsize="21600,21600" o:allowoverlap="f" filled="f" stroked="f">
            <v:stroke joinstyle="miter"/>
            <v:textbox inset="0,0,0,0">
              <w:txbxContent>
                <w:p>
                  <w:pPr>
                    <w:pStyle w:val="BodyText"/>
                    <w:spacing w:after="156" w:afterLines="50" w:line="440" w:lineRule="exact"/>
                    <w:ind w:firstLine="0" w:firstLineChars="0"/>
                    <w:rPr>
                      <w:rFonts w:eastAsia="黑体"/>
                    </w:rPr>
                  </w:pPr>
                  <w:r>
                    <w:rPr>
                      <w:rFonts w:eastAsia="黑体" w:hint="eastAsia"/>
                      <w:sz w:val="32"/>
                    </w:rPr>
                    <w:t>建设项目工程分析（表五）</w:t>
                  </w:r>
                </w:p>
                <w:p>
                  <w:pPr>
                    <w:ind w:left="481" w:firstLine="420" w:leftChars="229"/>
                  </w:pPr>
                </w:p>
              </w:txbxContent>
            </v:textbox>
          </v:shape>
        </w:pict>
      </w:r>
      <w:r>
        <w:rPr>
          <w:rFonts w:ascii="黑体" w:eastAsia="黑体" w:hAnsi="黑体" w:cs="黑体" w:hint="eastAsia"/>
          <w:sz w:val="28"/>
          <w:szCs w:val="28"/>
        </w:rPr>
        <w:t>一</w:t>
      </w:r>
      <w:r>
        <w:rPr>
          <w:rFonts w:eastAsia="黑体"/>
          <w:sz w:val="28"/>
          <w:szCs w:val="28"/>
        </w:rPr>
        <w:t>、</w:t>
      </w:r>
      <w:r>
        <w:rPr>
          <w:rFonts w:eastAsia="黑体" w:hint="eastAsia"/>
          <w:sz w:val="28"/>
          <w:szCs w:val="28"/>
        </w:rPr>
        <w:t>施工期</w:t>
      </w:r>
      <w:r>
        <w:rPr>
          <w:rFonts w:eastAsia="黑体"/>
          <w:sz w:val="28"/>
          <w:szCs w:val="28"/>
        </w:rPr>
        <w:t>回顾性评价</w:t>
      </w:r>
    </w:p>
    <w:p>
      <w:pPr>
        <w:pStyle w:val="a1"/>
        <w:ind w:firstLine="480"/>
      </w:pPr>
      <w:r>
        <w:rPr>
          <w:rFonts w:hint="eastAsia"/>
        </w:rPr>
        <w:t>本项目选址位于</w:t>
      </w:r>
      <w:r>
        <w:rPr>
          <w:rFonts w:hint="eastAsia"/>
          <w:szCs w:val="24"/>
        </w:rPr>
        <w:t>文昌市文教镇宝藏解放坡，项目利用原有用地进行液化石油气储罐的改扩建，不涉及新增用地</w:t>
      </w:r>
      <w:r>
        <w:rPr>
          <w:szCs w:val="24"/>
        </w:rPr>
        <w:t>，施工期仅涉及设备的安装</w:t>
      </w:r>
      <w:r>
        <w:rPr>
          <w:rFonts w:hint="eastAsia"/>
          <w:szCs w:val="24"/>
        </w:rPr>
        <w:t>、</w:t>
      </w:r>
      <w:r>
        <w:rPr>
          <w:szCs w:val="24"/>
        </w:rPr>
        <w:t>调试</w:t>
      </w:r>
      <w:r>
        <w:rPr>
          <w:rFonts w:hint="eastAsia"/>
          <w:szCs w:val="24"/>
        </w:rPr>
        <w:t>。根据调查，</w:t>
      </w:r>
      <w:r>
        <w:rPr>
          <w:szCs w:val="24"/>
        </w:rPr>
        <w:t>项目施工期已经结束</w:t>
      </w:r>
      <w:r>
        <w:rPr>
          <w:rFonts w:hint="eastAsia"/>
          <w:szCs w:val="24"/>
        </w:rPr>
        <w:t>，</w:t>
      </w:r>
      <w:r>
        <w:rPr>
          <w:szCs w:val="24"/>
        </w:rPr>
        <w:t>且施工期间未接到任何企业和个人的投诉</w:t>
      </w:r>
      <w:r>
        <w:rPr>
          <w:rFonts w:hint="eastAsia"/>
          <w:szCs w:val="24"/>
        </w:rPr>
        <w:t>，</w:t>
      </w:r>
      <w:r>
        <w:rPr>
          <w:szCs w:val="24"/>
        </w:rPr>
        <w:t>此外</w:t>
      </w:r>
      <w:r>
        <w:rPr>
          <w:rFonts w:hint="eastAsia"/>
          <w:szCs w:val="24"/>
        </w:rPr>
        <w:t>，</w:t>
      </w:r>
      <w:r>
        <w:rPr>
          <w:szCs w:val="24"/>
        </w:rPr>
        <w:t>现场踏勘时也未发现施工期遗留环境问题</w:t>
      </w:r>
      <w:r>
        <w:rPr>
          <w:rFonts w:hint="eastAsia"/>
          <w:szCs w:val="24"/>
        </w:rPr>
        <w:t>。</w:t>
      </w:r>
    </w:p>
    <w:p>
      <w:pPr>
        <w:widowControl/>
        <w:spacing w:line="240" w:lineRule="auto"/>
        <w:ind w:firstLine="560"/>
        <w:jc w:val="left"/>
        <w:rPr>
          <w:rFonts w:eastAsia="黑体"/>
          <w:sz w:val="28"/>
          <w:szCs w:val="28"/>
        </w:rPr>
      </w:pPr>
      <w:r>
        <w:rPr>
          <w:rFonts w:eastAsia="黑体" w:hint="eastAsia"/>
          <w:sz w:val="28"/>
          <w:szCs w:val="28"/>
        </w:rPr>
        <w:t>二</w:t>
      </w:r>
      <w:r>
        <w:rPr>
          <w:rFonts w:eastAsia="黑体"/>
          <w:sz w:val="28"/>
          <w:szCs w:val="28"/>
        </w:rPr>
        <w:t>、</w:t>
      </w:r>
      <w:r>
        <w:rPr>
          <w:rFonts w:eastAsia="黑体" w:hint="eastAsia"/>
          <w:sz w:val="28"/>
          <w:szCs w:val="28"/>
        </w:rPr>
        <w:t>运营期工艺流程及产污环节图</w:t>
      </w:r>
    </w:p>
    <w:p>
      <w:pPr>
        <w:pStyle w:val="a1"/>
        <w:ind w:firstLine="480"/>
      </w:pPr>
      <w:r>
        <w:rPr>
          <w:rFonts w:hint="eastAsia"/>
        </w:rPr>
        <w:t>项目运营期主要涉及液化石油气槽车卸车、钢瓶充装和残液回收等作业，其作业工艺流程如下。</w:t>
      </w:r>
    </w:p>
    <w:p>
      <w:pPr>
        <w:pStyle w:val="a1"/>
        <w:ind w:firstLine="482"/>
        <w:rPr>
          <w:b/>
        </w:rPr>
      </w:pPr>
      <w:r>
        <w:rPr>
          <w:rFonts w:hint="eastAsia"/>
          <w:b/>
        </w:rPr>
        <w:t>（1）液化石油气槽车卸车</w:t>
      </w:r>
    </w:p>
    <w:p>
      <w:pPr>
        <w:adjustRightInd w:val="0"/>
        <w:snapToGrid w:val="0"/>
        <w:ind w:firstLine="0" w:firstLineChars="0"/>
        <w:jc w:val="center"/>
      </w:pPr>
      <w:r>
        <w:drawing>
          <wp:inline distT="0" distB="0" distL="0" distR="0">
            <wp:extent cx="4105275" cy="1581150"/>
            <wp:effectExtent l="19050" t="0" r="952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noChangeArrowheads="1"/>
                    </pic:cNvPicPr>
                  </pic:nvPicPr>
                  <pic:blipFill>
                    <a:blip xmlns:r="http://schemas.openxmlformats.org/officeDocument/2006/relationships" r:embed="rId459"/>
                    <a:stretch>
                      <a:fillRect/>
                    </a:stretch>
                  </pic:blipFill>
                  <pic:spPr>
                    <a:xfrm>
                      <a:off x="0" y="0"/>
                      <a:ext cx="4105275" cy="1581150"/>
                    </a:xfrm>
                    <a:prstGeom prst="rect">
                      <a:avLst/>
                    </a:prstGeom>
                    <a:noFill/>
                    <a:ln w="9525">
                      <a:noFill/>
                      <a:miter lim="800000"/>
                      <a:headEnd/>
                      <a:tailEnd/>
                    </a:ln>
                  </pic:spPr>
                </pic:pic>
              </a:graphicData>
            </a:graphic>
          </wp:inline>
        </w:drawing>
      </w:r>
    </w:p>
    <w:p>
      <w:pPr>
        <w:pStyle w:val="a1"/>
        <w:ind w:firstLine="0" w:firstLineChars="0"/>
        <w:jc w:val="center"/>
        <w:rPr>
          <w:rFonts w:eastAsia="黑体"/>
          <w:sz w:val="21"/>
          <w:szCs w:val="21"/>
        </w:rPr>
      </w:pPr>
      <w:r>
        <w:rPr>
          <w:rFonts w:eastAsia="黑体" w:hint="eastAsia"/>
          <w:sz w:val="21"/>
          <w:szCs w:val="21"/>
        </w:rPr>
        <w:t>图5-1  槽车卸车工艺流程及</w:t>
      </w:r>
      <w:r>
        <w:rPr>
          <w:rFonts w:eastAsia="黑体"/>
          <w:sz w:val="21"/>
          <w:szCs w:val="21"/>
        </w:rPr>
        <w:t>产污环节</w:t>
      </w:r>
      <w:r>
        <w:rPr>
          <w:rFonts w:eastAsia="黑体" w:hint="eastAsia"/>
          <w:sz w:val="21"/>
          <w:szCs w:val="21"/>
        </w:rPr>
        <w:t>图</w:t>
      </w:r>
    </w:p>
    <w:p>
      <w:pPr>
        <w:pStyle w:val="a1"/>
        <w:ind w:firstLine="480"/>
      </w:pPr>
      <w:r>
        <w:rPr>
          <w:rFonts w:hint="eastAsia"/>
        </w:rPr>
        <w:t>工艺流程：液化石油气（LPG）用汽车槽车送至站内卸车台，由卸车软管连接至LPG储罐，卸车时，压缩机自储罐抽吸气态LPG并压入汽车槽车的气相空间，使槽车和储罐之间形成0.2MPa的压差，利用压差将LPG卸入储罐，LPG储罐正常工作压力一般为0.3MPa。该工序废气产生环节为汽车槽车将液体转存于储罐的过程中及储罐泄压时产生的少量非甲烷总烃无组织排放，以及汽车槽车进站时的汽车尾气；噪声主要为压缩机和槽车运行时产生。</w:t>
      </w:r>
    </w:p>
    <w:p>
      <w:pPr>
        <w:pStyle w:val="a1"/>
        <w:ind w:firstLine="482"/>
        <w:rPr>
          <w:b/>
        </w:rPr>
      </w:pPr>
      <w:r>
        <w:rPr>
          <w:rFonts w:hint="eastAsia"/>
          <w:b/>
        </w:rPr>
        <w:t>（2）钢瓶充装</w:t>
      </w:r>
    </w:p>
    <w:p>
      <w:pPr>
        <w:pStyle w:val="a1"/>
        <w:ind w:firstLine="0" w:firstLineChars="0"/>
        <w:jc w:val="center"/>
      </w:pPr>
      <w:r>
        <w:drawing>
          <wp:inline distT="0" distB="0" distL="0" distR="0">
            <wp:extent cx="4581525" cy="824865"/>
            <wp:effectExtent l="19050" t="0" r="9525"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noChangeArrowheads="1"/>
                    </pic:cNvPicPr>
                  </pic:nvPicPr>
                  <pic:blipFill>
                    <a:blip xmlns:r="http://schemas.openxmlformats.org/officeDocument/2006/relationships" r:embed="rId460"/>
                    <a:stretch>
                      <a:fillRect/>
                    </a:stretch>
                  </pic:blipFill>
                  <pic:spPr>
                    <a:xfrm>
                      <a:off x="0" y="0"/>
                      <a:ext cx="4581525" cy="825416"/>
                    </a:xfrm>
                    <a:prstGeom prst="rect">
                      <a:avLst/>
                    </a:prstGeom>
                    <a:noFill/>
                    <a:ln w="9525">
                      <a:noFill/>
                      <a:miter lim="800000"/>
                      <a:headEnd/>
                      <a:tailEnd/>
                    </a:ln>
                  </pic:spPr>
                </pic:pic>
              </a:graphicData>
            </a:graphic>
          </wp:inline>
        </w:drawing>
      </w:r>
    </w:p>
    <w:p>
      <w:pPr>
        <w:pStyle w:val="a1"/>
        <w:ind w:firstLine="0" w:firstLineChars="0"/>
        <w:jc w:val="center"/>
        <w:rPr>
          <w:rFonts w:eastAsia="黑体"/>
          <w:sz w:val="21"/>
          <w:szCs w:val="21"/>
        </w:rPr>
      </w:pPr>
      <w:r>
        <w:rPr>
          <w:rFonts w:eastAsia="黑体" w:hint="eastAsia"/>
          <w:sz w:val="21"/>
          <w:szCs w:val="21"/>
        </w:rPr>
        <w:t>图5-2  钢瓶充装工艺流程及</w:t>
      </w:r>
      <w:r>
        <w:rPr>
          <w:rFonts w:eastAsia="黑体"/>
          <w:sz w:val="21"/>
          <w:szCs w:val="21"/>
        </w:rPr>
        <w:t>产污环节</w:t>
      </w:r>
      <w:r>
        <w:rPr>
          <w:rFonts w:eastAsia="黑体" w:hint="eastAsia"/>
          <w:sz w:val="21"/>
          <w:szCs w:val="21"/>
        </w:rPr>
        <w:t>图</w:t>
      </w:r>
    </w:p>
    <w:p>
      <w:pPr>
        <w:pStyle w:val="a1"/>
        <w:ind w:firstLine="480"/>
        <w:sectPr>
          <w:headerReference w:type="even" r:id="rId461"/>
          <w:headerReference w:type="default" r:id="rId462"/>
          <w:footerReference w:type="even" r:id="rId463"/>
          <w:footerReference w:type="default" r:id="rId464"/>
          <w:headerReference w:type="first" r:id="rId465"/>
          <w:footerReference w:type="first" r:id="rId466"/>
          <w:type w:val="nextPage"/>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37"/>
          <w:cols w:num="1" w:space="720"/>
          <w:titlePg w:val="0"/>
          <w:docGrid w:type="linesAndChars" w:linePitch="312" w:charSpace="0"/>
        </w:sectPr>
      </w:pPr>
      <w:r>
        <w:rPr>
          <w:rFonts w:hint="eastAsia"/>
        </w:rPr>
        <w:t>工艺流程：将钢瓶放在灌装称上，连接好管线，通过</w:t>
      </w:r>
      <w:r>
        <w:rPr>
          <w:szCs w:val="32"/>
        </w:rPr>
        <w:t>烃泵</w:t>
      </w:r>
    </w:p>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7" w:history="1">
        <w:r>
          <w:rPr>
            <w:rFonts w:ascii="SimSun" w:eastAsia="SimSun" w:hAnsi="SimSun" w:cs="SimSun"/>
            <w:b/>
            <w:bCs/>
            <w:color w:val="0000EE"/>
            <w:kern w:val="0"/>
            <w:sz w:val="30"/>
            <w:szCs w:val="30"/>
            <w:u w:val="single" w:color="0000EE"/>
          </w:rPr>
          <w:t>https://d.book118.com/776042214114010103</w:t>
        </w:r>
      </w:hyperlink>
    </w:p>
    <w:p/>
    <w:sectPr>
      <w:headerReference w:type="even" r:id="rId468"/>
      <w:headerReference w:type="default" r:id="rId469"/>
      <w:footerReference w:type="even" r:id="rId470"/>
      <w:footerReference w:type="default" r:id="rId471"/>
      <w:headerReference w:type="first" r:id="rId472"/>
      <w:footerReference w:type="first" r:id="rId473"/>
      <w:pgSz w:w="11907" w:h="16840"/>
      <w:pgMar w:top="1304" w:right="1304" w:bottom="1304" w:left="1304" w:header="851" w:footer="851" w:gutter="0"/>
      <w:pgBorders>
        <w:top w:val="single" w:sz="4" w:space="1" w:color="auto"/>
        <w:left w:val="single" w:sz="4" w:space="5" w:color="auto"/>
        <w:bottom w:val="single" w:sz="4" w:space="1" w:color="auto"/>
        <w:right w:val="single" w:sz="4" w:space="5" w:color="auto"/>
      </w:pgBorders>
      <w:pgNumType w:start="48"/>
      <w:cols w:num="1" w:space="720"/>
      <w:docGrid w:type="linesAndChar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00002FF" w:usb1="4000ACFF" w:usb2="00000001" w:usb3="00000000" w:csb0="2000019F" w:csb1="00000000"/>
  </w:font>
  <w:font w:name="长城楷体">
    <w:altName w:val="黑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方正宋三简体">
    <w:altName w:val="宋体"/>
    <w:panose1 w:val="00000000000000000000"/>
    <w:charset w:val="86"/>
    <w:family w:val="auto"/>
    <w:pitch w:val="default"/>
    <w:sig w:usb0="00000000" w:usb1="00000000" w:usb2="00000010" w:usb3="00000000" w:csb0="00040000" w:csb1="00000000"/>
  </w:font>
  <w:font w:name="MS Sans Serif">
    <w:altName w:val="Arial"/>
    <w:panose1 w:val="020B0500000000000000"/>
    <w:charset w:val="00"/>
    <w:family w:val="auto"/>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瀹嬩綋">
    <w:altName w:val="宋体"/>
    <w:panose1 w:val="00000000000000000000"/>
    <w:charset w:val="86"/>
    <w:family w:val="auto"/>
    <w:pitch w:val="default"/>
    <w:sig w:usb0="00000000" w:usb1="0000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2FF" w:usb1="420024FF" w:usb2="00000000" w:usb3="00000000" w:csb0="2000019F" w:csb1="00000000"/>
  </w:font>
  <w:font w:name="Kingsoft Symbol">
    <w:altName w:val="Symbol"/>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48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1</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3</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3</w:t>
    </w:r>
    <w: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w:t>
    </w:r>
    <w: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5</w:t>
    </w:r>
    <w: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7</w:t>
    </w:r>
    <w:r>
      <w:fldChar w:fldCharType="end"/>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8</w:t>
    </w:r>
    <w:r>
      <w:fldChar w:fldCharType="end"/>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9</w:t>
    </w:r>
    <w:r>
      <w:fldChar w:fldCharType="end"/>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9</w:t>
    </w:r>
    <w:r>
      <w:fldChar w:fldCharType="end"/>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11</w:t>
    </w:r>
    <w:r>
      <w:fldChar w:fldCharType="end"/>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11</w:t>
    </w:r>
    <w:r>
      <w:fldChar w:fldCharType="end"/>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12</w:t>
    </w:r>
    <w:r>
      <w:fldChar w:fldCharType="end"/>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14</w:t>
    </w:r>
    <w:r>
      <w:fldChar w:fldCharType="end"/>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14</w:t>
    </w:r>
    <w:r>
      <w:fldChar w:fldCharType="end"/>
    </w: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16</w:t>
    </w:r>
    <w:r>
      <w:fldChar w:fldCharType="end"/>
    </w: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16</w:t>
    </w:r>
    <w:r>
      <w:fldChar w:fldCharType="end"/>
    </w: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17</w:t>
    </w:r>
    <w:r>
      <w:fldChar w:fldCharType="end"/>
    </w: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18</w:t>
    </w:r>
    <w:r>
      <w:fldChar w:fldCharType="end"/>
    </w: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19</w:t>
    </w:r>
    <w:r>
      <w:fldChar w:fldCharType="end"/>
    </w: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20</w:t>
    </w:r>
    <w:r>
      <w:fldChar w:fldCharType="end"/>
    </w: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21</w:t>
    </w:r>
    <w:r>
      <w:fldChar w:fldCharType="end"/>
    </w: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22</w:t>
    </w:r>
    <w:r>
      <w:fldChar w:fldCharType="end"/>
    </w: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23</w:t>
    </w:r>
    <w:r>
      <w:fldChar w:fldCharType="end"/>
    </w:r>
  </w:p>
</w:ftr>
</file>

<file path=word/footer1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24</w:t>
    </w:r>
    <w:r>
      <w:fldChar w:fldCharType="end"/>
    </w:r>
  </w:p>
</w:ftr>
</file>

<file path=word/footer1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25</w:t>
    </w:r>
    <w:r>
      <w:fldChar w:fldCharType="end"/>
    </w:r>
  </w:p>
</w:ftr>
</file>

<file path=word/footer1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26</w:t>
    </w:r>
    <w:r>
      <w:fldChar w:fldCharType="end"/>
    </w:r>
  </w:p>
</w:ftr>
</file>

<file path=word/footer1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27</w:t>
    </w:r>
    <w:r>
      <w:fldChar w:fldCharType="end"/>
    </w:r>
  </w:p>
</w:ftr>
</file>

<file path=word/footer1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28</w:t>
    </w:r>
    <w:r>
      <w:fldChar w:fldCharType="end"/>
    </w:r>
  </w:p>
</w:ftr>
</file>

<file path=word/footer1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29</w:t>
    </w:r>
    <w:r>
      <w:fldChar w:fldCharType="end"/>
    </w:r>
  </w:p>
</w:ftr>
</file>

<file path=word/footer1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30</w:t>
    </w:r>
    <w:r>
      <w:fldChar w:fldCharType="end"/>
    </w:r>
  </w:p>
</w:ftr>
</file>

<file path=word/footer1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31</w:t>
    </w:r>
    <w:r>
      <w:fldChar w:fldCharType="end"/>
    </w:r>
  </w:p>
</w:ftr>
</file>

<file path=word/footer1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32</w:t>
    </w:r>
    <w:r>
      <w:fldChar w:fldCharType="end"/>
    </w:r>
  </w:p>
</w:ftr>
</file>

<file path=word/footer1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1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33</w:t>
    </w:r>
    <w:r>
      <w:fldChar w:fldCharType="end"/>
    </w:r>
  </w:p>
</w:ftr>
</file>

<file path=word/footer1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2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34</w:t>
    </w:r>
    <w:r>
      <w:fldChar w:fldCharType="end"/>
    </w:r>
  </w:p>
</w:ftr>
</file>

<file path=word/footer2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2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35</w:t>
    </w:r>
    <w:r>
      <w:fldChar w:fldCharType="end"/>
    </w:r>
  </w:p>
</w:ftr>
</file>

<file path=word/footer2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2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36</w:t>
    </w:r>
    <w:r>
      <w:fldChar w:fldCharType="end"/>
    </w:r>
  </w:p>
</w:ftr>
</file>

<file path=word/footer2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2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37</w:t>
    </w:r>
    <w:r>
      <w:fldChar w:fldCharType="end"/>
    </w:r>
  </w:p>
</w:ftr>
</file>

<file path=word/footer2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rPr>
        <w:rStyle w:val="PageNumber"/>
      </w:rPr>
      <w:instrText xml:space="preserve"> PAGE </w:instrText>
    </w:r>
    <w:r>
      <w:fldChar w:fldCharType="separate"/>
    </w:r>
    <w:r>
      <w:rPr>
        <w:rStyle w:val="PageNumber"/>
      </w:rPr>
      <w:t>48</w:t>
    </w:r>
    <w:r>
      <w:fldChar w:fldCharType="end"/>
    </w:r>
  </w:p>
</w:ftr>
</file>

<file path=word/footer2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FFFFFF7C"/>
    <w:lvl w:ilvl="0">
      <w:start w:val="1"/>
      <w:numFmt w:val="decimal"/>
      <w:pStyle w:val="ListNumber5"/>
      <w:lvlText w:val="%1."/>
      <w:lvlJc w:val="left"/>
      <w:pPr>
        <w:tabs>
          <w:tab w:val="left" w:pos="2040"/>
        </w:tabs>
        <w:ind w:left="2040" w:hanging="360" w:leftChars="800" w:hangingChars="200"/>
      </w:pPr>
    </w:lvl>
  </w:abstractNum>
  <w:abstractNum w:abstractNumId="1">
    <w:nsid w:val="FFFFFF7D"/>
    <w:multiLevelType w:val="singleLevel"/>
    <w:tmpl w:val="FFFFFF7D"/>
    <w:lvl w:ilvl="0">
      <w:start w:val="1"/>
      <w:numFmt w:val="decimal"/>
      <w:pStyle w:val="ListNumber4"/>
      <w:lvlText w:val="%1."/>
      <w:lvlJc w:val="left"/>
      <w:pPr>
        <w:tabs>
          <w:tab w:val="left" w:pos="1620"/>
        </w:tabs>
        <w:ind w:left="1620" w:hanging="360" w:leftChars="600" w:hangingChars="200"/>
      </w:pPr>
    </w:lvl>
  </w:abstractNum>
  <w:abstractNum w:abstractNumId="2">
    <w:nsid w:val="FFFFFF7E"/>
    <w:multiLevelType w:val="singleLevel"/>
    <w:tmpl w:val="FFFFFF7E"/>
    <w:lvl w:ilvl="0">
      <w:start w:val="1"/>
      <w:numFmt w:val="decimal"/>
      <w:pStyle w:val="ListNumber3"/>
      <w:lvlText w:val="%1."/>
      <w:lvlJc w:val="left"/>
      <w:pPr>
        <w:tabs>
          <w:tab w:val="left" w:pos="1200"/>
        </w:tabs>
        <w:ind w:left="1200" w:hanging="360" w:leftChars="400" w:hangingChars="200"/>
      </w:pPr>
    </w:lvl>
  </w:abstractNum>
  <w:abstractNum w:abstractNumId="3">
    <w:nsid w:val="FFFFFF7F"/>
    <w:multiLevelType w:val="singleLevel"/>
    <w:tmpl w:val="FFFFFF7F"/>
    <w:lvl w:ilvl="0">
      <w:start w:val="1"/>
      <w:numFmt w:val="decimal"/>
      <w:pStyle w:val="ListNumber2"/>
      <w:lvlText w:val="%1."/>
      <w:lvlJc w:val="left"/>
      <w:pPr>
        <w:tabs>
          <w:tab w:val="left" w:pos="780"/>
        </w:tabs>
        <w:ind w:left="780" w:hanging="360" w:leftChars="200" w:hangingChars="200"/>
      </w:pPr>
    </w:lvl>
  </w:abstractNum>
  <w:abstractNum w:abstractNumId="4">
    <w:nsid w:val="FFFFFF80"/>
    <w:multiLevelType w:val="singleLevel"/>
    <w:tmpl w:val="FFFFFF80"/>
    <w:lvl w:ilvl="0">
      <w:start w:val="1"/>
      <w:numFmt w:val="bullet"/>
      <w:pStyle w:val="ListBullet5"/>
      <w:lvlText w:val=""/>
      <w:lvlJc w:val="left"/>
      <w:pPr>
        <w:tabs>
          <w:tab w:val="left" w:pos="2040"/>
        </w:tabs>
        <w:ind w:left="2040" w:hanging="360" w:leftChars="800" w:hangingChars="200"/>
      </w:pPr>
      <w:rPr>
        <w:rFonts w:ascii="Wingdings" w:hAnsi="Wingdings" w:hint="default"/>
      </w:rPr>
    </w:lvl>
  </w:abstractNum>
  <w:abstractNum w:abstractNumId="5">
    <w:nsid w:val="FFFFFF81"/>
    <w:multiLevelType w:val="singleLevel"/>
    <w:tmpl w:val="FFFFFF81"/>
    <w:lvl w:ilvl="0">
      <w:start w:val="1"/>
      <w:numFmt w:val="bullet"/>
      <w:pStyle w:val="ListBullet4"/>
      <w:lvlText w:val=""/>
      <w:lvlJc w:val="left"/>
      <w:pPr>
        <w:tabs>
          <w:tab w:val="left" w:pos="1620"/>
        </w:tabs>
        <w:ind w:left="1620" w:hanging="360" w:leftChars="600" w:hangingChars="200"/>
      </w:pPr>
      <w:rPr>
        <w:rFonts w:ascii="Wingdings" w:hAnsi="Wingdings" w:hint="default"/>
      </w:rPr>
    </w:lvl>
  </w:abstractNum>
  <w:abstractNum w:abstractNumId="6">
    <w:nsid w:val="FFFFFF82"/>
    <w:multiLevelType w:val="singleLevel"/>
    <w:tmpl w:val="FFFFFF82"/>
    <w:lvl w:ilvl="0">
      <w:start w:val="1"/>
      <w:numFmt w:val="bullet"/>
      <w:pStyle w:val="ListBullet3"/>
      <w:lvlText w:val=""/>
      <w:lvlJc w:val="left"/>
      <w:pPr>
        <w:tabs>
          <w:tab w:val="left" w:pos="1200"/>
        </w:tabs>
        <w:ind w:left="1200" w:hanging="360" w:leftChars="400" w:hangingChars="200"/>
      </w:pPr>
      <w:rPr>
        <w:rFonts w:ascii="Wingdings" w:hAnsi="Wingdings" w:hint="default"/>
      </w:rPr>
    </w:lvl>
  </w:abstractNum>
  <w:abstractNum w:abstractNumId="7">
    <w:nsid w:val="FFFFFF83"/>
    <w:multiLevelType w:val="singleLevel"/>
    <w:tmpl w:val="FFFFFF83"/>
    <w:lvl w:ilvl="0">
      <w:start w:val="1"/>
      <w:numFmt w:val="bullet"/>
      <w:pStyle w:val="ListBullet2"/>
      <w:lvlText w:val=""/>
      <w:lvlJc w:val="left"/>
      <w:pPr>
        <w:tabs>
          <w:tab w:val="left" w:pos="780"/>
        </w:tabs>
        <w:ind w:left="780" w:hanging="360" w:leftChars="200" w:hangingChars="200"/>
      </w:pPr>
      <w:rPr>
        <w:rFonts w:ascii="Wingdings" w:hAnsi="Wingdings" w:hint="default"/>
      </w:rPr>
    </w:lvl>
  </w:abstractNum>
  <w:abstractNum w:abstractNumId="8">
    <w:nsid w:val="FFFFFF88"/>
    <w:multiLevelType w:val="singleLevel"/>
    <w:tmpl w:val="FFFFFF88"/>
    <w:lvl w:ilvl="0">
      <w:start w:val="1"/>
      <w:numFmt w:val="decimal"/>
      <w:pStyle w:val="ListNumber"/>
      <w:lvlText w:val="%1."/>
      <w:lvlJc w:val="left"/>
      <w:pPr>
        <w:tabs>
          <w:tab w:val="left" w:pos="360"/>
        </w:tabs>
        <w:ind w:left="360" w:hanging="360" w:hangingChars="200"/>
      </w:pPr>
    </w:lvl>
  </w:abstractNum>
  <w:abstractNum w:abstractNumId="9">
    <w:nsid w:val="FFFFFF89"/>
    <w:multiLevelType w:val="singleLevel"/>
    <w:tmpl w:val="FFFFFF89"/>
    <w:lvl w:ilvl="0">
      <w:start w:val="1"/>
      <w:numFmt w:val="bullet"/>
      <w:pStyle w:val="ListBullet"/>
      <w:lvlText w:val=""/>
      <w:lvlJc w:val="left"/>
      <w:pPr>
        <w:tabs>
          <w:tab w:val="left" w:pos="360"/>
        </w:tabs>
        <w:ind w:left="360" w:hanging="360" w:hangingChars="200"/>
      </w:pPr>
      <w:rPr>
        <w:rFonts w:ascii="Wingdings" w:hAnsi="Wingdings" w:hint="default"/>
      </w:rPr>
    </w:lvl>
  </w:abstractNum>
  <w:abstractNum w:abstractNumId="10">
    <w:nsid w:val="24796ADB"/>
    <w:multiLevelType w:val="multilevel"/>
    <w:tmpl w:val="24796ADB"/>
    <w:lvl w:ilvl="0">
      <w:start w:val="1"/>
      <w:numFmt w:val="chineseCountingThousand"/>
      <w:suff w:val="space"/>
      <w:lvlText w:val="%1、"/>
      <w:lvlJc w:val="left"/>
      <w:pPr>
        <w:ind w:left="57" w:hanging="57"/>
      </w:pPr>
      <w:rPr>
        <w:rFonts w:hint="eastAsia"/>
        <w:b w:val="0"/>
        <w:bCs w:val="0"/>
        <w:i w:val="0"/>
        <w:iCs w:val="0"/>
        <w:caps w:val="0"/>
        <w:smallCaps w:val="0"/>
        <w:strike w:val="0"/>
        <w:dstrike w:val="0"/>
        <w:vanish w:val="0"/>
        <w:color w:val="000000"/>
        <w:spacing w:val="0"/>
        <w:position w:val="0"/>
        <w:u w:val="none"/>
        <w:vertAlign w:val="baseline"/>
      </w:rPr>
    </w:lvl>
    <w:lvl w:ilvl="1">
      <w:start w:val="1"/>
      <w:numFmt w:val="decimal"/>
      <w:pStyle w:val="Heading2"/>
      <w:lvlText w:val="%1.%2."/>
      <w:lvlJc w:val="left"/>
      <w:pPr>
        <w:tabs>
          <w:tab w:val="left" w:pos="0"/>
        </w:tabs>
        <w:ind w:left="0" w:firstLine="0"/>
      </w:pPr>
      <w:rPr>
        <w:rFonts w:ascii="Times New Roman" w:hAnsi="Times New Roman" w:hint="default"/>
        <w:b w:val="0"/>
        <w:i w:val="0"/>
        <w:sz w:val="28"/>
      </w:rPr>
    </w:lvl>
    <w:lvl w:ilvl="2">
      <w:start w:val="1"/>
      <w:numFmt w:val="decimal"/>
      <w:pStyle w:val="Heading3"/>
      <w:lvlText w:val="%1.%2.%3."/>
      <w:lvlJc w:val="left"/>
      <w:pPr>
        <w:tabs>
          <w:tab w:val="left" w:pos="0"/>
        </w:tabs>
        <w:ind w:left="0" w:firstLine="0"/>
      </w:pPr>
      <w:rPr>
        <w:rFonts w:ascii="Times New Roman" w:hAnsi="Times New Roman" w:hint="default"/>
        <w:b w:val="0"/>
        <w:i w:val="0"/>
        <w:sz w:val="28"/>
      </w:rPr>
    </w:lvl>
    <w:lvl w:ilvl="3">
      <w:start w:val="1"/>
      <w:numFmt w:val="decimal"/>
      <w:pStyle w:val="Heading4"/>
      <w:lvlText w:val="%1.%2.%3.%4."/>
      <w:lvlJc w:val="left"/>
      <w:pPr>
        <w:tabs>
          <w:tab w:val="left" w:pos="0"/>
        </w:tabs>
        <w:ind w:left="0" w:firstLine="0"/>
      </w:pPr>
      <w:rPr>
        <w:rFonts w:ascii="Times New Roman" w:hAnsi="Times New Roman" w:hint="default"/>
        <w:b w:val="0"/>
        <w:i w:val="0"/>
        <w:sz w:val="28"/>
      </w:rPr>
    </w:lvl>
    <w:lvl w:ilvl="4">
      <w:start w:val="1"/>
      <w:numFmt w:val="decimal"/>
      <w:pStyle w:val="Heading5"/>
      <w:lvlText w:val="%1.%2.%3.%4.%5."/>
      <w:lvlJc w:val="left"/>
      <w:pPr>
        <w:tabs>
          <w:tab w:val="left" w:pos="0"/>
        </w:tabs>
        <w:ind w:left="0" w:firstLine="0"/>
      </w:pPr>
      <w:rPr>
        <w:rFonts w:ascii="Times New Roman" w:hAnsi="Times New Roman" w:hint="default"/>
        <w:b w:val="0"/>
        <w:i w:val="0"/>
        <w:sz w:val="24"/>
      </w:rPr>
    </w:lvl>
    <w:lvl w:ilvl="5">
      <w:start w:val="1"/>
      <w:numFmt w:val="decimal"/>
      <w:pStyle w:val="Heading6"/>
      <w:lvlText w:val="%1.%2.%3.%4.%5..%6"/>
      <w:lvlJc w:val="left"/>
      <w:pPr>
        <w:tabs>
          <w:tab w:val="left" w:pos="0"/>
        </w:tabs>
        <w:ind w:left="0" w:firstLine="0"/>
      </w:pPr>
      <w:rPr>
        <w:rFonts w:hint="eastAsia"/>
      </w:rPr>
    </w:lvl>
    <w:lvl w:ilvl="6">
      <w:start w:val="1"/>
      <w:numFmt w:val="decimal"/>
      <w:pStyle w:val="Heading7"/>
      <w:lvlText w:val="%1.%2.%3.%4.%5..%6.%7"/>
      <w:lvlJc w:val="left"/>
      <w:pPr>
        <w:tabs>
          <w:tab w:val="left" w:pos="0"/>
        </w:tabs>
        <w:ind w:left="0" w:firstLine="0"/>
      </w:pPr>
      <w:rPr>
        <w:rFonts w:hint="eastAsia"/>
      </w:rPr>
    </w:lvl>
    <w:lvl w:ilvl="7">
      <w:start w:val="1"/>
      <w:numFmt w:val="decimal"/>
      <w:pStyle w:val="Heading8"/>
      <w:lvlText w:val="%1.%2.%3.%4.%5..%6.%7.%8"/>
      <w:lvlJc w:val="left"/>
      <w:pPr>
        <w:tabs>
          <w:tab w:val="left" w:pos="0"/>
        </w:tabs>
        <w:ind w:left="0" w:firstLine="0"/>
      </w:pPr>
      <w:rPr>
        <w:rFonts w:hint="eastAsia"/>
      </w:rPr>
    </w:lvl>
    <w:lvl w:ilvl="8">
      <w:start w:val="1"/>
      <w:numFmt w:val="decimal"/>
      <w:pStyle w:val="Heading9"/>
      <w:lvlText w:val="%1.%2.%3.%4.%5..%6.%7.%8.%9"/>
      <w:lvlJc w:val="left"/>
      <w:pPr>
        <w:tabs>
          <w:tab w:val="left" w:pos="0"/>
        </w:tabs>
        <w:ind w:left="0" w:firstLine="0"/>
      </w:pPr>
      <w:rPr>
        <w:rFonts w:hint="eastAsia"/>
      </w:rPr>
    </w:lvl>
  </w:abstractNum>
  <w:abstractNum w:abstractNumId="11">
    <w:nsid w:val="6DDD1607"/>
    <w:multiLevelType w:val="multilevel"/>
    <w:tmpl w:val="6DDD1607"/>
    <w:lvl w:ilvl="0">
      <w:start w:val="1"/>
      <w:numFmt w:val="decimal"/>
      <w:pStyle w:val="a0"/>
      <w:lvlText w:val="表%1"/>
      <w:lvlJc w:val="center"/>
      <w:pPr>
        <w:tabs>
          <w:tab w:val="left" w:pos="0"/>
        </w:tabs>
        <w:ind w:left="0" w:firstLine="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1">
      <w:start w:val="1"/>
      <w:numFmt w:val="decimal"/>
      <w:lvlText w:val="%2)"/>
      <w:lvlJc w:val="left"/>
      <w:pPr>
        <w:tabs>
          <w:tab w:val="left" w:pos="420"/>
        </w:tabs>
        <w:ind w:left="42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2">
      <w:start w:val="1"/>
      <w:numFmt w:val="bullet"/>
      <w:lvlText w:val=""/>
      <w:lvlJc w:val="left"/>
      <w:pPr>
        <w:tabs>
          <w:tab w:val="left" w:pos="1460"/>
        </w:tabs>
        <w:ind w:left="146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Cs w:val="0"/>
        <w:u w:val="none"/>
        <w:vertAlign w:val="baseline"/>
      </w:rPr>
    </w:lvl>
    <w:lvl w:ilvl="3">
      <w:start w:val="1"/>
      <w:numFmt w:val="decimal"/>
      <w:lvlText w:val="%4."/>
      <w:lvlJc w:val="left"/>
      <w:pPr>
        <w:tabs>
          <w:tab w:val="left" w:pos="1880"/>
        </w:tabs>
        <w:ind w:left="1880" w:hanging="420"/>
      </w:pPr>
    </w:lvl>
    <w:lvl w:ilvl="4">
      <w:start w:val="1"/>
      <w:numFmt w:val="lowerLetter"/>
      <w:lvlText w:val="%5)"/>
      <w:lvlJc w:val="left"/>
      <w:pPr>
        <w:tabs>
          <w:tab w:val="left" w:pos="2300"/>
        </w:tabs>
        <w:ind w:left="2300" w:hanging="420"/>
      </w:pPr>
    </w:lvl>
    <w:lvl w:ilvl="5">
      <w:start w:val="1"/>
      <w:numFmt w:val="lowerRoman"/>
      <w:lvlText w:val="%6."/>
      <w:lvlJc w:val="right"/>
      <w:pPr>
        <w:tabs>
          <w:tab w:val="left" w:pos="2720"/>
        </w:tabs>
        <w:ind w:left="2720" w:hanging="420"/>
      </w:pPr>
    </w:lvl>
    <w:lvl w:ilvl="6">
      <w:start w:val="1"/>
      <w:numFmt w:val="decimal"/>
      <w:lvlText w:val="%7."/>
      <w:lvlJc w:val="left"/>
      <w:pPr>
        <w:tabs>
          <w:tab w:val="left" w:pos="3140"/>
        </w:tabs>
        <w:ind w:left="3140" w:hanging="420"/>
      </w:pPr>
    </w:lvl>
    <w:lvl w:ilvl="7">
      <w:start w:val="1"/>
      <w:numFmt w:val="lowerLetter"/>
      <w:lvlText w:val="%8)"/>
      <w:lvlJc w:val="left"/>
      <w:pPr>
        <w:tabs>
          <w:tab w:val="left" w:pos="3560"/>
        </w:tabs>
        <w:ind w:left="3560" w:hanging="420"/>
      </w:pPr>
    </w:lvl>
    <w:lvl w:ilvl="8">
      <w:start w:val="1"/>
      <w:numFmt w:val="lowerRoman"/>
      <w:lvlText w:val="%9."/>
      <w:lvlJc w:val="right"/>
      <w:pPr>
        <w:tabs>
          <w:tab w:val="left" w:pos="3980"/>
        </w:tabs>
        <w:ind w:left="3980" w:hanging="420"/>
      </w:pPr>
    </w:lvl>
  </w:abstractNum>
  <w:abstractNum w:abstractNumId="12">
    <w:nsid w:val="7C994B31"/>
    <w:multiLevelType w:val="multilevel"/>
    <w:tmpl w:val="7C994B31"/>
    <w:lvl w:ilvl="0">
      <w:start w:val="3"/>
      <w:numFmt w:val="japaneseCounting"/>
      <w:pStyle w:val="6"/>
      <w:lvlText w:val="第%1章"/>
      <w:lvlJc w:val="left"/>
      <w:pPr>
        <w:tabs>
          <w:tab w:val="left" w:pos="3195"/>
        </w:tabs>
        <w:ind w:left="3195" w:hanging="855"/>
      </w:pPr>
      <w:rPr>
        <w:rFonts w:hint="default"/>
      </w:rPr>
    </w:lvl>
    <w:lvl w:ilvl="1">
      <w:start w:val="1"/>
      <w:numFmt w:val="lowerLetter"/>
      <w:lvlText w:val="%2)"/>
      <w:lvlJc w:val="left"/>
      <w:pPr>
        <w:tabs>
          <w:tab w:val="left" w:pos="3180"/>
        </w:tabs>
        <w:ind w:left="3180" w:hanging="420"/>
      </w:pPr>
    </w:lvl>
    <w:lvl w:ilvl="2">
      <w:start w:val="1"/>
      <w:numFmt w:val="lowerRoman"/>
      <w:lvlText w:val="%3."/>
      <w:lvlJc w:val="right"/>
      <w:pPr>
        <w:tabs>
          <w:tab w:val="left" w:pos="3600"/>
        </w:tabs>
        <w:ind w:left="3600" w:hanging="420"/>
      </w:pPr>
    </w:lvl>
    <w:lvl w:ilvl="3">
      <w:start w:val="1"/>
      <w:numFmt w:val="decimal"/>
      <w:lvlText w:val="%4."/>
      <w:lvlJc w:val="left"/>
      <w:pPr>
        <w:tabs>
          <w:tab w:val="left" w:pos="4020"/>
        </w:tabs>
        <w:ind w:left="4020" w:hanging="420"/>
      </w:pPr>
    </w:lvl>
    <w:lvl w:ilvl="4">
      <w:start w:val="1"/>
      <w:numFmt w:val="lowerLetter"/>
      <w:lvlText w:val="%5)"/>
      <w:lvlJc w:val="left"/>
      <w:pPr>
        <w:tabs>
          <w:tab w:val="left" w:pos="4440"/>
        </w:tabs>
        <w:ind w:left="4440" w:hanging="420"/>
      </w:pPr>
    </w:lvl>
    <w:lvl w:ilvl="5">
      <w:start w:val="1"/>
      <w:numFmt w:val="lowerRoman"/>
      <w:lvlText w:val="%6."/>
      <w:lvlJc w:val="right"/>
      <w:pPr>
        <w:tabs>
          <w:tab w:val="left" w:pos="4860"/>
        </w:tabs>
        <w:ind w:left="4860" w:hanging="420"/>
      </w:pPr>
    </w:lvl>
    <w:lvl w:ilvl="6">
      <w:start w:val="1"/>
      <w:numFmt w:val="decimal"/>
      <w:lvlText w:val="%7."/>
      <w:lvlJc w:val="left"/>
      <w:pPr>
        <w:tabs>
          <w:tab w:val="left" w:pos="5280"/>
        </w:tabs>
        <w:ind w:left="5280" w:hanging="420"/>
      </w:pPr>
    </w:lvl>
    <w:lvl w:ilvl="7">
      <w:start w:val="1"/>
      <w:numFmt w:val="lowerLetter"/>
      <w:lvlText w:val="%8)"/>
      <w:lvlJc w:val="left"/>
      <w:pPr>
        <w:tabs>
          <w:tab w:val="left" w:pos="5700"/>
        </w:tabs>
        <w:ind w:left="5700" w:hanging="420"/>
      </w:pPr>
    </w:lvl>
    <w:lvl w:ilvl="8">
      <w:start w:val="1"/>
      <w:numFmt w:val="lowerRoman"/>
      <w:lvlText w:val="%9."/>
      <w:lvlJc w:val="right"/>
      <w:pPr>
        <w:tabs>
          <w:tab w:val="left" w:pos="6120"/>
        </w:tabs>
        <w:ind w:left="6120" w:hanging="420"/>
      </w:pPr>
    </w:lvl>
  </w:abstractNum>
  <w:num w:numId="1">
    <w:abstractNumId w:val="10"/>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40"/>
  <w:displayBackgroundShape/>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6DD"/>
    <w:rsid w:val="00000BA7"/>
    <w:rsid w:val="00001790"/>
    <w:rsid w:val="00001BA8"/>
    <w:rsid w:val="00001FFA"/>
    <w:rsid w:val="00003DA8"/>
    <w:rsid w:val="00003FDE"/>
    <w:rsid w:val="000041E9"/>
    <w:rsid w:val="0000452F"/>
    <w:rsid w:val="00004A3A"/>
    <w:rsid w:val="00004DEA"/>
    <w:rsid w:val="0000525F"/>
    <w:rsid w:val="000052CC"/>
    <w:rsid w:val="00006257"/>
    <w:rsid w:val="000063B5"/>
    <w:rsid w:val="00007683"/>
    <w:rsid w:val="00007962"/>
    <w:rsid w:val="00007D71"/>
    <w:rsid w:val="0001016B"/>
    <w:rsid w:val="00010340"/>
    <w:rsid w:val="0001069C"/>
    <w:rsid w:val="00010BF9"/>
    <w:rsid w:val="000128C4"/>
    <w:rsid w:val="000128ED"/>
    <w:rsid w:val="00012B76"/>
    <w:rsid w:val="00012EC1"/>
    <w:rsid w:val="000132F5"/>
    <w:rsid w:val="000135DF"/>
    <w:rsid w:val="0001361A"/>
    <w:rsid w:val="00014A94"/>
    <w:rsid w:val="00014DE7"/>
    <w:rsid w:val="00014F55"/>
    <w:rsid w:val="000160E7"/>
    <w:rsid w:val="000165B9"/>
    <w:rsid w:val="00016650"/>
    <w:rsid w:val="00016B91"/>
    <w:rsid w:val="00017315"/>
    <w:rsid w:val="00017460"/>
    <w:rsid w:val="00017479"/>
    <w:rsid w:val="00017AB8"/>
    <w:rsid w:val="00017AD1"/>
    <w:rsid w:val="00017C41"/>
    <w:rsid w:val="00017E3D"/>
    <w:rsid w:val="00017EAD"/>
    <w:rsid w:val="00020EC1"/>
    <w:rsid w:val="000211FD"/>
    <w:rsid w:val="00021788"/>
    <w:rsid w:val="0002220A"/>
    <w:rsid w:val="00022829"/>
    <w:rsid w:val="000229B6"/>
    <w:rsid w:val="000229E9"/>
    <w:rsid w:val="000230A3"/>
    <w:rsid w:val="000241CE"/>
    <w:rsid w:val="0002431A"/>
    <w:rsid w:val="00025383"/>
    <w:rsid w:val="0002564D"/>
    <w:rsid w:val="00025DA3"/>
    <w:rsid w:val="00026184"/>
    <w:rsid w:val="00026557"/>
    <w:rsid w:val="00026B28"/>
    <w:rsid w:val="0002751A"/>
    <w:rsid w:val="00027ABB"/>
    <w:rsid w:val="00027C06"/>
    <w:rsid w:val="00030D2D"/>
    <w:rsid w:val="000311AC"/>
    <w:rsid w:val="000314E9"/>
    <w:rsid w:val="000315DE"/>
    <w:rsid w:val="00031D9C"/>
    <w:rsid w:val="000320F7"/>
    <w:rsid w:val="00032669"/>
    <w:rsid w:val="0003271A"/>
    <w:rsid w:val="00032951"/>
    <w:rsid w:val="00032A49"/>
    <w:rsid w:val="00032E8A"/>
    <w:rsid w:val="000337A3"/>
    <w:rsid w:val="00033822"/>
    <w:rsid w:val="00033923"/>
    <w:rsid w:val="00033E1C"/>
    <w:rsid w:val="0003463C"/>
    <w:rsid w:val="00034D92"/>
    <w:rsid w:val="00036370"/>
    <w:rsid w:val="00036373"/>
    <w:rsid w:val="0003673E"/>
    <w:rsid w:val="00036743"/>
    <w:rsid w:val="00036903"/>
    <w:rsid w:val="00036966"/>
    <w:rsid w:val="00036FD2"/>
    <w:rsid w:val="00040357"/>
    <w:rsid w:val="0004065E"/>
    <w:rsid w:val="00040793"/>
    <w:rsid w:val="0004098F"/>
    <w:rsid w:val="00040C12"/>
    <w:rsid w:val="00040D5A"/>
    <w:rsid w:val="00041044"/>
    <w:rsid w:val="00041B10"/>
    <w:rsid w:val="00042DAD"/>
    <w:rsid w:val="00043608"/>
    <w:rsid w:val="00043798"/>
    <w:rsid w:val="00043945"/>
    <w:rsid w:val="00043AB3"/>
    <w:rsid w:val="00043D6C"/>
    <w:rsid w:val="00044097"/>
    <w:rsid w:val="00044105"/>
    <w:rsid w:val="00044A6A"/>
    <w:rsid w:val="000458D7"/>
    <w:rsid w:val="000460DC"/>
    <w:rsid w:val="00046432"/>
    <w:rsid w:val="00046A38"/>
    <w:rsid w:val="00046BC4"/>
    <w:rsid w:val="00047259"/>
    <w:rsid w:val="00047677"/>
    <w:rsid w:val="00047690"/>
    <w:rsid w:val="0005021E"/>
    <w:rsid w:val="00050441"/>
    <w:rsid w:val="00051745"/>
    <w:rsid w:val="000527EE"/>
    <w:rsid w:val="00052B30"/>
    <w:rsid w:val="00052E71"/>
    <w:rsid w:val="00053295"/>
    <w:rsid w:val="0005377C"/>
    <w:rsid w:val="00054383"/>
    <w:rsid w:val="000546CF"/>
    <w:rsid w:val="000565B4"/>
    <w:rsid w:val="00057261"/>
    <w:rsid w:val="0005728B"/>
    <w:rsid w:val="000572E3"/>
    <w:rsid w:val="00057411"/>
    <w:rsid w:val="00057687"/>
    <w:rsid w:val="000579FF"/>
    <w:rsid w:val="00060354"/>
    <w:rsid w:val="00060A96"/>
    <w:rsid w:val="000615FE"/>
    <w:rsid w:val="00061730"/>
    <w:rsid w:val="000618BD"/>
    <w:rsid w:val="000628B0"/>
    <w:rsid w:val="00062C8C"/>
    <w:rsid w:val="000630A3"/>
    <w:rsid w:val="0006348D"/>
    <w:rsid w:val="00063BB4"/>
    <w:rsid w:val="0006474B"/>
    <w:rsid w:val="00064EFD"/>
    <w:rsid w:val="000654B5"/>
    <w:rsid w:val="00065B76"/>
    <w:rsid w:val="000664BB"/>
    <w:rsid w:val="00066B20"/>
    <w:rsid w:val="00066C8F"/>
    <w:rsid w:val="00067402"/>
    <w:rsid w:val="000708BF"/>
    <w:rsid w:val="000708FF"/>
    <w:rsid w:val="00070AF3"/>
    <w:rsid w:val="00070D09"/>
    <w:rsid w:val="00071991"/>
    <w:rsid w:val="00072F94"/>
    <w:rsid w:val="000732E7"/>
    <w:rsid w:val="00073808"/>
    <w:rsid w:val="00073A0D"/>
    <w:rsid w:val="00074018"/>
    <w:rsid w:val="00074811"/>
    <w:rsid w:val="00074B68"/>
    <w:rsid w:val="00075511"/>
    <w:rsid w:val="000755DE"/>
    <w:rsid w:val="0007576E"/>
    <w:rsid w:val="000757E0"/>
    <w:rsid w:val="00075BA4"/>
    <w:rsid w:val="00075C32"/>
    <w:rsid w:val="00077CC2"/>
    <w:rsid w:val="00077D0F"/>
    <w:rsid w:val="000804D0"/>
    <w:rsid w:val="000813AE"/>
    <w:rsid w:val="000833AA"/>
    <w:rsid w:val="00083E0F"/>
    <w:rsid w:val="000840A3"/>
    <w:rsid w:val="000843BC"/>
    <w:rsid w:val="00085364"/>
    <w:rsid w:val="00085CBF"/>
    <w:rsid w:val="00086E01"/>
    <w:rsid w:val="0008753B"/>
    <w:rsid w:val="00090D4F"/>
    <w:rsid w:val="00091827"/>
    <w:rsid w:val="00092513"/>
    <w:rsid w:val="00092ADD"/>
    <w:rsid w:val="00092BF0"/>
    <w:rsid w:val="000932BA"/>
    <w:rsid w:val="0009396A"/>
    <w:rsid w:val="000948F8"/>
    <w:rsid w:val="000958A8"/>
    <w:rsid w:val="00095930"/>
    <w:rsid w:val="00095E4F"/>
    <w:rsid w:val="00096E5F"/>
    <w:rsid w:val="00097791"/>
    <w:rsid w:val="000A0370"/>
    <w:rsid w:val="000A091D"/>
    <w:rsid w:val="000A0E20"/>
    <w:rsid w:val="000A1236"/>
    <w:rsid w:val="000A136E"/>
    <w:rsid w:val="000A1504"/>
    <w:rsid w:val="000A16EF"/>
    <w:rsid w:val="000A2644"/>
    <w:rsid w:val="000A3180"/>
    <w:rsid w:val="000A3991"/>
    <w:rsid w:val="000A3A14"/>
    <w:rsid w:val="000A468C"/>
    <w:rsid w:val="000A4D8E"/>
    <w:rsid w:val="000A4EEE"/>
    <w:rsid w:val="000A5221"/>
    <w:rsid w:val="000A5373"/>
    <w:rsid w:val="000A598A"/>
    <w:rsid w:val="000A5C5A"/>
    <w:rsid w:val="000A5DFE"/>
    <w:rsid w:val="000A6341"/>
    <w:rsid w:val="000A63B1"/>
    <w:rsid w:val="000A6691"/>
    <w:rsid w:val="000A7B14"/>
    <w:rsid w:val="000A7E78"/>
    <w:rsid w:val="000B0B64"/>
    <w:rsid w:val="000B0D5B"/>
    <w:rsid w:val="000B11FD"/>
    <w:rsid w:val="000B148D"/>
    <w:rsid w:val="000B1B41"/>
    <w:rsid w:val="000B1C9F"/>
    <w:rsid w:val="000B1EEF"/>
    <w:rsid w:val="000B2778"/>
    <w:rsid w:val="000B2817"/>
    <w:rsid w:val="000B2CFE"/>
    <w:rsid w:val="000B31ED"/>
    <w:rsid w:val="000B4459"/>
    <w:rsid w:val="000B4A61"/>
    <w:rsid w:val="000B544D"/>
    <w:rsid w:val="000B59EA"/>
    <w:rsid w:val="000B5B65"/>
    <w:rsid w:val="000B5E53"/>
    <w:rsid w:val="000B77A3"/>
    <w:rsid w:val="000B7876"/>
    <w:rsid w:val="000C0B5B"/>
    <w:rsid w:val="000C0C6C"/>
    <w:rsid w:val="000C0E88"/>
    <w:rsid w:val="000C0F4E"/>
    <w:rsid w:val="000C14F7"/>
    <w:rsid w:val="000C16C8"/>
    <w:rsid w:val="000C3633"/>
    <w:rsid w:val="000C3A9D"/>
    <w:rsid w:val="000C3FDE"/>
    <w:rsid w:val="000C434F"/>
    <w:rsid w:val="000C4D47"/>
    <w:rsid w:val="000C4F6D"/>
    <w:rsid w:val="000C5489"/>
    <w:rsid w:val="000C5853"/>
    <w:rsid w:val="000C6352"/>
    <w:rsid w:val="000C6C3A"/>
    <w:rsid w:val="000C6D20"/>
    <w:rsid w:val="000C73C3"/>
    <w:rsid w:val="000C7643"/>
    <w:rsid w:val="000C7E02"/>
    <w:rsid w:val="000D1B68"/>
    <w:rsid w:val="000D223C"/>
    <w:rsid w:val="000D23F3"/>
    <w:rsid w:val="000D2643"/>
    <w:rsid w:val="000D2AC7"/>
    <w:rsid w:val="000D46DC"/>
    <w:rsid w:val="000D5091"/>
    <w:rsid w:val="000D5B36"/>
    <w:rsid w:val="000D5FB3"/>
    <w:rsid w:val="000D67A6"/>
    <w:rsid w:val="000D6CB0"/>
    <w:rsid w:val="000D6EDF"/>
    <w:rsid w:val="000D7091"/>
    <w:rsid w:val="000E0518"/>
    <w:rsid w:val="000E0621"/>
    <w:rsid w:val="000E06A5"/>
    <w:rsid w:val="000E07B1"/>
    <w:rsid w:val="000E0A13"/>
    <w:rsid w:val="000E1373"/>
    <w:rsid w:val="000E1624"/>
    <w:rsid w:val="000E26EB"/>
    <w:rsid w:val="000E27E6"/>
    <w:rsid w:val="000E33BF"/>
    <w:rsid w:val="000E3A6A"/>
    <w:rsid w:val="000E3EE1"/>
    <w:rsid w:val="000E4869"/>
    <w:rsid w:val="000E5D52"/>
    <w:rsid w:val="000E5D9E"/>
    <w:rsid w:val="000E5EDC"/>
    <w:rsid w:val="000E632C"/>
    <w:rsid w:val="000E6651"/>
    <w:rsid w:val="000E69FF"/>
    <w:rsid w:val="000E6DAE"/>
    <w:rsid w:val="000E7388"/>
    <w:rsid w:val="000E744D"/>
    <w:rsid w:val="000E79A1"/>
    <w:rsid w:val="000E7B89"/>
    <w:rsid w:val="000F0551"/>
    <w:rsid w:val="000F12B3"/>
    <w:rsid w:val="000F1AE5"/>
    <w:rsid w:val="000F275D"/>
    <w:rsid w:val="000F3225"/>
    <w:rsid w:val="000F3741"/>
    <w:rsid w:val="000F3E36"/>
    <w:rsid w:val="000F3F13"/>
    <w:rsid w:val="000F4B08"/>
    <w:rsid w:val="000F4C04"/>
    <w:rsid w:val="000F5172"/>
    <w:rsid w:val="000F52E6"/>
    <w:rsid w:val="000F5AF2"/>
    <w:rsid w:val="000F61A2"/>
    <w:rsid w:val="000F765C"/>
    <w:rsid w:val="000F775D"/>
    <w:rsid w:val="000F7EEA"/>
    <w:rsid w:val="000F7F6A"/>
    <w:rsid w:val="00100E84"/>
    <w:rsid w:val="00101309"/>
    <w:rsid w:val="00101609"/>
    <w:rsid w:val="00101844"/>
    <w:rsid w:val="00101C75"/>
    <w:rsid w:val="0010215B"/>
    <w:rsid w:val="00102C87"/>
    <w:rsid w:val="00102E5B"/>
    <w:rsid w:val="00102F7F"/>
    <w:rsid w:val="001031C2"/>
    <w:rsid w:val="00103EF0"/>
    <w:rsid w:val="00104A87"/>
    <w:rsid w:val="0010538D"/>
    <w:rsid w:val="0010593A"/>
    <w:rsid w:val="00105BAC"/>
    <w:rsid w:val="001067C7"/>
    <w:rsid w:val="00106E30"/>
    <w:rsid w:val="001077A0"/>
    <w:rsid w:val="00107CBE"/>
    <w:rsid w:val="00107D20"/>
    <w:rsid w:val="001107D1"/>
    <w:rsid w:val="00110E1E"/>
    <w:rsid w:val="0011196B"/>
    <w:rsid w:val="00112197"/>
    <w:rsid w:val="001123A7"/>
    <w:rsid w:val="00112451"/>
    <w:rsid w:val="001130E0"/>
    <w:rsid w:val="001135F2"/>
    <w:rsid w:val="0011393F"/>
    <w:rsid w:val="00114068"/>
    <w:rsid w:val="0011446E"/>
    <w:rsid w:val="001147FA"/>
    <w:rsid w:val="0011582C"/>
    <w:rsid w:val="00115F42"/>
    <w:rsid w:val="0011600E"/>
    <w:rsid w:val="0011682F"/>
    <w:rsid w:val="00116E2C"/>
    <w:rsid w:val="0011743E"/>
    <w:rsid w:val="00117E33"/>
    <w:rsid w:val="00120212"/>
    <w:rsid w:val="0012068E"/>
    <w:rsid w:val="00120A64"/>
    <w:rsid w:val="00121373"/>
    <w:rsid w:val="00121639"/>
    <w:rsid w:val="00121720"/>
    <w:rsid w:val="00122AAD"/>
    <w:rsid w:val="001237BD"/>
    <w:rsid w:val="001240ED"/>
    <w:rsid w:val="0012427C"/>
    <w:rsid w:val="00124AAE"/>
    <w:rsid w:val="00124D25"/>
    <w:rsid w:val="00124E97"/>
    <w:rsid w:val="001258D2"/>
    <w:rsid w:val="00125990"/>
    <w:rsid w:val="00126FE8"/>
    <w:rsid w:val="00130A51"/>
    <w:rsid w:val="00131144"/>
    <w:rsid w:val="0013193A"/>
    <w:rsid w:val="001319BA"/>
    <w:rsid w:val="00131B06"/>
    <w:rsid w:val="00131B7A"/>
    <w:rsid w:val="00131FAB"/>
    <w:rsid w:val="001324B7"/>
    <w:rsid w:val="00132708"/>
    <w:rsid w:val="00133087"/>
    <w:rsid w:val="00134A52"/>
    <w:rsid w:val="0013536C"/>
    <w:rsid w:val="00135DAD"/>
    <w:rsid w:val="00135F60"/>
    <w:rsid w:val="00136FD9"/>
    <w:rsid w:val="0013748D"/>
    <w:rsid w:val="001375F7"/>
    <w:rsid w:val="0014001A"/>
    <w:rsid w:val="00140341"/>
    <w:rsid w:val="001408AC"/>
    <w:rsid w:val="0014111F"/>
    <w:rsid w:val="00141384"/>
    <w:rsid w:val="00141645"/>
    <w:rsid w:val="00141B6B"/>
    <w:rsid w:val="00142BEF"/>
    <w:rsid w:val="00143729"/>
    <w:rsid w:val="0014406B"/>
    <w:rsid w:val="00144700"/>
    <w:rsid w:val="00144A68"/>
    <w:rsid w:val="00144D57"/>
    <w:rsid w:val="00144D8B"/>
    <w:rsid w:val="00144E5B"/>
    <w:rsid w:val="00145783"/>
    <w:rsid w:val="00145A5A"/>
    <w:rsid w:val="00145DAE"/>
    <w:rsid w:val="00145E47"/>
    <w:rsid w:val="00145F05"/>
    <w:rsid w:val="001461BB"/>
    <w:rsid w:val="00146398"/>
    <w:rsid w:val="00146C48"/>
    <w:rsid w:val="00146D89"/>
    <w:rsid w:val="00146E75"/>
    <w:rsid w:val="001473A7"/>
    <w:rsid w:val="00147928"/>
    <w:rsid w:val="001479B3"/>
    <w:rsid w:val="00150092"/>
    <w:rsid w:val="00150F19"/>
    <w:rsid w:val="00150F96"/>
    <w:rsid w:val="00151E00"/>
    <w:rsid w:val="00152CF9"/>
    <w:rsid w:val="00152E06"/>
    <w:rsid w:val="00153F18"/>
    <w:rsid w:val="001543FB"/>
    <w:rsid w:val="00154BAC"/>
    <w:rsid w:val="00154DEB"/>
    <w:rsid w:val="00154F68"/>
    <w:rsid w:val="00155285"/>
    <w:rsid w:val="001559FF"/>
    <w:rsid w:val="00156E52"/>
    <w:rsid w:val="00156F02"/>
    <w:rsid w:val="001600E2"/>
    <w:rsid w:val="00160197"/>
    <w:rsid w:val="001601AF"/>
    <w:rsid w:val="001609A6"/>
    <w:rsid w:val="00161074"/>
    <w:rsid w:val="001610EA"/>
    <w:rsid w:val="00161245"/>
    <w:rsid w:val="00161B21"/>
    <w:rsid w:val="00162536"/>
    <w:rsid w:val="0016386B"/>
    <w:rsid w:val="00163989"/>
    <w:rsid w:val="00163BFA"/>
    <w:rsid w:val="00164073"/>
    <w:rsid w:val="00164473"/>
    <w:rsid w:val="00164B15"/>
    <w:rsid w:val="0016526A"/>
    <w:rsid w:val="001666EC"/>
    <w:rsid w:val="001667A5"/>
    <w:rsid w:val="00166BF9"/>
    <w:rsid w:val="001670E7"/>
    <w:rsid w:val="00167371"/>
    <w:rsid w:val="00167B53"/>
    <w:rsid w:val="00167C32"/>
    <w:rsid w:val="0017029B"/>
    <w:rsid w:val="00170469"/>
    <w:rsid w:val="00170DEA"/>
    <w:rsid w:val="00170ED6"/>
    <w:rsid w:val="0017115F"/>
    <w:rsid w:val="00171742"/>
    <w:rsid w:val="00171ACF"/>
    <w:rsid w:val="00171B89"/>
    <w:rsid w:val="00171FB1"/>
    <w:rsid w:val="0017215F"/>
    <w:rsid w:val="001725F3"/>
    <w:rsid w:val="00172A27"/>
    <w:rsid w:val="00172EE4"/>
    <w:rsid w:val="001737D9"/>
    <w:rsid w:val="00173B9D"/>
    <w:rsid w:val="00174D2E"/>
    <w:rsid w:val="00174E11"/>
    <w:rsid w:val="00175229"/>
    <w:rsid w:val="0017535C"/>
    <w:rsid w:val="00175363"/>
    <w:rsid w:val="00175C5A"/>
    <w:rsid w:val="00175EEC"/>
    <w:rsid w:val="00176565"/>
    <w:rsid w:val="0018083D"/>
    <w:rsid w:val="001808EC"/>
    <w:rsid w:val="00180D72"/>
    <w:rsid w:val="00180DBB"/>
    <w:rsid w:val="00180E97"/>
    <w:rsid w:val="00181067"/>
    <w:rsid w:val="00181AAC"/>
    <w:rsid w:val="00181AEC"/>
    <w:rsid w:val="001821B0"/>
    <w:rsid w:val="001821CB"/>
    <w:rsid w:val="00182E44"/>
    <w:rsid w:val="00182FFB"/>
    <w:rsid w:val="0018327D"/>
    <w:rsid w:val="00183780"/>
    <w:rsid w:val="00183836"/>
    <w:rsid w:val="001839D4"/>
    <w:rsid w:val="00183A69"/>
    <w:rsid w:val="00183C8E"/>
    <w:rsid w:val="001843D0"/>
    <w:rsid w:val="0018462F"/>
    <w:rsid w:val="00184674"/>
    <w:rsid w:val="00185786"/>
    <w:rsid w:val="00185EDF"/>
    <w:rsid w:val="001861A9"/>
    <w:rsid w:val="0018675D"/>
    <w:rsid w:val="00187112"/>
    <w:rsid w:val="001874EB"/>
    <w:rsid w:val="0018752E"/>
    <w:rsid w:val="0019032B"/>
    <w:rsid w:val="0019049D"/>
    <w:rsid w:val="001916FD"/>
    <w:rsid w:val="001919CD"/>
    <w:rsid w:val="00192138"/>
    <w:rsid w:val="0019218D"/>
    <w:rsid w:val="0019229C"/>
    <w:rsid w:val="001924B0"/>
    <w:rsid w:val="00192949"/>
    <w:rsid w:val="00192CD6"/>
    <w:rsid w:val="00192EC1"/>
    <w:rsid w:val="0019361D"/>
    <w:rsid w:val="00193799"/>
    <w:rsid w:val="0019395D"/>
    <w:rsid w:val="00194532"/>
    <w:rsid w:val="00196042"/>
    <w:rsid w:val="001967A3"/>
    <w:rsid w:val="001974CB"/>
    <w:rsid w:val="00197507"/>
    <w:rsid w:val="00197560"/>
    <w:rsid w:val="001977BC"/>
    <w:rsid w:val="001A089E"/>
    <w:rsid w:val="001A0A0D"/>
    <w:rsid w:val="001A151D"/>
    <w:rsid w:val="001A1545"/>
    <w:rsid w:val="001A1E22"/>
    <w:rsid w:val="001A2E93"/>
    <w:rsid w:val="001A32B2"/>
    <w:rsid w:val="001A3479"/>
    <w:rsid w:val="001A3543"/>
    <w:rsid w:val="001A3B84"/>
    <w:rsid w:val="001A4299"/>
    <w:rsid w:val="001A4794"/>
    <w:rsid w:val="001A4B8A"/>
    <w:rsid w:val="001A51D5"/>
    <w:rsid w:val="001A5641"/>
    <w:rsid w:val="001A56AA"/>
    <w:rsid w:val="001A596D"/>
    <w:rsid w:val="001A5CE2"/>
    <w:rsid w:val="001A5D6E"/>
    <w:rsid w:val="001A604D"/>
    <w:rsid w:val="001A68DB"/>
    <w:rsid w:val="001A7F88"/>
    <w:rsid w:val="001B0348"/>
    <w:rsid w:val="001B0479"/>
    <w:rsid w:val="001B0A8E"/>
    <w:rsid w:val="001B10B8"/>
    <w:rsid w:val="001B11DD"/>
    <w:rsid w:val="001B1560"/>
    <w:rsid w:val="001B270E"/>
    <w:rsid w:val="001B28A7"/>
    <w:rsid w:val="001B2DE0"/>
    <w:rsid w:val="001B2E21"/>
    <w:rsid w:val="001B2FAB"/>
    <w:rsid w:val="001B342B"/>
    <w:rsid w:val="001B34B3"/>
    <w:rsid w:val="001B3AEE"/>
    <w:rsid w:val="001B428B"/>
    <w:rsid w:val="001B4DE2"/>
    <w:rsid w:val="001B4EB9"/>
    <w:rsid w:val="001B6B61"/>
    <w:rsid w:val="001B7526"/>
    <w:rsid w:val="001B7A2F"/>
    <w:rsid w:val="001B7CFA"/>
    <w:rsid w:val="001B7D3C"/>
    <w:rsid w:val="001C0038"/>
    <w:rsid w:val="001C030F"/>
    <w:rsid w:val="001C05CB"/>
    <w:rsid w:val="001C078C"/>
    <w:rsid w:val="001C08D9"/>
    <w:rsid w:val="001C1DDB"/>
    <w:rsid w:val="001C2212"/>
    <w:rsid w:val="001C2269"/>
    <w:rsid w:val="001C22A8"/>
    <w:rsid w:val="001C23D4"/>
    <w:rsid w:val="001C274A"/>
    <w:rsid w:val="001C345E"/>
    <w:rsid w:val="001C410F"/>
    <w:rsid w:val="001C42F0"/>
    <w:rsid w:val="001C4EF3"/>
    <w:rsid w:val="001C4F5B"/>
    <w:rsid w:val="001C53B8"/>
    <w:rsid w:val="001C54B7"/>
    <w:rsid w:val="001C5B9D"/>
    <w:rsid w:val="001C5D21"/>
    <w:rsid w:val="001C65FD"/>
    <w:rsid w:val="001D0BE2"/>
    <w:rsid w:val="001D12A5"/>
    <w:rsid w:val="001D16D3"/>
    <w:rsid w:val="001D271A"/>
    <w:rsid w:val="001D2A7A"/>
    <w:rsid w:val="001D32AE"/>
    <w:rsid w:val="001D3437"/>
    <w:rsid w:val="001D3F35"/>
    <w:rsid w:val="001D4E26"/>
    <w:rsid w:val="001D5F35"/>
    <w:rsid w:val="001D6C74"/>
    <w:rsid w:val="001D6E6E"/>
    <w:rsid w:val="001D7576"/>
    <w:rsid w:val="001D7C6B"/>
    <w:rsid w:val="001E03C6"/>
    <w:rsid w:val="001E0450"/>
    <w:rsid w:val="001E06D2"/>
    <w:rsid w:val="001E0E0A"/>
    <w:rsid w:val="001E0F35"/>
    <w:rsid w:val="001E126D"/>
    <w:rsid w:val="001E1C7D"/>
    <w:rsid w:val="001E1EFF"/>
    <w:rsid w:val="001E26D1"/>
    <w:rsid w:val="001E3F1E"/>
    <w:rsid w:val="001E3F98"/>
    <w:rsid w:val="001E42AC"/>
    <w:rsid w:val="001E4570"/>
    <w:rsid w:val="001E45C4"/>
    <w:rsid w:val="001E53E5"/>
    <w:rsid w:val="001E59D6"/>
    <w:rsid w:val="001E64E8"/>
    <w:rsid w:val="001E7BFD"/>
    <w:rsid w:val="001F015D"/>
    <w:rsid w:val="001F0269"/>
    <w:rsid w:val="001F0B16"/>
    <w:rsid w:val="001F0C2F"/>
    <w:rsid w:val="001F1F59"/>
    <w:rsid w:val="001F2F99"/>
    <w:rsid w:val="001F2FE5"/>
    <w:rsid w:val="001F462B"/>
    <w:rsid w:val="001F469B"/>
    <w:rsid w:val="001F4D60"/>
    <w:rsid w:val="001F4E6C"/>
    <w:rsid w:val="001F601A"/>
    <w:rsid w:val="001F668E"/>
    <w:rsid w:val="001F6830"/>
    <w:rsid w:val="001F6D69"/>
    <w:rsid w:val="001F7116"/>
    <w:rsid w:val="001F7188"/>
    <w:rsid w:val="001F7489"/>
    <w:rsid w:val="001F7A6D"/>
    <w:rsid w:val="001F7A8B"/>
    <w:rsid w:val="001F7C59"/>
    <w:rsid w:val="001F7EED"/>
    <w:rsid w:val="001F7F8E"/>
    <w:rsid w:val="0020001A"/>
    <w:rsid w:val="002004B0"/>
    <w:rsid w:val="0020064B"/>
    <w:rsid w:val="002008AA"/>
    <w:rsid w:val="00200AF1"/>
    <w:rsid w:val="00200B5C"/>
    <w:rsid w:val="00200C6B"/>
    <w:rsid w:val="00201041"/>
    <w:rsid w:val="00202125"/>
    <w:rsid w:val="00202442"/>
    <w:rsid w:val="0020289A"/>
    <w:rsid w:val="00203175"/>
    <w:rsid w:val="00203D01"/>
    <w:rsid w:val="00204059"/>
    <w:rsid w:val="0020409A"/>
    <w:rsid w:val="002040B7"/>
    <w:rsid w:val="0020436C"/>
    <w:rsid w:val="0020466C"/>
    <w:rsid w:val="00204B02"/>
    <w:rsid w:val="00205845"/>
    <w:rsid w:val="0020643E"/>
    <w:rsid w:val="002069E7"/>
    <w:rsid w:val="00206C2E"/>
    <w:rsid w:val="00207475"/>
    <w:rsid w:val="002077CA"/>
    <w:rsid w:val="002078A3"/>
    <w:rsid w:val="002101D1"/>
    <w:rsid w:val="00210531"/>
    <w:rsid w:val="00210666"/>
    <w:rsid w:val="0021105F"/>
    <w:rsid w:val="00211156"/>
    <w:rsid w:val="002112F2"/>
    <w:rsid w:val="0021161D"/>
    <w:rsid w:val="00211A1A"/>
    <w:rsid w:val="00212C90"/>
    <w:rsid w:val="002132AC"/>
    <w:rsid w:val="002139DF"/>
    <w:rsid w:val="00213BD8"/>
    <w:rsid w:val="00213E8E"/>
    <w:rsid w:val="002143DB"/>
    <w:rsid w:val="0021451C"/>
    <w:rsid w:val="00214B49"/>
    <w:rsid w:val="002157CF"/>
    <w:rsid w:val="00215A38"/>
    <w:rsid w:val="00215C64"/>
    <w:rsid w:val="00215EAF"/>
    <w:rsid w:val="00216680"/>
    <w:rsid w:val="00216A5F"/>
    <w:rsid w:val="00216BA5"/>
    <w:rsid w:val="002170C4"/>
    <w:rsid w:val="00217180"/>
    <w:rsid w:val="002176C3"/>
    <w:rsid w:val="00217891"/>
    <w:rsid w:val="002178E5"/>
    <w:rsid w:val="0022013F"/>
    <w:rsid w:val="002201AF"/>
    <w:rsid w:val="0022043A"/>
    <w:rsid w:val="00220CD3"/>
    <w:rsid w:val="00222157"/>
    <w:rsid w:val="002222A8"/>
    <w:rsid w:val="00222395"/>
    <w:rsid w:val="002223E7"/>
    <w:rsid w:val="002229C5"/>
    <w:rsid w:val="00223003"/>
    <w:rsid w:val="0022349A"/>
    <w:rsid w:val="00223600"/>
    <w:rsid w:val="0022466F"/>
    <w:rsid w:val="00224B2C"/>
    <w:rsid w:val="00225503"/>
    <w:rsid w:val="00225B42"/>
    <w:rsid w:val="00225DFD"/>
    <w:rsid w:val="00225FAE"/>
    <w:rsid w:val="00227622"/>
    <w:rsid w:val="00227ACD"/>
    <w:rsid w:val="002302C7"/>
    <w:rsid w:val="00230958"/>
    <w:rsid w:val="00230B69"/>
    <w:rsid w:val="00231321"/>
    <w:rsid w:val="00231472"/>
    <w:rsid w:val="00231ACA"/>
    <w:rsid w:val="00231E71"/>
    <w:rsid w:val="00232192"/>
    <w:rsid w:val="002326B1"/>
    <w:rsid w:val="00232A05"/>
    <w:rsid w:val="00233C6A"/>
    <w:rsid w:val="002343C2"/>
    <w:rsid w:val="00234B5E"/>
    <w:rsid w:val="00234BC7"/>
    <w:rsid w:val="00235611"/>
    <w:rsid w:val="0023594B"/>
    <w:rsid w:val="00236049"/>
    <w:rsid w:val="002368B8"/>
    <w:rsid w:val="00236A8C"/>
    <w:rsid w:val="0023704B"/>
    <w:rsid w:val="0023714B"/>
    <w:rsid w:val="00240051"/>
    <w:rsid w:val="002402AC"/>
    <w:rsid w:val="0024071E"/>
    <w:rsid w:val="00240AE2"/>
    <w:rsid w:val="00242454"/>
    <w:rsid w:val="00242861"/>
    <w:rsid w:val="00242F33"/>
    <w:rsid w:val="00244074"/>
    <w:rsid w:val="002447A8"/>
    <w:rsid w:val="00244F18"/>
    <w:rsid w:val="00245588"/>
    <w:rsid w:val="00246F04"/>
    <w:rsid w:val="00247601"/>
    <w:rsid w:val="00247673"/>
    <w:rsid w:val="00247F46"/>
    <w:rsid w:val="00250B08"/>
    <w:rsid w:val="00251118"/>
    <w:rsid w:val="0025134E"/>
    <w:rsid w:val="00252580"/>
    <w:rsid w:val="00253144"/>
    <w:rsid w:val="0025356D"/>
    <w:rsid w:val="0025498F"/>
    <w:rsid w:val="00254AE3"/>
    <w:rsid w:val="00255A00"/>
    <w:rsid w:val="00255DA7"/>
    <w:rsid w:val="00256ECB"/>
    <w:rsid w:val="00256F24"/>
    <w:rsid w:val="00257250"/>
    <w:rsid w:val="0025769B"/>
    <w:rsid w:val="002577E2"/>
    <w:rsid w:val="00257B39"/>
    <w:rsid w:val="00257B99"/>
    <w:rsid w:val="00257C48"/>
    <w:rsid w:val="00260023"/>
    <w:rsid w:val="002601B8"/>
    <w:rsid w:val="0026025C"/>
    <w:rsid w:val="0026098A"/>
    <w:rsid w:val="00260A46"/>
    <w:rsid w:val="00260FEF"/>
    <w:rsid w:val="002611A4"/>
    <w:rsid w:val="00261B81"/>
    <w:rsid w:val="00263776"/>
    <w:rsid w:val="00263C5B"/>
    <w:rsid w:val="00263FF1"/>
    <w:rsid w:val="0026523A"/>
    <w:rsid w:val="00266300"/>
    <w:rsid w:val="002664C3"/>
    <w:rsid w:val="002664D2"/>
    <w:rsid w:val="0026664F"/>
    <w:rsid w:val="002667C2"/>
    <w:rsid w:val="00266B92"/>
    <w:rsid w:val="00266B98"/>
    <w:rsid w:val="00267028"/>
    <w:rsid w:val="00267122"/>
    <w:rsid w:val="00270E8E"/>
    <w:rsid w:val="00270EAF"/>
    <w:rsid w:val="00271722"/>
    <w:rsid w:val="002718A8"/>
    <w:rsid w:val="00271C48"/>
    <w:rsid w:val="00271D72"/>
    <w:rsid w:val="00272968"/>
    <w:rsid w:val="0027337C"/>
    <w:rsid w:val="00274174"/>
    <w:rsid w:val="00274B67"/>
    <w:rsid w:val="00274CE5"/>
    <w:rsid w:val="002755DF"/>
    <w:rsid w:val="0027591B"/>
    <w:rsid w:val="00275AB6"/>
    <w:rsid w:val="00275F45"/>
    <w:rsid w:val="00276305"/>
    <w:rsid w:val="0027664B"/>
    <w:rsid w:val="00276A05"/>
    <w:rsid w:val="00276BB7"/>
    <w:rsid w:val="00276D55"/>
    <w:rsid w:val="002771D2"/>
    <w:rsid w:val="002775BB"/>
    <w:rsid w:val="00280352"/>
    <w:rsid w:val="0028036C"/>
    <w:rsid w:val="002803C8"/>
    <w:rsid w:val="00280C2F"/>
    <w:rsid w:val="002818D3"/>
    <w:rsid w:val="00281C95"/>
    <w:rsid w:val="00281CFA"/>
    <w:rsid w:val="00282226"/>
    <w:rsid w:val="002823BC"/>
    <w:rsid w:val="002828AF"/>
    <w:rsid w:val="00282A05"/>
    <w:rsid w:val="00282DFD"/>
    <w:rsid w:val="00282E41"/>
    <w:rsid w:val="0028300C"/>
    <w:rsid w:val="002834D2"/>
    <w:rsid w:val="00283A00"/>
    <w:rsid w:val="00283DF5"/>
    <w:rsid w:val="00284851"/>
    <w:rsid w:val="002849AB"/>
    <w:rsid w:val="00284CBF"/>
    <w:rsid w:val="00284FFC"/>
    <w:rsid w:val="002851C0"/>
    <w:rsid w:val="00285CA8"/>
    <w:rsid w:val="00285F61"/>
    <w:rsid w:val="00286F29"/>
    <w:rsid w:val="0028746E"/>
    <w:rsid w:val="0028757D"/>
    <w:rsid w:val="002879A1"/>
    <w:rsid w:val="00290990"/>
    <w:rsid w:val="00290EE3"/>
    <w:rsid w:val="00291547"/>
    <w:rsid w:val="0029157A"/>
    <w:rsid w:val="002915EC"/>
    <w:rsid w:val="0029229E"/>
    <w:rsid w:val="002924F8"/>
    <w:rsid w:val="0029281D"/>
    <w:rsid w:val="00292CB4"/>
    <w:rsid w:val="002938FB"/>
    <w:rsid w:val="00294B9A"/>
    <w:rsid w:val="00295907"/>
    <w:rsid w:val="00296608"/>
    <w:rsid w:val="002966D9"/>
    <w:rsid w:val="00297364"/>
    <w:rsid w:val="0029753D"/>
    <w:rsid w:val="002976D8"/>
    <w:rsid w:val="00297E8A"/>
    <w:rsid w:val="002A0365"/>
    <w:rsid w:val="002A05B0"/>
    <w:rsid w:val="002A0D43"/>
    <w:rsid w:val="002A1739"/>
    <w:rsid w:val="002A1B8C"/>
    <w:rsid w:val="002A2D97"/>
    <w:rsid w:val="002A2FC3"/>
    <w:rsid w:val="002A3441"/>
    <w:rsid w:val="002A385B"/>
    <w:rsid w:val="002A4127"/>
    <w:rsid w:val="002A4284"/>
    <w:rsid w:val="002A5608"/>
    <w:rsid w:val="002A5918"/>
    <w:rsid w:val="002A5A09"/>
    <w:rsid w:val="002A6151"/>
    <w:rsid w:val="002A6D8B"/>
    <w:rsid w:val="002A7817"/>
    <w:rsid w:val="002A79F6"/>
    <w:rsid w:val="002A7D4A"/>
    <w:rsid w:val="002B01D4"/>
    <w:rsid w:val="002B0216"/>
    <w:rsid w:val="002B03D1"/>
    <w:rsid w:val="002B0B55"/>
    <w:rsid w:val="002B0F5D"/>
    <w:rsid w:val="002B1CC4"/>
    <w:rsid w:val="002B21A1"/>
    <w:rsid w:val="002B2C25"/>
    <w:rsid w:val="002B333F"/>
    <w:rsid w:val="002B3623"/>
    <w:rsid w:val="002B4B7D"/>
    <w:rsid w:val="002B55A6"/>
    <w:rsid w:val="002B57D0"/>
    <w:rsid w:val="002B650F"/>
    <w:rsid w:val="002B7E0D"/>
    <w:rsid w:val="002C072C"/>
    <w:rsid w:val="002C0BAD"/>
    <w:rsid w:val="002C0C40"/>
    <w:rsid w:val="002C10BA"/>
    <w:rsid w:val="002C128D"/>
    <w:rsid w:val="002C1960"/>
    <w:rsid w:val="002C1ABD"/>
    <w:rsid w:val="002C1CC1"/>
    <w:rsid w:val="002C1ECF"/>
    <w:rsid w:val="002C1F1B"/>
    <w:rsid w:val="002C281E"/>
    <w:rsid w:val="002C2F80"/>
    <w:rsid w:val="002C2FCE"/>
    <w:rsid w:val="002C3AE9"/>
    <w:rsid w:val="002C402B"/>
    <w:rsid w:val="002C40B2"/>
    <w:rsid w:val="002C54CB"/>
    <w:rsid w:val="002C5835"/>
    <w:rsid w:val="002C697B"/>
    <w:rsid w:val="002C6BAB"/>
    <w:rsid w:val="002C777B"/>
    <w:rsid w:val="002C7B83"/>
    <w:rsid w:val="002D023C"/>
    <w:rsid w:val="002D0363"/>
    <w:rsid w:val="002D0E51"/>
    <w:rsid w:val="002D0E75"/>
    <w:rsid w:val="002D10F5"/>
    <w:rsid w:val="002D14DE"/>
    <w:rsid w:val="002D174B"/>
    <w:rsid w:val="002D2DA1"/>
    <w:rsid w:val="002D30A2"/>
    <w:rsid w:val="002D4B72"/>
    <w:rsid w:val="002D531F"/>
    <w:rsid w:val="002D5B08"/>
    <w:rsid w:val="002D6B81"/>
    <w:rsid w:val="002D73FD"/>
    <w:rsid w:val="002D7C08"/>
    <w:rsid w:val="002E05E1"/>
    <w:rsid w:val="002E0B1E"/>
    <w:rsid w:val="002E1B4D"/>
    <w:rsid w:val="002E24E9"/>
    <w:rsid w:val="002E27EE"/>
    <w:rsid w:val="002E28CA"/>
    <w:rsid w:val="002E383C"/>
    <w:rsid w:val="002E3A40"/>
    <w:rsid w:val="002E4A59"/>
    <w:rsid w:val="002E60DB"/>
    <w:rsid w:val="002E6BA3"/>
    <w:rsid w:val="002E78AB"/>
    <w:rsid w:val="002E7D2C"/>
    <w:rsid w:val="002F0478"/>
    <w:rsid w:val="002F0969"/>
    <w:rsid w:val="002F155D"/>
    <w:rsid w:val="002F21CD"/>
    <w:rsid w:val="002F23B2"/>
    <w:rsid w:val="002F320A"/>
    <w:rsid w:val="002F35EE"/>
    <w:rsid w:val="002F3643"/>
    <w:rsid w:val="002F3A3F"/>
    <w:rsid w:val="002F412C"/>
    <w:rsid w:val="002F4943"/>
    <w:rsid w:val="002F4EC5"/>
    <w:rsid w:val="002F54FA"/>
    <w:rsid w:val="002F6A6D"/>
    <w:rsid w:val="002F6B8E"/>
    <w:rsid w:val="002F6D7E"/>
    <w:rsid w:val="002F7166"/>
    <w:rsid w:val="002F7538"/>
    <w:rsid w:val="002F7EBA"/>
    <w:rsid w:val="00300490"/>
    <w:rsid w:val="0030106D"/>
    <w:rsid w:val="003012A5"/>
    <w:rsid w:val="003016B0"/>
    <w:rsid w:val="003018E1"/>
    <w:rsid w:val="00301E7E"/>
    <w:rsid w:val="003023C6"/>
    <w:rsid w:val="00302A2B"/>
    <w:rsid w:val="00302C94"/>
    <w:rsid w:val="003033A5"/>
    <w:rsid w:val="00303DC0"/>
    <w:rsid w:val="003040E1"/>
    <w:rsid w:val="003051C1"/>
    <w:rsid w:val="00305DEE"/>
    <w:rsid w:val="003064D3"/>
    <w:rsid w:val="00306AF1"/>
    <w:rsid w:val="00307155"/>
    <w:rsid w:val="003079C6"/>
    <w:rsid w:val="00307AEA"/>
    <w:rsid w:val="00310531"/>
    <w:rsid w:val="0031058D"/>
    <w:rsid w:val="003105CE"/>
    <w:rsid w:val="00311049"/>
    <w:rsid w:val="00311A27"/>
    <w:rsid w:val="00313088"/>
    <w:rsid w:val="003130FC"/>
    <w:rsid w:val="0031363B"/>
    <w:rsid w:val="00314161"/>
    <w:rsid w:val="003152C7"/>
    <w:rsid w:val="003153C0"/>
    <w:rsid w:val="003157C4"/>
    <w:rsid w:val="00315997"/>
    <w:rsid w:val="00316718"/>
    <w:rsid w:val="00316904"/>
    <w:rsid w:val="00316957"/>
    <w:rsid w:val="0031794D"/>
    <w:rsid w:val="0032056C"/>
    <w:rsid w:val="00320574"/>
    <w:rsid w:val="003205EF"/>
    <w:rsid w:val="00320B3F"/>
    <w:rsid w:val="00320E97"/>
    <w:rsid w:val="003211D8"/>
    <w:rsid w:val="003213AB"/>
    <w:rsid w:val="003215C7"/>
    <w:rsid w:val="00321732"/>
    <w:rsid w:val="003219D0"/>
    <w:rsid w:val="00321A5F"/>
    <w:rsid w:val="0032223D"/>
    <w:rsid w:val="003234EA"/>
    <w:rsid w:val="00323719"/>
    <w:rsid w:val="003238DD"/>
    <w:rsid w:val="0032464B"/>
    <w:rsid w:val="00324EDC"/>
    <w:rsid w:val="00324F18"/>
    <w:rsid w:val="003257D1"/>
    <w:rsid w:val="00325FB4"/>
    <w:rsid w:val="00326293"/>
    <w:rsid w:val="00326434"/>
    <w:rsid w:val="0032675C"/>
    <w:rsid w:val="00326FCA"/>
    <w:rsid w:val="003274AA"/>
    <w:rsid w:val="0032751F"/>
    <w:rsid w:val="00327557"/>
    <w:rsid w:val="0032755E"/>
    <w:rsid w:val="00327946"/>
    <w:rsid w:val="00327AD1"/>
    <w:rsid w:val="00327B90"/>
    <w:rsid w:val="003310A0"/>
    <w:rsid w:val="00331713"/>
    <w:rsid w:val="0033174A"/>
    <w:rsid w:val="003317BC"/>
    <w:rsid w:val="00331C08"/>
    <w:rsid w:val="00332640"/>
    <w:rsid w:val="00332C09"/>
    <w:rsid w:val="0033332E"/>
    <w:rsid w:val="00333B35"/>
    <w:rsid w:val="00333B3F"/>
    <w:rsid w:val="0033414F"/>
    <w:rsid w:val="0033417B"/>
    <w:rsid w:val="00334606"/>
    <w:rsid w:val="00335E0F"/>
    <w:rsid w:val="003366DC"/>
    <w:rsid w:val="00336EA7"/>
    <w:rsid w:val="003374A8"/>
    <w:rsid w:val="00340A64"/>
    <w:rsid w:val="00340FF4"/>
    <w:rsid w:val="00341627"/>
    <w:rsid w:val="00341B02"/>
    <w:rsid w:val="00341F5C"/>
    <w:rsid w:val="00342200"/>
    <w:rsid w:val="0034227B"/>
    <w:rsid w:val="0034228C"/>
    <w:rsid w:val="00342C2B"/>
    <w:rsid w:val="00343A90"/>
    <w:rsid w:val="00344AE0"/>
    <w:rsid w:val="00345B1C"/>
    <w:rsid w:val="0034641A"/>
    <w:rsid w:val="0034646D"/>
    <w:rsid w:val="003465AD"/>
    <w:rsid w:val="00347757"/>
    <w:rsid w:val="00347AC5"/>
    <w:rsid w:val="003508EF"/>
    <w:rsid w:val="00350AF9"/>
    <w:rsid w:val="00351D56"/>
    <w:rsid w:val="00351E15"/>
    <w:rsid w:val="0035292D"/>
    <w:rsid w:val="003538AA"/>
    <w:rsid w:val="00353A37"/>
    <w:rsid w:val="00354431"/>
    <w:rsid w:val="00354902"/>
    <w:rsid w:val="00354E4E"/>
    <w:rsid w:val="00356749"/>
    <w:rsid w:val="00356B4F"/>
    <w:rsid w:val="00357033"/>
    <w:rsid w:val="0036074B"/>
    <w:rsid w:val="00360DFA"/>
    <w:rsid w:val="0036115A"/>
    <w:rsid w:val="0036153F"/>
    <w:rsid w:val="0036186F"/>
    <w:rsid w:val="00361976"/>
    <w:rsid w:val="0036343D"/>
    <w:rsid w:val="0036357E"/>
    <w:rsid w:val="00363815"/>
    <w:rsid w:val="00363BFF"/>
    <w:rsid w:val="00364F17"/>
    <w:rsid w:val="003654F2"/>
    <w:rsid w:val="00365790"/>
    <w:rsid w:val="00365E18"/>
    <w:rsid w:val="00365F55"/>
    <w:rsid w:val="00365F99"/>
    <w:rsid w:val="003671F0"/>
    <w:rsid w:val="00367947"/>
    <w:rsid w:val="00367AAD"/>
    <w:rsid w:val="00367E49"/>
    <w:rsid w:val="003703B2"/>
    <w:rsid w:val="00370508"/>
    <w:rsid w:val="00370A3F"/>
    <w:rsid w:val="00370CD4"/>
    <w:rsid w:val="003714DA"/>
    <w:rsid w:val="0037216D"/>
    <w:rsid w:val="003728B6"/>
    <w:rsid w:val="003731B9"/>
    <w:rsid w:val="003735CE"/>
    <w:rsid w:val="00373A5E"/>
    <w:rsid w:val="003753B2"/>
    <w:rsid w:val="00375E44"/>
    <w:rsid w:val="003764A1"/>
    <w:rsid w:val="00376563"/>
    <w:rsid w:val="00376B57"/>
    <w:rsid w:val="00376D1C"/>
    <w:rsid w:val="00376D1F"/>
    <w:rsid w:val="003773BF"/>
    <w:rsid w:val="00377402"/>
    <w:rsid w:val="00377552"/>
    <w:rsid w:val="0037757F"/>
    <w:rsid w:val="00377CB2"/>
    <w:rsid w:val="00377F4C"/>
    <w:rsid w:val="003809A5"/>
    <w:rsid w:val="003819A4"/>
    <w:rsid w:val="00381A64"/>
    <w:rsid w:val="00381E9E"/>
    <w:rsid w:val="00381FDE"/>
    <w:rsid w:val="00382C6A"/>
    <w:rsid w:val="00382CB0"/>
    <w:rsid w:val="003845E7"/>
    <w:rsid w:val="00384B0C"/>
    <w:rsid w:val="003850EB"/>
    <w:rsid w:val="0038512A"/>
    <w:rsid w:val="00385351"/>
    <w:rsid w:val="003857A4"/>
    <w:rsid w:val="00385B01"/>
    <w:rsid w:val="00385EBB"/>
    <w:rsid w:val="00386356"/>
    <w:rsid w:val="003865BF"/>
    <w:rsid w:val="00386943"/>
    <w:rsid w:val="00386ACC"/>
    <w:rsid w:val="00386FA5"/>
    <w:rsid w:val="003871DD"/>
    <w:rsid w:val="003872EB"/>
    <w:rsid w:val="00387A56"/>
    <w:rsid w:val="00387BF6"/>
    <w:rsid w:val="00387DBA"/>
    <w:rsid w:val="003901CD"/>
    <w:rsid w:val="003904E3"/>
    <w:rsid w:val="0039085F"/>
    <w:rsid w:val="003909AB"/>
    <w:rsid w:val="0039111E"/>
    <w:rsid w:val="0039151C"/>
    <w:rsid w:val="003917B4"/>
    <w:rsid w:val="00391A8A"/>
    <w:rsid w:val="00391FF5"/>
    <w:rsid w:val="0039215B"/>
    <w:rsid w:val="00392513"/>
    <w:rsid w:val="00392BC1"/>
    <w:rsid w:val="00392D72"/>
    <w:rsid w:val="00393A3A"/>
    <w:rsid w:val="00393BA0"/>
    <w:rsid w:val="00394243"/>
    <w:rsid w:val="00394499"/>
    <w:rsid w:val="00394548"/>
    <w:rsid w:val="00394DC8"/>
    <w:rsid w:val="00394DE3"/>
    <w:rsid w:val="003951B3"/>
    <w:rsid w:val="0039527A"/>
    <w:rsid w:val="0039542F"/>
    <w:rsid w:val="003959AD"/>
    <w:rsid w:val="00395CC6"/>
    <w:rsid w:val="003960D5"/>
    <w:rsid w:val="00396D27"/>
    <w:rsid w:val="00396DFD"/>
    <w:rsid w:val="003971A5"/>
    <w:rsid w:val="00397255"/>
    <w:rsid w:val="0039726B"/>
    <w:rsid w:val="0039777A"/>
    <w:rsid w:val="003A0E01"/>
    <w:rsid w:val="003A1631"/>
    <w:rsid w:val="003A262A"/>
    <w:rsid w:val="003A2AB2"/>
    <w:rsid w:val="003A3C57"/>
    <w:rsid w:val="003A48D0"/>
    <w:rsid w:val="003A4F4E"/>
    <w:rsid w:val="003A570B"/>
    <w:rsid w:val="003A58D9"/>
    <w:rsid w:val="003A5DDC"/>
    <w:rsid w:val="003A60E1"/>
    <w:rsid w:val="003A6531"/>
    <w:rsid w:val="003A6FF5"/>
    <w:rsid w:val="003A7133"/>
    <w:rsid w:val="003B0698"/>
    <w:rsid w:val="003B0E16"/>
    <w:rsid w:val="003B111A"/>
    <w:rsid w:val="003B144D"/>
    <w:rsid w:val="003B2C24"/>
    <w:rsid w:val="003B2DD8"/>
    <w:rsid w:val="003B3120"/>
    <w:rsid w:val="003B3A9F"/>
    <w:rsid w:val="003B45BF"/>
    <w:rsid w:val="003B4E19"/>
    <w:rsid w:val="003B5555"/>
    <w:rsid w:val="003B58BF"/>
    <w:rsid w:val="003B5B10"/>
    <w:rsid w:val="003B76FB"/>
    <w:rsid w:val="003B79E7"/>
    <w:rsid w:val="003B7D3E"/>
    <w:rsid w:val="003C083C"/>
    <w:rsid w:val="003C087C"/>
    <w:rsid w:val="003C0B4B"/>
    <w:rsid w:val="003C127E"/>
    <w:rsid w:val="003C1C22"/>
    <w:rsid w:val="003C1C92"/>
    <w:rsid w:val="003C2128"/>
    <w:rsid w:val="003C24B7"/>
    <w:rsid w:val="003C37ED"/>
    <w:rsid w:val="003C3C24"/>
    <w:rsid w:val="003C3E80"/>
    <w:rsid w:val="003C5007"/>
    <w:rsid w:val="003C555D"/>
    <w:rsid w:val="003C5EFF"/>
    <w:rsid w:val="003C6BAA"/>
    <w:rsid w:val="003C6E7D"/>
    <w:rsid w:val="003C70D7"/>
    <w:rsid w:val="003C77EA"/>
    <w:rsid w:val="003C7B42"/>
    <w:rsid w:val="003D1359"/>
    <w:rsid w:val="003D181B"/>
    <w:rsid w:val="003D2004"/>
    <w:rsid w:val="003D26E3"/>
    <w:rsid w:val="003D2878"/>
    <w:rsid w:val="003D327D"/>
    <w:rsid w:val="003D3911"/>
    <w:rsid w:val="003D3F0C"/>
    <w:rsid w:val="003D4943"/>
    <w:rsid w:val="003D494A"/>
    <w:rsid w:val="003D50F8"/>
    <w:rsid w:val="003D5631"/>
    <w:rsid w:val="003D635C"/>
    <w:rsid w:val="003D65E5"/>
    <w:rsid w:val="003D67CE"/>
    <w:rsid w:val="003D6BF5"/>
    <w:rsid w:val="003D766E"/>
    <w:rsid w:val="003D78B4"/>
    <w:rsid w:val="003D7C28"/>
    <w:rsid w:val="003E0498"/>
    <w:rsid w:val="003E0DDA"/>
    <w:rsid w:val="003E16BF"/>
    <w:rsid w:val="003E1831"/>
    <w:rsid w:val="003E18F4"/>
    <w:rsid w:val="003E23F5"/>
    <w:rsid w:val="003E240D"/>
    <w:rsid w:val="003E2525"/>
    <w:rsid w:val="003E275F"/>
    <w:rsid w:val="003E3252"/>
    <w:rsid w:val="003E372F"/>
    <w:rsid w:val="003E4224"/>
    <w:rsid w:val="003E4AA7"/>
    <w:rsid w:val="003E4C5F"/>
    <w:rsid w:val="003E671E"/>
    <w:rsid w:val="003E6F73"/>
    <w:rsid w:val="003E7262"/>
    <w:rsid w:val="003E731F"/>
    <w:rsid w:val="003E764A"/>
    <w:rsid w:val="003E7943"/>
    <w:rsid w:val="003E7B8F"/>
    <w:rsid w:val="003F06AF"/>
    <w:rsid w:val="003F0741"/>
    <w:rsid w:val="003F07A2"/>
    <w:rsid w:val="003F0E59"/>
    <w:rsid w:val="003F113A"/>
    <w:rsid w:val="003F1BDB"/>
    <w:rsid w:val="003F1DBA"/>
    <w:rsid w:val="003F25C1"/>
    <w:rsid w:val="003F2E2B"/>
    <w:rsid w:val="003F333C"/>
    <w:rsid w:val="003F3FCC"/>
    <w:rsid w:val="003F44DF"/>
    <w:rsid w:val="003F49B2"/>
    <w:rsid w:val="003F4B08"/>
    <w:rsid w:val="003F60A1"/>
    <w:rsid w:val="003F62DE"/>
    <w:rsid w:val="003F716D"/>
    <w:rsid w:val="003F7547"/>
    <w:rsid w:val="003F7639"/>
    <w:rsid w:val="003F7879"/>
    <w:rsid w:val="003F7B02"/>
    <w:rsid w:val="00400E7F"/>
    <w:rsid w:val="00400E94"/>
    <w:rsid w:val="00400F63"/>
    <w:rsid w:val="0040103A"/>
    <w:rsid w:val="00401220"/>
    <w:rsid w:val="00401272"/>
    <w:rsid w:val="004019CE"/>
    <w:rsid w:val="00401A4A"/>
    <w:rsid w:val="00401D2E"/>
    <w:rsid w:val="0040266A"/>
    <w:rsid w:val="00402B00"/>
    <w:rsid w:val="00402C41"/>
    <w:rsid w:val="00403369"/>
    <w:rsid w:val="0040442E"/>
    <w:rsid w:val="00404E0B"/>
    <w:rsid w:val="004054DE"/>
    <w:rsid w:val="00405E82"/>
    <w:rsid w:val="004068D9"/>
    <w:rsid w:val="0040759A"/>
    <w:rsid w:val="00407B2A"/>
    <w:rsid w:val="00407BDF"/>
    <w:rsid w:val="004101AF"/>
    <w:rsid w:val="00410E3F"/>
    <w:rsid w:val="00411455"/>
    <w:rsid w:val="00411824"/>
    <w:rsid w:val="0041245C"/>
    <w:rsid w:val="00412770"/>
    <w:rsid w:val="00414599"/>
    <w:rsid w:val="004158B6"/>
    <w:rsid w:val="0041598D"/>
    <w:rsid w:val="00415CA7"/>
    <w:rsid w:val="004168C8"/>
    <w:rsid w:val="00416989"/>
    <w:rsid w:val="00416B86"/>
    <w:rsid w:val="00417685"/>
    <w:rsid w:val="0041785A"/>
    <w:rsid w:val="00417AE0"/>
    <w:rsid w:val="004203A2"/>
    <w:rsid w:val="00420A75"/>
    <w:rsid w:val="00420FA9"/>
    <w:rsid w:val="00421765"/>
    <w:rsid w:val="004224C5"/>
    <w:rsid w:val="00422A60"/>
    <w:rsid w:val="00422AD2"/>
    <w:rsid w:val="004232B4"/>
    <w:rsid w:val="004242D5"/>
    <w:rsid w:val="00425120"/>
    <w:rsid w:val="004251AF"/>
    <w:rsid w:val="00425AFC"/>
    <w:rsid w:val="0042698C"/>
    <w:rsid w:val="00426C32"/>
    <w:rsid w:val="00427590"/>
    <w:rsid w:val="00427739"/>
    <w:rsid w:val="0042794A"/>
    <w:rsid w:val="00427A7D"/>
    <w:rsid w:val="004301BA"/>
    <w:rsid w:val="00430DFB"/>
    <w:rsid w:val="004313A7"/>
    <w:rsid w:val="00431811"/>
    <w:rsid w:val="004341B7"/>
    <w:rsid w:val="004345D4"/>
    <w:rsid w:val="00435D0F"/>
    <w:rsid w:val="00435D5C"/>
    <w:rsid w:val="00435E11"/>
    <w:rsid w:val="00436A71"/>
    <w:rsid w:val="00437D49"/>
    <w:rsid w:val="00437FAB"/>
    <w:rsid w:val="004400FF"/>
    <w:rsid w:val="004418E7"/>
    <w:rsid w:val="00441A44"/>
    <w:rsid w:val="00442123"/>
    <w:rsid w:val="0044216C"/>
    <w:rsid w:val="0044275C"/>
    <w:rsid w:val="00442B4E"/>
    <w:rsid w:val="00442CDA"/>
    <w:rsid w:val="0044406F"/>
    <w:rsid w:val="0044460D"/>
    <w:rsid w:val="00444B77"/>
    <w:rsid w:val="00444FE8"/>
    <w:rsid w:val="0044544C"/>
    <w:rsid w:val="004454FD"/>
    <w:rsid w:val="0044551E"/>
    <w:rsid w:val="00445A97"/>
    <w:rsid w:val="00445C81"/>
    <w:rsid w:val="00445DCD"/>
    <w:rsid w:val="00445DEF"/>
    <w:rsid w:val="00445FFF"/>
    <w:rsid w:val="0044604B"/>
    <w:rsid w:val="00446066"/>
    <w:rsid w:val="00446BD2"/>
    <w:rsid w:val="00446BF9"/>
    <w:rsid w:val="00446F18"/>
    <w:rsid w:val="00447074"/>
    <w:rsid w:val="00447419"/>
    <w:rsid w:val="00447513"/>
    <w:rsid w:val="00447744"/>
    <w:rsid w:val="00447896"/>
    <w:rsid w:val="004479F8"/>
    <w:rsid w:val="00447AB8"/>
    <w:rsid w:val="00447AC9"/>
    <w:rsid w:val="00447C95"/>
    <w:rsid w:val="004509C0"/>
    <w:rsid w:val="00451BF5"/>
    <w:rsid w:val="00451FC8"/>
    <w:rsid w:val="0045202E"/>
    <w:rsid w:val="004520BC"/>
    <w:rsid w:val="00452122"/>
    <w:rsid w:val="00452148"/>
    <w:rsid w:val="004523F6"/>
    <w:rsid w:val="004524A0"/>
    <w:rsid w:val="00452721"/>
    <w:rsid w:val="00452C64"/>
    <w:rsid w:val="00452FA8"/>
    <w:rsid w:val="00453D77"/>
    <w:rsid w:val="00453DAC"/>
    <w:rsid w:val="004544C5"/>
    <w:rsid w:val="00454D06"/>
    <w:rsid w:val="00455320"/>
    <w:rsid w:val="0045562B"/>
    <w:rsid w:val="00455953"/>
    <w:rsid w:val="004573CC"/>
    <w:rsid w:val="00457A72"/>
    <w:rsid w:val="00457E7D"/>
    <w:rsid w:val="00460576"/>
    <w:rsid w:val="00460CF8"/>
    <w:rsid w:val="00461B0A"/>
    <w:rsid w:val="00461DBC"/>
    <w:rsid w:val="0046235E"/>
    <w:rsid w:val="00462A89"/>
    <w:rsid w:val="00463014"/>
    <w:rsid w:val="00463498"/>
    <w:rsid w:val="00463BE7"/>
    <w:rsid w:val="00464874"/>
    <w:rsid w:val="00464906"/>
    <w:rsid w:val="004653D7"/>
    <w:rsid w:val="00467234"/>
    <w:rsid w:val="00467DC2"/>
    <w:rsid w:val="0047017A"/>
    <w:rsid w:val="00471CFF"/>
    <w:rsid w:val="00471F43"/>
    <w:rsid w:val="00472E00"/>
    <w:rsid w:val="00474128"/>
    <w:rsid w:val="00474397"/>
    <w:rsid w:val="0047439B"/>
    <w:rsid w:val="004747F5"/>
    <w:rsid w:val="00474F21"/>
    <w:rsid w:val="00474FF4"/>
    <w:rsid w:val="004753BC"/>
    <w:rsid w:val="004757A4"/>
    <w:rsid w:val="00475B23"/>
    <w:rsid w:val="00476351"/>
    <w:rsid w:val="00476588"/>
    <w:rsid w:val="00476F47"/>
    <w:rsid w:val="00477B43"/>
    <w:rsid w:val="00480BE1"/>
    <w:rsid w:val="00481A6E"/>
    <w:rsid w:val="00482013"/>
    <w:rsid w:val="00482843"/>
    <w:rsid w:val="004835C1"/>
    <w:rsid w:val="00483787"/>
    <w:rsid w:val="00483DED"/>
    <w:rsid w:val="00483E9D"/>
    <w:rsid w:val="00484719"/>
    <w:rsid w:val="0048486A"/>
    <w:rsid w:val="00484B55"/>
    <w:rsid w:val="00484D67"/>
    <w:rsid w:val="00486AF2"/>
    <w:rsid w:val="00487AEF"/>
    <w:rsid w:val="00487B28"/>
    <w:rsid w:val="00490031"/>
    <w:rsid w:val="00490566"/>
    <w:rsid w:val="004907AC"/>
    <w:rsid w:val="00490A93"/>
    <w:rsid w:val="00490AA1"/>
    <w:rsid w:val="00490B62"/>
    <w:rsid w:val="00491BB8"/>
    <w:rsid w:val="00492817"/>
    <w:rsid w:val="00493061"/>
    <w:rsid w:val="00493068"/>
    <w:rsid w:val="00493951"/>
    <w:rsid w:val="00493E18"/>
    <w:rsid w:val="00494230"/>
    <w:rsid w:val="004949E0"/>
    <w:rsid w:val="00495074"/>
    <w:rsid w:val="00495307"/>
    <w:rsid w:val="0049580F"/>
    <w:rsid w:val="004958B7"/>
    <w:rsid w:val="00495927"/>
    <w:rsid w:val="00495AF6"/>
    <w:rsid w:val="004960E0"/>
    <w:rsid w:val="004961A1"/>
    <w:rsid w:val="004967BC"/>
    <w:rsid w:val="00496BA7"/>
    <w:rsid w:val="0049724C"/>
    <w:rsid w:val="00497391"/>
    <w:rsid w:val="0049778F"/>
    <w:rsid w:val="004978D8"/>
    <w:rsid w:val="00497A64"/>
    <w:rsid w:val="00497FA0"/>
    <w:rsid w:val="004A0477"/>
    <w:rsid w:val="004A0D22"/>
    <w:rsid w:val="004A1438"/>
    <w:rsid w:val="004A14A5"/>
    <w:rsid w:val="004A15FA"/>
    <w:rsid w:val="004A18E9"/>
    <w:rsid w:val="004A22DE"/>
    <w:rsid w:val="004A249D"/>
    <w:rsid w:val="004A2891"/>
    <w:rsid w:val="004A375A"/>
    <w:rsid w:val="004A384C"/>
    <w:rsid w:val="004A3DD7"/>
    <w:rsid w:val="004A42D0"/>
    <w:rsid w:val="004A46ED"/>
    <w:rsid w:val="004A49DB"/>
    <w:rsid w:val="004A5DAA"/>
    <w:rsid w:val="004A64F2"/>
    <w:rsid w:val="004A69FC"/>
    <w:rsid w:val="004A6B4E"/>
    <w:rsid w:val="004A77E2"/>
    <w:rsid w:val="004A7A9F"/>
    <w:rsid w:val="004B001A"/>
    <w:rsid w:val="004B0066"/>
    <w:rsid w:val="004B00F8"/>
    <w:rsid w:val="004B0275"/>
    <w:rsid w:val="004B0442"/>
    <w:rsid w:val="004B0CF8"/>
    <w:rsid w:val="004B0EC1"/>
    <w:rsid w:val="004B0F23"/>
    <w:rsid w:val="004B124A"/>
    <w:rsid w:val="004B180D"/>
    <w:rsid w:val="004B18EC"/>
    <w:rsid w:val="004B2134"/>
    <w:rsid w:val="004B279D"/>
    <w:rsid w:val="004B32A3"/>
    <w:rsid w:val="004B35BA"/>
    <w:rsid w:val="004B3EA0"/>
    <w:rsid w:val="004B4CD0"/>
    <w:rsid w:val="004B4F9C"/>
    <w:rsid w:val="004B546D"/>
    <w:rsid w:val="004B5521"/>
    <w:rsid w:val="004B5BB1"/>
    <w:rsid w:val="004B62FC"/>
    <w:rsid w:val="004B781B"/>
    <w:rsid w:val="004B7B74"/>
    <w:rsid w:val="004C0130"/>
    <w:rsid w:val="004C0CCE"/>
    <w:rsid w:val="004C102D"/>
    <w:rsid w:val="004C1AF5"/>
    <w:rsid w:val="004C1D3A"/>
    <w:rsid w:val="004C1E27"/>
    <w:rsid w:val="004C214F"/>
    <w:rsid w:val="004C23D6"/>
    <w:rsid w:val="004C2CDB"/>
    <w:rsid w:val="004C2D31"/>
    <w:rsid w:val="004C34A4"/>
    <w:rsid w:val="004C3B51"/>
    <w:rsid w:val="004C3D1B"/>
    <w:rsid w:val="004C3FEB"/>
    <w:rsid w:val="004C5A43"/>
    <w:rsid w:val="004C64CA"/>
    <w:rsid w:val="004C65BE"/>
    <w:rsid w:val="004C665A"/>
    <w:rsid w:val="004C6A1F"/>
    <w:rsid w:val="004C6B94"/>
    <w:rsid w:val="004C730F"/>
    <w:rsid w:val="004C7CD2"/>
    <w:rsid w:val="004C7F8B"/>
    <w:rsid w:val="004D01CD"/>
    <w:rsid w:val="004D092C"/>
    <w:rsid w:val="004D160D"/>
    <w:rsid w:val="004D1BE7"/>
    <w:rsid w:val="004D21B4"/>
    <w:rsid w:val="004D220A"/>
    <w:rsid w:val="004D22DF"/>
    <w:rsid w:val="004D291C"/>
    <w:rsid w:val="004D3175"/>
    <w:rsid w:val="004D606A"/>
    <w:rsid w:val="004D6A89"/>
    <w:rsid w:val="004D6B83"/>
    <w:rsid w:val="004D6E88"/>
    <w:rsid w:val="004D72E1"/>
    <w:rsid w:val="004D769C"/>
    <w:rsid w:val="004E0173"/>
    <w:rsid w:val="004E187C"/>
    <w:rsid w:val="004E1DE0"/>
    <w:rsid w:val="004E1DE1"/>
    <w:rsid w:val="004E1E32"/>
    <w:rsid w:val="004E215B"/>
    <w:rsid w:val="004E2363"/>
    <w:rsid w:val="004E2CC9"/>
    <w:rsid w:val="004E3144"/>
    <w:rsid w:val="004E4269"/>
    <w:rsid w:val="004E4539"/>
    <w:rsid w:val="004E50E2"/>
    <w:rsid w:val="004E5B4B"/>
    <w:rsid w:val="004E5B87"/>
    <w:rsid w:val="004E649E"/>
    <w:rsid w:val="004F0CEF"/>
    <w:rsid w:val="004F17FA"/>
    <w:rsid w:val="004F24EE"/>
    <w:rsid w:val="004F2605"/>
    <w:rsid w:val="004F2B74"/>
    <w:rsid w:val="004F3AB7"/>
    <w:rsid w:val="004F3B40"/>
    <w:rsid w:val="004F41DC"/>
    <w:rsid w:val="004F43D1"/>
    <w:rsid w:val="004F44D0"/>
    <w:rsid w:val="004F4932"/>
    <w:rsid w:val="004F4B0D"/>
    <w:rsid w:val="004F4CB9"/>
    <w:rsid w:val="004F50BE"/>
    <w:rsid w:val="004F6158"/>
    <w:rsid w:val="004F700A"/>
    <w:rsid w:val="004F721C"/>
    <w:rsid w:val="004F794F"/>
    <w:rsid w:val="00500030"/>
    <w:rsid w:val="00500573"/>
    <w:rsid w:val="00500BD8"/>
    <w:rsid w:val="00500D21"/>
    <w:rsid w:val="00500E61"/>
    <w:rsid w:val="005015F4"/>
    <w:rsid w:val="0050162B"/>
    <w:rsid w:val="00501BC9"/>
    <w:rsid w:val="00502198"/>
    <w:rsid w:val="00502408"/>
    <w:rsid w:val="00502700"/>
    <w:rsid w:val="00502CBD"/>
    <w:rsid w:val="00503405"/>
    <w:rsid w:val="005034FA"/>
    <w:rsid w:val="00503AA0"/>
    <w:rsid w:val="00503AA1"/>
    <w:rsid w:val="00503E7C"/>
    <w:rsid w:val="00504956"/>
    <w:rsid w:val="00505376"/>
    <w:rsid w:val="00505E75"/>
    <w:rsid w:val="0050672A"/>
    <w:rsid w:val="00507A9B"/>
    <w:rsid w:val="00507C25"/>
    <w:rsid w:val="0051005C"/>
    <w:rsid w:val="005102EB"/>
    <w:rsid w:val="005104CD"/>
    <w:rsid w:val="00510E1C"/>
    <w:rsid w:val="005130CB"/>
    <w:rsid w:val="005138F5"/>
    <w:rsid w:val="00514093"/>
    <w:rsid w:val="00514970"/>
    <w:rsid w:val="00515019"/>
    <w:rsid w:val="00515A26"/>
    <w:rsid w:val="00515AC1"/>
    <w:rsid w:val="00520311"/>
    <w:rsid w:val="00520DC6"/>
    <w:rsid w:val="005218AB"/>
    <w:rsid w:val="00521DB7"/>
    <w:rsid w:val="00522106"/>
    <w:rsid w:val="005222DE"/>
    <w:rsid w:val="005232D9"/>
    <w:rsid w:val="00523AA4"/>
    <w:rsid w:val="00523E64"/>
    <w:rsid w:val="005240FB"/>
    <w:rsid w:val="00524875"/>
    <w:rsid w:val="00525B00"/>
    <w:rsid w:val="005267CF"/>
    <w:rsid w:val="005271F6"/>
    <w:rsid w:val="005275F5"/>
    <w:rsid w:val="00527DA9"/>
    <w:rsid w:val="00527E58"/>
    <w:rsid w:val="00530094"/>
    <w:rsid w:val="0053051C"/>
    <w:rsid w:val="005309D9"/>
    <w:rsid w:val="005311DA"/>
    <w:rsid w:val="005321E2"/>
    <w:rsid w:val="005324E4"/>
    <w:rsid w:val="00532624"/>
    <w:rsid w:val="005332D3"/>
    <w:rsid w:val="00533AFE"/>
    <w:rsid w:val="0053431B"/>
    <w:rsid w:val="0053433A"/>
    <w:rsid w:val="00534C31"/>
    <w:rsid w:val="00534F52"/>
    <w:rsid w:val="005356D7"/>
    <w:rsid w:val="0053611B"/>
    <w:rsid w:val="005363E4"/>
    <w:rsid w:val="005366BF"/>
    <w:rsid w:val="00536C19"/>
    <w:rsid w:val="005375A5"/>
    <w:rsid w:val="00537A77"/>
    <w:rsid w:val="00537E7F"/>
    <w:rsid w:val="00541360"/>
    <w:rsid w:val="00541B80"/>
    <w:rsid w:val="0054217B"/>
    <w:rsid w:val="005429BD"/>
    <w:rsid w:val="005437FD"/>
    <w:rsid w:val="005445ED"/>
    <w:rsid w:val="00544820"/>
    <w:rsid w:val="00544985"/>
    <w:rsid w:val="005449B8"/>
    <w:rsid w:val="00544C84"/>
    <w:rsid w:val="0054541B"/>
    <w:rsid w:val="00545851"/>
    <w:rsid w:val="00546FCC"/>
    <w:rsid w:val="00547C40"/>
    <w:rsid w:val="0055064B"/>
    <w:rsid w:val="005507AC"/>
    <w:rsid w:val="00550F94"/>
    <w:rsid w:val="0055137A"/>
    <w:rsid w:val="00551840"/>
    <w:rsid w:val="00551E59"/>
    <w:rsid w:val="00552708"/>
    <w:rsid w:val="00552D69"/>
    <w:rsid w:val="00553204"/>
    <w:rsid w:val="0055374A"/>
    <w:rsid w:val="005553B8"/>
    <w:rsid w:val="00555E9F"/>
    <w:rsid w:val="00555EBF"/>
    <w:rsid w:val="0055658D"/>
    <w:rsid w:val="00556F47"/>
    <w:rsid w:val="0055719D"/>
    <w:rsid w:val="005574BA"/>
    <w:rsid w:val="00557828"/>
    <w:rsid w:val="005601DD"/>
    <w:rsid w:val="00560A60"/>
    <w:rsid w:val="00561071"/>
    <w:rsid w:val="00561425"/>
    <w:rsid w:val="00561842"/>
    <w:rsid w:val="0056198C"/>
    <w:rsid w:val="00561CB5"/>
    <w:rsid w:val="00562362"/>
    <w:rsid w:val="00562606"/>
    <w:rsid w:val="0056290F"/>
    <w:rsid w:val="00562C6E"/>
    <w:rsid w:val="00563150"/>
    <w:rsid w:val="00563363"/>
    <w:rsid w:val="0056337A"/>
    <w:rsid w:val="005634A6"/>
    <w:rsid w:val="005643A9"/>
    <w:rsid w:val="005647DC"/>
    <w:rsid w:val="0056492F"/>
    <w:rsid w:val="00565687"/>
    <w:rsid w:val="00565DD3"/>
    <w:rsid w:val="00566271"/>
    <w:rsid w:val="00566572"/>
    <w:rsid w:val="005665A7"/>
    <w:rsid w:val="005669BA"/>
    <w:rsid w:val="005670EB"/>
    <w:rsid w:val="005671C7"/>
    <w:rsid w:val="005677E9"/>
    <w:rsid w:val="005703F4"/>
    <w:rsid w:val="0057041D"/>
    <w:rsid w:val="00570767"/>
    <w:rsid w:val="00570EFE"/>
    <w:rsid w:val="00571802"/>
    <w:rsid w:val="00571B08"/>
    <w:rsid w:val="00571BF9"/>
    <w:rsid w:val="005722CA"/>
    <w:rsid w:val="00572783"/>
    <w:rsid w:val="00572B74"/>
    <w:rsid w:val="0057328D"/>
    <w:rsid w:val="0057328E"/>
    <w:rsid w:val="00573A04"/>
    <w:rsid w:val="00575669"/>
    <w:rsid w:val="005759C1"/>
    <w:rsid w:val="00576BE3"/>
    <w:rsid w:val="005773C7"/>
    <w:rsid w:val="005778B5"/>
    <w:rsid w:val="00577BBC"/>
    <w:rsid w:val="00577F7C"/>
    <w:rsid w:val="00580163"/>
    <w:rsid w:val="005802AF"/>
    <w:rsid w:val="005805EB"/>
    <w:rsid w:val="005806ED"/>
    <w:rsid w:val="00580CF1"/>
    <w:rsid w:val="00581128"/>
    <w:rsid w:val="00581806"/>
    <w:rsid w:val="0058198B"/>
    <w:rsid w:val="00582379"/>
    <w:rsid w:val="00582725"/>
    <w:rsid w:val="00582742"/>
    <w:rsid w:val="005828A8"/>
    <w:rsid w:val="00582BA8"/>
    <w:rsid w:val="00583A5E"/>
    <w:rsid w:val="00583ABB"/>
    <w:rsid w:val="00583C11"/>
    <w:rsid w:val="00583C25"/>
    <w:rsid w:val="00583D62"/>
    <w:rsid w:val="0058405F"/>
    <w:rsid w:val="0058433B"/>
    <w:rsid w:val="0058502F"/>
    <w:rsid w:val="0058513F"/>
    <w:rsid w:val="00585442"/>
    <w:rsid w:val="00585A34"/>
    <w:rsid w:val="00586198"/>
    <w:rsid w:val="00586E87"/>
    <w:rsid w:val="00587762"/>
    <w:rsid w:val="00587D52"/>
    <w:rsid w:val="00587E01"/>
    <w:rsid w:val="005901F0"/>
    <w:rsid w:val="00590355"/>
    <w:rsid w:val="00590C92"/>
    <w:rsid w:val="00590DFE"/>
    <w:rsid w:val="00591BF9"/>
    <w:rsid w:val="00593132"/>
    <w:rsid w:val="0059320C"/>
    <w:rsid w:val="00594DC5"/>
    <w:rsid w:val="0059568A"/>
    <w:rsid w:val="00595B6A"/>
    <w:rsid w:val="00595C7B"/>
    <w:rsid w:val="00596021"/>
    <w:rsid w:val="00596062"/>
    <w:rsid w:val="005967F8"/>
    <w:rsid w:val="00596DA3"/>
    <w:rsid w:val="00597176"/>
    <w:rsid w:val="005973DC"/>
    <w:rsid w:val="00597FC8"/>
    <w:rsid w:val="005A10F9"/>
    <w:rsid w:val="005A163D"/>
    <w:rsid w:val="005A1CDD"/>
    <w:rsid w:val="005A1F8C"/>
    <w:rsid w:val="005A2074"/>
    <w:rsid w:val="005A22EA"/>
    <w:rsid w:val="005A240A"/>
    <w:rsid w:val="005A3247"/>
    <w:rsid w:val="005A36D5"/>
    <w:rsid w:val="005A3834"/>
    <w:rsid w:val="005A41EA"/>
    <w:rsid w:val="005A47E1"/>
    <w:rsid w:val="005A4B6B"/>
    <w:rsid w:val="005A4E72"/>
    <w:rsid w:val="005A4F00"/>
    <w:rsid w:val="005A5C7C"/>
    <w:rsid w:val="005A5D49"/>
    <w:rsid w:val="005A609A"/>
    <w:rsid w:val="005A636F"/>
    <w:rsid w:val="005A6482"/>
    <w:rsid w:val="005A69CC"/>
    <w:rsid w:val="005A6B1D"/>
    <w:rsid w:val="005A7588"/>
    <w:rsid w:val="005B0515"/>
    <w:rsid w:val="005B0EBE"/>
    <w:rsid w:val="005B1106"/>
    <w:rsid w:val="005B1168"/>
    <w:rsid w:val="005B1C1A"/>
    <w:rsid w:val="005B1CEC"/>
    <w:rsid w:val="005B2315"/>
    <w:rsid w:val="005B24F4"/>
    <w:rsid w:val="005B2705"/>
    <w:rsid w:val="005B2E9E"/>
    <w:rsid w:val="005B2FA3"/>
    <w:rsid w:val="005B3234"/>
    <w:rsid w:val="005B37E8"/>
    <w:rsid w:val="005B3800"/>
    <w:rsid w:val="005B3A7F"/>
    <w:rsid w:val="005B49D8"/>
    <w:rsid w:val="005B4EF5"/>
    <w:rsid w:val="005B4F8D"/>
    <w:rsid w:val="005B4FCF"/>
    <w:rsid w:val="005B5AC8"/>
    <w:rsid w:val="005B6DC8"/>
    <w:rsid w:val="005B7D9A"/>
    <w:rsid w:val="005C0195"/>
    <w:rsid w:val="005C06A4"/>
    <w:rsid w:val="005C0BF2"/>
    <w:rsid w:val="005C169D"/>
    <w:rsid w:val="005C16AE"/>
    <w:rsid w:val="005C1B82"/>
    <w:rsid w:val="005C1BE0"/>
    <w:rsid w:val="005C23A5"/>
    <w:rsid w:val="005C2461"/>
    <w:rsid w:val="005C2A57"/>
    <w:rsid w:val="005C2D4D"/>
    <w:rsid w:val="005C31AD"/>
    <w:rsid w:val="005C32C5"/>
    <w:rsid w:val="005C32D0"/>
    <w:rsid w:val="005C3FC5"/>
    <w:rsid w:val="005C4151"/>
    <w:rsid w:val="005C42D6"/>
    <w:rsid w:val="005C4FF7"/>
    <w:rsid w:val="005C5165"/>
    <w:rsid w:val="005C5515"/>
    <w:rsid w:val="005C55C5"/>
    <w:rsid w:val="005C57C2"/>
    <w:rsid w:val="005C5906"/>
    <w:rsid w:val="005C5F07"/>
    <w:rsid w:val="005C62C5"/>
    <w:rsid w:val="005C6A3D"/>
    <w:rsid w:val="005C6DD2"/>
    <w:rsid w:val="005C7766"/>
    <w:rsid w:val="005D01D6"/>
    <w:rsid w:val="005D0600"/>
    <w:rsid w:val="005D08C7"/>
    <w:rsid w:val="005D0CA9"/>
    <w:rsid w:val="005D0E67"/>
    <w:rsid w:val="005D0F9C"/>
    <w:rsid w:val="005D1941"/>
    <w:rsid w:val="005D228E"/>
    <w:rsid w:val="005D23BA"/>
    <w:rsid w:val="005D2669"/>
    <w:rsid w:val="005D2CA7"/>
    <w:rsid w:val="005D2DA0"/>
    <w:rsid w:val="005D3233"/>
    <w:rsid w:val="005D457C"/>
    <w:rsid w:val="005D4C54"/>
    <w:rsid w:val="005D510F"/>
    <w:rsid w:val="005D579A"/>
    <w:rsid w:val="005D6201"/>
    <w:rsid w:val="005D6480"/>
    <w:rsid w:val="005D6994"/>
    <w:rsid w:val="005D6BB6"/>
    <w:rsid w:val="005D6F09"/>
    <w:rsid w:val="005D73D1"/>
    <w:rsid w:val="005E0542"/>
    <w:rsid w:val="005E186A"/>
    <w:rsid w:val="005E1FA8"/>
    <w:rsid w:val="005E23A0"/>
    <w:rsid w:val="005E2CC5"/>
    <w:rsid w:val="005E36A9"/>
    <w:rsid w:val="005E42B5"/>
    <w:rsid w:val="005E49A5"/>
    <w:rsid w:val="005E4D07"/>
    <w:rsid w:val="005E5102"/>
    <w:rsid w:val="005E53F1"/>
    <w:rsid w:val="005E5BBC"/>
    <w:rsid w:val="005E5C8E"/>
    <w:rsid w:val="005E5DE6"/>
    <w:rsid w:val="005E6FD6"/>
    <w:rsid w:val="005E70BB"/>
    <w:rsid w:val="005E74D9"/>
    <w:rsid w:val="005F05D8"/>
    <w:rsid w:val="005F069F"/>
    <w:rsid w:val="005F0893"/>
    <w:rsid w:val="005F18F7"/>
    <w:rsid w:val="005F1913"/>
    <w:rsid w:val="005F1AF0"/>
    <w:rsid w:val="005F1D71"/>
    <w:rsid w:val="005F2006"/>
    <w:rsid w:val="005F2078"/>
    <w:rsid w:val="005F23FC"/>
    <w:rsid w:val="005F2650"/>
    <w:rsid w:val="005F2AE0"/>
    <w:rsid w:val="005F32D8"/>
    <w:rsid w:val="005F3BF3"/>
    <w:rsid w:val="005F3D8E"/>
    <w:rsid w:val="005F469C"/>
    <w:rsid w:val="005F503E"/>
    <w:rsid w:val="005F605C"/>
    <w:rsid w:val="005F6235"/>
    <w:rsid w:val="005F63BA"/>
    <w:rsid w:val="005F6509"/>
    <w:rsid w:val="005F65EB"/>
    <w:rsid w:val="005F662A"/>
    <w:rsid w:val="005F6668"/>
    <w:rsid w:val="005F707C"/>
    <w:rsid w:val="005F71D4"/>
    <w:rsid w:val="005F7E58"/>
    <w:rsid w:val="005F7E95"/>
    <w:rsid w:val="00600C1A"/>
    <w:rsid w:val="006012F7"/>
    <w:rsid w:val="0060130D"/>
    <w:rsid w:val="00601E6F"/>
    <w:rsid w:val="0060208F"/>
    <w:rsid w:val="0060259A"/>
    <w:rsid w:val="00602D87"/>
    <w:rsid w:val="00602E6E"/>
    <w:rsid w:val="006035A3"/>
    <w:rsid w:val="00603ADF"/>
    <w:rsid w:val="00603BC6"/>
    <w:rsid w:val="006041F4"/>
    <w:rsid w:val="006048F5"/>
    <w:rsid w:val="00604F06"/>
    <w:rsid w:val="00605373"/>
    <w:rsid w:val="00605377"/>
    <w:rsid w:val="00607C1E"/>
    <w:rsid w:val="00610F9A"/>
    <w:rsid w:val="00610FF1"/>
    <w:rsid w:val="00611C48"/>
    <w:rsid w:val="00611C63"/>
    <w:rsid w:val="0061254C"/>
    <w:rsid w:val="0061257D"/>
    <w:rsid w:val="00612B74"/>
    <w:rsid w:val="006130B2"/>
    <w:rsid w:val="006130DC"/>
    <w:rsid w:val="00614B2E"/>
    <w:rsid w:val="00615C8B"/>
    <w:rsid w:val="00615FD2"/>
    <w:rsid w:val="006166BA"/>
    <w:rsid w:val="00616CA2"/>
    <w:rsid w:val="0061790D"/>
    <w:rsid w:val="00617A4B"/>
    <w:rsid w:val="00617A86"/>
    <w:rsid w:val="00617AE6"/>
    <w:rsid w:val="00622054"/>
    <w:rsid w:val="006222B7"/>
    <w:rsid w:val="006224B5"/>
    <w:rsid w:val="0062266C"/>
    <w:rsid w:val="0062276F"/>
    <w:rsid w:val="00623DC6"/>
    <w:rsid w:val="00623F28"/>
    <w:rsid w:val="00623F50"/>
    <w:rsid w:val="00624E63"/>
    <w:rsid w:val="006250D8"/>
    <w:rsid w:val="00625158"/>
    <w:rsid w:val="00625BC4"/>
    <w:rsid w:val="00625C42"/>
    <w:rsid w:val="00625FDA"/>
    <w:rsid w:val="00626A1C"/>
    <w:rsid w:val="00626EC7"/>
    <w:rsid w:val="00627880"/>
    <w:rsid w:val="0062796F"/>
    <w:rsid w:val="00630633"/>
    <w:rsid w:val="0063091F"/>
    <w:rsid w:val="00631B86"/>
    <w:rsid w:val="00632867"/>
    <w:rsid w:val="0063357E"/>
    <w:rsid w:val="00634965"/>
    <w:rsid w:val="00634EF1"/>
    <w:rsid w:val="006357CE"/>
    <w:rsid w:val="0063587E"/>
    <w:rsid w:val="006364D8"/>
    <w:rsid w:val="006368A8"/>
    <w:rsid w:val="00636FC9"/>
    <w:rsid w:val="00637C4B"/>
    <w:rsid w:val="0064010D"/>
    <w:rsid w:val="00640AA4"/>
    <w:rsid w:val="0064108B"/>
    <w:rsid w:val="00641437"/>
    <w:rsid w:val="006417AF"/>
    <w:rsid w:val="00641E34"/>
    <w:rsid w:val="0064268E"/>
    <w:rsid w:val="00642D3F"/>
    <w:rsid w:val="00643432"/>
    <w:rsid w:val="0064385C"/>
    <w:rsid w:val="00643E15"/>
    <w:rsid w:val="00644035"/>
    <w:rsid w:val="00644669"/>
    <w:rsid w:val="006453D2"/>
    <w:rsid w:val="00645ADB"/>
    <w:rsid w:val="00645F91"/>
    <w:rsid w:val="0064685D"/>
    <w:rsid w:val="006469F3"/>
    <w:rsid w:val="00646AD0"/>
    <w:rsid w:val="00646D46"/>
    <w:rsid w:val="006474AA"/>
    <w:rsid w:val="006505C9"/>
    <w:rsid w:val="006507C3"/>
    <w:rsid w:val="00650B71"/>
    <w:rsid w:val="00650DC1"/>
    <w:rsid w:val="00650FE1"/>
    <w:rsid w:val="00651160"/>
    <w:rsid w:val="006520F7"/>
    <w:rsid w:val="00652B72"/>
    <w:rsid w:val="0065467D"/>
    <w:rsid w:val="006547C7"/>
    <w:rsid w:val="00656873"/>
    <w:rsid w:val="006568BC"/>
    <w:rsid w:val="00656AE1"/>
    <w:rsid w:val="00657B30"/>
    <w:rsid w:val="00660246"/>
    <w:rsid w:val="00660E43"/>
    <w:rsid w:val="00661033"/>
    <w:rsid w:val="00661433"/>
    <w:rsid w:val="006614B4"/>
    <w:rsid w:val="00661B39"/>
    <w:rsid w:val="00661B84"/>
    <w:rsid w:val="00661DBC"/>
    <w:rsid w:val="00662336"/>
    <w:rsid w:val="00662586"/>
    <w:rsid w:val="00662801"/>
    <w:rsid w:val="00662846"/>
    <w:rsid w:val="00662E0E"/>
    <w:rsid w:val="006631BE"/>
    <w:rsid w:val="006632E4"/>
    <w:rsid w:val="00663D1C"/>
    <w:rsid w:val="00664143"/>
    <w:rsid w:val="00664434"/>
    <w:rsid w:val="00664636"/>
    <w:rsid w:val="00665029"/>
    <w:rsid w:val="00665042"/>
    <w:rsid w:val="006651E9"/>
    <w:rsid w:val="00665466"/>
    <w:rsid w:val="00665835"/>
    <w:rsid w:val="00666002"/>
    <w:rsid w:val="0066622F"/>
    <w:rsid w:val="0066724A"/>
    <w:rsid w:val="00667C20"/>
    <w:rsid w:val="006701F0"/>
    <w:rsid w:val="006708BC"/>
    <w:rsid w:val="00670CDC"/>
    <w:rsid w:val="00670D2A"/>
    <w:rsid w:val="00671357"/>
    <w:rsid w:val="00671522"/>
    <w:rsid w:val="006716DD"/>
    <w:rsid w:val="00671B96"/>
    <w:rsid w:val="00673009"/>
    <w:rsid w:val="00673B95"/>
    <w:rsid w:val="00674A9E"/>
    <w:rsid w:val="00674CF3"/>
    <w:rsid w:val="00674EBE"/>
    <w:rsid w:val="00677D0E"/>
    <w:rsid w:val="00677F56"/>
    <w:rsid w:val="00680022"/>
    <w:rsid w:val="00680159"/>
    <w:rsid w:val="00680738"/>
    <w:rsid w:val="00680A47"/>
    <w:rsid w:val="00681CE4"/>
    <w:rsid w:val="00682A63"/>
    <w:rsid w:val="00682C69"/>
    <w:rsid w:val="00683A58"/>
    <w:rsid w:val="006841EF"/>
    <w:rsid w:val="00684C7B"/>
    <w:rsid w:val="0068507F"/>
    <w:rsid w:val="006850A9"/>
    <w:rsid w:val="00685136"/>
    <w:rsid w:val="006857FF"/>
    <w:rsid w:val="00685C78"/>
    <w:rsid w:val="00685F51"/>
    <w:rsid w:val="006867F8"/>
    <w:rsid w:val="00686C9F"/>
    <w:rsid w:val="00687B1D"/>
    <w:rsid w:val="006903AC"/>
    <w:rsid w:val="006904AB"/>
    <w:rsid w:val="00690E68"/>
    <w:rsid w:val="00691862"/>
    <w:rsid w:val="00693470"/>
    <w:rsid w:val="00693EA8"/>
    <w:rsid w:val="00693ED0"/>
    <w:rsid w:val="00694109"/>
    <w:rsid w:val="00694BCA"/>
    <w:rsid w:val="00695150"/>
    <w:rsid w:val="00695470"/>
    <w:rsid w:val="00695862"/>
    <w:rsid w:val="00695D4E"/>
    <w:rsid w:val="006963D9"/>
    <w:rsid w:val="00696E9A"/>
    <w:rsid w:val="00696EFE"/>
    <w:rsid w:val="006974A0"/>
    <w:rsid w:val="0069753B"/>
    <w:rsid w:val="006977CD"/>
    <w:rsid w:val="00697B00"/>
    <w:rsid w:val="006A0005"/>
    <w:rsid w:val="006A0031"/>
    <w:rsid w:val="006A02BC"/>
    <w:rsid w:val="006A061E"/>
    <w:rsid w:val="006A1633"/>
    <w:rsid w:val="006A2A0E"/>
    <w:rsid w:val="006A2C79"/>
    <w:rsid w:val="006A3115"/>
    <w:rsid w:val="006A3F80"/>
    <w:rsid w:val="006A4019"/>
    <w:rsid w:val="006A418C"/>
    <w:rsid w:val="006A4420"/>
    <w:rsid w:val="006A4A67"/>
    <w:rsid w:val="006A696E"/>
    <w:rsid w:val="006A78EF"/>
    <w:rsid w:val="006A7D26"/>
    <w:rsid w:val="006B03B7"/>
    <w:rsid w:val="006B0BAA"/>
    <w:rsid w:val="006B13A3"/>
    <w:rsid w:val="006B1B6E"/>
    <w:rsid w:val="006B285F"/>
    <w:rsid w:val="006B29CD"/>
    <w:rsid w:val="006B2A0F"/>
    <w:rsid w:val="006B3243"/>
    <w:rsid w:val="006B3B2F"/>
    <w:rsid w:val="006B3E47"/>
    <w:rsid w:val="006B47CB"/>
    <w:rsid w:val="006B4981"/>
    <w:rsid w:val="006B5868"/>
    <w:rsid w:val="006B5B24"/>
    <w:rsid w:val="006B63E6"/>
    <w:rsid w:val="006B64A2"/>
    <w:rsid w:val="006B6A0E"/>
    <w:rsid w:val="006B6B93"/>
    <w:rsid w:val="006B7D8E"/>
    <w:rsid w:val="006C0543"/>
    <w:rsid w:val="006C1039"/>
    <w:rsid w:val="006C1212"/>
    <w:rsid w:val="006C3216"/>
    <w:rsid w:val="006C335B"/>
    <w:rsid w:val="006C425A"/>
    <w:rsid w:val="006C55AB"/>
    <w:rsid w:val="006C5D6E"/>
    <w:rsid w:val="006C650B"/>
    <w:rsid w:val="006C70D6"/>
    <w:rsid w:val="006C7478"/>
    <w:rsid w:val="006D00B7"/>
    <w:rsid w:val="006D02BD"/>
    <w:rsid w:val="006D0399"/>
    <w:rsid w:val="006D276B"/>
    <w:rsid w:val="006D2C3A"/>
    <w:rsid w:val="006D2F42"/>
    <w:rsid w:val="006D32DD"/>
    <w:rsid w:val="006D35D1"/>
    <w:rsid w:val="006D3C92"/>
    <w:rsid w:val="006D404B"/>
    <w:rsid w:val="006D4641"/>
    <w:rsid w:val="006D53D9"/>
    <w:rsid w:val="006D6535"/>
    <w:rsid w:val="006D675A"/>
    <w:rsid w:val="006D6AB5"/>
    <w:rsid w:val="006D6D43"/>
    <w:rsid w:val="006D7716"/>
    <w:rsid w:val="006D7926"/>
    <w:rsid w:val="006D7D9A"/>
    <w:rsid w:val="006E066D"/>
    <w:rsid w:val="006E0E91"/>
    <w:rsid w:val="006E0FF7"/>
    <w:rsid w:val="006E1319"/>
    <w:rsid w:val="006E16D9"/>
    <w:rsid w:val="006E18C0"/>
    <w:rsid w:val="006E191C"/>
    <w:rsid w:val="006E1BE9"/>
    <w:rsid w:val="006E1C38"/>
    <w:rsid w:val="006E22FC"/>
    <w:rsid w:val="006E2FC8"/>
    <w:rsid w:val="006E31B5"/>
    <w:rsid w:val="006E3614"/>
    <w:rsid w:val="006E39AF"/>
    <w:rsid w:val="006E3EBF"/>
    <w:rsid w:val="006E47B9"/>
    <w:rsid w:val="006E4FE2"/>
    <w:rsid w:val="006E5374"/>
    <w:rsid w:val="006E5A3A"/>
    <w:rsid w:val="006E5B97"/>
    <w:rsid w:val="006E5F36"/>
    <w:rsid w:val="006E666A"/>
    <w:rsid w:val="006E6699"/>
    <w:rsid w:val="006E6D27"/>
    <w:rsid w:val="006E72E0"/>
    <w:rsid w:val="006E778D"/>
    <w:rsid w:val="006E7A65"/>
    <w:rsid w:val="006F0512"/>
    <w:rsid w:val="006F092E"/>
    <w:rsid w:val="006F0F81"/>
    <w:rsid w:val="006F0FA6"/>
    <w:rsid w:val="006F1484"/>
    <w:rsid w:val="006F15D6"/>
    <w:rsid w:val="006F17D0"/>
    <w:rsid w:val="006F1C4D"/>
    <w:rsid w:val="006F1D96"/>
    <w:rsid w:val="006F20A1"/>
    <w:rsid w:val="006F214D"/>
    <w:rsid w:val="006F27DB"/>
    <w:rsid w:val="006F4132"/>
    <w:rsid w:val="006F41D6"/>
    <w:rsid w:val="006F428D"/>
    <w:rsid w:val="006F45B6"/>
    <w:rsid w:val="006F5287"/>
    <w:rsid w:val="006F5B9F"/>
    <w:rsid w:val="006F5BAA"/>
    <w:rsid w:val="006F5F0D"/>
    <w:rsid w:val="006F64C9"/>
    <w:rsid w:val="006F6627"/>
    <w:rsid w:val="006F7B69"/>
    <w:rsid w:val="006F7BF1"/>
    <w:rsid w:val="006F7F01"/>
    <w:rsid w:val="006F7FDB"/>
    <w:rsid w:val="00700211"/>
    <w:rsid w:val="007010A5"/>
    <w:rsid w:val="0070142A"/>
    <w:rsid w:val="0070170A"/>
    <w:rsid w:val="0070182C"/>
    <w:rsid w:val="00701AB0"/>
    <w:rsid w:val="00702790"/>
    <w:rsid w:val="00702FBF"/>
    <w:rsid w:val="00703816"/>
    <w:rsid w:val="00704190"/>
    <w:rsid w:val="0070434E"/>
    <w:rsid w:val="007045FB"/>
    <w:rsid w:val="00704979"/>
    <w:rsid w:val="007057DE"/>
    <w:rsid w:val="00705D56"/>
    <w:rsid w:val="00705E85"/>
    <w:rsid w:val="00705F7F"/>
    <w:rsid w:val="00707265"/>
    <w:rsid w:val="007073A7"/>
    <w:rsid w:val="00707509"/>
    <w:rsid w:val="00707888"/>
    <w:rsid w:val="00711B90"/>
    <w:rsid w:val="0071222B"/>
    <w:rsid w:val="0071245D"/>
    <w:rsid w:val="00712582"/>
    <w:rsid w:val="00712B7B"/>
    <w:rsid w:val="00712CF6"/>
    <w:rsid w:val="00712FE9"/>
    <w:rsid w:val="00713126"/>
    <w:rsid w:val="007133BD"/>
    <w:rsid w:val="00713ED4"/>
    <w:rsid w:val="007142B9"/>
    <w:rsid w:val="00714377"/>
    <w:rsid w:val="007145B9"/>
    <w:rsid w:val="0071461C"/>
    <w:rsid w:val="00715016"/>
    <w:rsid w:val="007159B4"/>
    <w:rsid w:val="00715B65"/>
    <w:rsid w:val="00715DC6"/>
    <w:rsid w:val="0071629C"/>
    <w:rsid w:val="00716637"/>
    <w:rsid w:val="00717677"/>
    <w:rsid w:val="00717BA4"/>
    <w:rsid w:val="00717F30"/>
    <w:rsid w:val="007200A4"/>
    <w:rsid w:val="0072040A"/>
    <w:rsid w:val="007205DC"/>
    <w:rsid w:val="0072062C"/>
    <w:rsid w:val="00720816"/>
    <w:rsid w:val="00720FBE"/>
    <w:rsid w:val="00721032"/>
    <w:rsid w:val="0072194E"/>
    <w:rsid w:val="007226C6"/>
    <w:rsid w:val="0072303B"/>
    <w:rsid w:val="007232E9"/>
    <w:rsid w:val="00723663"/>
    <w:rsid w:val="007237E3"/>
    <w:rsid w:val="007241D4"/>
    <w:rsid w:val="007247BF"/>
    <w:rsid w:val="00724ED5"/>
    <w:rsid w:val="007252C8"/>
    <w:rsid w:val="0072559B"/>
    <w:rsid w:val="00726477"/>
    <w:rsid w:val="007264EF"/>
    <w:rsid w:val="007265FB"/>
    <w:rsid w:val="00726D36"/>
    <w:rsid w:val="0073035E"/>
    <w:rsid w:val="007310E8"/>
    <w:rsid w:val="007313DC"/>
    <w:rsid w:val="0073199C"/>
    <w:rsid w:val="00731B63"/>
    <w:rsid w:val="00731C8F"/>
    <w:rsid w:val="00731E86"/>
    <w:rsid w:val="0073200C"/>
    <w:rsid w:val="0073217D"/>
    <w:rsid w:val="0073219E"/>
    <w:rsid w:val="00732652"/>
    <w:rsid w:val="0073277C"/>
    <w:rsid w:val="00732A4C"/>
    <w:rsid w:val="00733510"/>
    <w:rsid w:val="0073376E"/>
    <w:rsid w:val="00733C07"/>
    <w:rsid w:val="0073478C"/>
    <w:rsid w:val="00737885"/>
    <w:rsid w:val="00737F7D"/>
    <w:rsid w:val="00740182"/>
    <w:rsid w:val="00740891"/>
    <w:rsid w:val="007413EE"/>
    <w:rsid w:val="007415AE"/>
    <w:rsid w:val="00741DC8"/>
    <w:rsid w:val="00741EF4"/>
    <w:rsid w:val="00741FDC"/>
    <w:rsid w:val="00743057"/>
    <w:rsid w:val="007438FD"/>
    <w:rsid w:val="00743915"/>
    <w:rsid w:val="007439A2"/>
    <w:rsid w:val="00744281"/>
    <w:rsid w:val="00744347"/>
    <w:rsid w:val="0074614D"/>
    <w:rsid w:val="007464F5"/>
    <w:rsid w:val="0074718C"/>
    <w:rsid w:val="00747BE8"/>
    <w:rsid w:val="007509D9"/>
    <w:rsid w:val="00751BAC"/>
    <w:rsid w:val="00751DA9"/>
    <w:rsid w:val="00751DE9"/>
    <w:rsid w:val="00751E86"/>
    <w:rsid w:val="00751FCE"/>
    <w:rsid w:val="00752F51"/>
    <w:rsid w:val="00753E72"/>
    <w:rsid w:val="007543EC"/>
    <w:rsid w:val="00754737"/>
    <w:rsid w:val="0075545F"/>
    <w:rsid w:val="00755533"/>
    <w:rsid w:val="00755545"/>
    <w:rsid w:val="00755F33"/>
    <w:rsid w:val="007565A5"/>
    <w:rsid w:val="007566F3"/>
    <w:rsid w:val="007577F8"/>
    <w:rsid w:val="00757A8C"/>
    <w:rsid w:val="00757C77"/>
    <w:rsid w:val="00760A7A"/>
    <w:rsid w:val="00760AE0"/>
    <w:rsid w:val="00760E0B"/>
    <w:rsid w:val="0076174A"/>
    <w:rsid w:val="00762A81"/>
    <w:rsid w:val="00762DB4"/>
    <w:rsid w:val="00763837"/>
    <w:rsid w:val="00763AED"/>
    <w:rsid w:val="007652C6"/>
    <w:rsid w:val="00765951"/>
    <w:rsid w:val="00765CFB"/>
    <w:rsid w:val="00765E48"/>
    <w:rsid w:val="007660AF"/>
    <w:rsid w:val="00767CA5"/>
    <w:rsid w:val="00767F24"/>
    <w:rsid w:val="00770105"/>
    <w:rsid w:val="00770252"/>
    <w:rsid w:val="00771206"/>
    <w:rsid w:val="0077159A"/>
    <w:rsid w:val="0077272E"/>
    <w:rsid w:val="00772731"/>
    <w:rsid w:val="0077285E"/>
    <w:rsid w:val="0077320B"/>
    <w:rsid w:val="0077337A"/>
    <w:rsid w:val="00773E43"/>
    <w:rsid w:val="007747C6"/>
    <w:rsid w:val="00775C9F"/>
    <w:rsid w:val="00776B60"/>
    <w:rsid w:val="00777482"/>
    <w:rsid w:val="0077770D"/>
    <w:rsid w:val="00780143"/>
    <w:rsid w:val="007801B8"/>
    <w:rsid w:val="00780EB3"/>
    <w:rsid w:val="00781192"/>
    <w:rsid w:val="007819CA"/>
    <w:rsid w:val="00781B3D"/>
    <w:rsid w:val="00781D61"/>
    <w:rsid w:val="007828A7"/>
    <w:rsid w:val="00782A8B"/>
    <w:rsid w:val="00783161"/>
    <w:rsid w:val="007835DB"/>
    <w:rsid w:val="007836F2"/>
    <w:rsid w:val="00783B35"/>
    <w:rsid w:val="00783BA0"/>
    <w:rsid w:val="00783F2D"/>
    <w:rsid w:val="0078404A"/>
    <w:rsid w:val="007841F0"/>
    <w:rsid w:val="007843BE"/>
    <w:rsid w:val="00784A1B"/>
    <w:rsid w:val="007856D9"/>
    <w:rsid w:val="00785A02"/>
    <w:rsid w:val="00786160"/>
    <w:rsid w:val="007868FE"/>
    <w:rsid w:val="00787556"/>
    <w:rsid w:val="00790252"/>
    <w:rsid w:val="007905F7"/>
    <w:rsid w:val="00790CC8"/>
    <w:rsid w:val="0079177F"/>
    <w:rsid w:val="007917FD"/>
    <w:rsid w:val="0079247F"/>
    <w:rsid w:val="0079293F"/>
    <w:rsid w:val="007929BF"/>
    <w:rsid w:val="00793746"/>
    <w:rsid w:val="007947FD"/>
    <w:rsid w:val="00794BAF"/>
    <w:rsid w:val="00794F1B"/>
    <w:rsid w:val="007952A8"/>
    <w:rsid w:val="007958F2"/>
    <w:rsid w:val="00795D85"/>
    <w:rsid w:val="00795E64"/>
    <w:rsid w:val="00796108"/>
    <w:rsid w:val="00796421"/>
    <w:rsid w:val="007976B5"/>
    <w:rsid w:val="00797F2F"/>
    <w:rsid w:val="007A007C"/>
    <w:rsid w:val="007A0375"/>
    <w:rsid w:val="007A043A"/>
    <w:rsid w:val="007A07F4"/>
    <w:rsid w:val="007A0AFC"/>
    <w:rsid w:val="007A17B8"/>
    <w:rsid w:val="007A2B63"/>
    <w:rsid w:val="007A35BD"/>
    <w:rsid w:val="007A3B70"/>
    <w:rsid w:val="007A40C6"/>
    <w:rsid w:val="007A45EF"/>
    <w:rsid w:val="007A4AD9"/>
    <w:rsid w:val="007A4BC5"/>
    <w:rsid w:val="007A4E3F"/>
    <w:rsid w:val="007A57DD"/>
    <w:rsid w:val="007A5FAF"/>
    <w:rsid w:val="007A6972"/>
    <w:rsid w:val="007A7390"/>
    <w:rsid w:val="007A75E3"/>
    <w:rsid w:val="007A78B1"/>
    <w:rsid w:val="007A7E2A"/>
    <w:rsid w:val="007B018D"/>
    <w:rsid w:val="007B019A"/>
    <w:rsid w:val="007B0293"/>
    <w:rsid w:val="007B09B6"/>
    <w:rsid w:val="007B0F47"/>
    <w:rsid w:val="007B1049"/>
    <w:rsid w:val="007B146C"/>
    <w:rsid w:val="007B1573"/>
    <w:rsid w:val="007B1ACD"/>
    <w:rsid w:val="007B1C32"/>
    <w:rsid w:val="007B1DBF"/>
    <w:rsid w:val="007B1F4D"/>
    <w:rsid w:val="007B226D"/>
    <w:rsid w:val="007B23F8"/>
    <w:rsid w:val="007B26A3"/>
    <w:rsid w:val="007B2B4C"/>
    <w:rsid w:val="007B2D38"/>
    <w:rsid w:val="007B36AC"/>
    <w:rsid w:val="007B4777"/>
    <w:rsid w:val="007B4959"/>
    <w:rsid w:val="007B5903"/>
    <w:rsid w:val="007B60C6"/>
    <w:rsid w:val="007B6F9B"/>
    <w:rsid w:val="007B756B"/>
    <w:rsid w:val="007B7976"/>
    <w:rsid w:val="007B7B98"/>
    <w:rsid w:val="007C0079"/>
    <w:rsid w:val="007C007F"/>
    <w:rsid w:val="007C00F2"/>
    <w:rsid w:val="007C04ED"/>
    <w:rsid w:val="007C0AA9"/>
    <w:rsid w:val="007C1249"/>
    <w:rsid w:val="007C14D7"/>
    <w:rsid w:val="007C1B1E"/>
    <w:rsid w:val="007C1D95"/>
    <w:rsid w:val="007C268D"/>
    <w:rsid w:val="007C2719"/>
    <w:rsid w:val="007C2BDD"/>
    <w:rsid w:val="007C2E37"/>
    <w:rsid w:val="007C2FA4"/>
    <w:rsid w:val="007C385B"/>
    <w:rsid w:val="007C3E75"/>
    <w:rsid w:val="007C3FA5"/>
    <w:rsid w:val="007C42C3"/>
    <w:rsid w:val="007C4520"/>
    <w:rsid w:val="007C454A"/>
    <w:rsid w:val="007C47A6"/>
    <w:rsid w:val="007C497E"/>
    <w:rsid w:val="007C557C"/>
    <w:rsid w:val="007C5FD6"/>
    <w:rsid w:val="007C6043"/>
    <w:rsid w:val="007C643A"/>
    <w:rsid w:val="007C7008"/>
    <w:rsid w:val="007C7853"/>
    <w:rsid w:val="007D0570"/>
    <w:rsid w:val="007D065D"/>
    <w:rsid w:val="007D0C64"/>
    <w:rsid w:val="007D1093"/>
    <w:rsid w:val="007D130F"/>
    <w:rsid w:val="007D1503"/>
    <w:rsid w:val="007D1955"/>
    <w:rsid w:val="007D19F6"/>
    <w:rsid w:val="007D1FBE"/>
    <w:rsid w:val="007D2E95"/>
    <w:rsid w:val="007D3BAF"/>
    <w:rsid w:val="007D4252"/>
    <w:rsid w:val="007D50CF"/>
    <w:rsid w:val="007D5401"/>
    <w:rsid w:val="007D60C9"/>
    <w:rsid w:val="007D6514"/>
    <w:rsid w:val="007D693D"/>
    <w:rsid w:val="007D6A8C"/>
    <w:rsid w:val="007D6A9A"/>
    <w:rsid w:val="007D6E54"/>
    <w:rsid w:val="007D6E86"/>
    <w:rsid w:val="007D7177"/>
    <w:rsid w:val="007E0A8F"/>
    <w:rsid w:val="007E13C3"/>
    <w:rsid w:val="007E1543"/>
    <w:rsid w:val="007E1FA8"/>
    <w:rsid w:val="007E28E7"/>
    <w:rsid w:val="007E2B96"/>
    <w:rsid w:val="007E3DBE"/>
    <w:rsid w:val="007E41EA"/>
    <w:rsid w:val="007E5BC5"/>
    <w:rsid w:val="007E5E54"/>
    <w:rsid w:val="007E637C"/>
    <w:rsid w:val="007E6548"/>
    <w:rsid w:val="007E6674"/>
    <w:rsid w:val="007E7C09"/>
    <w:rsid w:val="007F004E"/>
    <w:rsid w:val="007F02C5"/>
    <w:rsid w:val="007F069F"/>
    <w:rsid w:val="007F07AB"/>
    <w:rsid w:val="007F090A"/>
    <w:rsid w:val="007F1083"/>
    <w:rsid w:val="007F16C7"/>
    <w:rsid w:val="007F193E"/>
    <w:rsid w:val="007F2886"/>
    <w:rsid w:val="007F2966"/>
    <w:rsid w:val="007F2EDB"/>
    <w:rsid w:val="007F3F80"/>
    <w:rsid w:val="007F4182"/>
    <w:rsid w:val="007F4183"/>
    <w:rsid w:val="007F42C1"/>
    <w:rsid w:val="007F45BF"/>
    <w:rsid w:val="007F45E1"/>
    <w:rsid w:val="007F4B22"/>
    <w:rsid w:val="007F4EB5"/>
    <w:rsid w:val="007F56A4"/>
    <w:rsid w:val="007F5C29"/>
    <w:rsid w:val="007F5EFD"/>
    <w:rsid w:val="007F715E"/>
    <w:rsid w:val="007F7E4F"/>
    <w:rsid w:val="008000CA"/>
    <w:rsid w:val="00800B79"/>
    <w:rsid w:val="00800BBD"/>
    <w:rsid w:val="00801139"/>
    <w:rsid w:val="00801550"/>
    <w:rsid w:val="00801C7E"/>
    <w:rsid w:val="00801E42"/>
    <w:rsid w:val="00801F50"/>
    <w:rsid w:val="00802C2B"/>
    <w:rsid w:val="00803416"/>
    <w:rsid w:val="00804C14"/>
    <w:rsid w:val="0080532B"/>
    <w:rsid w:val="00805340"/>
    <w:rsid w:val="00805F30"/>
    <w:rsid w:val="00806330"/>
    <w:rsid w:val="008064B5"/>
    <w:rsid w:val="0080737A"/>
    <w:rsid w:val="00807E3E"/>
    <w:rsid w:val="00810D0B"/>
    <w:rsid w:val="008115FE"/>
    <w:rsid w:val="008116D3"/>
    <w:rsid w:val="008127F8"/>
    <w:rsid w:val="00812859"/>
    <w:rsid w:val="00812B82"/>
    <w:rsid w:val="00813E8E"/>
    <w:rsid w:val="00814191"/>
    <w:rsid w:val="00814271"/>
    <w:rsid w:val="00814591"/>
    <w:rsid w:val="00814778"/>
    <w:rsid w:val="00814D59"/>
    <w:rsid w:val="00814DF6"/>
    <w:rsid w:val="00815565"/>
    <w:rsid w:val="0081572B"/>
    <w:rsid w:val="00817528"/>
    <w:rsid w:val="00817628"/>
    <w:rsid w:val="00820B3E"/>
    <w:rsid w:val="008212F0"/>
    <w:rsid w:val="0082184A"/>
    <w:rsid w:val="0082240A"/>
    <w:rsid w:val="008229BD"/>
    <w:rsid w:val="00822EBB"/>
    <w:rsid w:val="00823842"/>
    <w:rsid w:val="00823D15"/>
    <w:rsid w:val="0082406C"/>
    <w:rsid w:val="0082437B"/>
    <w:rsid w:val="00824E51"/>
    <w:rsid w:val="008251A6"/>
    <w:rsid w:val="0082578C"/>
    <w:rsid w:val="00825807"/>
    <w:rsid w:val="00825A43"/>
    <w:rsid w:val="00825CD0"/>
    <w:rsid w:val="0082651E"/>
    <w:rsid w:val="00826859"/>
    <w:rsid w:val="00826DF1"/>
    <w:rsid w:val="00827719"/>
    <w:rsid w:val="0082795F"/>
    <w:rsid w:val="00827B81"/>
    <w:rsid w:val="008306A5"/>
    <w:rsid w:val="008307CD"/>
    <w:rsid w:val="0083138D"/>
    <w:rsid w:val="00831649"/>
    <w:rsid w:val="008319DE"/>
    <w:rsid w:val="00831BF5"/>
    <w:rsid w:val="00831CD6"/>
    <w:rsid w:val="008323D8"/>
    <w:rsid w:val="0083255F"/>
    <w:rsid w:val="00832612"/>
    <w:rsid w:val="008327D2"/>
    <w:rsid w:val="00832D97"/>
    <w:rsid w:val="0083300A"/>
    <w:rsid w:val="00833017"/>
    <w:rsid w:val="0083318C"/>
    <w:rsid w:val="00833AF4"/>
    <w:rsid w:val="00833EDB"/>
    <w:rsid w:val="008344B2"/>
    <w:rsid w:val="0083474F"/>
    <w:rsid w:val="00834AB9"/>
    <w:rsid w:val="00834C78"/>
    <w:rsid w:val="00834EC3"/>
    <w:rsid w:val="0083517D"/>
    <w:rsid w:val="00835CF9"/>
    <w:rsid w:val="00836232"/>
    <w:rsid w:val="008363DD"/>
    <w:rsid w:val="008370C1"/>
    <w:rsid w:val="008371AF"/>
    <w:rsid w:val="0083752F"/>
    <w:rsid w:val="008378A9"/>
    <w:rsid w:val="00840A7B"/>
    <w:rsid w:val="00840AD1"/>
    <w:rsid w:val="008411B5"/>
    <w:rsid w:val="00843363"/>
    <w:rsid w:val="00843ACF"/>
    <w:rsid w:val="0084459C"/>
    <w:rsid w:val="00844C58"/>
    <w:rsid w:val="0084514B"/>
    <w:rsid w:val="0084578A"/>
    <w:rsid w:val="008459B4"/>
    <w:rsid w:val="00845DEB"/>
    <w:rsid w:val="0084612A"/>
    <w:rsid w:val="008465DC"/>
    <w:rsid w:val="00846BA2"/>
    <w:rsid w:val="0085022E"/>
    <w:rsid w:val="008509C4"/>
    <w:rsid w:val="00851128"/>
    <w:rsid w:val="008513C1"/>
    <w:rsid w:val="008513DB"/>
    <w:rsid w:val="0085170E"/>
    <w:rsid w:val="00851EE9"/>
    <w:rsid w:val="00852608"/>
    <w:rsid w:val="00852DBF"/>
    <w:rsid w:val="00852E4B"/>
    <w:rsid w:val="00853750"/>
    <w:rsid w:val="00854968"/>
    <w:rsid w:val="00854B13"/>
    <w:rsid w:val="00855C51"/>
    <w:rsid w:val="008564A1"/>
    <w:rsid w:val="008571B9"/>
    <w:rsid w:val="00857F06"/>
    <w:rsid w:val="00860AE2"/>
    <w:rsid w:val="00861031"/>
    <w:rsid w:val="008615F0"/>
    <w:rsid w:val="00861AF0"/>
    <w:rsid w:val="00862029"/>
    <w:rsid w:val="00862890"/>
    <w:rsid w:val="00862983"/>
    <w:rsid w:val="00862D06"/>
    <w:rsid w:val="0086426C"/>
    <w:rsid w:val="00865794"/>
    <w:rsid w:val="00866763"/>
    <w:rsid w:val="00870CFA"/>
    <w:rsid w:val="008712D1"/>
    <w:rsid w:val="008715AF"/>
    <w:rsid w:val="008718A2"/>
    <w:rsid w:val="00871FEB"/>
    <w:rsid w:val="0087269F"/>
    <w:rsid w:val="00872CEC"/>
    <w:rsid w:val="00872F88"/>
    <w:rsid w:val="00873F8A"/>
    <w:rsid w:val="00874411"/>
    <w:rsid w:val="00874881"/>
    <w:rsid w:val="008748DA"/>
    <w:rsid w:val="00874A81"/>
    <w:rsid w:val="00874FB0"/>
    <w:rsid w:val="00875266"/>
    <w:rsid w:val="00875B50"/>
    <w:rsid w:val="00875C18"/>
    <w:rsid w:val="0087605A"/>
    <w:rsid w:val="00876174"/>
    <w:rsid w:val="008761A0"/>
    <w:rsid w:val="00876524"/>
    <w:rsid w:val="00876873"/>
    <w:rsid w:val="008772F2"/>
    <w:rsid w:val="008776DD"/>
    <w:rsid w:val="008777EB"/>
    <w:rsid w:val="00880B6D"/>
    <w:rsid w:val="0088228C"/>
    <w:rsid w:val="0088246F"/>
    <w:rsid w:val="00882493"/>
    <w:rsid w:val="0088265C"/>
    <w:rsid w:val="00882C30"/>
    <w:rsid w:val="00882FC3"/>
    <w:rsid w:val="00883015"/>
    <w:rsid w:val="008838DF"/>
    <w:rsid w:val="00883E16"/>
    <w:rsid w:val="00883F77"/>
    <w:rsid w:val="00884947"/>
    <w:rsid w:val="008849A3"/>
    <w:rsid w:val="00884C60"/>
    <w:rsid w:val="00884E2A"/>
    <w:rsid w:val="008851A0"/>
    <w:rsid w:val="00885DAE"/>
    <w:rsid w:val="00886079"/>
    <w:rsid w:val="0088635D"/>
    <w:rsid w:val="00887426"/>
    <w:rsid w:val="00887983"/>
    <w:rsid w:val="00887DE6"/>
    <w:rsid w:val="00887E89"/>
    <w:rsid w:val="008901A7"/>
    <w:rsid w:val="008910AE"/>
    <w:rsid w:val="00891125"/>
    <w:rsid w:val="00891861"/>
    <w:rsid w:val="00891B8B"/>
    <w:rsid w:val="00891E71"/>
    <w:rsid w:val="00891F8A"/>
    <w:rsid w:val="00892221"/>
    <w:rsid w:val="00892350"/>
    <w:rsid w:val="00892502"/>
    <w:rsid w:val="00893A46"/>
    <w:rsid w:val="00895350"/>
    <w:rsid w:val="00895429"/>
    <w:rsid w:val="008959ED"/>
    <w:rsid w:val="008A0042"/>
    <w:rsid w:val="008A014A"/>
    <w:rsid w:val="008A03C2"/>
    <w:rsid w:val="008A12A1"/>
    <w:rsid w:val="008A1E60"/>
    <w:rsid w:val="008A39F6"/>
    <w:rsid w:val="008A41AC"/>
    <w:rsid w:val="008A42D5"/>
    <w:rsid w:val="008A4D65"/>
    <w:rsid w:val="008A62E7"/>
    <w:rsid w:val="008A6678"/>
    <w:rsid w:val="008A7B19"/>
    <w:rsid w:val="008B0D58"/>
    <w:rsid w:val="008B0D6A"/>
    <w:rsid w:val="008B1366"/>
    <w:rsid w:val="008B1CD2"/>
    <w:rsid w:val="008B20F7"/>
    <w:rsid w:val="008B31FE"/>
    <w:rsid w:val="008B3327"/>
    <w:rsid w:val="008B4B92"/>
    <w:rsid w:val="008B4EB5"/>
    <w:rsid w:val="008B508B"/>
    <w:rsid w:val="008B5952"/>
    <w:rsid w:val="008B59B3"/>
    <w:rsid w:val="008B5F6A"/>
    <w:rsid w:val="008B6273"/>
    <w:rsid w:val="008B63FF"/>
    <w:rsid w:val="008B64A9"/>
    <w:rsid w:val="008B6A8F"/>
    <w:rsid w:val="008B6B40"/>
    <w:rsid w:val="008B7686"/>
    <w:rsid w:val="008B78DF"/>
    <w:rsid w:val="008B7F2F"/>
    <w:rsid w:val="008B7FF6"/>
    <w:rsid w:val="008C0003"/>
    <w:rsid w:val="008C0548"/>
    <w:rsid w:val="008C11A3"/>
    <w:rsid w:val="008C11F0"/>
    <w:rsid w:val="008C1595"/>
    <w:rsid w:val="008C172A"/>
    <w:rsid w:val="008C180C"/>
    <w:rsid w:val="008C19C6"/>
    <w:rsid w:val="008C1D10"/>
    <w:rsid w:val="008C2B95"/>
    <w:rsid w:val="008C2D8A"/>
    <w:rsid w:val="008C2EC3"/>
    <w:rsid w:val="008C2EEE"/>
    <w:rsid w:val="008C310F"/>
    <w:rsid w:val="008C3381"/>
    <w:rsid w:val="008C3A55"/>
    <w:rsid w:val="008C43C4"/>
    <w:rsid w:val="008C4447"/>
    <w:rsid w:val="008C4905"/>
    <w:rsid w:val="008C4B45"/>
    <w:rsid w:val="008C4D11"/>
    <w:rsid w:val="008C4FE6"/>
    <w:rsid w:val="008C4FE9"/>
    <w:rsid w:val="008C6596"/>
    <w:rsid w:val="008C67FF"/>
    <w:rsid w:val="008C6CE8"/>
    <w:rsid w:val="008C7AFF"/>
    <w:rsid w:val="008C7F2C"/>
    <w:rsid w:val="008C7FC9"/>
    <w:rsid w:val="008D02D3"/>
    <w:rsid w:val="008D0437"/>
    <w:rsid w:val="008D048E"/>
    <w:rsid w:val="008D0E42"/>
    <w:rsid w:val="008D0F98"/>
    <w:rsid w:val="008D0FC2"/>
    <w:rsid w:val="008D1285"/>
    <w:rsid w:val="008D1326"/>
    <w:rsid w:val="008D14C6"/>
    <w:rsid w:val="008D204B"/>
    <w:rsid w:val="008D27E1"/>
    <w:rsid w:val="008D2CFE"/>
    <w:rsid w:val="008D3588"/>
    <w:rsid w:val="008D44BD"/>
    <w:rsid w:val="008D54BD"/>
    <w:rsid w:val="008D563A"/>
    <w:rsid w:val="008D5657"/>
    <w:rsid w:val="008D5BD0"/>
    <w:rsid w:val="008D5E7A"/>
    <w:rsid w:val="008D60F5"/>
    <w:rsid w:val="008D63BC"/>
    <w:rsid w:val="008D687E"/>
    <w:rsid w:val="008D6B7F"/>
    <w:rsid w:val="008D7075"/>
    <w:rsid w:val="008E0023"/>
    <w:rsid w:val="008E0BF6"/>
    <w:rsid w:val="008E19A6"/>
    <w:rsid w:val="008E20D1"/>
    <w:rsid w:val="008E23A8"/>
    <w:rsid w:val="008E2747"/>
    <w:rsid w:val="008E2790"/>
    <w:rsid w:val="008E27E1"/>
    <w:rsid w:val="008E32BA"/>
    <w:rsid w:val="008E41AA"/>
    <w:rsid w:val="008E4430"/>
    <w:rsid w:val="008E4620"/>
    <w:rsid w:val="008E501E"/>
    <w:rsid w:val="008E5D09"/>
    <w:rsid w:val="008E6A19"/>
    <w:rsid w:val="008E75EF"/>
    <w:rsid w:val="008E7C1E"/>
    <w:rsid w:val="008E7C5F"/>
    <w:rsid w:val="008F12B0"/>
    <w:rsid w:val="008F14B3"/>
    <w:rsid w:val="008F2A15"/>
    <w:rsid w:val="008F2CC6"/>
    <w:rsid w:val="008F2E9E"/>
    <w:rsid w:val="008F3246"/>
    <w:rsid w:val="008F3548"/>
    <w:rsid w:val="008F35EB"/>
    <w:rsid w:val="008F364B"/>
    <w:rsid w:val="008F36C2"/>
    <w:rsid w:val="008F37A7"/>
    <w:rsid w:val="008F386D"/>
    <w:rsid w:val="008F3A77"/>
    <w:rsid w:val="008F4364"/>
    <w:rsid w:val="008F5A90"/>
    <w:rsid w:val="008F5F7F"/>
    <w:rsid w:val="008F69E4"/>
    <w:rsid w:val="008F7737"/>
    <w:rsid w:val="00900654"/>
    <w:rsid w:val="00900A51"/>
    <w:rsid w:val="00900F5C"/>
    <w:rsid w:val="009014FE"/>
    <w:rsid w:val="00901DD5"/>
    <w:rsid w:val="009026BD"/>
    <w:rsid w:val="009035E1"/>
    <w:rsid w:val="0090368E"/>
    <w:rsid w:val="0090449A"/>
    <w:rsid w:val="009046E3"/>
    <w:rsid w:val="009056E3"/>
    <w:rsid w:val="00905A09"/>
    <w:rsid w:val="00905B3B"/>
    <w:rsid w:val="00905F91"/>
    <w:rsid w:val="0090630B"/>
    <w:rsid w:val="009066B1"/>
    <w:rsid w:val="00906A25"/>
    <w:rsid w:val="00907025"/>
    <w:rsid w:val="009071D0"/>
    <w:rsid w:val="00907527"/>
    <w:rsid w:val="00907816"/>
    <w:rsid w:val="0091013E"/>
    <w:rsid w:val="0091099D"/>
    <w:rsid w:val="00910F71"/>
    <w:rsid w:val="009114FA"/>
    <w:rsid w:val="00911BA1"/>
    <w:rsid w:val="0091273D"/>
    <w:rsid w:val="00912E94"/>
    <w:rsid w:val="009142FA"/>
    <w:rsid w:val="009144C1"/>
    <w:rsid w:val="00914F52"/>
    <w:rsid w:val="009163B2"/>
    <w:rsid w:val="009167F1"/>
    <w:rsid w:val="00917C25"/>
    <w:rsid w:val="00917D12"/>
    <w:rsid w:val="00917D67"/>
    <w:rsid w:val="00917DF2"/>
    <w:rsid w:val="009208C9"/>
    <w:rsid w:val="00920D0B"/>
    <w:rsid w:val="00920E98"/>
    <w:rsid w:val="00921E90"/>
    <w:rsid w:val="00921F6B"/>
    <w:rsid w:val="0092217C"/>
    <w:rsid w:val="009224E2"/>
    <w:rsid w:val="009225B2"/>
    <w:rsid w:val="0092294A"/>
    <w:rsid w:val="00922D36"/>
    <w:rsid w:val="00922E82"/>
    <w:rsid w:val="009237AF"/>
    <w:rsid w:val="00923B45"/>
    <w:rsid w:val="0092446B"/>
    <w:rsid w:val="00924C0A"/>
    <w:rsid w:val="00925553"/>
    <w:rsid w:val="00925CBF"/>
    <w:rsid w:val="00926C5D"/>
    <w:rsid w:val="00926D26"/>
    <w:rsid w:val="0092705C"/>
    <w:rsid w:val="00927304"/>
    <w:rsid w:val="0092744A"/>
    <w:rsid w:val="0092772F"/>
    <w:rsid w:val="00927B03"/>
    <w:rsid w:val="009311C9"/>
    <w:rsid w:val="0093205B"/>
    <w:rsid w:val="00932273"/>
    <w:rsid w:val="00932691"/>
    <w:rsid w:val="0093300A"/>
    <w:rsid w:val="00933122"/>
    <w:rsid w:val="00933A88"/>
    <w:rsid w:val="00933CDB"/>
    <w:rsid w:val="009348C0"/>
    <w:rsid w:val="00935140"/>
    <w:rsid w:val="009361CB"/>
    <w:rsid w:val="0093728B"/>
    <w:rsid w:val="009372FE"/>
    <w:rsid w:val="009375B2"/>
    <w:rsid w:val="009375C9"/>
    <w:rsid w:val="00937BC5"/>
    <w:rsid w:val="0094042E"/>
    <w:rsid w:val="00940E22"/>
    <w:rsid w:val="0094107C"/>
    <w:rsid w:val="009411CA"/>
    <w:rsid w:val="00941359"/>
    <w:rsid w:val="009415F5"/>
    <w:rsid w:val="00941830"/>
    <w:rsid w:val="00941ED1"/>
    <w:rsid w:val="00942504"/>
    <w:rsid w:val="00942794"/>
    <w:rsid w:val="009429B1"/>
    <w:rsid w:val="00942ECD"/>
    <w:rsid w:val="00943519"/>
    <w:rsid w:val="00943FFB"/>
    <w:rsid w:val="0094484C"/>
    <w:rsid w:val="009457D7"/>
    <w:rsid w:val="009460D9"/>
    <w:rsid w:val="00946434"/>
    <w:rsid w:val="0094667C"/>
    <w:rsid w:val="00946769"/>
    <w:rsid w:val="0094691E"/>
    <w:rsid w:val="00946ED1"/>
    <w:rsid w:val="00946F7B"/>
    <w:rsid w:val="00947ABD"/>
    <w:rsid w:val="0095059B"/>
    <w:rsid w:val="00950827"/>
    <w:rsid w:val="00951151"/>
    <w:rsid w:val="00951252"/>
    <w:rsid w:val="0095198B"/>
    <w:rsid w:val="00952D35"/>
    <w:rsid w:val="0095331C"/>
    <w:rsid w:val="009537E4"/>
    <w:rsid w:val="009542B5"/>
    <w:rsid w:val="009543E6"/>
    <w:rsid w:val="009547CA"/>
    <w:rsid w:val="00954DBB"/>
    <w:rsid w:val="009552E9"/>
    <w:rsid w:val="00955520"/>
    <w:rsid w:val="00955CD9"/>
    <w:rsid w:val="00955F54"/>
    <w:rsid w:val="009606F5"/>
    <w:rsid w:val="00960C56"/>
    <w:rsid w:val="00961105"/>
    <w:rsid w:val="009618AC"/>
    <w:rsid w:val="00961BA5"/>
    <w:rsid w:val="00961E4D"/>
    <w:rsid w:val="009627FC"/>
    <w:rsid w:val="00963179"/>
    <w:rsid w:val="0096337D"/>
    <w:rsid w:val="0096415B"/>
    <w:rsid w:val="00964862"/>
    <w:rsid w:val="00964F7C"/>
    <w:rsid w:val="00965895"/>
    <w:rsid w:val="009661F6"/>
    <w:rsid w:val="009663A7"/>
    <w:rsid w:val="009663BC"/>
    <w:rsid w:val="009668A0"/>
    <w:rsid w:val="00966B11"/>
    <w:rsid w:val="009672F3"/>
    <w:rsid w:val="00967436"/>
    <w:rsid w:val="00967928"/>
    <w:rsid w:val="00967E28"/>
    <w:rsid w:val="009700C5"/>
    <w:rsid w:val="009702BC"/>
    <w:rsid w:val="00970A44"/>
    <w:rsid w:val="00970F2B"/>
    <w:rsid w:val="00970FD9"/>
    <w:rsid w:val="0097156E"/>
    <w:rsid w:val="00971EF8"/>
    <w:rsid w:val="0097351E"/>
    <w:rsid w:val="009737B6"/>
    <w:rsid w:val="009749CA"/>
    <w:rsid w:val="00974A95"/>
    <w:rsid w:val="00974DEF"/>
    <w:rsid w:val="009751AC"/>
    <w:rsid w:val="009757DE"/>
    <w:rsid w:val="00975B11"/>
    <w:rsid w:val="00976031"/>
    <w:rsid w:val="0097604D"/>
    <w:rsid w:val="009760BE"/>
    <w:rsid w:val="00976752"/>
    <w:rsid w:val="00976813"/>
    <w:rsid w:val="00977EA5"/>
    <w:rsid w:val="00980A0A"/>
    <w:rsid w:val="00981170"/>
    <w:rsid w:val="009812C4"/>
    <w:rsid w:val="009819A2"/>
    <w:rsid w:val="00981F18"/>
    <w:rsid w:val="00981FE1"/>
    <w:rsid w:val="00983C9F"/>
    <w:rsid w:val="009840C5"/>
    <w:rsid w:val="00984371"/>
    <w:rsid w:val="009843DC"/>
    <w:rsid w:val="0098464F"/>
    <w:rsid w:val="0098617C"/>
    <w:rsid w:val="00986300"/>
    <w:rsid w:val="00987099"/>
    <w:rsid w:val="00987213"/>
    <w:rsid w:val="0098752D"/>
    <w:rsid w:val="00987B8C"/>
    <w:rsid w:val="0099179E"/>
    <w:rsid w:val="009919C5"/>
    <w:rsid w:val="00991E4D"/>
    <w:rsid w:val="00992361"/>
    <w:rsid w:val="0099253B"/>
    <w:rsid w:val="00992D58"/>
    <w:rsid w:val="00993C1C"/>
    <w:rsid w:val="0099401C"/>
    <w:rsid w:val="00994721"/>
    <w:rsid w:val="00994C5D"/>
    <w:rsid w:val="00994F30"/>
    <w:rsid w:val="00994FC8"/>
    <w:rsid w:val="0099544D"/>
    <w:rsid w:val="00996790"/>
    <w:rsid w:val="009968F8"/>
    <w:rsid w:val="00996CDE"/>
    <w:rsid w:val="00996FAB"/>
    <w:rsid w:val="00997B2A"/>
    <w:rsid w:val="00997C9B"/>
    <w:rsid w:val="00997E47"/>
    <w:rsid w:val="009A19D3"/>
    <w:rsid w:val="009A1A5F"/>
    <w:rsid w:val="009A1B04"/>
    <w:rsid w:val="009A2438"/>
    <w:rsid w:val="009A28B8"/>
    <w:rsid w:val="009A2A28"/>
    <w:rsid w:val="009A2A7F"/>
    <w:rsid w:val="009A31C0"/>
    <w:rsid w:val="009A3391"/>
    <w:rsid w:val="009A34CE"/>
    <w:rsid w:val="009A3AD6"/>
    <w:rsid w:val="009A4BCF"/>
    <w:rsid w:val="009A52C5"/>
    <w:rsid w:val="009A5AED"/>
    <w:rsid w:val="009A5C2E"/>
    <w:rsid w:val="009A5CCE"/>
    <w:rsid w:val="009A5D4D"/>
    <w:rsid w:val="009A6061"/>
    <w:rsid w:val="009A647C"/>
    <w:rsid w:val="009A7DE6"/>
    <w:rsid w:val="009B1077"/>
    <w:rsid w:val="009B12CA"/>
    <w:rsid w:val="009B169C"/>
    <w:rsid w:val="009B1AB7"/>
    <w:rsid w:val="009B1D48"/>
    <w:rsid w:val="009B3ACA"/>
    <w:rsid w:val="009B3C54"/>
    <w:rsid w:val="009B4992"/>
    <w:rsid w:val="009B5FB6"/>
    <w:rsid w:val="009B63F9"/>
    <w:rsid w:val="009B6457"/>
    <w:rsid w:val="009B6541"/>
    <w:rsid w:val="009B6555"/>
    <w:rsid w:val="009B67D3"/>
    <w:rsid w:val="009B6989"/>
    <w:rsid w:val="009B6A66"/>
    <w:rsid w:val="009B7950"/>
    <w:rsid w:val="009B7F82"/>
    <w:rsid w:val="009C0165"/>
    <w:rsid w:val="009C0AD7"/>
    <w:rsid w:val="009C0CD5"/>
    <w:rsid w:val="009C0F2D"/>
    <w:rsid w:val="009C1715"/>
    <w:rsid w:val="009C21EC"/>
    <w:rsid w:val="009C2461"/>
    <w:rsid w:val="009C246A"/>
    <w:rsid w:val="009C303A"/>
    <w:rsid w:val="009C35C5"/>
    <w:rsid w:val="009C4592"/>
    <w:rsid w:val="009C4C50"/>
    <w:rsid w:val="009C4E1F"/>
    <w:rsid w:val="009C5395"/>
    <w:rsid w:val="009C5768"/>
    <w:rsid w:val="009C65C7"/>
    <w:rsid w:val="009D05EB"/>
    <w:rsid w:val="009D0F12"/>
    <w:rsid w:val="009D1016"/>
    <w:rsid w:val="009D16A3"/>
    <w:rsid w:val="009D1918"/>
    <w:rsid w:val="009D1AA4"/>
    <w:rsid w:val="009D1F8F"/>
    <w:rsid w:val="009D2D00"/>
    <w:rsid w:val="009D3065"/>
    <w:rsid w:val="009D3755"/>
    <w:rsid w:val="009D4B75"/>
    <w:rsid w:val="009D4E93"/>
    <w:rsid w:val="009D6315"/>
    <w:rsid w:val="009D653E"/>
    <w:rsid w:val="009D7949"/>
    <w:rsid w:val="009D79CB"/>
    <w:rsid w:val="009E0BB7"/>
    <w:rsid w:val="009E0BE0"/>
    <w:rsid w:val="009E10D8"/>
    <w:rsid w:val="009E13C1"/>
    <w:rsid w:val="009E145E"/>
    <w:rsid w:val="009E199E"/>
    <w:rsid w:val="009E1AE6"/>
    <w:rsid w:val="009E21A4"/>
    <w:rsid w:val="009E225C"/>
    <w:rsid w:val="009E2FB8"/>
    <w:rsid w:val="009E30A6"/>
    <w:rsid w:val="009E382B"/>
    <w:rsid w:val="009E4981"/>
    <w:rsid w:val="009E5006"/>
    <w:rsid w:val="009E5142"/>
    <w:rsid w:val="009E5742"/>
    <w:rsid w:val="009E6536"/>
    <w:rsid w:val="009E7744"/>
    <w:rsid w:val="009E792A"/>
    <w:rsid w:val="009E7C68"/>
    <w:rsid w:val="009E7F51"/>
    <w:rsid w:val="009E7FDA"/>
    <w:rsid w:val="009F009D"/>
    <w:rsid w:val="009F057A"/>
    <w:rsid w:val="009F165D"/>
    <w:rsid w:val="009F1805"/>
    <w:rsid w:val="009F1841"/>
    <w:rsid w:val="009F1896"/>
    <w:rsid w:val="009F1EAC"/>
    <w:rsid w:val="009F2616"/>
    <w:rsid w:val="009F26FD"/>
    <w:rsid w:val="009F2816"/>
    <w:rsid w:val="009F2B09"/>
    <w:rsid w:val="009F2CCD"/>
    <w:rsid w:val="009F30DB"/>
    <w:rsid w:val="009F3397"/>
    <w:rsid w:val="009F3442"/>
    <w:rsid w:val="009F3879"/>
    <w:rsid w:val="009F3CBF"/>
    <w:rsid w:val="009F41B7"/>
    <w:rsid w:val="009F4B29"/>
    <w:rsid w:val="009F538F"/>
    <w:rsid w:val="009F5DF8"/>
    <w:rsid w:val="009F61A1"/>
    <w:rsid w:val="009F7147"/>
    <w:rsid w:val="009F74A1"/>
    <w:rsid w:val="009F7EE3"/>
    <w:rsid w:val="00A0058A"/>
    <w:rsid w:val="00A0166A"/>
    <w:rsid w:val="00A01FDC"/>
    <w:rsid w:val="00A02361"/>
    <w:rsid w:val="00A02CD8"/>
    <w:rsid w:val="00A03328"/>
    <w:rsid w:val="00A04209"/>
    <w:rsid w:val="00A04284"/>
    <w:rsid w:val="00A0437F"/>
    <w:rsid w:val="00A04565"/>
    <w:rsid w:val="00A048AE"/>
    <w:rsid w:val="00A0518D"/>
    <w:rsid w:val="00A05564"/>
    <w:rsid w:val="00A055A8"/>
    <w:rsid w:val="00A058FD"/>
    <w:rsid w:val="00A0644B"/>
    <w:rsid w:val="00A06736"/>
    <w:rsid w:val="00A06825"/>
    <w:rsid w:val="00A0753B"/>
    <w:rsid w:val="00A07E33"/>
    <w:rsid w:val="00A10136"/>
    <w:rsid w:val="00A1034B"/>
    <w:rsid w:val="00A1053F"/>
    <w:rsid w:val="00A10545"/>
    <w:rsid w:val="00A11007"/>
    <w:rsid w:val="00A112E3"/>
    <w:rsid w:val="00A115A8"/>
    <w:rsid w:val="00A11CEE"/>
    <w:rsid w:val="00A12142"/>
    <w:rsid w:val="00A1232D"/>
    <w:rsid w:val="00A13220"/>
    <w:rsid w:val="00A13AF9"/>
    <w:rsid w:val="00A13B2E"/>
    <w:rsid w:val="00A14A6C"/>
    <w:rsid w:val="00A15E06"/>
    <w:rsid w:val="00A15E84"/>
    <w:rsid w:val="00A15F92"/>
    <w:rsid w:val="00A16240"/>
    <w:rsid w:val="00A16621"/>
    <w:rsid w:val="00A167E1"/>
    <w:rsid w:val="00A167EF"/>
    <w:rsid w:val="00A172BA"/>
    <w:rsid w:val="00A17A8F"/>
    <w:rsid w:val="00A17EA8"/>
    <w:rsid w:val="00A202AC"/>
    <w:rsid w:val="00A20C62"/>
    <w:rsid w:val="00A21E0F"/>
    <w:rsid w:val="00A21F68"/>
    <w:rsid w:val="00A220CD"/>
    <w:rsid w:val="00A221D6"/>
    <w:rsid w:val="00A222C7"/>
    <w:rsid w:val="00A22759"/>
    <w:rsid w:val="00A22F24"/>
    <w:rsid w:val="00A230B9"/>
    <w:rsid w:val="00A23DF4"/>
    <w:rsid w:val="00A23FF2"/>
    <w:rsid w:val="00A240D0"/>
    <w:rsid w:val="00A248CB"/>
    <w:rsid w:val="00A25117"/>
    <w:rsid w:val="00A2521B"/>
    <w:rsid w:val="00A25555"/>
    <w:rsid w:val="00A27D01"/>
    <w:rsid w:val="00A30291"/>
    <w:rsid w:val="00A30686"/>
    <w:rsid w:val="00A30F04"/>
    <w:rsid w:val="00A31CB8"/>
    <w:rsid w:val="00A32023"/>
    <w:rsid w:val="00A32B12"/>
    <w:rsid w:val="00A32EB9"/>
    <w:rsid w:val="00A33014"/>
    <w:rsid w:val="00A330D7"/>
    <w:rsid w:val="00A3331B"/>
    <w:rsid w:val="00A33805"/>
    <w:rsid w:val="00A338BA"/>
    <w:rsid w:val="00A33E30"/>
    <w:rsid w:val="00A34AA3"/>
    <w:rsid w:val="00A34E47"/>
    <w:rsid w:val="00A3588C"/>
    <w:rsid w:val="00A35962"/>
    <w:rsid w:val="00A36259"/>
    <w:rsid w:val="00A365B9"/>
    <w:rsid w:val="00A36D3C"/>
    <w:rsid w:val="00A36E1F"/>
    <w:rsid w:val="00A3729C"/>
    <w:rsid w:val="00A37A98"/>
    <w:rsid w:val="00A4048A"/>
    <w:rsid w:val="00A40683"/>
    <w:rsid w:val="00A40D73"/>
    <w:rsid w:val="00A4103E"/>
    <w:rsid w:val="00A42086"/>
    <w:rsid w:val="00A42812"/>
    <w:rsid w:val="00A431CE"/>
    <w:rsid w:val="00A4379A"/>
    <w:rsid w:val="00A43A64"/>
    <w:rsid w:val="00A43C56"/>
    <w:rsid w:val="00A43D13"/>
    <w:rsid w:val="00A43DFE"/>
    <w:rsid w:val="00A44521"/>
    <w:rsid w:val="00A445A9"/>
    <w:rsid w:val="00A44DBF"/>
    <w:rsid w:val="00A4530F"/>
    <w:rsid w:val="00A45352"/>
    <w:rsid w:val="00A45BC8"/>
    <w:rsid w:val="00A46052"/>
    <w:rsid w:val="00A462E8"/>
    <w:rsid w:val="00A46ED4"/>
    <w:rsid w:val="00A47207"/>
    <w:rsid w:val="00A4763F"/>
    <w:rsid w:val="00A47B43"/>
    <w:rsid w:val="00A51335"/>
    <w:rsid w:val="00A51486"/>
    <w:rsid w:val="00A51553"/>
    <w:rsid w:val="00A515E8"/>
    <w:rsid w:val="00A51EF0"/>
    <w:rsid w:val="00A52351"/>
    <w:rsid w:val="00A5306F"/>
    <w:rsid w:val="00A5366B"/>
    <w:rsid w:val="00A539C9"/>
    <w:rsid w:val="00A53E5B"/>
    <w:rsid w:val="00A54126"/>
    <w:rsid w:val="00A54130"/>
    <w:rsid w:val="00A542B1"/>
    <w:rsid w:val="00A5431F"/>
    <w:rsid w:val="00A54C85"/>
    <w:rsid w:val="00A55280"/>
    <w:rsid w:val="00A558A8"/>
    <w:rsid w:val="00A559C2"/>
    <w:rsid w:val="00A55AF3"/>
    <w:rsid w:val="00A56E26"/>
    <w:rsid w:val="00A5717B"/>
    <w:rsid w:val="00A572B6"/>
    <w:rsid w:val="00A57314"/>
    <w:rsid w:val="00A5732D"/>
    <w:rsid w:val="00A60148"/>
    <w:rsid w:val="00A602B5"/>
    <w:rsid w:val="00A603D4"/>
    <w:rsid w:val="00A60430"/>
    <w:rsid w:val="00A60524"/>
    <w:rsid w:val="00A60BFD"/>
    <w:rsid w:val="00A611BC"/>
    <w:rsid w:val="00A61394"/>
    <w:rsid w:val="00A6181E"/>
    <w:rsid w:val="00A61C10"/>
    <w:rsid w:val="00A61FBE"/>
    <w:rsid w:val="00A62163"/>
    <w:rsid w:val="00A629E1"/>
    <w:rsid w:val="00A62A87"/>
    <w:rsid w:val="00A633EC"/>
    <w:rsid w:val="00A634FD"/>
    <w:rsid w:val="00A63B24"/>
    <w:rsid w:val="00A642D2"/>
    <w:rsid w:val="00A64B16"/>
    <w:rsid w:val="00A65610"/>
    <w:rsid w:val="00A65E35"/>
    <w:rsid w:val="00A66464"/>
    <w:rsid w:val="00A66EC2"/>
    <w:rsid w:val="00A67017"/>
    <w:rsid w:val="00A678EC"/>
    <w:rsid w:val="00A70959"/>
    <w:rsid w:val="00A70CEF"/>
    <w:rsid w:val="00A715F8"/>
    <w:rsid w:val="00A71605"/>
    <w:rsid w:val="00A71F97"/>
    <w:rsid w:val="00A7244E"/>
    <w:rsid w:val="00A72A6E"/>
    <w:rsid w:val="00A72EE9"/>
    <w:rsid w:val="00A72F10"/>
    <w:rsid w:val="00A73470"/>
    <w:rsid w:val="00A7388C"/>
    <w:rsid w:val="00A7479B"/>
    <w:rsid w:val="00A74FAE"/>
    <w:rsid w:val="00A7509E"/>
    <w:rsid w:val="00A75369"/>
    <w:rsid w:val="00A755DF"/>
    <w:rsid w:val="00A75822"/>
    <w:rsid w:val="00A75A71"/>
    <w:rsid w:val="00A77011"/>
    <w:rsid w:val="00A77131"/>
    <w:rsid w:val="00A77E2D"/>
    <w:rsid w:val="00A80687"/>
    <w:rsid w:val="00A80843"/>
    <w:rsid w:val="00A81231"/>
    <w:rsid w:val="00A81ABF"/>
    <w:rsid w:val="00A82713"/>
    <w:rsid w:val="00A83385"/>
    <w:rsid w:val="00A8375B"/>
    <w:rsid w:val="00A83E49"/>
    <w:rsid w:val="00A83F40"/>
    <w:rsid w:val="00A83F96"/>
    <w:rsid w:val="00A84814"/>
    <w:rsid w:val="00A84BAD"/>
    <w:rsid w:val="00A85066"/>
    <w:rsid w:val="00A856EA"/>
    <w:rsid w:val="00A86CE0"/>
    <w:rsid w:val="00A86DCF"/>
    <w:rsid w:val="00A86FA2"/>
    <w:rsid w:val="00A870DE"/>
    <w:rsid w:val="00A87117"/>
    <w:rsid w:val="00A873D3"/>
    <w:rsid w:val="00A87A59"/>
    <w:rsid w:val="00A9060B"/>
    <w:rsid w:val="00A90EFC"/>
    <w:rsid w:val="00A91D82"/>
    <w:rsid w:val="00A92581"/>
    <w:rsid w:val="00A927BB"/>
    <w:rsid w:val="00A92FA7"/>
    <w:rsid w:val="00A93C15"/>
    <w:rsid w:val="00A954D7"/>
    <w:rsid w:val="00A9581F"/>
    <w:rsid w:val="00A95DD8"/>
    <w:rsid w:val="00A96394"/>
    <w:rsid w:val="00A96396"/>
    <w:rsid w:val="00A964E8"/>
    <w:rsid w:val="00A966A5"/>
    <w:rsid w:val="00A969E4"/>
    <w:rsid w:val="00A96CD7"/>
    <w:rsid w:val="00A9750F"/>
    <w:rsid w:val="00A97583"/>
    <w:rsid w:val="00A979BA"/>
    <w:rsid w:val="00A97B85"/>
    <w:rsid w:val="00A97C6E"/>
    <w:rsid w:val="00A97D6B"/>
    <w:rsid w:val="00AA04E2"/>
    <w:rsid w:val="00AA06DB"/>
    <w:rsid w:val="00AA11E3"/>
    <w:rsid w:val="00AA1B50"/>
    <w:rsid w:val="00AA1CDA"/>
    <w:rsid w:val="00AA26EE"/>
    <w:rsid w:val="00AA2900"/>
    <w:rsid w:val="00AA2C4C"/>
    <w:rsid w:val="00AA2DD7"/>
    <w:rsid w:val="00AA320D"/>
    <w:rsid w:val="00AA3920"/>
    <w:rsid w:val="00AA3A31"/>
    <w:rsid w:val="00AA436E"/>
    <w:rsid w:val="00AA4E4E"/>
    <w:rsid w:val="00AA51BA"/>
    <w:rsid w:val="00AA5815"/>
    <w:rsid w:val="00AA62FE"/>
    <w:rsid w:val="00AA66B2"/>
    <w:rsid w:val="00AA6861"/>
    <w:rsid w:val="00AA6916"/>
    <w:rsid w:val="00AA6AAB"/>
    <w:rsid w:val="00AA7DEF"/>
    <w:rsid w:val="00AB1764"/>
    <w:rsid w:val="00AB1843"/>
    <w:rsid w:val="00AB1B37"/>
    <w:rsid w:val="00AB26D2"/>
    <w:rsid w:val="00AB2790"/>
    <w:rsid w:val="00AB2E72"/>
    <w:rsid w:val="00AB310E"/>
    <w:rsid w:val="00AB382B"/>
    <w:rsid w:val="00AB39A4"/>
    <w:rsid w:val="00AB3DC3"/>
    <w:rsid w:val="00AB4468"/>
    <w:rsid w:val="00AB463B"/>
    <w:rsid w:val="00AB497E"/>
    <w:rsid w:val="00AB5972"/>
    <w:rsid w:val="00AB5E5F"/>
    <w:rsid w:val="00AB6F7F"/>
    <w:rsid w:val="00AB77F7"/>
    <w:rsid w:val="00AB7C90"/>
    <w:rsid w:val="00AB7ED6"/>
    <w:rsid w:val="00AC0888"/>
    <w:rsid w:val="00AC0E6B"/>
    <w:rsid w:val="00AC24CA"/>
    <w:rsid w:val="00AC29AC"/>
    <w:rsid w:val="00AC2A51"/>
    <w:rsid w:val="00AC301D"/>
    <w:rsid w:val="00AC3BFF"/>
    <w:rsid w:val="00AC417C"/>
    <w:rsid w:val="00AC45C0"/>
    <w:rsid w:val="00AC4E9E"/>
    <w:rsid w:val="00AC6669"/>
    <w:rsid w:val="00AC67C8"/>
    <w:rsid w:val="00AC698E"/>
    <w:rsid w:val="00AC70F2"/>
    <w:rsid w:val="00AC7C50"/>
    <w:rsid w:val="00AD02E8"/>
    <w:rsid w:val="00AD0B57"/>
    <w:rsid w:val="00AD0F6F"/>
    <w:rsid w:val="00AD11FC"/>
    <w:rsid w:val="00AD193F"/>
    <w:rsid w:val="00AD1BE3"/>
    <w:rsid w:val="00AD1C7B"/>
    <w:rsid w:val="00AD2BDC"/>
    <w:rsid w:val="00AD316A"/>
    <w:rsid w:val="00AD33EA"/>
    <w:rsid w:val="00AD3A84"/>
    <w:rsid w:val="00AD3CDB"/>
    <w:rsid w:val="00AD43DB"/>
    <w:rsid w:val="00AD48AE"/>
    <w:rsid w:val="00AD5931"/>
    <w:rsid w:val="00AD5A7E"/>
    <w:rsid w:val="00AD5AE4"/>
    <w:rsid w:val="00AD6A0E"/>
    <w:rsid w:val="00AD7321"/>
    <w:rsid w:val="00AE0C14"/>
    <w:rsid w:val="00AE19E1"/>
    <w:rsid w:val="00AE1FB3"/>
    <w:rsid w:val="00AE27FC"/>
    <w:rsid w:val="00AE347D"/>
    <w:rsid w:val="00AE3749"/>
    <w:rsid w:val="00AE3B06"/>
    <w:rsid w:val="00AE4021"/>
    <w:rsid w:val="00AE4364"/>
    <w:rsid w:val="00AE444B"/>
    <w:rsid w:val="00AE46F8"/>
    <w:rsid w:val="00AE4E6A"/>
    <w:rsid w:val="00AE67C3"/>
    <w:rsid w:val="00AE6B5F"/>
    <w:rsid w:val="00AE6E07"/>
    <w:rsid w:val="00AE7C88"/>
    <w:rsid w:val="00AF01DD"/>
    <w:rsid w:val="00AF04EB"/>
    <w:rsid w:val="00AF199A"/>
    <w:rsid w:val="00AF1FC3"/>
    <w:rsid w:val="00AF2226"/>
    <w:rsid w:val="00AF2593"/>
    <w:rsid w:val="00AF31E6"/>
    <w:rsid w:val="00AF3693"/>
    <w:rsid w:val="00AF3891"/>
    <w:rsid w:val="00AF3B0C"/>
    <w:rsid w:val="00AF3B6F"/>
    <w:rsid w:val="00AF42FC"/>
    <w:rsid w:val="00AF4FFC"/>
    <w:rsid w:val="00AF540D"/>
    <w:rsid w:val="00AF5644"/>
    <w:rsid w:val="00AF58E9"/>
    <w:rsid w:val="00AF5AFA"/>
    <w:rsid w:val="00AF64CA"/>
    <w:rsid w:val="00AF669E"/>
    <w:rsid w:val="00AF68A1"/>
    <w:rsid w:val="00AF6CA2"/>
    <w:rsid w:val="00AF6E31"/>
    <w:rsid w:val="00AF6FFE"/>
    <w:rsid w:val="00AF779C"/>
    <w:rsid w:val="00AF7873"/>
    <w:rsid w:val="00AF7A7F"/>
    <w:rsid w:val="00AF7EC7"/>
    <w:rsid w:val="00B00010"/>
    <w:rsid w:val="00B00132"/>
    <w:rsid w:val="00B0022E"/>
    <w:rsid w:val="00B00936"/>
    <w:rsid w:val="00B02261"/>
    <w:rsid w:val="00B0246F"/>
    <w:rsid w:val="00B02C32"/>
    <w:rsid w:val="00B03545"/>
    <w:rsid w:val="00B03702"/>
    <w:rsid w:val="00B03887"/>
    <w:rsid w:val="00B03BB5"/>
    <w:rsid w:val="00B03FF4"/>
    <w:rsid w:val="00B04076"/>
    <w:rsid w:val="00B041AA"/>
    <w:rsid w:val="00B0522F"/>
    <w:rsid w:val="00B05739"/>
    <w:rsid w:val="00B064D1"/>
    <w:rsid w:val="00B079F3"/>
    <w:rsid w:val="00B118C8"/>
    <w:rsid w:val="00B11EE4"/>
    <w:rsid w:val="00B123C4"/>
    <w:rsid w:val="00B12517"/>
    <w:rsid w:val="00B133B0"/>
    <w:rsid w:val="00B134B7"/>
    <w:rsid w:val="00B137FA"/>
    <w:rsid w:val="00B1404A"/>
    <w:rsid w:val="00B1411F"/>
    <w:rsid w:val="00B14459"/>
    <w:rsid w:val="00B149FC"/>
    <w:rsid w:val="00B14D83"/>
    <w:rsid w:val="00B15EF4"/>
    <w:rsid w:val="00B15F0F"/>
    <w:rsid w:val="00B16CA5"/>
    <w:rsid w:val="00B16D4B"/>
    <w:rsid w:val="00B16FE3"/>
    <w:rsid w:val="00B175E6"/>
    <w:rsid w:val="00B2055E"/>
    <w:rsid w:val="00B20848"/>
    <w:rsid w:val="00B2095E"/>
    <w:rsid w:val="00B20A76"/>
    <w:rsid w:val="00B20B29"/>
    <w:rsid w:val="00B20D3E"/>
    <w:rsid w:val="00B212DC"/>
    <w:rsid w:val="00B21AF0"/>
    <w:rsid w:val="00B21C82"/>
    <w:rsid w:val="00B226DD"/>
    <w:rsid w:val="00B22819"/>
    <w:rsid w:val="00B23043"/>
    <w:rsid w:val="00B23164"/>
    <w:rsid w:val="00B23653"/>
    <w:rsid w:val="00B23A5D"/>
    <w:rsid w:val="00B23F1B"/>
    <w:rsid w:val="00B23F21"/>
    <w:rsid w:val="00B249E1"/>
    <w:rsid w:val="00B24DAC"/>
    <w:rsid w:val="00B25108"/>
    <w:rsid w:val="00B2523C"/>
    <w:rsid w:val="00B25493"/>
    <w:rsid w:val="00B25A19"/>
    <w:rsid w:val="00B25BBC"/>
    <w:rsid w:val="00B25C0F"/>
    <w:rsid w:val="00B266E0"/>
    <w:rsid w:val="00B26941"/>
    <w:rsid w:val="00B26BD0"/>
    <w:rsid w:val="00B27276"/>
    <w:rsid w:val="00B27559"/>
    <w:rsid w:val="00B27787"/>
    <w:rsid w:val="00B303F6"/>
    <w:rsid w:val="00B304EE"/>
    <w:rsid w:val="00B30636"/>
    <w:rsid w:val="00B309E8"/>
    <w:rsid w:val="00B319FB"/>
    <w:rsid w:val="00B31DC7"/>
    <w:rsid w:val="00B327A3"/>
    <w:rsid w:val="00B32B62"/>
    <w:rsid w:val="00B32B66"/>
    <w:rsid w:val="00B33112"/>
    <w:rsid w:val="00B333DF"/>
    <w:rsid w:val="00B33FE8"/>
    <w:rsid w:val="00B33FEE"/>
    <w:rsid w:val="00B3501D"/>
    <w:rsid w:val="00B355AA"/>
    <w:rsid w:val="00B35717"/>
    <w:rsid w:val="00B35A3A"/>
    <w:rsid w:val="00B36929"/>
    <w:rsid w:val="00B370CD"/>
    <w:rsid w:val="00B37463"/>
    <w:rsid w:val="00B37937"/>
    <w:rsid w:val="00B4083F"/>
    <w:rsid w:val="00B40B39"/>
    <w:rsid w:val="00B4101C"/>
    <w:rsid w:val="00B418E6"/>
    <w:rsid w:val="00B42124"/>
    <w:rsid w:val="00B426C6"/>
    <w:rsid w:val="00B42A6C"/>
    <w:rsid w:val="00B42E8A"/>
    <w:rsid w:val="00B4306C"/>
    <w:rsid w:val="00B43155"/>
    <w:rsid w:val="00B43451"/>
    <w:rsid w:val="00B44227"/>
    <w:rsid w:val="00B442E6"/>
    <w:rsid w:val="00B45921"/>
    <w:rsid w:val="00B464A9"/>
    <w:rsid w:val="00B464EC"/>
    <w:rsid w:val="00B46826"/>
    <w:rsid w:val="00B469CC"/>
    <w:rsid w:val="00B46B5C"/>
    <w:rsid w:val="00B5065B"/>
    <w:rsid w:val="00B50CCA"/>
    <w:rsid w:val="00B51092"/>
    <w:rsid w:val="00B52C8A"/>
    <w:rsid w:val="00B52F21"/>
    <w:rsid w:val="00B5353D"/>
    <w:rsid w:val="00B53587"/>
    <w:rsid w:val="00B53721"/>
    <w:rsid w:val="00B53C03"/>
    <w:rsid w:val="00B5406E"/>
    <w:rsid w:val="00B547C7"/>
    <w:rsid w:val="00B54A59"/>
    <w:rsid w:val="00B54E2F"/>
    <w:rsid w:val="00B54E4D"/>
    <w:rsid w:val="00B55034"/>
    <w:rsid w:val="00B56269"/>
    <w:rsid w:val="00B56E20"/>
    <w:rsid w:val="00B56E31"/>
    <w:rsid w:val="00B57BC3"/>
    <w:rsid w:val="00B6023F"/>
    <w:rsid w:val="00B60E88"/>
    <w:rsid w:val="00B618FB"/>
    <w:rsid w:val="00B61F9C"/>
    <w:rsid w:val="00B61FDA"/>
    <w:rsid w:val="00B62EDE"/>
    <w:rsid w:val="00B630DD"/>
    <w:rsid w:val="00B6352F"/>
    <w:rsid w:val="00B6399C"/>
    <w:rsid w:val="00B639EE"/>
    <w:rsid w:val="00B63B57"/>
    <w:rsid w:val="00B6504A"/>
    <w:rsid w:val="00B651ED"/>
    <w:rsid w:val="00B65232"/>
    <w:rsid w:val="00B65378"/>
    <w:rsid w:val="00B65E35"/>
    <w:rsid w:val="00B65E51"/>
    <w:rsid w:val="00B678B5"/>
    <w:rsid w:val="00B67AB4"/>
    <w:rsid w:val="00B67BCB"/>
    <w:rsid w:val="00B67D1E"/>
    <w:rsid w:val="00B707D2"/>
    <w:rsid w:val="00B70EAD"/>
    <w:rsid w:val="00B71531"/>
    <w:rsid w:val="00B718BA"/>
    <w:rsid w:val="00B7222D"/>
    <w:rsid w:val="00B7239F"/>
    <w:rsid w:val="00B7266E"/>
    <w:rsid w:val="00B73297"/>
    <w:rsid w:val="00B7331C"/>
    <w:rsid w:val="00B73698"/>
    <w:rsid w:val="00B73E30"/>
    <w:rsid w:val="00B74616"/>
    <w:rsid w:val="00B74E0B"/>
    <w:rsid w:val="00B75237"/>
    <w:rsid w:val="00B7597D"/>
    <w:rsid w:val="00B7653E"/>
    <w:rsid w:val="00B767BF"/>
    <w:rsid w:val="00B76A97"/>
    <w:rsid w:val="00B76C3E"/>
    <w:rsid w:val="00B76EBE"/>
    <w:rsid w:val="00B76F7B"/>
    <w:rsid w:val="00B77266"/>
    <w:rsid w:val="00B77755"/>
    <w:rsid w:val="00B77E9B"/>
    <w:rsid w:val="00B80005"/>
    <w:rsid w:val="00B8013A"/>
    <w:rsid w:val="00B8029A"/>
    <w:rsid w:val="00B8062B"/>
    <w:rsid w:val="00B806C2"/>
    <w:rsid w:val="00B80F97"/>
    <w:rsid w:val="00B81AAA"/>
    <w:rsid w:val="00B81AB7"/>
    <w:rsid w:val="00B82542"/>
    <w:rsid w:val="00B82C7D"/>
    <w:rsid w:val="00B82DF0"/>
    <w:rsid w:val="00B8306A"/>
    <w:rsid w:val="00B838D7"/>
    <w:rsid w:val="00B84682"/>
    <w:rsid w:val="00B850EC"/>
    <w:rsid w:val="00B851CA"/>
    <w:rsid w:val="00B86839"/>
    <w:rsid w:val="00B87726"/>
    <w:rsid w:val="00B87916"/>
    <w:rsid w:val="00B87ACA"/>
    <w:rsid w:val="00B87AF0"/>
    <w:rsid w:val="00B9045C"/>
    <w:rsid w:val="00B91138"/>
    <w:rsid w:val="00B912EB"/>
    <w:rsid w:val="00B9173C"/>
    <w:rsid w:val="00B92D71"/>
    <w:rsid w:val="00B930BA"/>
    <w:rsid w:val="00B9331F"/>
    <w:rsid w:val="00B93393"/>
    <w:rsid w:val="00B93C62"/>
    <w:rsid w:val="00B94239"/>
    <w:rsid w:val="00B9463D"/>
    <w:rsid w:val="00B94CD7"/>
    <w:rsid w:val="00B95125"/>
    <w:rsid w:val="00B96A3D"/>
    <w:rsid w:val="00B96D89"/>
    <w:rsid w:val="00B97248"/>
    <w:rsid w:val="00B97C46"/>
    <w:rsid w:val="00BA0087"/>
    <w:rsid w:val="00BA07EB"/>
    <w:rsid w:val="00BA0C99"/>
    <w:rsid w:val="00BA103B"/>
    <w:rsid w:val="00BA38DC"/>
    <w:rsid w:val="00BA39E9"/>
    <w:rsid w:val="00BA42C5"/>
    <w:rsid w:val="00BA43F5"/>
    <w:rsid w:val="00BA4C40"/>
    <w:rsid w:val="00BA4CA1"/>
    <w:rsid w:val="00BA523A"/>
    <w:rsid w:val="00BA6424"/>
    <w:rsid w:val="00BA65D2"/>
    <w:rsid w:val="00BA7BDC"/>
    <w:rsid w:val="00BA7D74"/>
    <w:rsid w:val="00BA7DFF"/>
    <w:rsid w:val="00BB0046"/>
    <w:rsid w:val="00BB0386"/>
    <w:rsid w:val="00BB039F"/>
    <w:rsid w:val="00BB1A94"/>
    <w:rsid w:val="00BB1C15"/>
    <w:rsid w:val="00BB1CAD"/>
    <w:rsid w:val="00BB2204"/>
    <w:rsid w:val="00BB2207"/>
    <w:rsid w:val="00BB2249"/>
    <w:rsid w:val="00BB24B3"/>
    <w:rsid w:val="00BB28E6"/>
    <w:rsid w:val="00BB3A1D"/>
    <w:rsid w:val="00BB437E"/>
    <w:rsid w:val="00BB4380"/>
    <w:rsid w:val="00BB47A9"/>
    <w:rsid w:val="00BB59A6"/>
    <w:rsid w:val="00BB664B"/>
    <w:rsid w:val="00BB6862"/>
    <w:rsid w:val="00BB73B4"/>
    <w:rsid w:val="00BB7AED"/>
    <w:rsid w:val="00BB7CB1"/>
    <w:rsid w:val="00BB7ECA"/>
    <w:rsid w:val="00BC0559"/>
    <w:rsid w:val="00BC0B47"/>
    <w:rsid w:val="00BC12E8"/>
    <w:rsid w:val="00BC1438"/>
    <w:rsid w:val="00BC17F2"/>
    <w:rsid w:val="00BC3540"/>
    <w:rsid w:val="00BC39D3"/>
    <w:rsid w:val="00BC39F1"/>
    <w:rsid w:val="00BC3A4F"/>
    <w:rsid w:val="00BC4901"/>
    <w:rsid w:val="00BC4B15"/>
    <w:rsid w:val="00BC52B7"/>
    <w:rsid w:val="00BC56AA"/>
    <w:rsid w:val="00BC60BF"/>
    <w:rsid w:val="00BC67AC"/>
    <w:rsid w:val="00BC6FE9"/>
    <w:rsid w:val="00BC73EF"/>
    <w:rsid w:val="00BD004F"/>
    <w:rsid w:val="00BD03A8"/>
    <w:rsid w:val="00BD0A3F"/>
    <w:rsid w:val="00BD1296"/>
    <w:rsid w:val="00BD1704"/>
    <w:rsid w:val="00BD1852"/>
    <w:rsid w:val="00BD1D0D"/>
    <w:rsid w:val="00BD2267"/>
    <w:rsid w:val="00BD24C7"/>
    <w:rsid w:val="00BD3331"/>
    <w:rsid w:val="00BD4A8C"/>
    <w:rsid w:val="00BD4D9C"/>
    <w:rsid w:val="00BD56E5"/>
    <w:rsid w:val="00BD5CBC"/>
    <w:rsid w:val="00BD6087"/>
    <w:rsid w:val="00BD621A"/>
    <w:rsid w:val="00BE036B"/>
    <w:rsid w:val="00BE062F"/>
    <w:rsid w:val="00BE0CD0"/>
    <w:rsid w:val="00BE24F9"/>
    <w:rsid w:val="00BE26FB"/>
    <w:rsid w:val="00BE292C"/>
    <w:rsid w:val="00BE30D9"/>
    <w:rsid w:val="00BE3624"/>
    <w:rsid w:val="00BE3852"/>
    <w:rsid w:val="00BE3D09"/>
    <w:rsid w:val="00BE3D99"/>
    <w:rsid w:val="00BE4329"/>
    <w:rsid w:val="00BE5499"/>
    <w:rsid w:val="00BE5626"/>
    <w:rsid w:val="00BE5E14"/>
    <w:rsid w:val="00BE5FE1"/>
    <w:rsid w:val="00BE6A55"/>
    <w:rsid w:val="00BE6B94"/>
    <w:rsid w:val="00BE6BDC"/>
    <w:rsid w:val="00BE720E"/>
    <w:rsid w:val="00BE7418"/>
    <w:rsid w:val="00BE7CF6"/>
    <w:rsid w:val="00BF061C"/>
    <w:rsid w:val="00BF088F"/>
    <w:rsid w:val="00BF1735"/>
    <w:rsid w:val="00BF1764"/>
    <w:rsid w:val="00BF18C1"/>
    <w:rsid w:val="00BF254E"/>
    <w:rsid w:val="00BF26B8"/>
    <w:rsid w:val="00BF26FB"/>
    <w:rsid w:val="00BF2CAD"/>
    <w:rsid w:val="00BF2DB7"/>
    <w:rsid w:val="00BF32E8"/>
    <w:rsid w:val="00BF3489"/>
    <w:rsid w:val="00BF3D42"/>
    <w:rsid w:val="00BF3E3A"/>
    <w:rsid w:val="00BF45F4"/>
    <w:rsid w:val="00BF5077"/>
    <w:rsid w:val="00BF5C6A"/>
    <w:rsid w:val="00BF66D0"/>
    <w:rsid w:val="00BF678C"/>
    <w:rsid w:val="00BF6F93"/>
    <w:rsid w:val="00BF70C3"/>
    <w:rsid w:val="00BF744A"/>
    <w:rsid w:val="00BF771E"/>
    <w:rsid w:val="00BF7EA1"/>
    <w:rsid w:val="00C01E02"/>
    <w:rsid w:val="00C0227E"/>
    <w:rsid w:val="00C03694"/>
    <w:rsid w:val="00C0451F"/>
    <w:rsid w:val="00C046C3"/>
    <w:rsid w:val="00C04BDA"/>
    <w:rsid w:val="00C04E43"/>
    <w:rsid w:val="00C04FDD"/>
    <w:rsid w:val="00C0506B"/>
    <w:rsid w:val="00C05657"/>
    <w:rsid w:val="00C05822"/>
    <w:rsid w:val="00C058AD"/>
    <w:rsid w:val="00C05ABF"/>
    <w:rsid w:val="00C05CD3"/>
    <w:rsid w:val="00C05F8D"/>
    <w:rsid w:val="00C06862"/>
    <w:rsid w:val="00C06E06"/>
    <w:rsid w:val="00C06EE5"/>
    <w:rsid w:val="00C07510"/>
    <w:rsid w:val="00C07E86"/>
    <w:rsid w:val="00C1034D"/>
    <w:rsid w:val="00C10E99"/>
    <w:rsid w:val="00C119C2"/>
    <w:rsid w:val="00C11B94"/>
    <w:rsid w:val="00C11C71"/>
    <w:rsid w:val="00C11DC8"/>
    <w:rsid w:val="00C12F25"/>
    <w:rsid w:val="00C13940"/>
    <w:rsid w:val="00C13D42"/>
    <w:rsid w:val="00C144CB"/>
    <w:rsid w:val="00C14517"/>
    <w:rsid w:val="00C1463D"/>
    <w:rsid w:val="00C155A2"/>
    <w:rsid w:val="00C155D8"/>
    <w:rsid w:val="00C1573D"/>
    <w:rsid w:val="00C157FD"/>
    <w:rsid w:val="00C15AC4"/>
    <w:rsid w:val="00C15FEF"/>
    <w:rsid w:val="00C166B3"/>
    <w:rsid w:val="00C16AAA"/>
    <w:rsid w:val="00C179C4"/>
    <w:rsid w:val="00C17E84"/>
    <w:rsid w:val="00C21318"/>
    <w:rsid w:val="00C21A1B"/>
    <w:rsid w:val="00C21F0C"/>
    <w:rsid w:val="00C231E8"/>
    <w:rsid w:val="00C233B6"/>
    <w:rsid w:val="00C23463"/>
    <w:rsid w:val="00C23D3D"/>
    <w:rsid w:val="00C24080"/>
    <w:rsid w:val="00C248F9"/>
    <w:rsid w:val="00C2621E"/>
    <w:rsid w:val="00C26430"/>
    <w:rsid w:val="00C26622"/>
    <w:rsid w:val="00C2693E"/>
    <w:rsid w:val="00C26BC3"/>
    <w:rsid w:val="00C26C65"/>
    <w:rsid w:val="00C2712B"/>
    <w:rsid w:val="00C27333"/>
    <w:rsid w:val="00C274E7"/>
    <w:rsid w:val="00C276E6"/>
    <w:rsid w:val="00C27D9D"/>
    <w:rsid w:val="00C3093F"/>
    <w:rsid w:val="00C30B90"/>
    <w:rsid w:val="00C310BA"/>
    <w:rsid w:val="00C3143E"/>
    <w:rsid w:val="00C316C7"/>
    <w:rsid w:val="00C3180F"/>
    <w:rsid w:val="00C31996"/>
    <w:rsid w:val="00C326E1"/>
    <w:rsid w:val="00C32E14"/>
    <w:rsid w:val="00C3314C"/>
    <w:rsid w:val="00C336B5"/>
    <w:rsid w:val="00C3413F"/>
    <w:rsid w:val="00C34C48"/>
    <w:rsid w:val="00C357FD"/>
    <w:rsid w:val="00C36AE5"/>
    <w:rsid w:val="00C36BCE"/>
    <w:rsid w:val="00C37566"/>
    <w:rsid w:val="00C376F7"/>
    <w:rsid w:val="00C37843"/>
    <w:rsid w:val="00C413B4"/>
    <w:rsid w:val="00C4162F"/>
    <w:rsid w:val="00C41B40"/>
    <w:rsid w:val="00C41FA3"/>
    <w:rsid w:val="00C42535"/>
    <w:rsid w:val="00C4291F"/>
    <w:rsid w:val="00C44746"/>
    <w:rsid w:val="00C448A9"/>
    <w:rsid w:val="00C45D6F"/>
    <w:rsid w:val="00C46933"/>
    <w:rsid w:val="00C469A0"/>
    <w:rsid w:val="00C46FED"/>
    <w:rsid w:val="00C473C0"/>
    <w:rsid w:val="00C4792F"/>
    <w:rsid w:val="00C47C77"/>
    <w:rsid w:val="00C5061D"/>
    <w:rsid w:val="00C528F6"/>
    <w:rsid w:val="00C52C76"/>
    <w:rsid w:val="00C5369D"/>
    <w:rsid w:val="00C53FFF"/>
    <w:rsid w:val="00C54947"/>
    <w:rsid w:val="00C55124"/>
    <w:rsid w:val="00C55687"/>
    <w:rsid w:val="00C55B51"/>
    <w:rsid w:val="00C56DC5"/>
    <w:rsid w:val="00C607F3"/>
    <w:rsid w:val="00C60921"/>
    <w:rsid w:val="00C6224A"/>
    <w:rsid w:val="00C62A6F"/>
    <w:rsid w:val="00C63479"/>
    <w:rsid w:val="00C634BD"/>
    <w:rsid w:val="00C635DF"/>
    <w:rsid w:val="00C636D4"/>
    <w:rsid w:val="00C63AD4"/>
    <w:rsid w:val="00C6496F"/>
    <w:rsid w:val="00C65FEC"/>
    <w:rsid w:val="00C66198"/>
    <w:rsid w:val="00C664AD"/>
    <w:rsid w:val="00C66774"/>
    <w:rsid w:val="00C67138"/>
    <w:rsid w:val="00C67146"/>
    <w:rsid w:val="00C70EE4"/>
    <w:rsid w:val="00C7120D"/>
    <w:rsid w:val="00C7188A"/>
    <w:rsid w:val="00C71C28"/>
    <w:rsid w:val="00C723C6"/>
    <w:rsid w:val="00C727B2"/>
    <w:rsid w:val="00C72AB2"/>
    <w:rsid w:val="00C72FFE"/>
    <w:rsid w:val="00C7358A"/>
    <w:rsid w:val="00C73A2C"/>
    <w:rsid w:val="00C740CA"/>
    <w:rsid w:val="00C741CD"/>
    <w:rsid w:val="00C746C6"/>
    <w:rsid w:val="00C74CBC"/>
    <w:rsid w:val="00C74E2E"/>
    <w:rsid w:val="00C7585B"/>
    <w:rsid w:val="00C75C23"/>
    <w:rsid w:val="00C75C2E"/>
    <w:rsid w:val="00C7608D"/>
    <w:rsid w:val="00C7663E"/>
    <w:rsid w:val="00C7698E"/>
    <w:rsid w:val="00C76CC6"/>
    <w:rsid w:val="00C771FC"/>
    <w:rsid w:val="00C7743E"/>
    <w:rsid w:val="00C777EE"/>
    <w:rsid w:val="00C77C25"/>
    <w:rsid w:val="00C77CA9"/>
    <w:rsid w:val="00C77D3A"/>
    <w:rsid w:val="00C80219"/>
    <w:rsid w:val="00C80703"/>
    <w:rsid w:val="00C8080F"/>
    <w:rsid w:val="00C808DE"/>
    <w:rsid w:val="00C8154C"/>
    <w:rsid w:val="00C81E15"/>
    <w:rsid w:val="00C82078"/>
    <w:rsid w:val="00C82763"/>
    <w:rsid w:val="00C8285E"/>
    <w:rsid w:val="00C82EDD"/>
    <w:rsid w:val="00C83F4C"/>
    <w:rsid w:val="00C844DC"/>
    <w:rsid w:val="00C84CA4"/>
    <w:rsid w:val="00C865C4"/>
    <w:rsid w:val="00C87D77"/>
    <w:rsid w:val="00C90EB0"/>
    <w:rsid w:val="00C91125"/>
    <w:rsid w:val="00C9179B"/>
    <w:rsid w:val="00C91BAD"/>
    <w:rsid w:val="00C921F5"/>
    <w:rsid w:val="00C925C7"/>
    <w:rsid w:val="00C929F7"/>
    <w:rsid w:val="00C92C58"/>
    <w:rsid w:val="00C92F4B"/>
    <w:rsid w:val="00C933A2"/>
    <w:rsid w:val="00C9361D"/>
    <w:rsid w:val="00C93D65"/>
    <w:rsid w:val="00C9437B"/>
    <w:rsid w:val="00C944FF"/>
    <w:rsid w:val="00C94703"/>
    <w:rsid w:val="00C9485F"/>
    <w:rsid w:val="00C94AEF"/>
    <w:rsid w:val="00C94E7A"/>
    <w:rsid w:val="00C9578C"/>
    <w:rsid w:val="00C95FD0"/>
    <w:rsid w:val="00C96213"/>
    <w:rsid w:val="00C962DB"/>
    <w:rsid w:val="00C96B23"/>
    <w:rsid w:val="00C96B80"/>
    <w:rsid w:val="00C97996"/>
    <w:rsid w:val="00C97BAA"/>
    <w:rsid w:val="00CA054C"/>
    <w:rsid w:val="00CA055A"/>
    <w:rsid w:val="00CA05C8"/>
    <w:rsid w:val="00CA05E3"/>
    <w:rsid w:val="00CA0691"/>
    <w:rsid w:val="00CA06B4"/>
    <w:rsid w:val="00CA0E9C"/>
    <w:rsid w:val="00CA129B"/>
    <w:rsid w:val="00CA23E5"/>
    <w:rsid w:val="00CA2AA6"/>
    <w:rsid w:val="00CA2CC2"/>
    <w:rsid w:val="00CA359B"/>
    <w:rsid w:val="00CA3CF7"/>
    <w:rsid w:val="00CA40B2"/>
    <w:rsid w:val="00CA41F4"/>
    <w:rsid w:val="00CA42DC"/>
    <w:rsid w:val="00CA42F0"/>
    <w:rsid w:val="00CA4E78"/>
    <w:rsid w:val="00CA6A89"/>
    <w:rsid w:val="00CA72ED"/>
    <w:rsid w:val="00CA733F"/>
    <w:rsid w:val="00CA78B1"/>
    <w:rsid w:val="00CA7992"/>
    <w:rsid w:val="00CA7BFB"/>
    <w:rsid w:val="00CA7CD0"/>
    <w:rsid w:val="00CA7CD4"/>
    <w:rsid w:val="00CB00EF"/>
    <w:rsid w:val="00CB04E0"/>
    <w:rsid w:val="00CB0FAB"/>
    <w:rsid w:val="00CB2156"/>
    <w:rsid w:val="00CB2722"/>
    <w:rsid w:val="00CB279C"/>
    <w:rsid w:val="00CB27BE"/>
    <w:rsid w:val="00CB33AA"/>
    <w:rsid w:val="00CB39B7"/>
    <w:rsid w:val="00CB3B2F"/>
    <w:rsid w:val="00CB3C83"/>
    <w:rsid w:val="00CB3F38"/>
    <w:rsid w:val="00CB4DA0"/>
    <w:rsid w:val="00CB4F84"/>
    <w:rsid w:val="00CB4F86"/>
    <w:rsid w:val="00CB55EC"/>
    <w:rsid w:val="00CB55FA"/>
    <w:rsid w:val="00CB5746"/>
    <w:rsid w:val="00CB5B2F"/>
    <w:rsid w:val="00CB5BDE"/>
    <w:rsid w:val="00CB5E22"/>
    <w:rsid w:val="00CB6646"/>
    <w:rsid w:val="00CB6885"/>
    <w:rsid w:val="00CB742A"/>
    <w:rsid w:val="00CB7563"/>
    <w:rsid w:val="00CB7876"/>
    <w:rsid w:val="00CC041B"/>
    <w:rsid w:val="00CC0428"/>
    <w:rsid w:val="00CC0B23"/>
    <w:rsid w:val="00CC0E2D"/>
    <w:rsid w:val="00CC2563"/>
    <w:rsid w:val="00CC2B09"/>
    <w:rsid w:val="00CC30CF"/>
    <w:rsid w:val="00CC4C7A"/>
    <w:rsid w:val="00CC6CCB"/>
    <w:rsid w:val="00CC77BE"/>
    <w:rsid w:val="00CC78CF"/>
    <w:rsid w:val="00CC7A09"/>
    <w:rsid w:val="00CC7EE9"/>
    <w:rsid w:val="00CD0B34"/>
    <w:rsid w:val="00CD1791"/>
    <w:rsid w:val="00CD1A16"/>
    <w:rsid w:val="00CD1DFD"/>
    <w:rsid w:val="00CD1EAD"/>
    <w:rsid w:val="00CD20C8"/>
    <w:rsid w:val="00CD2881"/>
    <w:rsid w:val="00CD2964"/>
    <w:rsid w:val="00CD2B98"/>
    <w:rsid w:val="00CD35AF"/>
    <w:rsid w:val="00CD37A0"/>
    <w:rsid w:val="00CD496D"/>
    <w:rsid w:val="00CD590E"/>
    <w:rsid w:val="00CD695A"/>
    <w:rsid w:val="00CD6B31"/>
    <w:rsid w:val="00CD70D6"/>
    <w:rsid w:val="00CD7602"/>
    <w:rsid w:val="00CD7B28"/>
    <w:rsid w:val="00CE0D28"/>
    <w:rsid w:val="00CE0E53"/>
    <w:rsid w:val="00CE1CC1"/>
    <w:rsid w:val="00CE1D9B"/>
    <w:rsid w:val="00CE2090"/>
    <w:rsid w:val="00CE274C"/>
    <w:rsid w:val="00CE35B9"/>
    <w:rsid w:val="00CE3F06"/>
    <w:rsid w:val="00CE4030"/>
    <w:rsid w:val="00CE40F4"/>
    <w:rsid w:val="00CE45DA"/>
    <w:rsid w:val="00CE4FDE"/>
    <w:rsid w:val="00CE59A5"/>
    <w:rsid w:val="00CE5CA7"/>
    <w:rsid w:val="00CE5ECC"/>
    <w:rsid w:val="00CE601D"/>
    <w:rsid w:val="00CE60F4"/>
    <w:rsid w:val="00CE6735"/>
    <w:rsid w:val="00CE6A18"/>
    <w:rsid w:val="00CE6F93"/>
    <w:rsid w:val="00CE7112"/>
    <w:rsid w:val="00CE73FE"/>
    <w:rsid w:val="00CF02C0"/>
    <w:rsid w:val="00CF035F"/>
    <w:rsid w:val="00CF0703"/>
    <w:rsid w:val="00CF119A"/>
    <w:rsid w:val="00CF1251"/>
    <w:rsid w:val="00CF17E8"/>
    <w:rsid w:val="00CF1D13"/>
    <w:rsid w:val="00CF214A"/>
    <w:rsid w:val="00CF28FF"/>
    <w:rsid w:val="00CF3280"/>
    <w:rsid w:val="00CF3868"/>
    <w:rsid w:val="00CF4186"/>
    <w:rsid w:val="00CF4391"/>
    <w:rsid w:val="00CF43A3"/>
    <w:rsid w:val="00CF4463"/>
    <w:rsid w:val="00CF4628"/>
    <w:rsid w:val="00CF4689"/>
    <w:rsid w:val="00CF4D90"/>
    <w:rsid w:val="00CF585F"/>
    <w:rsid w:val="00CF5919"/>
    <w:rsid w:val="00CF5961"/>
    <w:rsid w:val="00CF6483"/>
    <w:rsid w:val="00CF6525"/>
    <w:rsid w:val="00CF67F2"/>
    <w:rsid w:val="00CF71B0"/>
    <w:rsid w:val="00CF7864"/>
    <w:rsid w:val="00D00A4F"/>
    <w:rsid w:val="00D00DCE"/>
    <w:rsid w:val="00D00E12"/>
    <w:rsid w:val="00D02CCB"/>
    <w:rsid w:val="00D02DAF"/>
    <w:rsid w:val="00D033EC"/>
    <w:rsid w:val="00D03787"/>
    <w:rsid w:val="00D03801"/>
    <w:rsid w:val="00D03B5C"/>
    <w:rsid w:val="00D04D2B"/>
    <w:rsid w:val="00D055E8"/>
    <w:rsid w:val="00D059CE"/>
    <w:rsid w:val="00D05C73"/>
    <w:rsid w:val="00D06251"/>
    <w:rsid w:val="00D06375"/>
    <w:rsid w:val="00D071A5"/>
    <w:rsid w:val="00D07331"/>
    <w:rsid w:val="00D07647"/>
    <w:rsid w:val="00D07D41"/>
    <w:rsid w:val="00D07E54"/>
    <w:rsid w:val="00D1001E"/>
    <w:rsid w:val="00D10650"/>
    <w:rsid w:val="00D10E3F"/>
    <w:rsid w:val="00D11340"/>
    <w:rsid w:val="00D118B7"/>
    <w:rsid w:val="00D11A4D"/>
    <w:rsid w:val="00D121E0"/>
    <w:rsid w:val="00D126FE"/>
    <w:rsid w:val="00D12A1C"/>
    <w:rsid w:val="00D12DBB"/>
    <w:rsid w:val="00D13848"/>
    <w:rsid w:val="00D13940"/>
    <w:rsid w:val="00D143D9"/>
    <w:rsid w:val="00D14CA4"/>
    <w:rsid w:val="00D1523E"/>
    <w:rsid w:val="00D1527F"/>
    <w:rsid w:val="00D153A4"/>
    <w:rsid w:val="00D1697A"/>
    <w:rsid w:val="00D171A4"/>
    <w:rsid w:val="00D17644"/>
    <w:rsid w:val="00D20BC3"/>
    <w:rsid w:val="00D21ABF"/>
    <w:rsid w:val="00D22076"/>
    <w:rsid w:val="00D2239D"/>
    <w:rsid w:val="00D224AF"/>
    <w:rsid w:val="00D2274E"/>
    <w:rsid w:val="00D228A1"/>
    <w:rsid w:val="00D2377E"/>
    <w:rsid w:val="00D23CD0"/>
    <w:rsid w:val="00D23E26"/>
    <w:rsid w:val="00D23F55"/>
    <w:rsid w:val="00D2474D"/>
    <w:rsid w:val="00D24912"/>
    <w:rsid w:val="00D2507B"/>
    <w:rsid w:val="00D2510E"/>
    <w:rsid w:val="00D251E6"/>
    <w:rsid w:val="00D252DD"/>
    <w:rsid w:val="00D253B5"/>
    <w:rsid w:val="00D2561E"/>
    <w:rsid w:val="00D25659"/>
    <w:rsid w:val="00D25ADC"/>
    <w:rsid w:val="00D25BDB"/>
    <w:rsid w:val="00D2613E"/>
    <w:rsid w:val="00D267E0"/>
    <w:rsid w:val="00D26839"/>
    <w:rsid w:val="00D26AD0"/>
    <w:rsid w:val="00D26AD3"/>
    <w:rsid w:val="00D26B91"/>
    <w:rsid w:val="00D26BD3"/>
    <w:rsid w:val="00D26D5F"/>
    <w:rsid w:val="00D26F44"/>
    <w:rsid w:val="00D275B0"/>
    <w:rsid w:val="00D27AF5"/>
    <w:rsid w:val="00D30843"/>
    <w:rsid w:val="00D3086B"/>
    <w:rsid w:val="00D30D82"/>
    <w:rsid w:val="00D310A2"/>
    <w:rsid w:val="00D312BE"/>
    <w:rsid w:val="00D3152D"/>
    <w:rsid w:val="00D31560"/>
    <w:rsid w:val="00D31D32"/>
    <w:rsid w:val="00D322C4"/>
    <w:rsid w:val="00D32797"/>
    <w:rsid w:val="00D332CB"/>
    <w:rsid w:val="00D33869"/>
    <w:rsid w:val="00D33B4A"/>
    <w:rsid w:val="00D343F5"/>
    <w:rsid w:val="00D3480B"/>
    <w:rsid w:val="00D34AF5"/>
    <w:rsid w:val="00D34BDE"/>
    <w:rsid w:val="00D354F2"/>
    <w:rsid w:val="00D356C3"/>
    <w:rsid w:val="00D35A2F"/>
    <w:rsid w:val="00D35C38"/>
    <w:rsid w:val="00D36425"/>
    <w:rsid w:val="00D37044"/>
    <w:rsid w:val="00D3758C"/>
    <w:rsid w:val="00D4030E"/>
    <w:rsid w:val="00D40E08"/>
    <w:rsid w:val="00D41425"/>
    <w:rsid w:val="00D426E1"/>
    <w:rsid w:val="00D4303D"/>
    <w:rsid w:val="00D436C9"/>
    <w:rsid w:val="00D43FC9"/>
    <w:rsid w:val="00D44004"/>
    <w:rsid w:val="00D44675"/>
    <w:rsid w:val="00D44BF9"/>
    <w:rsid w:val="00D469FC"/>
    <w:rsid w:val="00D47950"/>
    <w:rsid w:val="00D47C37"/>
    <w:rsid w:val="00D47F30"/>
    <w:rsid w:val="00D5039A"/>
    <w:rsid w:val="00D506E1"/>
    <w:rsid w:val="00D508D4"/>
    <w:rsid w:val="00D508E1"/>
    <w:rsid w:val="00D51497"/>
    <w:rsid w:val="00D5214F"/>
    <w:rsid w:val="00D5215B"/>
    <w:rsid w:val="00D526AC"/>
    <w:rsid w:val="00D534C4"/>
    <w:rsid w:val="00D5358F"/>
    <w:rsid w:val="00D53AFA"/>
    <w:rsid w:val="00D5490F"/>
    <w:rsid w:val="00D54CE2"/>
    <w:rsid w:val="00D55097"/>
    <w:rsid w:val="00D55526"/>
    <w:rsid w:val="00D55662"/>
    <w:rsid w:val="00D55DA2"/>
    <w:rsid w:val="00D55F19"/>
    <w:rsid w:val="00D56496"/>
    <w:rsid w:val="00D56C5F"/>
    <w:rsid w:val="00D5716D"/>
    <w:rsid w:val="00D57729"/>
    <w:rsid w:val="00D57E17"/>
    <w:rsid w:val="00D60856"/>
    <w:rsid w:val="00D612FC"/>
    <w:rsid w:val="00D613B5"/>
    <w:rsid w:val="00D618D4"/>
    <w:rsid w:val="00D62101"/>
    <w:rsid w:val="00D623DA"/>
    <w:rsid w:val="00D62717"/>
    <w:rsid w:val="00D627D0"/>
    <w:rsid w:val="00D6493A"/>
    <w:rsid w:val="00D6498D"/>
    <w:rsid w:val="00D64A24"/>
    <w:rsid w:val="00D64E29"/>
    <w:rsid w:val="00D64E71"/>
    <w:rsid w:val="00D64E93"/>
    <w:rsid w:val="00D65955"/>
    <w:rsid w:val="00D65C4A"/>
    <w:rsid w:val="00D65E0A"/>
    <w:rsid w:val="00D66AAC"/>
    <w:rsid w:val="00D66CE7"/>
    <w:rsid w:val="00D67541"/>
    <w:rsid w:val="00D677E0"/>
    <w:rsid w:val="00D67BF3"/>
    <w:rsid w:val="00D67E19"/>
    <w:rsid w:val="00D67FF0"/>
    <w:rsid w:val="00D702EB"/>
    <w:rsid w:val="00D72026"/>
    <w:rsid w:val="00D721AE"/>
    <w:rsid w:val="00D73BC4"/>
    <w:rsid w:val="00D73FBC"/>
    <w:rsid w:val="00D75881"/>
    <w:rsid w:val="00D75DA5"/>
    <w:rsid w:val="00D7605F"/>
    <w:rsid w:val="00D7615B"/>
    <w:rsid w:val="00D7624B"/>
    <w:rsid w:val="00D76612"/>
    <w:rsid w:val="00D76D45"/>
    <w:rsid w:val="00D76EB5"/>
    <w:rsid w:val="00D77693"/>
    <w:rsid w:val="00D779C2"/>
    <w:rsid w:val="00D77F8B"/>
    <w:rsid w:val="00D8134C"/>
    <w:rsid w:val="00D8196F"/>
    <w:rsid w:val="00D81BD1"/>
    <w:rsid w:val="00D81BFA"/>
    <w:rsid w:val="00D81DEF"/>
    <w:rsid w:val="00D8228F"/>
    <w:rsid w:val="00D82559"/>
    <w:rsid w:val="00D82813"/>
    <w:rsid w:val="00D82DA2"/>
    <w:rsid w:val="00D8335A"/>
    <w:rsid w:val="00D83CEB"/>
    <w:rsid w:val="00D83D49"/>
    <w:rsid w:val="00D84292"/>
    <w:rsid w:val="00D84488"/>
    <w:rsid w:val="00D85082"/>
    <w:rsid w:val="00D852E3"/>
    <w:rsid w:val="00D854C3"/>
    <w:rsid w:val="00D864FE"/>
    <w:rsid w:val="00D91026"/>
    <w:rsid w:val="00D91C5F"/>
    <w:rsid w:val="00D93315"/>
    <w:rsid w:val="00D936A6"/>
    <w:rsid w:val="00D93A5D"/>
    <w:rsid w:val="00D94041"/>
    <w:rsid w:val="00D9436D"/>
    <w:rsid w:val="00D94644"/>
    <w:rsid w:val="00D9547F"/>
    <w:rsid w:val="00D9560A"/>
    <w:rsid w:val="00D97074"/>
    <w:rsid w:val="00D97247"/>
    <w:rsid w:val="00D97282"/>
    <w:rsid w:val="00D9753E"/>
    <w:rsid w:val="00D97AAE"/>
    <w:rsid w:val="00DA00EB"/>
    <w:rsid w:val="00DA0234"/>
    <w:rsid w:val="00DA157F"/>
    <w:rsid w:val="00DA159D"/>
    <w:rsid w:val="00DA1ACD"/>
    <w:rsid w:val="00DA2089"/>
    <w:rsid w:val="00DA269F"/>
    <w:rsid w:val="00DA2862"/>
    <w:rsid w:val="00DA2C49"/>
    <w:rsid w:val="00DA2EC0"/>
    <w:rsid w:val="00DA339A"/>
    <w:rsid w:val="00DA33F3"/>
    <w:rsid w:val="00DA3E21"/>
    <w:rsid w:val="00DA4085"/>
    <w:rsid w:val="00DA6166"/>
    <w:rsid w:val="00DA61A2"/>
    <w:rsid w:val="00DA668F"/>
    <w:rsid w:val="00DA68EB"/>
    <w:rsid w:val="00DA7191"/>
    <w:rsid w:val="00DA7849"/>
    <w:rsid w:val="00DA7DA5"/>
    <w:rsid w:val="00DB02F8"/>
    <w:rsid w:val="00DB05A3"/>
    <w:rsid w:val="00DB0623"/>
    <w:rsid w:val="00DB0D55"/>
    <w:rsid w:val="00DB18A0"/>
    <w:rsid w:val="00DB1C7D"/>
    <w:rsid w:val="00DB1F8A"/>
    <w:rsid w:val="00DB213D"/>
    <w:rsid w:val="00DB285F"/>
    <w:rsid w:val="00DB2B5E"/>
    <w:rsid w:val="00DB2D7C"/>
    <w:rsid w:val="00DB2F1A"/>
    <w:rsid w:val="00DB2F2A"/>
    <w:rsid w:val="00DB3253"/>
    <w:rsid w:val="00DB3E6B"/>
    <w:rsid w:val="00DB4408"/>
    <w:rsid w:val="00DB4586"/>
    <w:rsid w:val="00DB4930"/>
    <w:rsid w:val="00DB5A0A"/>
    <w:rsid w:val="00DB5FE2"/>
    <w:rsid w:val="00DB65D8"/>
    <w:rsid w:val="00DB69D9"/>
    <w:rsid w:val="00DB6A81"/>
    <w:rsid w:val="00DB6BD1"/>
    <w:rsid w:val="00DB6C1F"/>
    <w:rsid w:val="00DB7688"/>
    <w:rsid w:val="00DB770D"/>
    <w:rsid w:val="00DB7B31"/>
    <w:rsid w:val="00DB7E95"/>
    <w:rsid w:val="00DB7E9F"/>
    <w:rsid w:val="00DC01E1"/>
    <w:rsid w:val="00DC0C3E"/>
    <w:rsid w:val="00DC18D1"/>
    <w:rsid w:val="00DC1AFB"/>
    <w:rsid w:val="00DC2D24"/>
    <w:rsid w:val="00DC370C"/>
    <w:rsid w:val="00DC398A"/>
    <w:rsid w:val="00DC3F72"/>
    <w:rsid w:val="00DC41A9"/>
    <w:rsid w:val="00DC4C37"/>
    <w:rsid w:val="00DC6F7C"/>
    <w:rsid w:val="00DC740B"/>
    <w:rsid w:val="00DC7C4C"/>
    <w:rsid w:val="00DD127C"/>
    <w:rsid w:val="00DD12B2"/>
    <w:rsid w:val="00DD17E4"/>
    <w:rsid w:val="00DD1801"/>
    <w:rsid w:val="00DD3110"/>
    <w:rsid w:val="00DD3487"/>
    <w:rsid w:val="00DD366B"/>
    <w:rsid w:val="00DD435F"/>
    <w:rsid w:val="00DD54A0"/>
    <w:rsid w:val="00DD59E6"/>
    <w:rsid w:val="00DD605D"/>
    <w:rsid w:val="00DD6B7D"/>
    <w:rsid w:val="00DD6E8D"/>
    <w:rsid w:val="00DD7644"/>
    <w:rsid w:val="00DD7F85"/>
    <w:rsid w:val="00DE0578"/>
    <w:rsid w:val="00DE12D7"/>
    <w:rsid w:val="00DE1503"/>
    <w:rsid w:val="00DE2D03"/>
    <w:rsid w:val="00DE33AB"/>
    <w:rsid w:val="00DE35FC"/>
    <w:rsid w:val="00DE3A9F"/>
    <w:rsid w:val="00DE44B0"/>
    <w:rsid w:val="00DE489A"/>
    <w:rsid w:val="00DE49ED"/>
    <w:rsid w:val="00DE4D1D"/>
    <w:rsid w:val="00DE4F6F"/>
    <w:rsid w:val="00DE5371"/>
    <w:rsid w:val="00DE5524"/>
    <w:rsid w:val="00DE6501"/>
    <w:rsid w:val="00DE6CDF"/>
    <w:rsid w:val="00DE7262"/>
    <w:rsid w:val="00DE74E6"/>
    <w:rsid w:val="00DF0875"/>
    <w:rsid w:val="00DF2857"/>
    <w:rsid w:val="00DF373C"/>
    <w:rsid w:val="00DF3B71"/>
    <w:rsid w:val="00DF3BD0"/>
    <w:rsid w:val="00DF5045"/>
    <w:rsid w:val="00DF54B0"/>
    <w:rsid w:val="00DF590B"/>
    <w:rsid w:val="00DF5A7D"/>
    <w:rsid w:val="00DF5BD8"/>
    <w:rsid w:val="00DF5FE9"/>
    <w:rsid w:val="00DF624F"/>
    <w:rsid w:val="00DF665F"/>
    <w:rsid w:val="00DF74AA"/>
    <w:rsid w:val="00DF7749"/>
    <w:rsid w:val="00DF7FA7"/>
    <w:rsid w:val="00E0037C"/>
    <w:rsid w:val="00E0057F"/>
    <w:rsid w:val="00E00BF0"/>
    <w:rsid w:val="00E01701"/>
    <w:rsid w:val="00E01B09"/>
    <w:rsid w:val="00E01B35"/>
    <w:rsid w:val="00E0225E"/>
    <w:rsid w:val="00E027D3"/>
    <w:rsid w:val="00E02E1A"/>
    <w:rsid w:val="00E03437"/>
    <w:rsid w:val="00E03F33"/>
    <w:rsid w:val="00E0448D"/>
    <w:rsid w:val="00E047EC"/>
    <w:rsid w:val="00E055C1"/>
    <w:rsid w:val="00E060FA"/>
    <w:rsid w:val="00E063D4"/>
    <w:rsid w:val="00E064AB"/>
    <w:rsid w:val="00E06771"/>
    <w:rsid w:val="00E06BD0"/>
    <w:rsid w:val="00E06D47"/>
    <w:rsid w:val="00E070BF"/>
    <w:rsid w:val="00E07363"/>
    <w:rsid w:val="00E07EF8"/>
    <w:rsid w:val="00E10687"/>
    <w:rsid w:val="00E11324"/>
    <w:rsid w:val="00E113B5"/>
    <w:rsid w:val="00E12B22"/>
    <w:rsid w:val="00E12CB4"/>
    <w:rsid w:val="00E1363F"/>
    <w:rsid w:val="00E13C5C"/>
    <w:rsid w:val="00E14F30"/>
    <w:rsid w:val="00E15D26"/>
    <w:rsid w:val="00E160E4"/>
    <w:rsid w:val="00E17904"/>
    <w:rsid w:val="00E17D91"/>
    <w:rsid w:val="00E20017"/>
    <w:rsid w:val="00E20205"/>
    <w:rsid w:val="00E21093"/>
    <w:rsid w:val="00E21726"/>
    <w:rsid w:val="00E21D65"/>
    <w:rsid w:val="00E21DE7"/>
    <w:rsid w:val="00E21EA1"/>
    <w:rsid w:val="00E22E23"/>
    <w:rsid w:val="00E232A7"/>
    <w:rsid w:val="00E235DD"/>
    <w:rsid w:val="00E23642"/>
    <w:rsid w:val="00E239B4"/>
    <w:rsid w:val="00E24B37"/>
    <w:rsid w:val="00E24C38"/>
    <w:rsid w:val="00E25E76"/>
    <w:rsid w:val="00E2603B"/>
    <w:rsid w:val="00E265B1"/>
    <w:rsid w:val="00E26785"/>
    <w:rsid w:val="00E2686B"/>
    <w:rsid w:val="00E27AC8"/>
    <w:rsid w:val="00E27D1F"/>
    <w:rsid w:val="00E27FEC"/>
    <w:rsid w:val="00E30689"/>
    <w:rsid w:val="00E30C39"/>
    <w:rsid w:val="00E314AD"/>
    <w:rsid w:val="00E316EE"/>
    <w:rsid w:val="00E32AFD"/>
    <w:rsid w:val="00E337C4"/>
    <w:rsid w:val="00E33FDC"/>
    <w:rsid w:val="00E34076"/>
    <w:rsid w:val="00E34454"/>
    <w:rsid w:val="00E351E2"/>
    <w:rsid w:val="00E36424"/>
    <w:rsid w:val="00E36CD1"/>
    <w:rsid w:val="00E36E57"/>
    <w:rsid w:val="00E376EB"/>
    <w:rsid w:val="00E4030C"/>
    <w:rsid w:val="00E4098B"/>
    <w:rsid w:val="00E40D5A"/>
    <w:rsid w:val="00E41064"/>
    <w:rsid w:val="00E41479"/>
    <w:rsid w:val="00E41CD8"/>
    <w:rsid w:val="00E423F3"/>
    <w:rsid w:val="00E4250D"/>
    <w:rsid w:val="00E426DB"/>
    <w:rsid w:val="00E42787"/>
    <w:rsid w:val="00E43937"/>
    <w:rsid w:val="00E44202"/>
    <w:rsid w:val="00E44467"/>
    <w:rsid w:val="00E4498E"/>
    <w:rsid w:val="00E449CA"/>
    <w:rsid w:val="00E44B0C"/>
    <w:rsid w:val="00E44CE3"/>
    <w:rsid w:val="00E455D2"/>
    <w:rsid w:val="00E4604D"/>
    <w:rsid w:val="00E46175"/>
    <w:rsid w:val="00E46793"/>
    <w:rsid w:val="00E479FD"/>
    <w:rsid w:val="00E47F84"/>
    <w:rsid w:val="00E50562"/>
    <w:rsid w:val="00E50725"/>
    <w:rsid w:val="00E51420"/>
    <w:rsid w:val="00E52223"/>
    <w:rsid w:val="00E530AD"/>
    <w:rsid w:val="00E533A7"/>
    <w:rsid w:val="00E5372A"/>
    <w:rsid w:val="00E53884"/>
    <w:rsid w:val="00E54229"/>
    <w:rsid w:val="00E545FB"/>
    <w:rsid w:val="00E54A29"/>
    <w:rsid w:val="00E54D12"/>
    <w:rsid w:val="00E54E0A"/>
    <w:rsid w:val="00E55255"/>
    <w:rsid w:val="00E55D84"/>
    <w:rsid w:val="00E5707C"/>
    <w:rsid w:val="00E602A1"/>
    <w:rsid w:val="00E60794"/>
    <w:rsid w:val="00E60B92"/>
    <w:rsid w:val="00E6136A"/>
    <w:rsid w:val="00E61879"/>
    <w:rsid w:val="00E618D6"/>
    <w:rsid w:val="00E619A8"/>
    <w:rsid w:val="00E62358"/>
    <w:rsid w:val="00E6260B"/>
    <w:rsid w:val="00E629F0"/>
    <w:rsid w:val="00E62B91"/>
    <w:rsid w:val="00E63076"/>
    <w:rsid w:val="00E633EE"/>
    <w:rsid w:val="00E636AD"/>
    <w:rsid w:val="00E63AE7"/>
    <w:rsid w:val="00E64905"/>
    <w:rsid w:val="00E64A32"/>
    <w:rsid w:val="00E64CE5"/>
    <w:rsid w:val="00E64FBE"/>
    <w:rsid w:val="00E65090"/>
    <w:rsid w:val="00E655E9"/>
    <w:rsid w:val="00E657D3"/>
    <w:rsid w:val="00E65CD8"/>
    <w:rsid w:val="00E661FA"/>
    <w:rsid w:val="00E67514"/>
    <w:rsid w:val="00E67B07"/>
    <w:rsid w:val="00E67B30"/>
    <w:rsid w:val="00E70B32"/>
    <w:rsid w:val="00E70DE9"/>
    <w:rsid w:val="00E70EAC"/>
    <w:rsid w:val="00E71438"/>
    <w:rsid w:val="00E71731"/>
    <w:rsid w:val="00E71F81"/>
    <w:rsid w:val="00E72159"/>
    <w:rsid w:val="00E7270A"/>
    <w:rsid w:val="00E727C6"/>
    <w:rsid w:val="00E73F18"/>
    <w:rsid w:val="00E74796"/>
    <w:rsid w:val="00E74903"/>
    <w:rsid w:val="00E749E3"/>
    <w:rsid w:val="00E74EA8"/>
    <w:rsid w:val="00E75C46"/>
    <w:rsid w:val="00E7703F"/>
    <w:rsid w:val="00E773B1"/>
    <w:rsid w:val="00E77420"/>
    <w:rsid w:val="00E77472"/>
    <w:rsid w:val="00E776F9"/>
    <w:rsid w:val="00E77BC3"/>
    <w:rsid w:val="00E80D21"/>
    <w:rsid w:val="00E80E2C"/>
    <w:rsid w:val="00E8120D"/>
    <w:rsid w:val="00E81AA7"/>
    <w:rsid w:val="00E81F75"/>
    <w:rsid w:val="00E82FFB"/>
    <w:rsid w:val="00E83020"/>
    <w:rsid w:val="00E846B6"/>
    <w:rsid w:val="00E85626"/>
    <w:rsid w:val="00E85C5C"/>
    <w:rsid w:val="00E85CE0"/>
    <w:rsid w:val="00E86180"/>
    <w:rsid w:val="00E86AC1"/>
    <w:rsid w:val="00E86C09"/>
    <w:rsid w:val="00E86F8C"/>
    <w:rsid w:val="00E8717E"/>
    <w:rsid w:val="00E87522"/>
    <w:rsid w:val="00E87705"/>
    <w:rsid w:val="00E87FA7"/>
    <w:rsid w:val="00E90AB4"/>
    <w:rsid w:val="00E9161C"/>
    <w:rsid w:val="00E917D0"/>
    <w:rsid w:val="00E934DD"/>
    <w:rsid w:val="00E936AB"/>
    <w:rsid w:val="00E93D84"/>
    <w:rsid w:val="00E9458D"/>
    <w:rsid w:val="00E94695"/>
    <w:rsid w:val="00E9481A"/>
    <w:rsid w:val="00E95075"/>
    <w:rsid w:val="00E952AB"/>
    <w:rsid w:val="00E95D83"/>
    <w:rsid w:val="00E9794B"/>
    <w:rsid w:val="00EA1122"/>
    <w:rsid w:val="00EA1299"/>
    <w:rsid w:val="00EA179E"/>
    <w:rsid w:val="00EA1A2A"/>
    <w:rsid w:val="00EA1CC3"/>
    <w:rsid w:val="00EA1DFA"/>
    <w:rsid w:val="00EA224B"/>
    <w:rsid w:val="00EA27AF"/>
    <w:rsid w:val="00EA2953"/>
    <w:rsid w:val="00EA2FE4"/>
    <w:rsid w:val="00EA37F7"/>
    <w:rsid w:val="00EA4448"/>
    <w:rsid w:val="00EA5279"/>
    <w:rsid w:val="00EA5F23"/>
    <w:rsid w:val="00EA6579"/>
    <w:rsid w:val="00EA685B"/>
    <w:rsid w:val="00EA6E97"/>
    <w:rsid w:val="00EA75EF"/>
    <w:rsid w:val="00EA7D78"/>
    <w:rsid w:val="00EA7EC4"/>
    <w:rsid w:val="00EB079F"/>
    <w:rsid w:val="00EB09BF"/>
    <w:rsid w:val="00EB138F"/>
    <w:rsid w:val="00EB1503"/>
    <w:rsid w:val="00EB1ECC"/>
    <w:rsid w:val="00EB2882"/>
    <w:rsid w:val="00EB37CD"/>
    <w:rsid w:val="00EB3C6D"/>
    <w:rsid w:val="00EB4364"/>
    <w:rsid w:val="00EB4E70"/>
    <w:rsid w:val="00EB4ED1"/>
    <w:rsid w:val="00EB5B27"/>
    <w:rsid w:val="00EB5F85"/>
    <w:rsid w:val="00EB5FCE"/>
    <w:rsid w:val="00EB63C7"/>
    <w:rsid w:val="00EB63D5"/>
    <w:rsid w:val="00EB64EB"/>
    <w:rsid w:val="00EB65EF"/>
    <w:rsid w:val="00EB673F"/>
    <w:rsid w:val="00EB74F1"/>
    <w:rsid w:val="00EB75AE"/>
    <w:rsid w:val="00EC055A"/>
    <w:rsid w:val="00EC0B5D"/>
    <w:rsid w:val="00EC0DCE"/>
    <w:rsid w:val="00EC184D"/>
    <w:rsid w:val="00EC1881"/>
    <w:rsid w:val="00EC20D2"/>
    <w:rsid w:val="00EC217A"/>
    <w:rsid w:val="00EC23AE"/>
    <w:rsid w:val="00EC333B"/>
    <w:rsid w:val="00EC356F"/>
    <w:rsid w:val="00EC3D08"/>
    <w:rsid w:val="00EC3DEE"/>
    <w:rsid w:val="00EC4066"/>
    <w:rsid w:val="00EC4468"/>
    <w:rsid w:val="00EC45C7"/>
    <w:rsid w:val="00EC48A6"/>
    <w:rsid w:val="00EC4C3B"/>
    <w:rsid w:val="00EC571B"/>
    <w:rsid w:val="00EC57CA"/>
    <w:rsid w:val="00EC5F25"/>
    <w:rsid w:val="00EC5F39"/>
    <w:rsid w:val="00EC68F1"/>
    <w:rsid w:val="00EC6BC0"/>
    <w:rsid w:val="00EC7371"/>
    <w:rsid w:val="00EC7797"/>
    <w:rsid w:val="00EC7D2B"/>
    <w:rsid w:val="00EC7F38"/>
    <w:rsid w:val="00ED012C"/>
    <w:rsid w:val="00ED0730"/>
    <w:rsid w:val="00ED084A"/>
    <w:rsid w:val="00ED0E2A"/>
    <w:rsid w:val="00ED0F29"/>
    <w:rsid w:val="00ED2144"/>
    <w:rsid w:val="00ED24D2"/>
    <w:rsid w:val="00ED283A"/>
    <w:rsid w:val="00ED33BD"/>
    <w:rsid w:val="00ED425A"/>
    <w:rsid w:val="00ED6564"/>
    <w:rsid w:val="00ED733E"/>
    <w:rsid w:val="00ED74DD"/>
    <w:rsid w:val="00EE00C3"/>
    <w:rsid w:val="00EE1754"/>
    <w:rsid w:val="00EE1AAD"/>
    <w:rsid w:val="00EE1B89"/>
    <w:rsid w:val="00EE257C"/>
    <w:rsid w:val="00EE2FD1"/>
    <w:rsid w:val="00EE3089"/>
    <w:rsid w:val="00EE34FE"/>
    <w:rsid w:val="00EE3C30"/>
    <w:rsid w:val="00EE3E78"/>
    <w:rsid w:val="00EE49C8"/>
    <w:rsid w:val="00EE5931"/>
    <w:rsid w:val="00EE5D2A"/>
    <w:rsid w:val="00EE65D1"/>
    <w:rsid w:val="00EE694E"/>
    <w:rsid w:val="00EE76FF"/>
    <w:rsid w:val="00EE7813"/>
    <w:rsid w:val="00EE7A8B"/>
    <w:rsid w:val="00EE7ABC"/>
    <w:rsid w:val="00EF0364"/>
    <w:rsid w:val="00EF05FA"/>
    <w:rsid w:val="00EF0C5A"/>
    <w:rsid w:val="00EF185E"/>
    <w:rsid w:val="00EF27EF"/>
    <w:rsid w:val="00EF35A2"/>
    <w:rsid w:val="00EF3709"/>
    <w:rsid w:val="00EF3E07"/>
    <w:rsid w:val="00EF58E9"/>
    <w:rsid w:val="00EF5C26"/>
    <w:rsid w:val="00EF6146"/>
    <w:rsid w:val="00EF6433"/>
    <w:rsid w:val="00EF6689"/>
    <w:rsid w:val="00EF6729"/>
    <w:rsid w:val="00EF7221"/>
    <w:rsid w:val="00EF77BA"/>
    <w:rsid w:val="00EF7913"/>
    <w:rsid w:val="00EF7A93"/>
    <w:rsid w:val="00EF7AC3"/>
    <w:rsid w:val="00EF7AF8"/>
    <w:rsid w:val="00F010F9"/>
    <w:rsid w:val="00F017BC"/>
    <w:rsid w:val="00F01976"/>
    <w:rsid w:val="00F02D7A"/>
    <w:rsid w:val="00F039CB"/>
    <w:rsid w:val="00F03D83"/>
    <w:rsid w:val="00F03FFB"/>
    <w:rsid w:val="00F04613"/>
    <w:rsid w:val="00F0514F"/>
    <w:rsid w:val="00F056DA"/>
    <w:rsid w:val="00F06B12"/>
    <w:rsid w:val="00F0711F"/>
    <w:rsid w:val="00F07628"/>
    <w:rsid w:val="00F07D4D"/>
    <w:rsid w:val="00F07FF0"/>
    <w:rsid w:val="00F1021E"/>
    <w:rsid w:val="00F10844"/>
    <w:rsid w:val="00F10871"/>
    <w:rsid w:val="00F112DF"/>
    <w:rsid w:val="00F11435"/>
    <w:rsid w:val="00F12169"/>
    <w:rsid w:val="00F12686"/>
    <w:rsid w:val="00F127A3"/>
    <w:rsid w:val="00F128A1"/>
    <w:rsid w:val="00F12D12"/>
    <w:rsid w:val="00F134A4"/>
    <w:rsid w:val="00F1413B"/>
    <w:rsid w:val="00F141ED"/>
    <w:rsid w:val="00F14883"/>
    <w:rsid w:val="00F1490A"/>
    <w:rsid w:val="00F14B56"/>
    <w:rsid w:val="00F1503E"/>
    <w:rsid w:val="00F1677E"/>
    <w:rsid w:val="00F1689D"/>
    <w:rsid w:val="00F171D0"/>
    <w:rsid w:val="00F17295"/>
    <w:rsid w:val="00F173C9"/>
    <w:rsid w:val="00F1779D"/>
    <w:rsid w:val="00F17C15"/>
    <w:rsid w:val="00F17D1A"/>
    <w:rsid w:val="00F17F61"/>
    <w:rsid w:val="00F2024E"/>
    <w:rsid w:val="00F20606"/>
    <w:rsid w:val="00F21154"/>
    <w:rsid w:val="00F2123D"/>
    <w:rsid w:val="00F2128C"/>
    <w:rsid w:val="00F21B84"/>
    <w:rsid w:val="00F21FAF"/>
    <w:rsid w:val="00F230F9"/>
    <w:rsid w:val="00F237A3"/>
    <w:rsid w:val="00F246FC"/>
    <w:rsid w:val="00F2544D"/>
    <w:rsid w:val="00F25BA6"/>
    <w:rsid w:val="00F25CCC"/>
    <w:rsid w:val="00F26F23"/>
    <w:rsid w:val="00F27113"/>
    <w:rsid w:val="00F275C0"/>
    <w:rsid w:val="00F304CF"/>
    <w:rsid w:val="00F31055"/>
    <w:rsid w:val="00F312F2"/>
    <w:rsid w:val="00F31AE4"/>
    <w:rsid w:val="00F325B4"/>
    <w:rsid w:val="00F327EE"/>
    <w:rsid w:val="00F336D2"/>
    <w:rsid w:val="00F336D9"/>
    <w:rsid w:val="00F33A8F"/>
    <w:rsid w:val="00F343E8"/>
    <w:rsid w:val="00F347FD"/>
    <w:rsid w:val="00F34F80"/>
    <w:rsid w:val="00F355DA"/>
    <w:rsid w:val="00F357B5"/>
    <w:rsid w:val="00F3598B"/>
    <w:rsid w:val="00F35B70"/>
    <w:rsid w:val="00F366BF"/>
    <w:rsid w:val="00F36727"/>
    <w:rsid w:val="00F37874"/>
    <w:rsid w:val="00F40D7F"/>
    <w:rsid w:val="00F40EC9"/>
    <w:rsid w:val="00F41154"/>
    <w:rsid w:val="00F412E6"/>
    <w:rsid w:val="00F4206E"/>
    <w:rsid w:val="00F4231B"/>
    <w:rsid w:val="00F42F71"/>
    <w:rsid w:val="00F43C29"/>
    <w:rsid w:val="00F44548"/>
    <w:rsid w:val="00F44715"/>
    <w:rsid w:val="00F44F01"/>
    <w:rsid w:val="00F44FD0"/>
    <w:rsid w:val="00F47310"/>
    <w:rsid w:val="00F47DAC"/>
    <w:rsid w:val="00F50319"/>
    <w:rsid w:val="00F50741"/>
    <w:rsid w:val="00F50BFE"/>
    <w:rsid w:val="00F50D82"/>
    <w:rsid w:val="00F51967"/>
    <w:rsid w:val="00F51E7A"/>
    <w:rsid w:val="00F524DE"/>
    <w:rsid w:val="00F526DF"/>
    <w:rsid w:val="00F5283C"/>
    <w:rsid w:val="00F52E82"/>
    <w:rsid w:val="00F539B3"/>
    <w:rsid w:val="00F53EBA"/>
    <w:rsid w:val="00F54705"/>
    <w:rsid w:val="00F54A72"/>
    <w:rsid w:val="00F55205"/>
    <w:rsid w:val="00F55F54"/>
    <w:rsid w:val="00F56668"/>
    <w:rsid w:val="00F569DF"/>
    <w:rsid w:val="00F56AD4"/>
    <w:rsid w:val="00F571B5"/>
    <w:rsid w:val="00F571F6"/>
    <w:rsid w:val="00F57D8B"/>
    <w:rsid w:val="00F604AC"/>
    <w:rsid w:val="00F61378"/>
    <w:rsid w:val="00F61998"/>
    <w:rsid w:val="00F61A3A"/>
    <w:rsid w:val="00F61A7D"/>
    <w:rsid w:val="00F61B3B"/>
    <w:rsid w:val="00F61D1C"/>
    <w:rsid w:val="00F61FD9"/>
    <w:rsid w:val="00F6207C"/>
    <w:rsid w:val="00F628B6"/>
    <w:rsid w:val="00F62956"/>
    <w:rsid w:val="00F62C1C"/>
    <w:rsid w:val="00F62ED5"/>
    <w:rsid w:val="00F62F2C"/>
    <w:rsid w:val="00F630E5"/>
    <w:rsid w:val="00F6361E"/>
    <w:rsid w:val="00F63A4A"/>
    <w:rsid w:val="00F63C94"/>
    <w:rsid w:val="00F63FE0"/>
    <w:rsid w:val="00F64153"/>
    <w:rsid w:val="00F643F4"/>
    <w:rsid w:val="00F645B2"/>
    <w:rsid w:val="00F64E48"/>
    <w:rsid w:val="00F64F04"/>
    <w:rsid w:val="00F65010"/>
    <w:rsid w:val="00F65087"/>
    <w:rsid w:val="00F6523D"/>
    <w:rsid w:val="00F65368"/>
    <w:rsid w:val="00F653C7"/>
    <w:rsid w:val="00F65409"/>
    <w:rsid w:val="00F65990"/>
    <w:rsid w:val="00F662E0"/>
    <w:rsid w:val="00F66633"/>
    <w:rsid w:val="00F6688F"/>
    <w:rsid w:val="00F66FA4"/>
    <w:rsid w:val="00F677B2"/>
    <w:rsid w:val="00F67925"/>
    <w:rsid w:val="00F702C7"/>
    <w:rsid w:val="00F706D1"/>
    <w:rsid w:val="00F7138C"/>
    <w:rsid w:val="00F717B8"/>
    <w:rsid w:val="00F7284F"/>
    <w:rsid w:val="00F729C4"/>
    <w:rsid w:val="00F729D7"/>
    <w:rsid w:val="00F72DC3"/>
    <w:rsid w:val="00F7324A"/>
    <w:rsid w:val="00F738D9"/>
    <w:rsid w:val="00F73A35"/>
    <w:rsid w:val="00F73E23"/>
    <w:rsid w:val="00F74590"/>
    <w:rsid w:val="00F74CA6"/>
    <w:rsid w:val="00F74DB5"/>
    <w:rsid w:val="00F7537B"/>
    <w:rsid w:val="00F7538A"/>
    <w:rsid w:val="00F75426"/>
    <w:rsid w:val="00F75864"/>
    <w:rsid w:val="00F75DBA"/>
    <w:rsid w:val="00F76118"/>
    <w:rsid w:val="00F7672C"/>
    <w:rsid w:val="00F76C47"/>
    <w:rsid w:val="00F77208"/>
    <w:rsid w:val="00F77947"/>
    <w:rsid w:val="00F77E8C"/>
    <w:rsid w:val="00F8056D"/>
    <w:rsid w:val="00F80849"/>
    <w:rsid w:val="00F80B7B"/>
    <w:rsid w:val="00F80E68"/>
    <w:rsid w:val="00F812FB"/>
    <w:rsid w:val="00F8157B"/>
    <w:rsid w:val="00F81AEB"/>
    <w:rsid w:val="00F81B4C"/>
    <w:rsid w:val="00F81C2F"/>
    <w:rsid w:val="00F81CDC"/>
    <w:rsid w:val="00F82855"/>
    <w:rsid w:val="00F829E0"/>
    <w:rsid w:val="00F82FD9"/>
    <w:rsid w:val="00F83174"/>
    <w:rsid w:val="00F83609"/>
    <w:rsid w:val="00F83B06"/>
    <w:rsid w:val="00F83F1A"/>
    <w:rsid w:val="00F84348"/>
    <w:rsid w:val="00F84A4F"/>
    <w:rsid w:val="00F852C9"/>
    <w:rsid w:val="00F873CE"/>
    <w:rsid w:val="00F8783A"/>
    <w:rsid w:val="00F87929"/>
    <w:rsid w:val="00F90065"/>
    <w:rsid w:val="00F909F5"/>
    <w:rsid w:val="00F90D18"/>
    <w:rsid w:val="00F90E9A"/>
    <w:rsid w:val="00F91C33"/>
    <w:rsid w:val="00F91D94"/>
    <w:rsid w:val="00F91E3D"/>
    <w:rsid w:val="00F92597"/>
    <w:rsid w:val="00F92759"/>
    <w:rsid w:val="00F927D8"/>
    <w:rsid w:val="00F92B01"/>
    <w:rsid w:val="00F935B2"/>
    <w:rsid w:val="00F9497A"/>
    <w:rsid w:val="00F94E95"/>
    <w:rsid w:val="00F94F6E"/>
    <w:rsid w:val="00F94FDB"/>
    <w:rsid w:val="00F950F7"/>
    <w:rsid w:val="00F957D8"/>
    <w:rsid w:val="00F969C0"/>
    <w:rsid w:val="00F972AC"/>
    <w:rsid w:val="00F974BA"/>
    <w:rsid w:val="00F975E2"/>
    <w:rsid w:val="00F97B99"/>
    <w:rsid w:val="00FA0437"/>
    <w:rsid w:val="00FA0532"/>
    <w:rsid w:val="00FA0605"/>
    <w:rsid w:val="00FA0ACB"/>
    <w:rsid w:val="00FA0F99"/>
    <w:rsid w:val="00FA1102"/>
    <w:rsid w:val="00FA135E"/>
    <w:rsid w:val="00FA148D"/>
    <w:rsid w:val="00FA1623"/>
    <w:rsid w:val="00FA1B00"/>
    <w:rsid w:val="00FA2171"/>
    <w:rsid w:val="00FA2341"/>
    <w:rsid w:val="00FA27A8"/>
    <w:rsid w:val="00FA27C6"/>
    <w:rsid w:val="00FA2DC7"/>
    <w:rsid w:val="00FA311A"/>
    <w:rsid w:val="00FA35F5"/>
    <w:rsid w:val="00FA36F9"/>
    <w:rsid w:val="00FA386F"/>
    <w:rsid w:val="00FA3B00"/>
    <w:rsid w:val="00FA3E61"/>
    <w:rsid w:val="00FA4599"/>
    <w:rsid w:val="00FA4DDA"/>
    <w:rsid w:val="00FA4E18"/>
    <w:rsid w:val="00FA51A5"/>
    <w:rsid w:val="00FA57B3"/>
    <w:rsid w:val="00FA5EC4"/>
    <w:rsid w:val="00FA64FA"/>
    <w:rsid w:val="00FA652A"/>
    <w:rsid w:val="00FA6C50"/>
    <w:rsid w:val="00FA6FEC"/>
    <w:rsid w:val="00FA7F9B"/>
    <w:rsid w:val="00FB08A5"/>
    <w:rsid w:val="00FB17AA"/>
    <w:rsid w:val="00FB204C"/>
    <w:rsid w:val="00FB24EC"/>
    <w:rsid w:val="00FB2AD0"/>
    <w:rsid w:val="00FB3070"/>
    <w:rsid w:val="00FB3CF7"/>
    <w:rsid w:val="00FB42F6"/>
    <w:rsid w:val="00FB5107"/>
    <w:rsid w:val="00FB5D61"/>
    <w:rsid w:val="00FB5F05"/>
    <w:rsid w:val="00FC05CB"/>
    <w:rsid w:val="00FC0644"/>
    <w:rsid w:val="00FC1D41"/>
    <w:rsid w:val="00FC1FE4"/>
    <w:rsid w:val="00FC29B5"/>
    <w:rsid w:val="00FC2E3B"/>
    <w:rsid w:val="00FC3654"/>
    <w:rsid w:val="00FC38CF"/>
    <w:rsid w:val="00FC39C6"/>
    <w:rsid w:val="00FC471F"/>
    <w:rsid w:val="00FC4ABE"/>
    <w:rsid w:val="00FC51CB"/>
    <w:rsid w:val="00FC65C1"/>
    <w:rsid w:val="00FC6EDE"/>
    <w:rsid w:val="00FC7101"/>
    <w:rsid w:val="00FC72CB"/>
    <w:rsid w:val="00FC76A1"/>
    <w:rsid w:val="00FC775B"/>
    <w:rsid w:val="00FC7A02"/>
    <w:rsid w:val="00FC7B45"/>
    <w:rsid w:val="00FC7D40"/>
    <w:rsid w:val="00FC7E19"/>
    <w:rsid w:val="00FD00C7"/>
    <w:rsid w:val="00FD01CF"/>
    <w:rsid w:val="00FD0486"/>
    <w:rsid w:val="00FD05AF"/>
    <w:rsid w:val="00FD0C2C"/>
    <w:rsid w:val="00FD0F69"/>
    <w:rsid w:val="00FD129C"/>
    <w:rsid w:val="00FD1AD1"/>
    <w:rsid w:val="00FD2077"/>
    <w:rsid w:val="00FD271F"/>
    <w:rsid w:val="00FD2D8B"/>
    <w:rsid w:val="00FD32FC"/>
    <w:rsid w:val="00FD3FE8"/>
    <w:rsid w:val="00FD434E"/>
    <w:rsid w:val="00FD4EDB"/>
    <w:rsid w:val="00FD5036"/>
    <w:rsid w:val="00FD5AA8"/>
    <w:rsid w:val="00FD5E06"/>
    <w:rsid w:val="00FD5EF0"/>
    <w:rsid w:val="00FD6B73"/>
    <w:rsid w:val="00FD6C4B"/>
    <w:rsid w:val="00FD7775"/>
    <w:rsid w:val="00FD7A34"/>
    <w:rsid w:val="00FD7DF6"/>
    <w:rsid w:val="00FE033A"/>
    <w:rsid w:val="00FE07D3"/>
    <w:rsid w:val="00FE115F"/>
    <w:rsid w:val="00FE123B"/>
    <w:rsid w:val="00FE1386"/>
    <w:rsid w:val="00FE232F"/>
    <w:rsid w:val="00FE2E31"/>
    <w:rsid w:val="00FE4260"/>
    <w:rsid w:val="00FE42E0"/>
    <w:rsid w:val="00FE4540"/>
    <w:rsid w:val="00FE4730"/>
    <w:rsid w:val="00FE4933"/>
    <w:rsid w:val="00FE4FBB"/>
    <w:rsid w:val="00FE545D"/>
    <w:rsid w:val="00FE5591"/>
    <w:rsid w:val="00FE55C9"/>
    <w:rsid w:val="00FE5DBD"/>
    <w:rsid w:val="00FE5F23"/>
    <w:rsid w:val="00FE7CBA"/>
    <w:rsid w:val="00FF0158"/>
    <w:rsid w:val="00FF0D53"/>
    <w:rsid w:val="00FF1251"/>
    <w:rsid w:val="00FF21F1"/>
    <w:rsid w:val="00FF24BA"/>
    <w:rsid w:val="00FF255A"/>
    <w:rsid w:val="00FF25DF"/>
    <w:rsid w:val="00FF2719"/>
    <w:rsid w:val="00FF386C"/>
    <w:rsid w:val="00FF42DD"/>
    <w:rsid w:val="00FF4678"/>
    <w:rsid w:val="00FF4D69"/>
    <w:rsid w:val="00FF5E00"/>
    <w:rsid w:val="00FF5F30"/>
    <w:rsid w:val="00FF5F8B"/>
    <w:rsid w:val="00FF6258"/>
    <w:rsid w:val="00FF6398"/>
    <w:rsid w:val="00FF7019"/>
    <w:rsid w:val="00FF70E6"/>
    <w:rsid w:val="01DA6108"/>
    <w:rsid w:val="01DB1EE8"/>
    <w:rsid w:val="02F812F2"/>
    <w:rsid w:val="038D4460"/>
    <w:rsid w:val="041E1EE3"/>
    <w:rsid w:val="049228D5"/>
    <w:rsid w:val="04F72D16"/>
    <w:rsid w:val="0652005E"/>
    <w:rsid w:val="06F058DD"/>
    <w:rsid w:val="08CE5984"/>
    <w:rsid w:val="0BAF62F0"/>
    <w:rsid w:val="0BB922F7"/>
    <w:rsid w:val="0CB05E92"/>
    <w:rsid w:val="0D0870BF"/>
    <w:rsid w:val="0D1E3F4A"/>
    <w:rsid w:val="0DF539C2"/>
    <w:rsid w:val="0E86485B"/>
    <w:rsid w:val="0F1A340C"/>
    <w:rsid w:val="12031914"/>
    <w:rsid w:val="136A6051"/>
    <w:rsid w:val="13E60198"/>
    <w:rsid w:val="14ED70C7"/>
    <w:rsid w:val="15BA5E7D"/>
    <w:rsid w:val="16A757F4"/>
    <w:rsid w:val="18830DD4"/>
    <w:rsid w:val="1A21769F"/>
    <w:rsid w:val="1A5B67CF"/>
    <w:rsid w:val="1BAB5718"/>
    <w:rsid w:val="1DBB5235"/>
    <w:rsid w:val="204C0E6E"/>
    <w:rsid w:val="208C4C12"/>
    <w:rsid w:val="216F4C33"/>
    <w:rsid w:val="218C326E"/>
    <w:rsid w:val="2280317E"/>
    <w:rsid w:val="22D25A57"/>
    <w:rsid w:val="233A5807"/>
    <w:rsid w:val="235D3C26"/>
    <w:rsid w:val="244E5F09"/>
    <w:rsid w:val="24732914"/>
    <w:rsid w:val="2ACF0E69"/>
    <w:rsid w:val="2B7C4AE2"/>
    <w:rsid w:val="2BAA70AD"/>
    <w:rsid w:val="2C0711BB"/>
    <w:rsid w:val="2C981343"/>
    <w:rsid w:val="2F494417"/>
    <w:rsid w:val="2FB764BE"/>
    <w:rsid w:val="30877B24"/>
    <w:rsid w:val="30CF28F1"/>
    <w:rsid w:val="312703EF"/>
    <w:rsid w:val="32960262"/>
    <w:rsid w:val="33063B9A"/>
    <w:rsid w:val="33ED3537"/>
    <w:rsid w:val="34292C3C"/>
    <w:rsid w:val="3452411C"/>
    <w:rsid w:val="34AD50E8"/>
    <w:rsid w:val="36607AFF"/>
    <w:rsid w:val="367A0ADA"/>
    <w:rsid w:val="36E60A41"/>
    <w:rsid w:val="37A737F2"/>
    <w:rsid w:val="383A1C4D"/>
    <w:rsid w:val="39F13728"/>
    <w:rsid w:val="3A112F7F"/>
    <w:rsid w:val="3ACC5BEA"/>
    <w:rsid w:val="3CA3072F"/>
    <w:rsid w:val="3D355592"/>
    <w:rsid w:val="40301EA3"/>
    <w:rsid w:val="41446AC5"/>
    <w:rsid w:val="43307B47"/>
    <w:rsid w:val="43D52A98"/>
    <w:rsid w:val="44754BD1"/>
    <w:rsid w:val="450F63B9"/>
    <w:rsid w:val="48ED682D"/>
    <w:rsid w:val="4A1F53C8"/>
    <w:rsid w:val="4DE7484D"/>
    <w:rsid w:val="4F8B18B2"/>
    <w:rsid w:val="522A6E3C"/>
    <w:rsid w:val="531731B5"/>
    <w:rsid w:val="53356B3D"/>
    <w:rsid w:val="53E3425C"/>
    <w:rsid w:val="55A757C9"/>
    <w:rsid w:val="56EE07E8"/>
    <w:rsid w:val="57467172"/>
    <w:rsid w:val="5823421F"/>
    <w:rsid w:val="59554858"/>
    <w:rsid w:val="5B455FB4"/>
    <w:rsid w:val="5B4B7476"/>
    <w:rsid w:val="5BBA6EBF"/>
    <w:rsid w:val="5BEE302F"/>
    <w:rsid w:val="5D23012E"/>
    <w:rsid w:val="5D7B66CD"/>
    <w:rsid w:val="5D816121"/>
    <w:rsid w:val="637E3F39"/>
    <w:rsid w:val="64AB4868"/>
    <w:rsid w:val="650D7AF7"/>
    <w:rsid w:val="664462F1"/>
    <w:rsid w:val="666475AA"/>
    <w:rsid w:val="66795EA3"/>
    <w:rsid w:val="684C733D"/>
    <w:rsid w:val="68AC30AA"/>
    <w:rsid w:val="69224896"/>
    <w:rsid w:val="6B1A31E8"/>
    <w:rsid w:val="6C4A514F"/>
    <w:rsid w:val="6D9A695C"/>
    <w:rsid w:val="6E667C87"/>
    <w:rsid w:val="70FB3DD3"/>
    <w:rsid w:val="716977F1"/>
    <w:rsid w:val="730D08B5"/>
    <w:rsid w:val="754927F1"/>
    <w:rsid w:val="75D643D6"/>
    <w:rsid w:val="77053824"/>
    <w:rsid w:val="78AE0DC0"/>
    <w:rsid w:val="7A7D0FD7"/>
    <w:rsid w:val="7C0A6191"/>
    <w:rsid w:val="7DA37AAE"/>
    <w:rsid w:val="7F3D2DF1"/>
  </w:rsids>
  <w:docVars>
    <w:docVar w:name="commondata" w:val="eyJoZGlkIjoiNDk5ODZkNDc2NmM1YzZmODBlNGQ1ZGFkMmVlODQ5MDY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qFormat="1"/>
    <w:lsdException w:name="index 2" w:uiPriority="0" w:qFormat="1"/>
    <w:lsdException w:name="index 3" w:uiPriority="0" w:qFormat="1"/>
    <w:lsdException w:name="index 4" w:uiPriority="0" w:qFormat="1"/>
    <w:lsdException w:name="index 5" w:uiPriority="0" w:qFormat="1"/>
    <w:lsdException w:name="index 6" w:uiPriority="0" w:qFormat="1"/>
    <w:lsdException w:name="index 7" w:uiPriority="0" w:qFormat="1"/>
    <w:lsdException w:name="index 8" w:uiPriority="0" w:qFormat="1"/>
    <w:lsdException w:name="index 9" w:uiPriority="0" w:qFormat="1"/>
    <w:lsdException w:name="toc 1" w:uiPriority="0" w:qFormat="1"/>
    <w:lsdException w:name="toc 2" w:semiHidden="0" w:uiPriority="0" w:unhideWhenUsed="0"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semiHidden="0" w:uiPriority="0" w:unhideWhenUsed="0" w:qFormat="1"/>
    <w:lsdException w:name="footnote text" w:uiPriority="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uiPriority="0" w:qFormat="1"/>
    <w:lsdException w:name="caption" w:semiHidden="0" w:uiPriority="35" w:unhideWhenUsed="0" w:qFormat="1"/>
    <w:lsdException w:name="table of figures" w:uiPriority="0" w:qFormat="1"/>
    <w:lsdException w:name="envelope address" w:uiPriority="0" w:qFormat="1"/>
    <w:lsdException w:name="envelope return" w:uiPriority="0"/>
    <w:lsdException w:name="footnote reference" w:uiPriority="0"/>
    <w:lsdException w:name="annotation reference" w:semiHidden="0" w:uiPriority="0" w:unhideWhenUsed="0" w:qFormat="1"/>
    <w:lsdException w:name="line number" w:uiPriority="0"/>
    <w:lsdException w:name="page number" w:semiHidden="0" w:uiPriority="0" w:unhideWhenUsed="0" w:qFormat="1"/>
    <w:lsdException w:name="endnote reference" w:uiPriority="0"/>
    <w:lsdException w:name="endnote text" w:uiPriority="0" w:qFormat="1"/>
    <w:lsdException w:name="table of authorities" w:uiPriority="0" w:qFormat="1"/>
    <w:lsdException w:name="macro" w:uiPriority="0" w:qFormat="1"/>
    <w:lsdException w:name="toa heading" w:uiPriority="0" w:qFormat="1"/>
    <w:lsdException w:name="List" w:semiHidden="0" w:uiPriority="0" w:unhideWhenUsed="0" w:qFormat="1"/>
    <w:lsdException w:name="List Bullet" w:uiPriority="0" w:qFormat="1"/>
    <w:lsdException w:name="List Number" w:semiHidden="0" w:uiPriority="0" w:unhideWhenUsed="0" w:qFormat="1"/>
    <w:lsdException w:name="List 2" w:semiHidden="0" w:uiPriority="0" w:unhideWhenUsed="0" w:qFormat="1"/>
    <w:lsdException w:name="List 3" w:uiPriority="0" w:qFormat="1"/>
    <w:lsdException w:name="List 4" w:semiHidden="0" w:uiPriority="0" w:unhideWhenUsed="0" w:qFormat="1"/>
    <w:lsdException w:name="List 5" w:semiHidden="0" w:uiPriority="0" w:unhideWhenUsed="0" w:qFormat="1"/>
    <w:lsdException w:name="List Bullet 2" w:uiPriority="0" w:qFormat="1"/>
    <w:lsdException w:name="List Bullet 3" w:uiPriority="0" w:qFormat="1"/>
    <w:lsdException w:name="List Bullet 4" w:uiPriority="0" w:qFormat="1"/>
    <w:lsdException w:name="List Bullet 5" w:uiPriority="0" w:qFormat="1"/>
    <w:lsdException w:name="List Number 2" w:uiPriority="0" w:qFormat="1"/>
    <w:lsdException w:name="List Number 3" w:uiPriority="0" w:qFormat="1"/>
    <w:lsdException w:name="List Number 4" w:uiPriority="0" w:qFormat="1"/>
    <w:lsdException w:name="List Number 5" w:uiPriority="0" w:qFormat="1"/>
    <w:lsdException w:name="Title" w:semiHidden="0" w:uiPriority="0" w:unhideWhenUsed="0" w:qFormat="1"/>
    <w:lsdException w:name="Closing" w:uiPriority="0" w:qFormat="1"/>
    <w:lsdException w:name="Signature" w:uiPriority="0" w:qFormat="1"/>
    <w:lsdException w:name="Default Paragraph Font" w:uiPriority="1"/>
    <w:lsdException w:name="Body Text" w:semiHidden="0" w:uiPriority="0" w:unhideWhenUsed="0" w:qFormat="1"/>
    <w:lsdException w:name="Body Text Indent" w:semiHidden="0" w:uiPriority="0" w:unhideWhenUsed="0" w:qFormat="1"/>
    <w:lsdException w:name="List Continue" w:uiPriority="0" w:qFormat="1"/>
    <w:lsdException w:name="List Continue 2" w:uiPriority="0" w:qFormat="1"/>
    <w:lsdException w:name="List Continue 3" w:uiPriority="0" w:qFormat="1"/>
    <w:lsdException w:name="List Continue 4" w:uiPriority="0" w:qFormat="1"/>
    <w:lsdException w:name="List Continue 5" w:uiPriority="0"/>
    <w:lsdException w:name="Message Header" w:uiPriority="0" w:qFormat="1"/>
    <w:lsdException w:name="Subtitle" w:semiHidden="0" w:uiPriority="0" w:unhideWhenUsed="0" w:qFormat="1"/>
    <w:lsdException w:name="Salutation" w:semiHidden="0" w:uiPriority="0" w:unhideWhenUsed="0" w:qFormat="1"/>
    <w:lsdException w:name="Date" w:semiHidden="0" w:uiPriority="0" w:unhideWhenUsed="0" w:qFormat="1"/>
    <w:lsdException w:name="Body Text First Indent" w:semiHidden="0" w:uiPriority="0" w:unhideWhenUsed="0" w:qFormat="1"/>
    <w:lsdException w:name="Body Text First Indent 2" w:uiPriority="0" w:qFormat="1"/>
    <w:lsdException w:name="Note Heading" w:uiPriority="0" w:qFormat="1"/>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qFormat="1"/>
    <w:lsdException w:name="Block Text" w:semiHidden="0" w:uiPriority="0" w:unhideWhenUsed="0" w:qFormat="1"/>
    <w:lsdException w:name="Hyperlink" w:semiHidden="0" w:qFormat="1"/>
    <w:lsdException w:name="FollowedHyperlink" w:uiPriority="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qFormat="1"/>
    <w:lsdException w:name="E-mail Signature" w:uiPriority="0" w:qFormat="1"/>
    <w:lsdException w:name="Normal (Web)" w:semiHidden="0" w:uiPriority="0" w:unhideWhenUsed="0" w:qFormat="1"/>
    <w:lsdException w:name="HTML Acronym" w:uiPriority="0"/>
    <w:lsdException w:name="HTML Address" w:uiPriority="0" w:qFormat="1"/>
    <w:lsdException w:name="HTML Cite" w:uiPriority="0"/>
    <w:lsdException w:name="HTML Code" w:uiPriority="0"/>
    <w:lsdException w:name="HTML Definition" w:uiPriority="0"/>
    <w:lsdException w:name="HTML Keyboard" w:uiPriority="0"/>
    <w:lsdException w:name="HTML Preformatted" w:semiHidden="0" w:qFormat="1"/>
    <w:lsdException w:name="HTML Sample" w:uiPriority="0"/>
    <w:lsdException w:name="HTML Typewriter" w:uiPriority="0"/>
    <w:lsdException w:name="HTML Variable" w:uiPriority="0"/>
    <w:lsdException w:name="Normal Table"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39" w:unhideWhenUsed="0" w:qFormat="1"/>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200" w:firstLineChars="200"/>
      <w:jc w:val="both"/>
    </w:pPr>
    <w:rPr>
      <w:rFonts w:ascii="Times New Roman" w:eastAsia="宋体" w:hAnsi="Times New Roman" w:cs="Times New Roman"/>
      <w:kern w:val="2"/>
      <w:sz w:val="21"/>
      <w:szCs w:val="21"/>
      <w:lang w:val="en-US" w:eastAsia="zh-CN" w:bidi="ar-SA"/>
    </w:rPr>
  </w:style>
  <w:style w:type="paragraph" w:styleId="Heading1">
    <w:name w:val="heading 1"/>
    <w:basedOn w:val="Normal"/>
    <w:next w:val="Normal"/>
    <w:link w:val="1Char"/>
    <w:qFormat/>
    <w:pPr>
      <w:keepNext/>
      <w:keepLines/>
      <w:autoSpaceDE w:val="0"/>
      <w:autoSpaceDN w:val="0"/>
      <w:jc w:val="left"/>
      <w:textAlignment w:val="baseline"/>
      <w:outlineLvl w:val="0"/>
    </w:pPr>
    <w:rPr>
      <w:rFonts w:eastAsia="黑体"/>
      <w:kern w:val="0"/>
      <w:sz w:val="28"/>
      <w:szCs w:val="20"/>
    </w:rPr>
  </w:style>
  <w:style w:type="paragraph" w:styleId="Heading2">
    <w:name w:val="heading 2"/>
    <w:basedOn w:val="Normal"/>
    <w:next w:val="Normal"/>
    <w:autoRedefine/>
    <w:qFormat/>
    <w:pPr>
      <w:keepNext/>
      <w:keepLines/>
      <w:numPr>
        <w:ilvl w:val="1"/>
        <w:numId w:val="1"/>
      </w:numPr>
      <w:autoSpaceDE w:val="0"/>
      <w:autoSpaceDN w:val="0"/>
      <w:adjustRightInd w:val="0"/>
      <w:spacing w:before="100" w:after="60"/>
      <w:jc w:val="center"/>
      <w:textAlignment w:val="baseline"/>
      <w:outlineLvl w:val="1"/>
    </w:pPr>
    <w:rPr>
      <w:rFonts w:eastAsia="黑体"/>
      <w:kern w:val="0"/>
      <w:szCs w:val="20"/>
    </w:rPr>
  </w:style>
  <w:style w:type="paragraph" w:styleId="Heading3">
    <w:name w:val="heading 3"/>
    <w:basedOn w:val="Normal"/>
    <w:next w:val="Normal"/>
    <w:link w:val="3Char0"/>
    <w:autoRedefine/>
    <w:uiPriority w:val="99"/>
    <w:qFormat/>
    <w:pPr>
      <w:keepNext/>
      <w:keepLines/>
      <w:numPr>
        <w:ilvl w:val="2"/>
        <w:numId w:val="1"/>
      </w:numPr>
      <w:autoSpaceDE w:val="0"/>
      <w:autoSpaceDN w:val="0"/>
      <w:adjustRightInd w:val="0"/>
      <w:spacing w:before="20" w:after="20" w:line="288" w:lineRule="auto"/>
      <w:jc w:val="left"/>
      <w:textAlignment w:val="baseline"/>
      <w:outlineLvl w:val="2"/>
    </w:pPr>
    <w:rPr>
      <w:rFonts w:eastAsia="黑体"/>
      <w:kern w:val="0"/>
      <w:sz w:val="28"/>
      <w:szCs w:val="20"/>
    </w:rPr>
  </w:style>
  <w:style w:type="paragraph" w:styleId="Heading4">
    <w:name w:val="heading 4"/>
    <w:basedOn w:val="Normal"/>
    <w:next w:val="Normal"/>
    <w:autoRedefine/>
    <w:qFormat/>
    <w:pPr>
      <w:keepNext/>
      <w:keepLines/>
      <w:numPr>
        <w:ilvl w:val="3"/>
        <w:numId w:val="1"/>
      </w:numPr>
      <w:autoSpaceDE w:val="0"/>
      <w:autoSpaceDN w:val="0"/>
      <w:adjustRightInd w:val="0"/>
      <w:spacing w:before="20" w:line="288" w:lineRule="auto"/>
      <w:jc w:val="left"/>
      <w:textAlignment w:val="baseline"/>
      <w:outlineLvl w:val="3"/>
    </w:pPr>
    <w:rPr>
      <w:rFonts w:eastAsia="长城楷体"/>
      <w:b/>
      <w:kern w:val="0"/>
      <w:sz w:val="28"/>
      <w:szCs w:val="20"/>
    </w:rPr>
  </w:style>
  <w:style w:type="paragraph" w:styleId="Heading5">
    <w:name w:val="heading 5"/>
    <w:basedOn w:val="Normal"/>
    <w:next w:val="Normal"/>
    <w:autoRedefine/>
    <w:qFormat/>
    <w:pPr>
      <w:keepNext/>
      <w:keepLines/>
      <w:numPr>
        <w:ilvl w:val="4"/>
        <w:numId w:val="1"/>
      </w:numPr>
      <w:autoSpaceDE w:val="0"/>
      <w:autoSpaceDN w:val="0"/>
      <w:adjustRightInd w:val="0"/>
      <w:spacing w:line="288" w:lineRule="auto"/>
      <w:jc w:val="left"/>
      <w:textAlignment w:val="baseline"/>
      <w:outlineLvl w:val="4"/>
    </w:pPr>
    <w:rPr>
      <w:b/>
      <w:kern w:val="0"/>
      <w:szCs w:val="20"/>
    </w:rPr>
  </w:style>
  <w:style w:type="paragraph" w:styleId="Heading6">
    <w:name w:val="heading 6"/>
    <w:basedOn w:val="Normal"/>
    <w:next w:val="Normal"/>
    <w:autoRedefine/>
    <w:qFormat/>
    <w:pPr>
      <w:keepNext/>
      <w:keepLines/>
      <w:numPr>
        <w:ilvl w:val="5"/>
        <w:numId w:val="1"/>
      </w:numPr>
      <w:autoSpaceDE w:val="0"/>
      <w:autoSpaceDN w:val="0"/>
      <w:adjustRightInd w:val="0"/>
      <w:spacing w:before="240" w:after="64" w:line="320" w:lineRule="auto"/>
      <w:jc w:val="left"/>
      <w:textAlignment w:val="baseline"/>
      <w:outlineLvl w:val="5"/>
    </w:pPr>
    <w:rPr>
      <w:rFonts w:ascii="Arial" w:eastAsia="黑体" w:hAnsi="Arial"/>
      <w:b/>
      <w:kern w:val="0"/>
      <w:szCs w:val="20"/>
    </w:rPr>
  </w:style>
  <w:style w:type="paragraph" w:styleId="Heading7">
    <w:name w:val="heading 7"/>
    <w:basedOn w:val="Normal"/>
    <w:next w:val="Normal"/>
    <w:autoRedefine/>
    <w:qFormat/>
    <w:pPr>
      <w:keepNext/>
      <w:keepLines/>
      <w:numPr>
        <w:ilvl w:val="6"/>
        <w:numId w:val="1"/>
      </w:numPr>
      <w:autoSpaceDE w:val="0"/>
      <w:autoSpaceDN w:val="0"/>
      <w:adjustRightInd w:val="0"/>
      <w:spacing w:before="240" w:after="64" w:line="320" w:lineRule="auto"/>
      <w:jc w:val="left"/>
      <w:textAlignment w:val="baseline"/>
      <w:outlineLvl w:val="6"/>
    </w:pPr>
    <w:rPr>
      <w:b/>
      <w:kern w:val="0"/>
      <w:szCs w:val="20"/>
    </w:rPr>
  </w:style>
  <w:style w:type="paragraph" w:styleId="Heading8">
    <w:name w:val="heading 8"/>
    <w:basedOn w:val="Normal"/>
    <w:next w:val="Normal"/>
    <w:autoRedefine/>
    <w:qFormat/>
    <w:pPr>
      <w:keepNext/>
      <w:keepLines/>
      <w:numPr>
        <w:ilvl w:val="7"/>
        <w:numId w:val="1"/>
      </w:numPr>
      <w:autoSpaceDE w:val="0"/>
      <w:autoSpaceDN w:val="0"/>
      <w:adjustRightInd w:val="0"/>
      <w:spacing w:before="240" w:after="64" w:line="320" w:lineRule="auto"/>
      <w:jc w:val="left"/>
      <w:textAlignment w:val="baseline"/>
      <w:outlineLvl w:val="7"/>
    </w:pPr>
    <w:rPr>
      <w:rFonts w:ascii="Arial" w:eastAsia="黑体" w:hAnsi="Arial"/>
      <w:kern w:val="0"/>
      <w:szCs w:val="20"/>
    </w:rPr>
  </w:style>
  <w:style w:type="paragraph" w:styleId="Heading9">
    <w:name w:val="heading 9"/>
    <w:basedOn w:val="Normal"/>
    <w:next w:val="Normal"/>
    <w:autoRedefine/>
    <w:qFormat/>
    <w:pPr>
      <w:keepNext/>
      <w:keepLines/>
      <w:numPr>
        <w:ilvl w:val="8"/>
        <w:numId w:val="1"/>
      </w:numPr>
      <w:autoSpaceDE w:val="0"/>
      <w:autoSpaceDN w:val="0"/>
      <w:adjustRightInd w:val="0"/>
      <w:spacing w:before="240" w:after="64" w:line="320" w:lineRule="auto"/>
      <w:jc w:val="left"/>
      <w:textAlignment w:val="baseline"/>
      <w:outlineLvl w:val="8"/>
    </w:pPr>
    <w:rPr>
      <w:rFonts w:ascii="Arial" w:eastAsia="黑体" w:hAnsi="Arial"/>
      <w:kern w:val="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Macro">
    <w:name w:val="macro"/>
    <w:link w:val="Char20"/>
    <w:semiHidden/>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ind w:firstLine="200" w:firstLineChars="200"/>
    </w:pPr>
    <w:rPr>
      <w:rFonts w:ascii="Courier New" w:eastAsia="宋体" w:hAnsi="Courier New" w:cs="Courier New"/>
      <w:kern w:val="2"/>
      <w:sz w:val="24"/>
      <w:szCs w:val="24"/>
      <w:lang w:val="en-US" w:eastAsia="zh-CN" w:bidi="ar-SA"/>
    </w:rPr>
  </w:style>
  <w:style w:type="paragraph" w:styleId="List3">
    <w:name w:val="List 3"/>
    <w:basedOn w:val="Normal"/>
    <w:semiHidden/>
    <w:unhideWhenUsed/>
    <w:qFormat/>
    <w:pPr>
      <w:ind w:left="100" w:hanging="200" w:leftChars="400" w:hangingChars="200"/>
      <w:contextualSpacing/>
    </w:pPr>
  </w:style>
  <w:style w:type="paragraph" w:styleId="TOC7">
    <w:name w:val="toc 7"/>
    <w:basedOn w:val="Normal"/>
    <w:next w:val="Normal"/>
    <w:autoRedefine/>
    <w:semiHidden/>
    <w:unhideWhenUsed/>
    <w:qFormat/>
    <w:pPr>
      <w:ind w:left="2520" w:leftChars="1200"/>
    </w:pPr>
  </w:style>
  <w:style w:type="paragraph" w:styleId="ListNumber2">
    <w:name w:val="List Number 2"/>
    <w:basedOn w:val="Normal"/>
    <w:semiHidden/>
    <w:unhideWhenUsed/>
    <w:qFormat/>
    <w:pPr>
      <w:numPr>
        <w:ilvl w:val="0"/>
        <w:numId w:val="2"/>
      </w:numPr>
      <w:tabs>
        <w:tab w:val="left" w:pos="360"/>
        <w:tab w:val="clear" w:pos="780"/>
      </w:tabs>
      <w:ind w:left="0" w:firstLine="200" w:leftChars="0" w:firstLineChars="200"/>
      <w:contextualSpacing/>
    </w:pPr>
  </w:style>
  <w:style w:type="paragraph" w:styleId="TableofAuthorities">
    <w:name w:val="table of authorities"/>
    <w:basedOn w:val="Normal"/>
    <w:next w:val="Normal"/>
    <w:semiHidden/>
    <w:unhideWhenUsed/>
    <w:qFormat/>
    <w:pPr>
      <w:ind w:left="420" w:firstLine="0" w:leftChars="200"/>
    </w:pPr>
  </w:style>
  <w:style w:type="paragraph" w:styleId="NoteHeading">
    <w:name w:val="Note Heading"/>
    <w:basedOn w:val="Normal"/>
    <w:next w:val="Normal"/>
    <w:link w:val="Char27"/>
    <w:semiHidden/>
    <w:unhideWhenUsed/>
    <w:qFormat/>
    <w:pPr>
      <w:jc w:val="center"/>
    </w:pPr>
  </w:style>
  <w:style w:type="paragraph" w:styleId="ListBullet4">
    <w:name w:val="List Bullet 4"/>
    <w:basedOn w:val="Normal"/>
    <w:semiHidden/>
    <w:unhideWhenUsed/>
    <w:qFormat/>
    <w:pPr>
      <w:numPr>
        <w:ilvl w:val="0"/>
        <w:numId w:val="3"/>
      </w:numPr>
      <w:contextualSpacing/>
    </w:pPr>
  </w:style>
  <w:style w:type="paragraph" w:styleId="Index8">
    <w:name w:val="index 8"/>
    <w:basedOn w:val="Normal"/>
    <w:next w:val="Normal"/>
    <w:semiHidden/>
    <w:unhideWhenUsed/>
    <w:qFormat/>
    <w:pPr>
      <w:ind w:left="1400" w:firstLine="0" w:leftChars="1400"/>
    </w:pPr>
  </w:style>
  <w:style w:type="paragraph" w:styleId="E-mailSignature">
    <w:name w:val="E-mail Signature"/>
    <w:basedOn w:val="Normal"/>
    <w:link w:val="Char18"/>
    <w:semiHidden/>
    <w:unhideWhenUsed/>
    <w:qFormat/>
  </w:style>
  <w:style w:type="paragraph" w:styleId="ListNumber">
    <w:name w:val="List Number"/>
    <w:basedOn w:val="Normal"/>
    <w:qFormat/>
    <w:pPr>
      <w:numPr>
        <w:ilvl w:val="0"/>
        <w:numId w:val="4"/>
      </w:numPr>
      <w:contextualSpacing/>
    </w:pPr>
  </w:style>
  <w:style w:type="paragraph" w:styleId="NormalIndent">
    <w:name w:val="Normal Indent"/>
    <w:basedOn w:val="Normal"/>
    <w:link w:val="Char7"/>
    <w:qFormat/>
    <w:pPr>
      <w:ind w:left="200" w:firstLine="420" w:leftChars="200" w:firstLineChars="0"/>
      <w:jc w:val="left"/>
    </w:pPr>
    <w:rPr>
      <w:szCs w:val="20"/>
    </w:rPr>
  </w:style>
  <w:style w:type="paragraph" w:styleId="Caption">
    <w:name w:val="caption"/>
    <w:basedOn w:val="Normal"/>
    <w:next w:val="Normal"/>
    <w:link w:val="Char4"/>
    <w:uiPriority w:val="35"/>
    <w:qFormat/>
    <w:pPr>
      <w:adjustRightInd w:val="0"/>
      <w:snapToGrid w:val="0"/>
      <w:ind w:left="200" w:firstLine="0" w:leftChars="200" w:firstLineChars="0"/>
      <w:jc w:val="center"/>
    </w:pPr>
    <w:rPr>
      <w:rFonts w:eastAsia="黑体"/>
      <w:szCs w:val="20"/>
    </w:rPr>
  </w:style>
  <w:style w:type="paragraph" w:styleId="Index5">
    <w:name w:val="index 5"/>
    <w:basedOn w:val="Normal"/>
    <w:next w:val="Normal"/>
    <w:semiHidden/>
    <w:unhideWhenUsed/>
    <w:qFormat/>
    <w:pPr>
      <w:ind w:left="800" w:firstLine="0" w:leftChars="800"/>
    </w:pPr>
  </w:style>
  <w:style w:type="paragraph" w:styleId="ListBullet">
    <w:name w:val="List Bullet"/>
    <w:basedOn w:val="Normal"/>
    <w:semiHidden/>
    <w:unhideWhenUsed/>
    <w:qFormat/>
    <w:pPr>
      <w:numPr>
        <w:ilvl w:val="0"/>
        <w:numId w:val="5"/>
      </w:numPr>
      <w:contextualSpacing/>
    </w:pPr>
  </w:style>
  <w:style w:type="paragraph" w:styleId="EnvelopeAddress">
    <w:name w:val="envelope address"/>
    <w:basedOn w:val="Normal"/>
    <w:semiHidden/>
    <w:unhideWhenUsed/>
    <w:qFormat/>
    <w:pPr>
      <w:framePr w:w="7920" w:h="1980" w:hRule="exact" w:hSpace="180" w:wrap="around" w:vAnchor="margin" w:hAnchor="page" w:xAlign="center" w:yAlign="bottom"/>
      <w:snapToGrid w:val="0"/>
      <w:ind w:left="100" w:leftChars="1400"/>
    </w:pPr>
    <w:rPr>
      <w:rFonts w:asciiTheme="majorHAnsi" w:eastAsiaTheme="majorEastAsia" w:hAnsiTheme="majorHAnsi" w:cstheme="majorBidi"/>
      <w:sz w:val="24"/>
      <w:szCs w:val="24"/>
    </w:rPr>
  </w:style>
  <w:style w:type="paragraph" w:styleId="DocumentMap">
    <w:name w:val="Document Map"/>
    <w:basedOn w:val="Normal"/>
    <w:semiHidden/>
    <w:qFormat/>
    <w:pPr>
      <w:shd w:val="clear" w:color="auto" w:fill="000080"/>
    </w:pPr>
  </w:style>
  <w:style w:type="paragraph" w:styleId="TOAHeading">
    <w:name w:val="toa heading"/>
    <w:basedOn w:val="Normal"/>
    <w:next w:val="Normal"/>
    <w:semiHidden/>
    <w:unhideWhenUsed/>
    <w:qFormat/>
    <w:pPr>
      <w:spacing w:before="120"/>
    </w:pPr>
    <w:rPr>
      <w:rFonts w:asciiTheme="majorHAnsi" w:hAnsiTheme="majorHAnsi" w:cstheme="majorBidi"/>
      <w:sz w:val="24"/>
      <w:szCs w:val="24"/>
    </w:rPr>
  </w:style>
  <w:style w:type="paragraph" w:styleId="CommentText">
    <w:name w:val="annotation text"/>
    <w:basedOn w:val="Normal"/>
    <w:link w:val="Char14"/>
    <w:qFormat/>
    <w:pPr>
      <w:jc w:val="left"/>
    </w:pPr>
  </w:style>
  <w:style w:type="paragraph" w:styleId="Index6">
    <w:name w:val="index 6"/>
    <w:basedOn w:val="Normal"/>
    <w:next w:val="Normal"/>
    <w:semiHidden/>
    <w:unhideWhenUsed/>
    <w:qFormat/>
    <w:pPr>
      <w:ind w:left="1000" w:firstLine="0" w:leftChars="1000"/>
    </w:pPr>
  </w:style>
  <w:style w:type="paragraph" w:styleId="Salutation">
    <w:name w:val="Salutation"/>
    <w:basedOn w:val="Normal"/>
    <w:next w:val="Normal"/>
    <w:link w:val="Char17"/>
    <w:qFormat/>
  </w:style>
  <w:style w:type="paragraph" w:styleId="BodyText3">
    <w:name w:val="Body Text 3"/>
    <w:basedOn w:val="Normal"/>
    <w:link w:val="3Char"/>
    <w:autoRedefine/>
    <w:qFormat/>
    <w:pPr>
      <w:spacing w:line="300" w:lineRule="exact"/>
      <w:ind w:left="200" w:firstLine="0" w:leftChars="200" w:firstLineChars="0"/>
      <w:jc w:val="left"/>
    </w:pPr>
    <w:rPr>
      <w:rFonts w:hAnsi="宋体"/>
      <w:color w:val="000000"/>
    </w:rPr>
  </w:style>
  <w:style w:type="paragraph" w:styleId="Closing">
    <w:name w:val="Closing"/>
    <w:basedOn w:val="Normal"/>
    <w:link w:val="Char22"/>
    <w:semiHidden/>
    <w:unhideWhenUsed/>
    <w:qFormat/>
    <w:pPr>
      <w:ind w:left="100" w:leftChars="2100"/>
    </w:pPr>
  </w:style>
  <w:style w:type="paragraph" w:styleId="ListBullet3">
    <w:name w:val="List Bullet 3"/>
    <w:basedOn w:val="Normal"/>
    <w:semiHidden/>
    <w:unhideWhenUsed/>
    <w:qFormat/>
    <w:pPr>
      <w:numPr>
        <w:ilvl w:val="0"/>
        <w:numId w:val="6"/>
      </w:numPr>
      <w:contextualSpacing/>
    </w:pPr>
  </w:style>
  <w:style w:type="paragraph" w:styleId="BodyText">
    <w:name w:val="Body Text"/>
    <w:basedOn w:val="Normal"/>
    <w:link w:val="Char8"/>
    <w:qFormat/>
    <w:rPr>
      <w:szCs w:val="20"/>
    </w:rPr>
  </w:style>
  <w:style w:type="paragraph" w:styleId="BodyTextIndent">
    <w:name w:val="Body Text Indent"/>
    <w:basedOn w:val="Normal"/>
    <w:link w:val="Char111"/>
    <w:qFormat/>
    <w:pPr>
      <w:spacing w:line="460" w:lineRule="exact"/>
      <w:ind w:firstLine="480"/>
    </w:pPr>
    <w:rPr>
      <w:rFonts w:eastAsia="方正宋三简体"/>
      <w:szCs w:val="20"/>
    </w:rPr>
  </w:style>
  <w:style w:type="paragraph" w:styleId="ListNumber3">
    <w:name w:val="List Number 3"/>
    <w:basedOn w:val="Normal"/>
    <w:semiHidden/>
    <w:unhideWhenUsed/>
    <w:qFormat/>
    <w:pPr>
      <w:numPr>
        <w:ilvl w:val="0"/>
        <w:numId w:val="7"/>
      </w:numPr>
      <w:contextualSpacing/>
    </w:pPr>
  </w:style>
  <w:style w:type="paragraph" w:styleId="List2">
    <w:name w:val="List 2"/>
    <w:basedOn w:val="Normal"/>
    <w:qFormat/>
    <w:pPr>
      <w:ind w:left="100" w:hanging="200" w:leftChars="200" w:hangingChars="200"/>
      <w:contextualSpacing/>
      <w:jc w:val="left"/>
    </w:pPr>
  </w:style>
  <w:style w:type="paragraph" w:styleId="ListContinue">
    <w:name w:val="List Continue"/>
    <w:basedOn w:val="Normal"/>
    <w:semiHidden/>
    <w:unhideWhenUsed/>
    <w:qFormat/>
    <w:pPr>
      <w:spacing w:after="120"/>
      <w:ind w:left="420" w:leftChars="200"/>
      <w:contextualSpacing/>
    </w:pPr>
  </w:style>
  <w:style w:type="paragraph" w:styleId="BlockText">
    <w:name w:val="Block Text"/>
    <w:basedOn w:val="Normal"/>
    <w:qFormat/>
    <w:pPr>
      <w:spacing w:line="360" w:lineRule="exact"/>
      <w:ind w:left="-57" w:right="-57"/>
    </w:pPr>
    <w:rPr>
      <w:sz w:val="18"/>
      <w:szCs w:val="20"/>
    </w:rPr>
  </w:style>
  <w:style w:type="paragraph" w:styleId="ListBullet2">
    <w:name w:val="List Bullet 2"/>
    <w:basedOn w:val="Normal"/>
    <w:semiHidden/>
    <w:unhideWhenUsed/>
    <w:qFormat/>
    <w:pPr>
      <w:numPr>
        <w:ilvl w:val="0"/>
        <w:numId w:val="8"/>
      </w:numPr>
      <w:contextualSpacing/>
    </w:pPr>
  </w:style>
  <w:style w:type="paragraph" w:styleId="HTMLAddress">
    <w:name w:val="HTML Address"/>
    <w:basedOn w:val="Normal"/>
    <w:link w:val="HTMLChar0"/>
    <w:semiHidden/>
    <w:unhideWhenUsed/>
    <w:qFormat/>
    <w:rPr>
      <w:i/>
      <w:iCs/>
    </w:rPr>
  </w:style>
  <w:style w:type="paragraph" w:styleId="Index4">
    <w:name w:val="index 4"/>
    <w:basedOn w:val="Normal"/>
    <w:next w:val="Normal"/>
    <w:semiHidden/>
    <w:unhideWhenUsed/>
    <w:qFormat/>
    <w:pPr>
      <w:ind w:left="600" w:firstLine="0" w:leftChars="600"/>
    </w:pPr>
  </w:style>
  <w:style w:type="paragraph" w:styleId="TOC5">
    <w:name w:val="toc 5"/>
    <w:basedOn w:val="Normal"/>
    <w:next w:val="Normal"/>
    <w:semiHidden/>
    <w:unhideWhenUsed/>
    <w:qFormat/>
    <w:pPr>
      <w:ind w:left="1680" w:leftChars="800"/>
    </w:pPr>
  </w:style>
  <w:style w:type="paragraph" w:styleId="TOC3">
    <w:name w:val="toc 3"/>
    <w:basedOn w:val="Normal"/>
    <w:next w:val="Normal"/>
    <w:semiHidden/>
    <w:unhideWhenUsed/>
    <w:qFormat/>
    <w:pPr>
      <w:ind w:left="840" w:leftChars="400"/>
    </w:pPr>
  </w:style>
  <w:style w:type="paragraph" w:styleId="PlainText">
    <w:name w:val="Plain Text"/>
    <w:basedOn w:val="Normal"/>
    <w:link w:val="Char12"/>
    <w:qFormat/>
    <w:pPr>
      <w:spacing w:line="240" w:lineRule="auto"/>
      <w:ind w:firstLine="0" w:firstLineChars="0"/>
      <w:jc w:val="center"/>
    </w:pPr>
    <w:rPr>
      <w:rFonts w:ascii="宋体" w:hAnsi="Courier New"/>
    </w:rPr>
  </w:style>
  <w:style w:type="paragraph" w:styleId="ListBullet5">
    <w:name w:val="List Bullet 5"/>
    <w:basedOn w:val="Normal"/>
    <w:semiHidden/>
    <w:unhideWhenUsed/>
    <w:qFormat/>
    <w:pPr>
      <w:numPr>
        <w:ilvl w:val="0"/>
        <w:numId w:val="9"/>
      </w:numPr>
      <w:contextualSpacing/>
    </w:pPr>
  </w:style>
  <w:style w:type="paragraph" w:styleId="ListNumber4">
    <w:name w:val="List Number 4"/>
    <w:basedOn w:val="Normal"/>
    <w:semiHidden/>
    <w:unhideWhenUsed/>
    <w:qFormat/>
    <w:pPr>
      <w:numPr>
        <w:ilvl w:val="0"/>
        <w:numId w:val="10"/>
      </w:numPr>
      <w:contextualSpacing/>
    </w:pPr>
  </w:style>
  <w:style w:type="paragraph" w:styleId="TOC8">
    <w:name w:val="toc 8"/>
    <w:basedOn w:val="Normal"/>
    <w:next w:val="Normal"/>
    <w:semiHidden/>
    <w:unhideWhenUsed/>
    <w:qFormat/>
    <w:pPr>
      <w:ind w:left="2940" w:leftChars="1400"/>
    </w:pPr>
  </w:style>
  <w:style w:type="paragraph" w:styleId="Index3">
    <w:name w:val="index 3"/>
    <w:basedOn w:val="Normal"/>
    <w:next w:val="Normal"/>
    <w:semiHidden/>
    <w:unhideWhenUsed/>
    <w:qFormat/>
    <w:pPr>
      <w:ind w:left="400" w:firstLine="0" w:leftChars="400"/>
    </w:pPr>
  </w:style>
  <w:style w:type="paragraph" w:styleId="Date">
    <w:name w:val="Date"/>
    <w:basedOn w:val="Normal"/>
    <w:next w:val="Normal"/>
    <w:link w:val="Char9"/>
    <w:qFormat/>
    <w:pPr>
      <w:ind w:left="200" w:firstLine="0" w:leftChars="200" w:firstLineChars="0"/>
      <w:jc w:val="left"/>
    </w:pPr>
    <w:rPr>
      <w:rFonts w:ascii="宋体" w:hAnsi="MS Sans Serif"/>
      <w:sz w:val="28"/>
      <w:szCs w:val="20"/>
    </w:rPr>
  </w:style>
  <w:style w:type="paragraph" w:styleId="BodyTextIndent2">
    <w:name w:val="Body Text Indent 2"/>
    <w:basedOn w:val="Normal"/>
    <w:qFormat/>
    <w:pPr>
      <w:spacing w:line="460" w:lineRule="exact"/>
      <w:ind w:firstLine="720" w:firstLineChars="300"/>
    </w:pPr>
    <w:rPr>
      <w:rFonts w:eastAsia="方正宋三简体"/>
      <w:szCs w:val="20"/>
    </w:rPr>
  </w:style>
  <w:style w:type="paragraph" w:styleId="EndnoteText">
    <w:name w:val="endnote text"/>
    <w:basedOn w:val="Normal"/>
    <w:link w:val="Char25"/>
    <w:autoRedefine/>
    <w:semiHidden/>
    <w:unhideWhenUsed/>
    <w:qFormat/>
    <w:pPr>
      <w:snapToGrid w:val="0"/>
      <w:jc w:val="left"/>
    </w:pPr>
  </w:style>
  <w:style w:type="paragraph" w:styleId="ListContinue5">
    <w:name w:val="List Continue 5"/>
    <w:basedOn w:val="Normal"/>
    <w:semiHidden/>
    <w:unhideWhenUsed/>
    <w:pPr>
      <w:spacing w:after="120"/>
      <w:ind w:left="2100" w:leftChars="1000"/>
      <w:contextualSpacing/>
    </w:p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EnvelopeReturn">
    <w:name w:val="envelope return"/>
    <w:basedOn w:val="Normal"/>
    <w:semiHidden/>
    <w:unhideWhenUsed/>
    <w:pPr>
      <w:snapToGrid w:val="0"/>
    </w:pPr>
    <w:rPr>
      <w:rFonts w:asciiTheme="majorHAnsi" w:eastAsiaTheme="majorEastAsia" w:hAnsiTheme="majorHAnsi" w:cstheme="majorBidi"/>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Signature">
    <w:name w:val="Signature"/>
    <w:basedOn w:val="Normal"/>
    <w:link w:val="Char24"/>
    <w:semiHidden/>
    <w:unhideWhenUsed/>
    <w:qFormat/>
    <w:pPr>
      <w:ind w:left="100" w:leftChars="2100"/>
    </w:pPr>
  </w:style>
  <w:style w:type="paragraph" w:styleId="TOC1">
    <w:name w:val="toc 1"/>
    <w:basedOn w:val="Normal"/>
    <w:next w:val="Normal"/>
    <w:semiHidden/>
    <w:unhideWhenUsed/>
    <w:qFormat/>
  </w:style>
  <w:style w:type="paragraph" w:styleId="ListContinue4">
    <w:name w:val="List Continue 4"/>
    <w:basedOn w:val="Normal"/>
    <w:autoRedefine/>
    <w:semiHidden/>
    <w:unhideWhenUsed/>
    <w:qFormat/>
    <w:pPr>
      <w:spacing w:after="120"/>
      <w:ind w:left="1680" w:leftChars="800"/>
      <w:contextualSpacing/>
    </w:pPr>
  </w:style>
  <w:style w:type="paragraph" w:styleId="TOC4">
    <w:name w:val="toc 4"/>
    <w:basedOn w:val="Normal"/>
    <w:next w:val="Normal"/>
    <w:autoRedefine/>
    <w:semiHidden/>
    <w:unhideWhenUsed/>
    <w:qFormat/>
    <w:pPr>
      <w:ind w:left="1260" w:leftChars="600"/>
    </w:pPr>
  </w:style>
  <w:style w:type="paragraph" w:styleId="IndexHeading">
    <w:name w:val="index heading"/>
    <w:basedOn w:val="Normal"/>
    <w:next w:val="Index1"/>
    <w:autoRedefine/>
    <w:semiHidden/>
    <w:unhideWhenUsed/>
    <w:qFormat/>
    <w:rPr>
      <w:rFonts w:asciiTheme="majorHAnsi" w:eastAsiaTheme="majorEastAsia" w:hAnsiTheme="majorHAnsi" w:cstheme="majorBidi"/>
      <w:b/>
      <w:bCs/>
    </w:rPr>
  </w:style>
  <w:style w:type="paragraph" w:styleId="Index1">
    <w:name w:val="index 1"/>
    <w:basedOn w:val="Normal"/>
    <w:next w:val="Normal"/>
    <w:autoRedefine/>
    <w:semiHidden/>
    <w:unhideWhenUsed/>
    <w:qFormat/>
    <w:pPr>
      <w:ind w:firstLine="0"/>
    </w:pPr>
  </w:style>
  <w:style w:type="paragraph" w:styleId="Subtitle">
    <w:name w:val="Subtitle"/>
    <w:basedOn w:val="Normal"/>
    <w:next w:val="Normal"/>
    <w:link w:val="Char19"/>
    <w:autoRedefine/>
    <w:qFormat/>
    <w:pPr>
      <w:spacing w:before="240" w:after="60" w:line="312" w:lineRule="auto"/>
      <w:jc w:val="center"/>
      <w:outlineLvl w:val="1"/>
    </w:pPr>
    <w:rPr>
      <w:rFonts w:asciiTheme="majorHAnsi" w:hAnsiTheme="majorHAnsi" w:cstheme="majorBidi"/>
      <w:b/>
      <w:bCs/>
      <w:kern w:val="28"/>
      <w:sz w:val="32"/>
      <w:szCs w:val="32"/>
    </w:rPr>
  </w:style>
  <w:style w:type="paragraph" w:styleId="ListNumber5">
    <w:name w:val="List Number 5"/>
    <w:basedOn w:val="Normal"/>
    <w:autoRedefine/>
    <w:semiHidden/>
    <w:unhideWhenUsed/>
    <w:qFormat/>
    <w:pPr>
      <w:numPr>
        <w:ilvl w:val="0"/>
        <w:numId w:val="11"/>
      </w:numPr>
      <w:contextualSpacing/>
    </w:pPr>
  </w:style>
  <w:style w:type="paragraph" w:styleId="List">
    <w:name w:val="List"/>
    <w:basedOn w:val="List2"/>
    <w:autoRedefine/>
    <w:qFormat/>
    <w:pPr>
      <w:snapToGrid w:val="0"/>
      <w:ind w:left="0" w:firstLine="0" w:leftChars="0" w:firstLineChars="0"/>
      <w:jc w:val="center"/>
    </w:pPr>
    <w:rPr>
      <w:snapToGrid w:val="0"/>
      <w:kern w:val="0"/>
    </w:rPr>
  </w:style>
  <w:style w:type="paragraph" w:styleId="FootnoteText">
    <w:name w:val="footnote text"/>
    <w:basedOn w:val="Normal"/>
    <w:link w:val="Char21"/>
    <w:autoRedefine/>
    <w:semiHidden/>
    <w:unhideWhenUsed/>
    <w:qFormat/>
    <w:pPr>
      <w:snapToGrid w:val="0"/>
      <w:jc w:val="left"/>
    </w:pPr>
    <w:rPr>
      <w:sz w:val="18"/>
      <w:szCs w:val="18"/>
    </w:rPr>
  </w:style>
  <w:style w:type="paragraph" w:styleId="TOC6">
    <w:name w:val="toc 6"/>
    <w:basedOn w:val="Normal"/>
    <w:next w:val="Normal"/>
    <w:autoRedefine/>
    <w:semiHidden/>
    <w:unhideWhenUsed/>
    <w:qFormat/>
    <w:pPr>
      <w:ind w:left="2100" w:leftChars="1000"/>
    </w:pPr>
  </w:style>
  <w:style w:type="paragraph" w:styleId="List5">
    <w:name w:val="List 5"/>
    <w:basedOn w:val="Normal"/>
    <w:autoRedefine/>
    <w:qFormat/>
    <w:pPr>
      <w:ind w:left="100" w:hanging="200" w:leftChars="800" w:hangingChars="200"/>
      <w:contextualSpacing/>
    </w:pPr>
  </w:style>
  <w:style w:type="paragraph" w:styleId="BodyTextIndent3">
    <w:name w:val="Body Text Indent 3"/>
    <w:basedOn w:val="Normal"/>
    <w:autoRedefine/>
    <w:qFormat/>
    <w:pPr>
      <w:tabs>
        <w:tab w:val="left" w:pos="1035"/>
      </w:tabs>
      <w:spacing w:line="580" w:lineRule="exact"/>
      <w:ind w:firstLine="560"/>
    </w:pPr>
    <w:rPr>
      <w:color w:val="FF0000"/>
      <w:sz w:val="28"/>
    </w:rPr>
  </w:style>
  <w:style w:type="paragraph" w:styleId="Index7">
    <w:name w:val="index 7"/>
    <w:basedOn w:val="Normal"/>
    <w:next w:val="Normal"/>
    <w:autoRedefine/>
    <w:semiHidden/>
    <w:unhideWhenUsed/>
    <w:qFormat/>
    <w:pPr>
      <w:ind w:left="1200" w:firstLine="0" w:leftChars="1200"/>
    </w:pPr>
  </w:style>
  <w:style w:type="paragraph" w:styleId="Index9">
    <w:name w:val="index 9"/>
    <w:basedOn w:val="Normal"/>
    <w:next w:val="Normal"/>
    <w:autoRedefine/>
    <w:semiHidden/>
    <w:unhideWhenUsed/>
    <w:qFormat/>
    <w:pPr>
      <w:ind w:left="1600" w:firstLine="0" w:leftChars="1600"/>
    </w:pPr>
  </w:style>
  <w:style w:type="paragraph" w:styleId="TableofFigures">
    <w:name w:val="table of figures"/>
    <w:basedOn w:val="Normal"/>
    <w:next w:val="Normal"/>
    <w:autoRedefine/>
    <w:semiHidden/>
    <w:unhideWhenUsed/>
    <w:qFormat/>
    <w:pPr>
      <w:ind w:left="200" w:hanging="200" w:leftChars="200" w:hangingChars="200"/>
    </w:pPr>
  </w:style>
  <w:style w:type="paragraph" w:styleId="TOC2">
    <w:name w:val="toc 2"/>
    <w:basedOn w:val="Normal"/>
    <w:next w:val="Normal"/>
    <w:autoRedefine/>
    <w:qFormat/>
    <w:pPr>
      <w:ind w:left="210" w:firstLine="560" w:leftChars="100"/>
      <w:jc w:val="left"/>
    </w:pPr>
    <w:rPr>
      <w:rFonts w:ascii="宋体" w:hAnsi="宋体"/>
      <w:sz w:val="28"/>
      <w:szCs w:val="28"/>
    </w:rPr>
  </w:style>
  <w:style w:type="paragraph" w:styleId="TOC9">
    <w:name w:val="toc 9"/>
    <w:basedOn w:val="Normal"/>
    <w:next w:val="Normal"/>
    <w:autoRedefine/>
    <w:semiHidden/>
    <w:unhideWhenUsed/>
    <w:qFormat/>
    <w:pPr>
      <w:ind w:left="3360" w:leftChars="1600"/>
    </w:pPr>
  </w:style>
  <w:style w:type="paragraph" w:styleId="BodyText2">
    <w:name w:val="Body Text 2"/>
    <w:basedOn w:val="Normal"/>
    <w:link w:val="2Char"/>
    <w:autoRedefine/>
    <w:qFormat/>
    <w:pPr>
      <w:spacing w:after="120" w:line="480" w:lineRule="exact"/>
      <w:ind w:left="200" w:firstLine="0" w:leftChars="200" w:firstLineChars="0"/>
      <w:jc w:val="left"/>
    </w:pPr>
    <w:rPr>
      <w:rFonts w:eastAsia="仿宋_GB2312"/>
      <w:b/>
      <w:bCs/>
      <w:color w:val="000000"/>
      <w:sz w:val="28"/>
    </w:rPr>
  </w:style>
  <w:style w:type="paragraph" w:styleId="List4">
    <w:name w:val="List 4"/>
    <w:basedOn w:val="Normal"/>
    <w:autoRedefine/>
    <w:qFormat/>
    <w:pPr>
      <w:ind w:left="100" w:hanging="200" w:leftChars="600" w:hangingChars="200"/>
      <w:contextualSpacing/>
    </w:pPr>
  </w:style>
  <w:style w:type="paragraph" w:styleId="ListContinue2">
    <w:name w:val="List Continue 2"/>
    <w:basedOn w:val="Normal"/>
    <w:autoRedefine/>
    <w:semiHidden/>
    <w:unhideWhenUsed/>
    <w:qFormat/>
    <w:pPr>
      <w:spacing w:after="120"/>
      <w:ind w:left="840" w:leftChars="400"/>
      <w:contextualSpacing/>
    </w:pPr>
  </w:style>
  <w:style w:type="paragraph" w:styleId="MessageHeader">
    <w:name w:val="Message Header"/>
    <w:basedOn w:val="Normal"/>
    <w:link w:val="Char26"/>
    <w:autoRedefine/>
    <w:semiHidden/>
    <w:unhideWhenUsed/>
    <w:qFormat/>
    <w:pPr>
      <w:pBdr>
        <w:top w:val="single" w:sz="6" w:space="1" w:color="auto"/>
        <w:left w:val="single" w:sz="6" w:space="1" w:color="auto"/>
        <w:bottom w:val="single" w:sz="6" w:space="1" w:color="auto"/>
        <w:right w:val="single" w:sz="6" w:space="1" w:color="auto"/>
      </w:pBdr>
      <w:shd w:val="pct20" w:color="auto" w:fill="auto"/>
      <w:ind w:left="1080" w:hanging="1080" w:leftChars="500" w:hangingChars="500"/>
    </w:pPr>
    <w:rPr>
      <w:rFonts w:asciiTheme="majorHAnsi" w:eastAsiaTheme="majorEastAsia" w:hAnsiTheme="majorHAnsi" w:cstheme="majorBidi"/>
      <w:sz w:val="24"/>
      <w:szCs w:val="24"/>
    </w:rPr>
  </w:style>
  <w:style w:type="paragraph" w:styleId="HTMLPreformatted">
    <w:name w:val="HTML Preformatted"/>
    <w:basedOn w:val="Normal"/>
    <w:link w:val="HTMLChar"/>
    <w:autoRedefine/>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kern w:val="0"/>
    </w:rPr>
  </w:style>
  <w:style w:type="paragraph" w:styleId="NormalWeb">
    <w:name w:val="Normal (Web)"/>
    <w:basedOn w:val="Normal"/>
    <w:autoRedefine/>
    <w:qFormat/>
    <w:pPr>
      <w:ind w:left="200" w:firstLine="0" w:leftChars="200" w:firstLineChars="0"/>
      <w:jc w:val="left"/>
    </w:pPr>
  </w:style>
  <w:style w:type="paragraph" w:styleId="ListContinue3">
    <w:name w:val="List Continue 3"/>
    <w:basedOn w:val="Normal"/>
    <w:autoRedefine/>
    <w:semiHidden/>
    <w:unhideWhenUsed/>
    <w:qFormat/>
    <w:pPr>
      <w:spacing w:after="120"/>
      <w:ind w:left="1260" w:leftChars="600"/>
      <w:contextualSpacing/>
    </w:pPr>
  </w:style>
  <w:style w:type="paragraph" w:styleId="Index2">
    <w:name w:val="index 2"/>
    <w:basedOn w:val="Normal"/>
    <w:next w:val="Normal"/>
    <w:autoRedefine/>
    <w:semiHidden/>
    <w:unhideWhenUsed/>
    <w:qFormat/>
    <w:pPr>
      <w:ind w:left="200" w:firstLine="0" w:leftChars="200"/>
    </w:pPr>
  </w:style>
  <w:style w:type="paragraph" w:styleId="Title">
    <w:name w:val="Title"/>
    <w:basedOn w:val="Normal"/>
    <w:next w:val="Normal"/>
    <w:link w:val="Char3"/>
    <w:autoRedefine/>
    <w:qFormat/>
    <w:pPr>
      <w:ind w:firstLine="0" w:firstLineChars="0"/>
      <w:jc w:val="left"/>
      <w:outlineLvl w:val="0"/>
    </w:pPr>
    <w:rPr>
      <w:rFonts w:ascii="Cambria" w:eastAsia="黑体" w:hAnsi="Cambria"/>
      <w:bCs/>
      <w:sz w:val="28"/>
      <w:szCs w:val="32"/>
    </w:rPr>
  </w:style>
  <w:style w:type="paragraph" w:styleId="CommentSubject">
    <w:name w:val="annotation subject"/>
    <w:basedOn w:val="CommentText"/>
    <w:next w:val="CommentText"/>
    <w:autoRedefine/>
    <w:semiHidden/>
    <w:qFormat/>
    <w:rPr>
      <w:b/>
      <w:bCs/>
    </w:rPr>
  </w:style>
  <w:style w:type="paragraph" w:styleId="BodyTextFirstIndent">
    <w:name w:val="Body Text First Indent"/>
    <w:basedOn w:val="BodyText"/>
    <w:link w:val="Char6"/>
    <w:autoRedefine/>
    <w:qFormat/>
    <w:pPr>
      <w:spacing w:after="120" w:line="240" w:lineRule="auto"/>
      <w:ind w:left="200" w:firstLine="420" w:leftChars="200" w:firstLineChars="100"/>
      <w:jc w:val="left"/>
    </w:pPr>
    <w:rPr>
      <w:szCs w:val="24"/>
    </w:rPr>
  </w:style>
  <w:style w:type="paragraph" w:styleId="BodyTextFirstIndent2">
    <w:name w:val="Body Text First Indent 2"/>
    <w:basedOn w:val="BodyTextIndent"/>
    <w:link w:val="2Char1"/>
    <w:autoRedefine/>
    <w:semiHidden/>
    <w:unhideWhenUsed/>
    <w:qFormat/>
    <w:pPr>
      <w:spacing w:after="120" w:line="360" w:lineRule="auto"/>
      <w:ind w:left="420" w:firstLine="420" w:leftChars="200"/>
    </w:pPr>
    <w:rPr>
      <w:rFonts w:eastAsia="宋体"/>
      <w:szCs w:val="21"/>
    </w:rPr>
  </w:style>
  <w:style w:type="table" w:styleId="TableGrid">
    <w:name w:val="Table Grid"/>
    <w:basedOn w:val="TableNormal"/>
    <w:autoRedefine/>
    <w:uiPriority w:val="39"/>
    <w:qFormat/>
    <w:pPr>
      <w:widowControl w:val="0"/>
      <w:jc w:val="both"/>
    </w:pPr>
    <w:rPr>
      <w:sz w:val="21"/>
      <w:szCs w:val="21"/>
    </w:rPr>
    <w:tblPr>
      <w:jc w:val="center"/>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trPr>
      <w:jc w:val="center"/>
    </w:trPr>
    <w:tcPr>
      <w:vAlign w:val="center"/>
    </w:tcPr>
  </w:style>
  <w:style w:type="character" w:styleId="Strong">
    <w:name w:val="Strong"/>
    <w:autoRedefine/>
    <w:qFormat/>
    <w:rPr>
      <w:b/>
      <w:bCs/>
    </w:rPr>
  </w:style>
  <w:style w:type="character" w:styleId="PageNumber">
    <w:name w:val="page number"/>
    <w:basedOn w:val="DefaultParagraphFont"/>
    <w:autoRedefine/>
    <w:qFormat/>
  </w:style>
  <w:style w:type="character" w:styleId="Hyperlink">
    <w:name w:val="Hyperlink"/>
    <w:autoRedefine/>
    <w:uiPriority w:val="99"/>
    <w:unhideWhenUsed/>
    <w:qFormat/>
    <w:rPr>
      <w:color w:val="0000FF"/>
      <w:u w:val="single"/>
    </w:rPr>
  </w:style>
  <w:style w:type="character" w:styleId="CommentReference">
    <w:name w:val="annotation reference"/>
    <w:autoRedefine/>
    <w:qFormat/>
    <w:rPr>
      <w:sz w:val="21"/>
      <w:szCs w:val="21"/>
    </w:rPr>
  </w:style>
  <w:style w:type="paragraph" w:customStyle="1" w:styleId="1">
    <w:name w:val="正文文本缩进1"/>
    <w:basedOn w:val="Normal"/>
    <w:link w:val="Char11"/>
    <w:autoRedefine/>
    <w:qFormat/>
    <w:pPr>
      <w:adjustRightInd w:val="0"/>
      <w:spacing w:before="120"/>
      <w:ind w:left="200" w:firstLine="425" w:leftChars="200" w:firstLineChars="0"/>
      <w:jc w:val="left"/>
      <w:textAlignment w:val="baseline"/>
    </w:pPr>
    <w:rPr>
      <w:rFonts w:ascii="仿宋_GB2312" w:eastAsia="仿宋_GB2312"/>
      <w:kern w:val="0"/>
      <w:szCs w:val="20"/>
    </w:rPr>
  </w:style>
  <w:style w:type="paragraph" w:customStyle="1" w:styleId="10">
    <w:name w:val="正文1"/>
    <w:autoRedefine/>
    <w:qFormat/>
    <w:pPr>
      <w:jc w:val="both"/>
    </w:pPr>
    <w:rPr>
      <w:rFonts w:ascii="Times New Roman" w:eastAsia="宋体" w:hAnsi="Times New Roman" w:cs="Times New Roman"/>
      <w:kern w:val="2"/>
      <w:sz w:val="21"/>
      <w:szCs w:val="21"/>
      <w:lang w:val="en-US" w:eastAsia="zh-CN" w:bidi="ar-SA"/>
    </w:rPr>
  </w:style>
  <w:style w:type="paragraph" w:customStyle="1" w:styleId="m1">
    <w:name w:val="m1"/>
    <w:basedOn w:val="Normal"/>
    <w:autoRedefine/>
    <w:qFormat/>
    <w:pPr>
      <w:widowControl/>
      <w:spacing w:before="100" w:beforeAutospacing="1" w:after="100" w:afterAutospacing="1" w:line="300" w:lineRule="atLeast"/>
      <w:ind w:left="200" w:firstLine="0" w:leftChars="200" w:firstLineChars="0"/>
      <w:jc w:val="left"/>
    </w:pPr>
    <w:rPr>
      <w:rFonts w:ascii="Arial Unicode MS" w:eastAsia="Arial Unicode MS" w:hAnsi="Arial Unicode MS"/>
      <w:color w:val="000000"/>
      <w:kern w:val="0"/>
      <w:sz w:val="20"/>
      <w:szCs w:val="20"/>
    </w:rPr>
  </w:style>
  <w:style w:type="paragraph" w:customStyle="1" w:styleId="a">
    <w:name w:val="图表头"/>
    <w:basedOn w:val="Normal"/>
    <w:autoRedefine/>
    <w:qFormat/>
    <w:pPr>
      <w:adjustRightInd w:val="0"/>
      <w:snapToGrid w:val="0"/>
      <w:ind w:left="200" w:firstLine="0" w:leftChars="200" w:firstLineChars="0"/>
      <w:jc w:val="center"/>
      <w:textAlignment w:val="baseline"/>
    </w:pPr>
    <w:rPr>
      <w:rFonts w:eastAsia="黑体"/>
      <w:bCs/>
      <w:kern w:val="0"/>
    </w:rPr>
  </w:style>
  <w:style w:type="paragraph" w:customStyle="1" w:styleId="m2">
    <w:name w:val="m2"/>
    <w:basedOn w:val="Normal"/>
    <w:autoRedefine/>
    <w:qFormat/>
    <w:pPr>
      <w:widowControl/>
      <w:spacing w:before="100" w:beforeAutospacing="1" w:after="100" w:afterAutospacing="1" w:line="360" w:lineRule="atLeast"/>
      <w:ind w:left="200" w:firstLine="0" w:leftChars="200" w:firstLineChars="0"/>
      <w:jc w:val="left"/>
    </w:pPr>
    <w:rPr>
      <w:rFonts w:ascii="Arial Unicode MS" w:eastAsia="Arial Unicode MS" w:hAnsi="Arial Unicode MS"/>
      <w:color w:val="000000"/>
      <w:kern w:val="0"/>
      <w:sz w:val="20"/>
      <w:szCs w:val="20"/>
    </w:rPr>
  </w:style>
  <w:style w:type="paragraph" w:customStyle="1" w:styleId="Default">
    <w:name w:val="Default"/>
    <w:autoRedefine/>
    <w:qFormat/>
    <w:pPr>
      <w:widowControl w:val="0"/>
      <w:autoSpaceDE w:val="0"/>
      <w:autoSpaceDN w:val="0"/>
      <w:adjustRightInd w:val="0"/>
      <w:jc w:val="center"/>
    </w:pPr>
    <w:rPr>
      <w:rFonts w:ascii="黑体" w:eastAsia="黑体" w:hAnsi="Calibri" w:cs="黑体"/>
      <w:color w:val="000000"/>
      <w:sz w:val="24"/>
      <w:szCs w:val="24"/>
      <w:lang w:val="en-US" w:eastAsia="zh-CN" w:bidi="ar-SA"/>
    </w:rPr>
  </w:style>
  <w:style w:type="paragraph" w:customStyle="1" w:styleId="Char4CharCharCharCharCharChar11">
    <w:name w:val="Char4 Char Char Char Char Char Char11"/>
    <w:basedOn w:val="Normal"/>
    <w:autoRedefine/>
    <w:qFormat/>
    <w:rPr>
      <w:rFonts w:ascii="宋体" w:hAnsi="宋体" w:cs="宋体"/>
    </w:rPr>
  </w:style>
  <w:style w:type="paragraph" w:customStyle="1" w:styleId="Char">
    <w:name w:val="Char"/>
    <w:basedOn w:val="Normal"/>
    <w:next w:val="Normal"/>
    <w:autoRedefine/>
    <w:qFormat/>
    <w:pPr>
      <w:keepNext/>
      <w:keepLines/>
      <w:widowControl/>
      <w:adjustRightInd w:val="0"/>
      <w:spacing w:line="500" w:lineRule="exact"/>
      <w:ind w:left="200" w:leftChars="200"/>
      <w:jc w:val="left"/>
      <w:textAlignment w:val="baseline"/>
    </w:pPr>
    <w:rPr>
      <w:rFonts w:ascii="宋体" w:hAnsi="宋体" w:cs="宋体"/>
      <w:b/>
      <w:bCs/>
      <w:kern w:val="0"/>
      <w:szCs w:val="28"/>
    </w:rPr>
  </w:style>
  <w:style w:type="paragraph" w:customStyle="1" w:styleId="215">
    <w:name w:val="样式 报告表正文 + 首行缩进:  2 字符 行距: 1.5 倍行距"/>
    <w:basedOn w:val="Normal"/>
    <w:autoRedefine/>
    <w:qFormat/>
    <w:pPr>
      <w:adjustRightInd w:val="0"/>
      <w:ind w:left="113" w:right="113" w:firstLine="480"/>
    </w:pPr>
    <w:rPr>
      <w:rFonts w:cs="宋体"/>
      <w:kern w:val="0"/>
    </w:rPr>
  </w:style>
  <w:style w:type="paragraph" w:customStyle="1" w:styleId="CharCharCharChar1">
    <w:name w:val="Char Char Char Char1"/>
    <w:basedOn w:val="Normal"/>
    <w:next w:val="Normal"/>
    <w:autoRedefine/>
    <w:qFormat/>
    <w:pPr>
      <w:spacing w:line="240" w:lineRule="atLeast"/>
      <w:ind w:left="420" w:firstLine="420" w:firstLineChars="0"/>
      <w:jc w:val="left"/>
    </w:pPr>
  </w:style>
  <w:style w:type="paragraph" w:customStyle="1" w:styleId="m">
    <w:name w:val="m"/>
    <w:basedOn w:val="Normal"/>
    <w:autoRedefine/>
    <w:qFormat/>
    <w:pPr>
      <w:widowControl/>
      <w:spacing w:before="100" w:beforeAutospacing="1" w:after="100" w:afterAutospacing="1" w:line="240" w:lineRule="atLeast"/>
      <w:ind w:left="200" w:firstLine="0" w:leftChars="200" w:firstLineChars="0"/>
      <w:jc w:val="left"/>
    </w:pPr>
    <w:rPr>
      <w:rFonts w:ascii="Arial Unicode MS" w:eastAsia="Arial Unicode MS" w:hAnsi="Arial Unicode MS"/>
      <w:color w:val="000000"/>
      <w:kern w:val="0"/>
      <w:sz w:val="20"/>
      <w:szCs w:val="20"/>
    </w:rPr>
  </w:style>
  <w:style w:type="paragraph" w:customStyle="1" w:styleId="a0">
    <w:name w:val="表"/>
    <w:basedOn w:val="BodyText"/>
    <w:next w:val="BodyText"/>
    <w:autoRedefine/>
    <w:qFormat/>
    <w:pPr>
      <w:numPr>
        <w:ilvl w:val="0"/>
        <w:numId w:val="12"/>
      </w:numPr>
      <w:ind w:firstLineChars="0"/>
      <w:jc w:val="center"/>
    </w:pPr>
    <w:rPr>
      <w:rFonts w:eastAsia="黑体"/>
      <w:b/>
    </w:rPr>
  </w:style>
  <w:style w:type="paragraph" w:customStyle="1" w:styleId="Zw">
    <w:name w:val="Zw"/>
    <w:basedOn w:val="Normal"/>
    <w:next w:val="Normal"/>
    <w:autoRedefine/>
    <w:qFormat/>
    <w:rPr>
      <w:rFonts w:ascii="宋体" w:hAnsi="宋体" w:cs="宋体"/>
    </w:rPr>
  </w:style>
  <w:style w:type="paragraph" w:customStyle="1" w:styleId="a1">
    <w:name w:val="+正文"/>
    <w:basedOn w:val="Normal"/>
    <w:autoRedefine/>
    <w:qFormat/>
    <w:pPr>
      <w:adjustRightInd w:val="0"/>
      <w:snapToGrid w:val="0"/>
    </w:pPr>
    <w:rPr>
      <w:sz w:val="24"/>
      <w:szCs w:val="28"/>
    </w:rPr>
  </w:style>
  <w:style w:type="paragraph" w:customStyle="1" w:styleId="a2">
    <w:name w:val="应填表格"/>
    <w:basedOn w:val="Normal"/>
    <w:autoRedefine/>
    <w:uiPriority w:val="99"/>
    <w:qFormat/>
    <w:pPr>
      <w:adjustRightInd w:val="0"/>
      <w:spacing w:before="40" w:after="40" w:line="240" w:lineRule="auto"/>
      <w:ind w:firstLine="0" w:firstLineChars="0"/>
      <w:jc w:val="left"/>
      <w:textAlignment w:val="baseline"/>
    </w:pPr>
    <w:rPr>
      <w:rFonts w:ascii="宋体"/>
      <w:kern w:val="0"/>
      <w:szCs w:val="20"/>
    </w:rPr>
  </w:style>
  <w:style w:type="paragraph" w:customStyle="1" w:styleId="ParaCharCharCharChar">
    <w:name w:val="默认段落字体 Para Char Char Char Char"/>
    <w:basedOn w:val="Normal"/>
    <w:autoRedefine/>
    <w:qFormat/>
    <w:pPr>
      <w:ind w:left="200" w:firstLine="0" w:leftChars="200" w:firstLineChars="0"/>
      <w:jc w:val="left"/>
    </w:pPr>
  </w:style>
  <w:style w:type="paragraph" w:customStyle="1" w:styleId="3">
    <w:name w:val="列出段落3"/>
    <w:basedOn w:val="Normal"/>
    <w:autoRedefine/>
    <w:uiPriority w:val="99"/>
    <w:unhideWhenUsed/>
    <w:qFormat/>
    <w:pPr>
      <w:ind w:firstLine="420"/>
    </w:pPr>
  </w:style>
  <w:style w:type="paragraph" w:customStyle="1" w:styleId="zh">
    <w:name w:val="二级标题zh"/>
    <w:basedOn w:val="Heading2"/>
    <w:link w:val="zhChar0"/>
    <w:autoRedefine/>
    <w:qFormat/>
    <w:pPr>
      <w:numPr>
        <w:ilvl w:val="0"/>
        <w:numId w:val="0"/>
      </w:numPr>
      <w:autoSpaceDE/>
      <w:autoSpaceDN/>
      <w:snapToGrid w:val="0"/>
      <w:spacing w:beforeLines="50" w:afterLines="50"/>
      <w:ind w:left="200" w:leftChars="200"/>
      <w:jc w:val="both"/>
      <w:textAlignment w:val="auto"/>
    </w:pPr>
    <w:rPr>
      <w:rFonts w:eastAsia="宋体"/>
      <w:b/>
      <w:bCs/>
      <w:kern w:val="2"/>
      <w:sz w:val="28"/>
      <w:szCs w:val="32"/>
    </w:rPr>
  </w:style>
  <w:style w:type="paragraph" w:customStyle="1" w:styleId="a3">
    <w:name w:val="正文新建"/>
    <w:basedOn w:val="BodyText"/>
    <w:autoRedefine/>
    <w:qFormat/>
    <w:pPr>
      <w:spacing w:line="560" w:lineRule="exact"/>
      <w:ind w:left="200" w:leftChars="200"/>
      <w:jc w:val="left"/>
    </w:pPr>
    <w:rPr>
      <w:szCs w:val="24"/>
    </w:rPr>
  </w:style>
  <w:style w:type="paragraph" w:styleId="ListParagraph">
    <w:name w:val="List Paragraph"/>
    <w:basedOn w:val="Normal"/>
    <w:autoRedefine/>
    <w:uiPriority w:val="34"/>
    <w:qFormat/>
    <w:pPr>
      <w:ind w:firstLine="420"/>
    </w:pPr>
  </w:style>
  <w:style w:type="paragraph" w:customStyle="1" w:styleId="Char0">
    <w:name w:val="段落 Char"/>
    <w:basedOn w:val="Normal"/>
    <w:autoRedefine/>
    <w:qFormat/>
    <w:pPr>
      <w:topLinePunct/>
      <w:snapToGrid w:val="0"/>
      <w:ind w:left="200" w:leftChars="200"/>
      <w:jc w:val="left"/>
    </w:pPr>
  </w:style>
  <w:style w:type="paragraph" w:customStyle="1" w:styleId="11">
    <w:name w:val="样式1"/>
    <w:basedOn w:val="Normal"/>
    <w:autoRedefine/>
    <w:qFormat/>
    <w:pPr>
      <w:adjustRightInd w:val="0"/>
      <w:spacing w:line="288" w:lineRule="auto"/>
      <w:ind w:left="200" w:firstLine="0" w:leftChars="200" w:firstLineChars="0"/>
      <w:jc w:val="left"/>
    </w:pPr>
    <w:rPr>
      <w:rFonts w:ascii="黑体" w:eastAsia="黑体" w:hint="eastAsia"/>
      <w:b/>
      <w:kern w:val="0"/>
      <w:sz w:val="32"/>
      <w:szCs w:val="20"/>
    </w:rPr>
  </w:style>
  <w:style w:type="paragraph" w:customStyle="1" w:styleId="Char4CharCharCharCharCharChar1">
    <w:name w:val="Char4 Char Char Char Char Char Char1"/>
    <w:basedOn w:val="Normal"/>
    <w:autoRedefine/>
    <w:qFormat/>
    <w:pPr>
      <w:ind w:left="200" w:leftChars="200"/>
      <w:jc w:val="left"/>
    </w:pPr>
    <w:rPr>
      <w:rFonts w:ascii="宋体" w:hAnsi="宋体" w:cs="宋体"/>
    </w:rPr>
  </w:style>
  <w:style w:type="paragraph" w:customStyle="1" w:styleId="a4">
    <w:name w:val="表头"/>
    <w:basedOn w:val="Normal"/>
    <w:autoRedefine/>
    <w:semiHidden/>
    <w:qFormat/>
    <w:pPr>
      <w:adjustRightInd w:val="0"/>
      <w:spacing w:line="320" w:lineRule="atLeast"/>
      <w:jc w:val="center"/>
    </w:pPr>
    <w:rPr>
      <w:rFonts w:eastAsia="黑体"/>
      <w:spacing w:val="-10"/>
      <w:kern w:val="0"/>
      <w:szCs w:val="20"/>
    </w:rPr>
  </w:style>
  <w:style w:type="paragraph" w:customStyle="1" w:styleId="a5">
    <w:name w:val="报告书正文"/>
    <w:basedOn w:val="Normal"/>
    <w:link w:val="CharChar2"/>
    <w:autoRedefine/>
    <w:qFormat/>
    <w:pPr>
      <w:adjustRightInd w:val="0"/>
      <w:ind w:left="200" w:firstLine="0" w:leftChars="200" w:firstLineChars="0"/>
      <w:jc w:val="left"/>
    </w:pPr>
  </w:style>
  <w:style w:type="paragraph" w:customStyle="1" w:styleId="12">
    <w:name w:val="1"/>
    <w:basedOn w:val="Normal"/>
    <w:next w:val="BodyTextIndent3"/>
    <w:autoRedefine/>
    <w:qFormat/>
    <w:pPr>
      <w:spacing w:line="480" w:lineRule="exact"/>
      <w:ind w:left="200" w:right="36" w:firstLine="480" w:leftChars="200" w:rightChars="17"/>
      <w:jc w:val="left"/>
    </w:pPr>
    <w:rPr>
      <w:color w:val="000000"/>
    </w:rPr>
  </w:style>
  <w:style w:type="paragraph" w:customStyle="1" w:styleId="a6">
    <w:name w:val="报告表格"/>
    <w:basedOn w:val="Normal"/>
    <w:link w:val="CharChar0"/>
    <w:qFormat/>
    <w:pPr>
      <w:autoSpaceDE w:val="0"/>
      <w:autoSpaceDN w:val="0"/>
      <w:adjustRightInd w:val="0"/>
      <w:spacing w:before="40" w:after="40" w:line="408" w:lineRule="auto"/>
      <w:ind w:firstLine="0" w:firstLineChars="0"/>
      <w:jc w:val="center"/>
      <w:textAlignment w:val="baseline"/>
    </w:pPr>
    <w:rPr>
      <w:kern w:val="0"/>
      <w:szCs w:val="20"/>
    </w:rPr>
  </w:style>
  <w:style w:type="paragraph" w:customStyle="1" w:styleId="110">
    <w:name w:val="正文11"/>
    <w:basedOn w:val="Normal"/>
    <w:qFormat/>
    <w:pPr>
      <w:spacing w:afterLines="30"/>
      <w:ind w:left="240" w:firstLine="480" w:leftChars="100"/>
      <w:jc w:val="left"/>
    </w:pPr>
    <w:rPr>
      <w:rFonts w:cs="宋体"/>
      <w:szCs w:val="20"/>
    </w:rPr>
  </w:style>
  <w:style w:type="paragraph" w:customStyle="1" w:styleId="a7">
    <w:name w:val="二级无标题条"/>
    <w:basedOn w:val="Normal"/>
    <w:qFormat/>
    <w:pPr>
      <w:spacing w:line="240" w:lineRule="auto"/>
      <w:ind w:firstLine="0" w:firstLineChars="0"/>
    </w:pPr>
    <w:rPr>
      <w:rFonts w:ascii="宋体"/>
      <w:kern w:val="0"/>
      <w:szCs w:val="20"/>
    </w:rPr>
  </w:style>
  <w:style w:type="paragraph" w:customStyle="1" w:styleId="13">
    <w:name w:val="引用1"/>
    <w:basedOn w:val="Normal"/>
    <w:next w:val="Normal"/>
    <w:link w:val="Char5"/>
    <w:uiPriority w:val="29"/>
    <w:qFormat/>
    <w:pPr>
      <w:ind w:left="200" w:firstLine="0" w:leftChars="200" w:firstLineChars="0"/>
      <w:jc w:val="center"/>
    </w:pPr>
    <w:rPr>
      <w:iCs/>
      <w:color w:val="000000"/>
    </w:rPr>
  </w:style>
  <w:style w:type="paragraph" w:customStyle="1" w:styleId="p0">
    <w:name w:val="p0"/>
    <w:basedOn w:val="Normal"/>
    <w:qFormat/>
    <w:pPr>
      <w:widowControl/>
      <w:spacing w:before="100" w:beforeAutospacing="1" w:after="100" w:afterAutospacing="1"/>
      <w:ind w:firstLine="0" w:firstLineChars="0"/>
      <w:jc w:val="left"/>
    </w:pPr>
    <w:rPr>
      <w:rFonts w:ascii="宋体" w:hAnsi="宋体" w:cs="宋体"/>
      <w:kern w:val="0"/>
    </w:rPr>
  </w:style>
  <w:style w:type="paragraph" w:customStyle="1" w:styleId="xl25">
    <w:name w:val="xl25"/>
    <w:basedOn w:val="Normal"/>
    <w:qFormat/>
    <w:pPr>
      <w:widowControl/>
      <w:pBdr>
        <w:left w:val="single" w:sz="4" w:space="0" w:color="auto"/>
        <w:bottom w:val="single" w:sz="4" w:space="0" w:color="auto"/>
        <w:right w:val="single" w:sz="4" w:space="0" w:color="auto"/>
      </w:pBdr>
      <w:spacing w:before="100" w:beforeAutospacing="1" w:after="100" w:afterAutospacing="1"/>
      <w:ind w:left="200" w:firstLine="0" w:leftChars="200" w:firstLineChars="0"/>
      <w:jc w:val="center"/>
    </w:pPr>
    <w:rPr>
      <w:kern w:val="0"/>
      <w:szCs w:val="20"/>
    </w:rPr>
  </w:style>
  <w:style w:type="paragraph" w:customStyle="1" w:styleId="CharCharCharChar">
    <w:name w:val="Char Char Char Char"/>
    <w:basedOn w:val="Normal"/>
    <w:next w:val="Normal"/>
    <w:qFormat/>
    <w:pPr>
      <w:spacing w:line="240" w:lineRule="atLeast"/>
      <w:ind w:left="420" w:firstLine="420" w:leftChars="200" w:firstLineChars="0"/>
      <w:jc w:val="left"/>
    </w:pPr>
  </w:style>
  <w:style w:type="paragraph" w:customStyle="1" w:styleId="-">
    <w:name w:val="正文-欣欣"/>
    <w:basedOn w:val="Normal"/>
    <w:autoRedefine/>
    <w:qFormat/>
    <w:pPr>
      <w:spacing w:line="240" w:lineRule="auto"/>
    </w:pPr>
    <w:rPr>
      <w:rFonts w:ascii="Calibri" w:hAnsi="Calibri" w:cs="Courier New"/>
    </w:rPr>
  </w:style>
  <w:style w:type="paragraph" w:customStyle="1" w:styleId="xyb">
    <w:name w:val="xyb自建正文"/>
    <w:basedOn w:val="Normal"/>
    <w:qFormat/>
    <w:pPr>
      <w:ind w:left="200" w:firstLine="470" w:leftChars="200" w:firstLineChars="196"/>
      <w:jc w:val="left"/>
      <w:textAlignment w:val="baseline"/>
    </w:pPr>
    <w:rPr>
      <w:snapToGrid w:val="0"/>
      <w:kern w:val="0"/>
    </w:rPr>
  </w:style>
  <w:style w:type="paragraph" w:customStyle="1" w:styleId="a8">
    <w:name w:val="表格"/>
    <w:basedOn w:val="Normal"/>
    <w:next w:val="Normal"/>
    <w:link w:val="CharChar"/>
    <w:qFormat/>
    <w:pPr>
      <w:ind w:left="200" w:firstLine="0" w:leftChars="200" w:firstLineChars="0"/>
      <w:jc w:val="left"/>
    </w:pPr>
    <w:rPr>
      <w:rFonts w:ascii="华文中宋" w:eastAsia="黑体" w:hAnsi="华文中宋"/>
    </w:rPr>
  </w:style>
  <w:style w:type="paragraph" w:customStyle="1" w:styleId="a9">
    <w:name w:val="表格文字"/>
    <w:basedOn w:val="Normal"/>
    <w:next w:val="Normal"/>
    <w:qFormat/>
    <w:pPr>
      <w:spacing w:line="400" w:lineRule="exact"/>
      <w:jc w:val="center"/>
    </w:pPr>
  </w:style>
  <w:style w:type="paragraph" w:customStyle="1" w:styleId="CharChar1">
    <w:name w:val="Char Char1"/>
    <w:basedOn w:val="Normal"/>
    <w:qFormat/>
    <w:pPr>
      <w:spacing w:line="240" w:lineRule="auto"/>
      <w:ind w:firstLine="0" w:firstLineChars="0"/>
    </w:pPr>
  </w:style>
  <w:style w:type="paragraph" w:customStyle="1" w:styleId="a10">
    <w:name w:val="中文报告书样式"/>
    <w:basedOn w:val="Normal"/>
    <w:qFormat/>
    <w:pPr>
      <w:adjustRightInd w:val="0"/>
      <w:spacing w:line="480" w:lineRule="atLeast"/>
      <w:ind w:left="200" w:firstLine="482" w:leftChars="200" w:firstLineChars="0"/>
      <w:jc w:val="left"/>
      <w:textAlignment w:val="baseline"/>
    </w:pPr>
    <w:rPr>
      <w:kern w:val="24"/>
      <w:szCs w:val="20"/>
    </w:rPr>
  </w:style>
  <w:style w:type="paragraph" w:customStyle="1" w:styleId="p15">
    <w:name w:val="p15"/>
    <w:basedOn w:val="Normal"/>
    <w:qFormat/>
    <w:pPr>
      <w:widowControl/>
      <w:ind w:firstLine="0" w:firstLineChars="0"/>
      <w:jc w:val="left"/>
    </w:pPr>
    <w:rPr>
      <w:b/>
      <w:bCs/>
      <w:kern w:val="0"/>
    </w:rPr>
  </w:style>
  <w:style w:type="paragraph" w:customStyle="1" w:styleId="14">
    <w:name w:val="纯文本1"/>
    <w:basedOn w:val="Normal"/>
    <w:qFormat/>
    <w:pPr>
      <w:snapToGrid w:val="0"/>
      <w:ind w:left="200" w:firstLine="500" w:leftChars="200"/>
      <w:jc w:val="left"/>
    </w:pPr>
    <w:rPr>
      <w:rFonts w:ascii="宋体" w:hAnsi="Courier New"/>
      <w:sz w:val="25"/>
    </w:rPr>
  </w:style>
  <w:style w:type="paragraph" w:customStyle="1" w:styleId="a11">
    <w:name w:val="正文 + 宋体"/>
    <w:basedOn w:val="Normal"/>
    <w:qFormat/>
    <w:pPr>
      <w:autoSpaceDE w:val="0"/>
      <w:autoSpaceDN w:val="0"/>
      <w:adjustRightInd w:val="0"/>
      <w:snapToGrid w:val="0"/>
      <w:ind w:left="239" w:firstLine="560" w:leftChars="200"/>
      <w:jc w:val="left"/>
    </w:pPr>
    <w:rPr>
      <w:rFonts w:ascii="宋体" w:hAnsi="宋体" w:cs="宋体"/>
      <w:sz w:val="28"/>
      <w:szCs w:val="28"/>
      <w:lang w:val="zh-CN"/>
    </w:rPr>
  </w:style>
  <w:style w:type="paragraph" w:customStyle="1" w:styleId="reader-word-layer">
    <w:name w:val="reader-word-layer"/>
    <w:basedOn w:val="Normal"/>
    <w:qFormat/>
    <w:pPr>
      <w:widowControl/>
      <w:spacing w:before="100" w:beforeAutospacing="1" w:after="100" w:afterAutospacing="1"/>
      <w:ind w:left="200" w:firstLine="0" w:leftChars="200" w:firstLineChars="0"/>
      <w:jc w:val="left"/>
    </w:pPr>
    <w:rPr>
      <w:rFonts w:ascii="宋体" w:hAnsi="宋体" w:cs="宋体"/>
      <w:kern w:val="0"/>
    </w:rPr>
  </w:style>
  <w:style w:type="paragraph" w:customStyle="1" w:styleId="6">
    <w:name w:val="表6"/>
    <w:basedOn w:val="BodyText"/>
    <w:qFormat/>
    <w:pPr>
      <w:numPr>
        <w:ilvl w:val="0"/>
        <w:numId w:val="13"/>
      </w:numPr>
      <w:jc w:val="center"/>
    </w:pPr>
    <w:rPr>
      <w:rFonts w:ascii="宋体" w:eastAsia="黑体" w:hAnsi="宋体"/>
      <w:kern w:val="0"/>
    </w:rPr>
  </w:style>
  <w:style w:type="paragraph" w:customStyle="1" w:styleId="001">
    <w:name w:val="正文001"/>
    <w:basedOn w:val="Normal"/>
    <w:qFormat/>
    <w:pPr>
      <w:spacing w:before="60" w:line="460" w:lineRule="exact"/>
      <w:ind w:left="200" w:firstLine="482" w:leftChars="200" w:firstLineChars="0"/>
      <w:jc w:val="left"/>
    </w:pPr>
    <w:rPr>
      <w:szCs w:val="20"/>
    </w:rPr>
  </w:style>
  <w:style w:type="paragraph" w:customStyle="1" w:styleId="8--">
    <w:name w:val="8--"/>
    <w:basedOn w:val="Normal"/>
    <w:qFormat/>
    <w:pPr>
      <w:adjustRightInd w:val="0"/>
      <w:spacing w:line="360" w:lineRule="atLeast"/>
      <w:ind w:left="200" w:firstLine="0" w:leftChars="200" w:firstLineChars="0"/>
      <w:jc w:val="left"/>
      <w:textAlignment w:val="baseline"/>
    </w:pPr>
    <w:rPr>
      <w:kern w:val="0"/>
      <w:szCs w:val="20"/>
    </w:rPr>
  </w:style>
  <w:style w:type="paragraph" w:customStyle="1" w:styleId="a12">
    <w:name w:val="简单回函地址"/>
    <w:basedOn w:val="Normal"/>
    <w:qFormat/>
    <w:pPr>
      <w:ind w:left="200" w:firstLine="0" w:leftChars="200" w:firstLineChars="0"/>
      <w:jc w:val="left"/>
    </w:pPr>
    <w:rPr>
      <w:rFonts w:eastAsia="楷体_GB2312"/>
      <w:sz w:val="32"/>
      <w:szCs w:val="20"/>
    </w:rPr>
  </w:style>
  <w:style w:type="paragraph" w:customStyle="1" w:styleId="a13">
    <w:name w:val="报告"/>
    <w:basedOn w:val="Normal"/>
    <w:link w:val="Char10"/>
    <w:qFormat/>
    <w:pPr>
      <w:adjustRightInd w:val="0"/>
      <w:ind w:firstLine="505" w:firstLineChars="0"/>
      <w:jc w:val="left"/>
      <w:textAlignment w:val="baseline"/>
    </w:pPr>
    <w:rPr>
      <w:kern w:val="0"/>
      <w:szCs w:val="20"/>
    </w:rPr>
  </w:style>
  <w:style w:type="paragraph" w:customStyle="1" w:styleId="2">
    <w:name w:val="样式2"/>
    <w:basedOn w:val="Normal"/>
    <w:semiHidden/>
    <w:qFormat/>
    <w:pPr>
      <w:ind w:firstLine="480"/>
    </w:pPr>
    <w:rPr>
      <w:rFonts w:ascii="宋体" w:eastAsia="方正宋三简体" w:hAnsi="宋体"/>
    </w:rPr>
  </w:style>
  <w:style w:type="paragraph" w:customStyle="1" w:styleId="15">
    <w:name w:val="无间隔1"/>
    <w:uiPriority w:val="1"/>
    <w:qFormat/>
    <w:pPr>
      <w:widowControl w:val="0"/>
      <w:jc w:val="center"/>
    </w:pPr>
    <w:rPr>
      <w:rFonts w:ascii="Times New Roman" w:eastAsia="黑体" w:hAnsi="Times New Roman" w:cs="Times New Roman"/>
      <w:kern w:val="2"/>
      <w:sz w:val="21"/>
      <w:szCs w:val="24"/>
      <w:lang w:val="en-US" w:eastAsia="zh-CN" w:bidi="ar-SA"/>
    </w:rPr>
  </w:style>
  <w:style w:type="paragraph" w:customStyle="1" w:styleId="20">
    <w:name w:val="表格文字2"/>
    <w:basedOn w:val="a9"/>
    <w:link w:val="2Char0"/>
    <w:qFormat/>
    <w:pPr>
      <w:autoSpaceDE w:val="0"/>
      <w:autoSpaceDN w:val="0"/>
      <w:adjustRightInd w:val="0"/>
      <w:spacing w:before="60" w:line="408" w:lineRule="auto"/>
      <w:ind w:firstLine="0" w:firstLineChars="0"/>
      <w:textAlignment w:val="baseline"/>
    </w:pPr>
    <w:rPr>
      <w:rFonts w:ascii="宋体"/>
      <w:spacing w:val="-2"/>
    </w:rPr>
  </w:style>
  <w:style w:type="paragraph" w:customStyle="1" w:styleId="21">
    <w:name w:val="封面标准号2"/>
    <w:qFormat/>
    <w:pPr>
      <w:spacing w:before="357" w:line="280" w:lineRule="exact"/>
      <w:jc w:val="right"/>
    </w:pPr>
    <w:rPr>
      <w:rFonts w:ascii="黑体" w:eastAsia="黑体" w:hAnsi="Times New Roman" w:cs="Times New Roman"/>
      <w:sz w:val="28"/>
      <w:szCs w:val="28"/>
      <w:lang w:val="en-US" w:eastAsia="zh-CN" w:bidi="ar-SA"/>
    </w:rPr>
  </w:style>
  <w:style w:type="paragraph" w:customStyle="1" w:styleId="xl27">
    <w:name w:val="xl27"/>
    <w:basedOn w:val="Normal"/>
    <w:autoRedefine/>
    <w:qFormat/>
    <w:pPr>
      <w:widowControl/>
      <w:pBdr>
        <w:bottom w:val="single" w:sz="8" w:space="0" w:color="auto"/>
      </w:pBdr>
      <w:spacing w:before="100" w:beforeAutospacing="1" w:after="100" w:afterAutospacing="1"/>
      <w:ind w:left="200" w:firstLine="0" w:leftChars="200" w:firstLineChars="0"/>
      <w:jc w:val="center"/>
      <w:textAlignment w:val="center"/>
    </w:pPr>
    <w:rPr>
      <w:rFonts w:ascii="Arial Unicode MS" w:eastAsia="Arial Unicode MS" w:hAnsi="Arial Unicode MS" w:cs="Arial Unicode MS"/>
      <w:kern w:val="0"/>
      <w:sz w:val="14"/>
      <w:szCs w:val="14"/>
    </w:rPr>
  </w:style>
  <w:style w:type="paragraph" w:customStyle="1" w:styleId="haydonli">
    <w:name w:val="haydonli"/>
    <w:basedOn w:val="Normal"/>
    <w:qFormat/>
    <w:pPr>
      <w:snapToGrid w:val="0"/>
      <w:ind w:left="200" w:leftChars="200"/>
      <w:jc w:val="left"/>
    </w:pPr>
  </w:style>
  <w:style w:type="paragraph" w:customStyle="1" w:styleId="4">
    <w:name w:val="样式4"/>
    <w:basedOn w:val="Normal"/>
    <w:qFormat/>
    <w:pPr>
      <w:ind w:left="200" w:firstLine="0" w:leftChars="200" w:firstLineChars="0"/>
      <w:jc w:val="center"/>
    </w:pPr>
    <w:rPr>
      <w:szCs w:val="20"/>
    </w:rPr>
  </w:style>
  <w:style w:type="paragraph" w:customStyle="1" w:styleId="0">
    <w:name w:val="0标题"/>
    <w:basedOn w:val="Normal"/>
    <w:qFormat/>
    <w:pPr>
      <w:adjustRightInd w:val="0"/>
      <w:snapToGrid w:val="0"/>
      <w:spacing w:beforeLines="50" w:line="300" w:lineRule="auto"/>
    </w:pPr>
    <w:rPr>
      <w:rFonts w:ascii="宋体" w:eastAsia="黑体"/>
      <w:sz w:val="28"/>
      <w:szCs w:val="20"/>
    </w:rPr>
  </w:style>
  <w:style w:type="paragraph" w:customStyle="1" w:styleId="CharCharCharChar0">
    <w:name w:val="偶的正文 Char Char Char Char"/>
    <w:basedOn w:val="BodyTextFirstIndent"/>
    <w:link w:val="CharCharCharCharChar"/>
    <w:qFormat/>
    <w:pPr>
      <w:spacing w:after="0" w:line="460" w:lineRule="exact"/>
      <w:ind w:firstLine="480" w:firstLineChars="200"/>
    </w:pPr>
    <w:rPr>
      <w:sz w:val="24"/>
      <w:szCs w:val="21"/>
    </w:rPr>
  </w:style>
  <w:style w:type="paragraph" w:customStyle="1" w:styleId="Char1">
    <w:name w:val="Char1"/>
    <w:basedOn w:val="Normal"/>
    <w:next w:val="Normal"/>
    <w:qFormat/>
    <w:pPr>
      <w:keepNext/>
      <w:keepLines/>
      <w:widowControl/>
      <w:adjustRightInd w:val="0"/>
      <w:spacing w:line="500" w:lineRule="exact"/>
      <w:jc w:val="left"/>
      <w:textAlignment w:val="baseline"/>
    </w:pPr>
    <w:rPr>
      <w:rFonts w:ascii="宋体" w:hAnsi="宋体" w:cs="宋体"/>
      <w:b/>
      <w:bCs/>
      <w:kern w:val="0"/>
      <w:szCs w:val="28"/>
    </w:rPr>
  </w:style>
  <w:style w:type="paragraph" w:customStyle="1" w:styleId="xl54">
    <w:name w:val="xl54"/>
    <w:basedOn w:val="Normal"/>
    <w:qFormat/>
    <w:pPr>
      <w:widowControl/>
      <w:pBdr>
        <w:left w:val="single" w:sz="4" w:space="0" w:color="auto"/>
        <w:bottom w:val="single" w:sz="4" w:space="0" w:color="auto"/>
        <w:right w:val="single" w:sz="4" w:space="0" w:color="auto"/>
      </w:pBdr>
      <w:spacing w:before="100" w:after="100"/>
      <w:ind w:left="200" w:firstLine="0" w:leftChars="200" w:firstLineChars="0"/>
      <w:jc w:val="center"/>
      <w:textAlignment w:val="center"/>
    </w:pPr>
    <w:rPr>
      <w:rFonts w:eastAsia="Arial Unicode MS"/>
      <w:kern w:val="0"/>
      <w:szCs w:val="20"/>
    </w:rPr>
  </w:style>
  <w:style w:type="paragraph" w:customStyle="1" w:styleId="a14">
    <w:name w:val="报告表正文"/>
    <w:basedOn w:val="Normal"/>
    <w:link w:val="Char16"/>
    <w:qFormat/>
    <w:pPr>
      <w:adjustRightInd w:val="0"/>
      <w:spacing w:line="312" w:lineRule="auto"/>
      <w:ind w:left="113" w:right="113" w:firstLine="482"/>
      <w:jc w:val="left"/>
      <w:textAlignment w:val="baseline"/>
    </w:pPr>
    <w:rPr>
      <w:kern w:val="0"/>
      <w:sz w:val="24"/>
      <w:szCs w:val="20"/>
    </w:rPr>
  </w:style>
  <w:style w:type="paragraph" w:customStyle="1" w:styleId="16">
    <w:name w:val="1表格"/>
    <w:basedOn w:val="Normal"/>
    <w:qFormat/>
    <w:pPr>
      <w:snapToGrid w:val="0"/>
      <w:spacing w:line="160" w:lineRule="atLeast"/>
      <w:ind w:firstLine="0" w:firstLineChars="0"/>
      <w:jc w:val="center"/>
    </w:pPr>
    <w:rPr>
      <w:rFonts w:eastAsia="仿宋_GB2312"/>
      <w:szCs w:val="20"/>
    </w:rPr>
  </w:style>
  <w:style w:type="paragraph" w:customStyle="1" w:styleId="a15">
    <w:name w:val="小表文"/>
    <w:basedOn w:val="Normal"/>
    <w:qFormat/>
    <w:pPr>
      <w:autoSpaceDE w:val="0"/>
      <w:autoSpaceDN w:val="0"/>
      <w:adjustRightInd w:val="0"/>
      <w:spacing w:before="20"/>
      <w:ind w:left="200" w:firstLine="0" w:leftChars="200" w:firstLineChars="0"/>
      <w:jc w:val="left"/>
      <w:textAlignment w:val="baseline"/>
    </w:pPr>
    <w:rPr>
      <w:kern w:val="0"/>
      <w:sz w:val="18"/>
      <w:szCs w:val="20"/>
    </w:rPr>
  </w:style>
  <w:style w:type="paragraph" w:customStyle="1" w:styleId="a16">
    <w:name w:val="表号"/>
    <w:basedOn w:val="Normal"/>
    <w:link w:val="Char2"/>
    <w:qFormat/>
    <w:pPr>
      <w:snapToGrid w:val="0"/>
      <w:ind w:left="200" w:firstLine="0" w:leftChars="200" w:firstLineChars="0"/>
      <w:jc w:val="center"/>
    </w:pPr>
    <w:rPr>
      <w:rFonts w:eastAsia="楷体_GB2312"/>
    </w:rPr>
  </w:style>
  <w:style w:type="paragraph" w:customStyle="1" w:styleId="zh0">
    <w:name w:val="三级标题zh"/>
    <w:basedOn w:val="Heading3"/>
    <w:link w:val="zhChar1"/>
    <w:qFormat/>
    <w:pPr>
      <w:numPr>
        <w:ilvl w:val="0"/>
        <w:numId w:val="0"/>
      </w:numPr>
      <w:autoSpaceDE/>
      <w:autoSpaceDN/>
      <w:adjustRightInd/>
      <w:spacing w:beforeLines="50" w:afterLines="50" w:line="360" w:lineRule="auto"/>
      <w:ind w:left="200" w:leftChars="200"/>
      <w:jc w:val="both"/>
      <w:textAlignment w:val="auto"/>
    </w:pPr>
    <w:rPr>
      <w:rFonts w:eastAsia="宋体"/>
      <w:b/>
      <w:bCs/>
      <w:snapToGrid w:val="0"/>
      <w:sz w:val="24"/>
      <w:szCs w:val="28"/>
    </w:rPr>
  </w:style>
  <w:style w:type="paragraph" w:customStyle="1" w:styleId="17">
    <w:name w:val="表格文字1"/>
    <w:basedOn w:val="Normal"/>
    <w:qFormat/>
    <w:pPr>
      <w:adjustRightInd w:val="0"/>
      <w:spacing w:before="120"/>
      <w:ind w:left="113" w:firstLine="0" w:leftChars="200" w:firstLineChars="0"/>
      <w:jc w:val="left"/>
      <w:textAlignment w:val="baseline"/>
    </w:pPr>
    <w:rPr>
      <w:rFonts w:ascii="宋体"/>
      <w:kern w:val="0"/>
      <w:szCs w:val="20"/>
    </w:rPr>
  </w:style>
  <w:style w:type="paragraph" w:customStyle="1" w:styleId="zh1">
    <w:name w:val="四级标题zh"/>
    <w:basedOn w:val="Heading4"/>
    <w:link w:val="zhChar"/>
    <w:qFormat/>
    <w:pPr>
      <w:numPr>
        <w:ilvl w:val="0"/>
        <w:numId w:val="0"/>
      </w:numPr>
      <w:tabs>
        <w:tab w:val="left" w:pos="864"/>
      </w:tabs>
      <w:autoSpaceDE/>
      <w:autoSpaceDN/>
      <w:snapToGrid w:val="0"/>
      <w:spacing w:before="0" w:line="360" w:lineRule="auto"/>
      <w:ind w:left="862" w:hanging="862" w:leftChars="200"/>
      <w:textAlignment w:val="auto"/>
    </w:pPr>
    <w:rPr>
      <w:rFonts w:eastAsia="宋体"/>
      <w:b w:val="0"/>
      <w:snapToGrid w:val="0"/>
      <w:sz w:val="24"/>
    </w:rPr>
  </w:style>
  <w:style w:type="paragraph" w:customStyle="1" w:styleId="xl24">
    <w:name w:val="xl24"/>
    <w:basedOn w:val="Normal"/>
    <w:qFormat/>
    <w:pPr>
      <w:widowControl/>
      <w:spacing w:before="100" w:beforeAutospacing="1" w:after="100" w:afterAutospacing="1"/>
      <w:ind w:left="200" w:firstLine="0" w:leftChars="200" w:firstLineChars="0"/>
      <w:jc w:val="center"/>
    </w:pPr>
    <w:rPr>
      <w:rFonts w:eastAsia="Arial Unicode MS"/>
      <w:kern w:val="0"/>
    </w:rPr>
  </w:style>
  <w:style w:type="character" w:customStyle="1" w:styleId="Char2">
    <w:name w:val="表号 Char"/>
    <w:link w:val="a16"/>
    <w:qFormat/>
    <w:rPr>
      <w:rFonts w:eastAsia="楷体_GB2312"/>
      <w:kern w:val="2"/>
      <w:sz w:val="21"/>
      <w:szCs w:val="24"/>
    </w:rPr>
  </w:style>
  <w:style w:type="character" w:customStyle="1" w:styleId="zhChar">
    <w:name w:val="四级标题zh Char"/>
    <w:link w:val="zh1"/>
    <w:qFormat/>
    <w:rPr>
      <w:snapToGrid w:val="0"/>
      <w:sz w:val="24"/>
    </w:rPr>
  </w:style>
  <w:style w:type="character" w:customStyle="1" w:styleId="Char3">
    <w:name w:val="标题 Char"/>
    <w:link w:val="Title"/>
    <w:qFormat/>
    <w:rPr>
      <w:rFonts w:ascii="Cambria" w:eastAsia="黑体" w:hAnsi="Cambria" w:cs="Times New Roman"/>
      <w:bCs/>
      <w:kern w:val="2"/>
      <w:sz w:val="28"/>
      <w:szCs w:val="32"/>
    </w:rPr>
  </w:style>
  <w:style w:type="character" w:customStyle="1" w:styleId="Char4">
    <w:name w:val="题注 Char"/>
    <w:link w:val="Caption"/>
    <w:autoRedefine/>
    <w:qFormat/>
    <w:rPr>
      <w:rFonts w:eastAsia="黑体" w:cs="Arial"/>
      <w:kern w:val="2"/>
      <w:sz w:val="21"/>
    </w:rPr>
  </w:style>
  <w:style w:type="character" w:customStyle="1" w:styleId="Char5">
    <w:name w:val="引用 Char"/>
    <w:link w:val="13"/>
    <w:uiPriority w:val="29"/>
    <w:qFormat/>
    <w:rPr>
      <w:iCs/>
      <w:color w:val="000000"/>
      <w:kern w:val="2"/>
      <w:sz w:val="21"/>
      <w:szCs w:val="24"/>
    </w:rPr>
  </w:style>
  <w:style w:type="character" w:customStyle="1" w:styleId="HTMLChar">
    <w:name w:val="HTML 预设格式 Char"/>
    <w:link w:val="HTMLPreformatted"/>
    <w:uiPriority w:val="99"/>
    <w:qFormat/>
    <w:rPr>
      <w:rFonts w:ascii="宋体" w:hAnsi="宋体" w:cs="宋体"/>
      <w:sz w:val="24"/>
      <w:szCs w:val="24"/>
    </w:rPr>
  </w:style>
  <w:style w:type="character" w:customStyle="1" w:styleId="Char6">
    <w:name w:val="正文首行缩进 Char"/>
    <w:link w:val="BodyTextFirstIndent"/>
    <w:qFormat/>
    <w:rPr>
      <w:rFonts w:eastAsia="宋体"/>
      <w:kern w:val="2"/>
      <w:sz w:val="21"/>
      <w:szCs w:val="24"/>
      <w:lang w:val="en-US" w:eastAsia="zh-CN" w:bidi="ar-SA"/>
    </w:rPr>
  </w:style>
  <w:style w:type="character" w:customStyle="1" w:styleId="Char7">
    <w:name w:val="正文缩进 Char"/>
    <w:link w:val="NormalIndent"/>
    <w:qFormat/>
    <w:rPr>
      <w:kern w:val="2"/>
      <w:sz w:val="21"/>
    </w:rPr>
  </w:style>
  <w:style w:type="character" w:customStyle="1" w:styleId="CharChar">
    <w:name w:val="表格 Char Char"/>
    <w:link w:val="a8"/>
    <w:qFormat/>
    <w:rPr>
      <w:rFonts w:ascii="华文中宋" w:eastAsia="黑体" w:hAnsi="华文中宋" w:cs="华文中宋"/>
      <w:kern w:val="2"/>
      <w:sz w:val="21"/>
      <w:szCs w:val="24"/>
    </w:rPr>
  </w:style>
  <w:style w:type="character" w:customStyle="1" w:styleId="Char8">
    <w:name w:val="正文文本 Char"/>
    <w:link w:val="BodyText"/>
    <w:qFormat/>
    <w:rPr>
      <w:rFonts w:eastAsia="宋体"/>
      <w:kern w:val="2"/>
      <w:sz w:val="24"/>
      <w:lang w:val="en-US" w:eastAsia="zh-CN" w:bidi="ar-SA"/>
    </w:rPr>
  </w:style>
  <w:style w:type="character" w:customStyle="1" w:styleId="Char9">
    <w:name w:val="日期 Char"/>
    <w:link w:val="Date"/>
    <w:qFormat/>
    <w:rPr>
      <w:rFonts w:ascii="宋体" w:hAnsi="MS Sans Serif"/>
      <w:kern w:val="2"/>
      <w:sz w:val="28"/>
    </w:rPr>
  </w:style>
  <w:style w:type="character" w:customStyle="1" w:styleId="description">
    <w:name w:val="description"/>
    <w:basedOn w:val="DefaultParagraphFont"/>
    <w:qFormat/>
  </w:style>
  <w:style w:type="character" w:customStyle="1" w:styleId="2Char">
    <w:name w:val="正文文本 2 Char"/>
    <w:link w:val="BodyText2"/>
    <w:qFormat/>
    <w:rPr>
      <w:rFonts w:eastAsia="仿宋_GB2312"/>
      <w:b/>
      <w:bCs/>
      <w:color w:val="000000"/>
      <w:kern w:val="2"/>
      <w:sz w:val="28"/>
      <w:szCs w:val="24"/>
    </w:rPr>
  </w:style>
  <w:style w:type="character" w:customStyle="1" w:styleId="style31">
    <w:name w:val="style31"/>
    <w:qFormat/>
    <w:rPr>
      <w:sz w:val="33"/>
      <w:szCs w:val="33"/>
    </w:rPr>
  </w:style>
  <w:style w:type="character" w:customStyle="1" w:styleId="a17">
    <w:name w:val="样式 宋体 三号 黑色"/>
    <w:qFormat/>
    <w:rPr>
      <w:rFonts w:ascii="黑体" w:hAnsi="黑体"/>
      <w:color w:val="000000"/>
      <w:sz w:val="28"/>
    </w:rPr>
  </w:style>
  <w:style w:type="character" w:customStyle="1" w:styleId="3Char">
    <w:name w:val="正文文本 3 Char"/>
    <w:link w:val="BodyText3"/>
    <w:qFormat/>
    <w:rPr>
      <w:rFonts w:hAnsi="宋体"/>
      <w:color w:val="000000"/>
      <w:kern w:val="2"/>
      <w:sz w:val="24"/>
      <w:szCs w:val="24"/>
    </w:rPr>
  </w:style>
  <w:style w:type="character" w:customStyle="1" w:styleId="Char10">
    <w:name w:val="报告 Char"/>
    <w:link w:val="a13"/>
    <w:qFormat/>
    <w:rPr>
      <w:sz w:val="24"/>
    </w:rPr>
  </w:style>
  <w:style w:type="character" w:customStyle="1" w:styleId="number">
    <w:name w:val="number"/>
    <w:basedOn w:val="DefaultParagraphFont"/>
    <w:qFormat/>
  </w:style>
  <w:style w:type="character" w:customStyle="1" w:styleId="apple-converted-space">
    <w:name w:val="apple-converted-space"/>
    <w:qFormat/>
  </w:style>
  <w:style w:type="character" w:customStyle="1" w:styleId="1Char">
    <w:name w:val="标题 1 Char"/>
    <w:link w:val="Heading1"/>
    <w:qFormat/>
    <w:rPr>
      <w:rFonts w:eastAsia="黑体"/>
      <w:sz w:val="28"/>
    </w:rPr>
  </w:style>
  <w:style w:type="character" w:customStyle="1" w:styleId="2Char0">
    <w:name w:val="表格文字2 Char"/>
    <w:link w:val="20"/>
    <w:qFormat/>
    <w:rPr>
      <w:rFonts w:ascii="宋体"/>
      <w:spacing w:val="-2"/>
      <w:kern w:val="2"/>
      <w:sz w:val="24"/>
      <w:szCs w:val="21"/>
    </w:rPr>
  </w:style>
  <w:style w:type="character" w:customStyle="1" w:styleId="zhChar0">
    <w:name w:val="二级标题zh Char"/>
    <w:link w:val="zh"/>
    <w:qFormat/>
    <w:rPr>
      <w:b/>
      <w:bCs/>
      <w:kern w:val="2"/>
      <w:sz w:val="28"/>
      <w:szCs w:val="32"/>
    </w:rPr>
  </w:style>
  <w:style w:type="character" w:customStyle="1" w:styleId="Char11">
    <w:name w:val="正文文本缩进 Char"/>
    <w:link w:val="1"/>
    <w:qFormat/>
    <w:rPr>
      <w:rFonts w:ascii="仿宋_GB2312" w:eastAsia="仿宋_GB2312"/>
      <w:sz w:val="21"/>
    </w:rPr>
  </w:style>
  <w:style w:type="character" w:customStyle="1" w:styleId="CharChar0">
    <w:name w:val="报告表格 Char Char"/>
    <w:link w:val="a6"/>
    <w:qFormat/>
    <w:rPr>
      <w:sz w:val="21"/>
    </w:rPr>
  </w:style>
  <w:style w:type="character" w:customStyle="1" w:styleId="CharCharCharCharChar">
    <w:name w:val="偶的正文 Char Char Char Char Char"/>
    <w:link w:val="CharCharCharChar0"/>
    <w:qFormat/>
    <w:rPr>
      <w:kern w:val="2"/>
      <w:sz w:val="24"/>
      <w:szCs w:val="21"/>
    </w:rPr>
  </w:style>
  <w:style w:type="character" w:customStyle="1" w:styleId="3Char0">
    <w:name w:val="标题 3 Char"/>
    <w:link w:val="Heading3"/>
    <w:uiPriority w:val="99"/>
    <w:qFormat/>
    <w:rPr>
      <w:rFonts w:eastAsia="黑体"/>
      <w:sz w:val="28"/>
    </w:rPr>
  </w:style>
  <w:style w:type="character" w:customStyle="1" w:styleId="CharChar2">
    <w:name w:val="报告书正文 Char Char"/>
    <w:link w:val="a5"/>
    <w:qFormat/>
    <w:rPr>
      <w:kern w:val="2"/>
      <w:sz w:val="24"/>
      <w:szCs w:val="24"/>
    </w:rPr>
  </w:style>
  <w:style w:type="character" w:customStyle="1" w:styleId="Char12">
    <w:name w:val="纯文本 Char"/>
    <w:link w:val="PlainText"/>
    <w:qFormat/>
    <w:rPr>
      <w:rFonts w:ascii="宋体" w:hAnsi="Courier New" w:cs="Courier New"/>
      <w:kern w:val="2"/>
      <w:sz w:val="21"/>
      <w:szCs w:val="21"/>
    </w:rPr>
  </w:style>
  <w:style w:type="character" w:customStyle="1" w:styleId="style5">
    <w:name w:val="style5"/>
    <w:basedOn w:val="DefaultParagraphFont"/>
    <w:qFormat/>
  </w:style>
  <w:style w:type="character" w:customStyle="1" w:styleId="18">
    <w:name w:val="不明显强调1"/>
    <w:uiPriority w:val="19"/>
    <w:qFormat/>
    <w:rPr>
      <w:rFonts w:ascii="Times New Roman" w:eastAsia="宋体" w:hAnsi="Times New Roman"/>
      <w:iCs/>
      <w:color w:val="auto"/>
      <w:sz w:val="21"/>
    </w:rPr>
  </w:style>
  <w:style w:type="character" w:customStyle="1" w:styleId="Char13">
    <w:name w:val="表文 Char"/>
    <w:qFormat/>
    <w:rPr>
      <w:rFonts w:ascii="宋体" w:eastAsia="宋体" w:hAnsi="Courier New" w:cs="Courier New"/>
      <w:kern w:val="2"/>
      <w:sz w:val="30"/>
      <w:szCs w:val="21"/>
      <w:lang w:val="en-US" w:eastAsia="zh-CN" w:bidi="ar-SA"/>
    </w:rPr>
  </w:style>
  <w:style w:type="character" w:customStyle="1" w:styleId="tex0011">
    <w:name w:val="tex0011"/>
    <w:qFormat/>
    <w:rPr>
      <w:rFonts w:hint="default"/>
      <w:color w:val="000066"/>
      <w:spacing w:val="360"/>
      <w:sz w:val="24"/>
      <w:szCs w:val="24"/>
    </w:rPr>
  </w:style>
  <w:style w:type="character" w:customStyle="1" w:styleId="Char14">
    <w:name w:val="批注文字 Char"/>
    <w:link w:val="CommentText"/>
    <w:qFormat/>
    <w:rPr>
      <w:kern w:val="2"/>
      <w:sz w:val="24"/>
      <w:szCs w:val="24"/>
    </w:rPr>
  </w:style>
  <w:style w:type="character" w:customStyle="1" w:styleId="zhChar1">
    <w:name w:val="三级标题zh Char"/>
    <w:link w:val="zh0"/>
    <w:qFormat/>
    <w:rPr>
      <w:b/>
      <w:bCs/>
      <w:snapToGrid w:val="0"/>
      <w:sz w:val="24"/>
      <w:szCs w:val="28"/>
    </w:rPr>
  </w:style>
  <w:style w:type="table" w:customStyle="1" w:styleId="19">
    <w:name w:val="网格型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18">
    <w:name w:val="表格内容"/>
    <w:basedOn w:val="NormalIndent"/>
    <w:link w:val="Char30"/>
    <w:qFormat/>
    <w:pPr>
      <w:autoSpaceDE w:val="0"/>
      <w:autoSpaceDN w:val="0"/>
      <w:adjustRightInd w:val="0"/>
      <w:snapToGrid w:val="0"/>
      <w:spacing w:line="300" w:lineRule="auto"/>
      <w:ind w:left="-50" w:firstLine="482" w:leftChars="-50"/>
      <w:jc w:val="center"/>
    </w:pPr>
    <w:rPr>
      <w:rFonts w:ascii="宋体"/>
      <w:kern w:val="0"/>
      <w:sz w:val="24"/>
    </w:rPr>
  </w:style>
  <w:style w:type="character" w:customStyle="1" w:styleId="Char15">
    <w:name w:val="【表头】 Char"/>
    <w:link w:val="a19"/>
    <w:qFormat/>
    <w:locked/>
    <w:rPr>
      <w:rFonts w:eastAsia="黑体"/>
      <w:szCs w:val="21"/>
    </w:rPr>
  </w:style>
  <w:style w:type="paragraph" w:customStyle="1" w:styleId="a19">
    <w:name w:val="【表头】"/>
    <w:link w:val="Char15"/>
    <w:qFormat/>
    <w:pPr>
      <w:snapToGrid w:val="0"/>
      <w:spacing w:line="360" w:lineRule="auto"/>
      <w:jc w:val="center"/>
    </w:pPr>
    <w:rPr>
      <w:rFonts w:ascii="Times New Roman" w:eastAsia="黑体" w:hAnsi="Times New Roman" w:cs="Times New Roman"/>
      <w:szCs w:val="21"/>
      <w:lang w:val="en-US" w:eastAsia="zh-CN" w:bidi="ar-SA"/>
    </w:rPr>
  </w:style>
  <w:style w:type="paragraph" w:customStyle="1" w:styleId="a20">
    <w:name w:val="已有表格"/>
    <w:basedOn w:val="Normal"/>
    <w:uiPriority w:val="99"/>
    <w:qFormat/>
    <w:pPr>
      <w:adjustRightInd w:val="0"/>
      <w:spacing w:before="40" w:after="40" w:line="240" w:lineRule="auto"/>
      <w:ind w:firstLine="0" w:firstLineChars="0"/>
      <w:jc w:val="center"/>
    </w:pPr>
    <w:rPr>
      <w:b/>
      <w:kern w:val="0"/>
      <w:sz w:val="24"/>
      <w:szCs w:val="20"/>
    </w:rPr>
  </w:style>
  <w:style w:type="paragraph" w:customStyle="1" w:styleId="-y">
    <w:name w:val="表格-y"/>
    <w:basedOn w:val="Heading5"/>
    <w:qFormat/>
    <w:pPr>
      <w:keepNext w:val="0"/>
      <w:keepLines w:val="0"/>
      <w:numPr>
        <w:ilvl w:val="0"/>
        <w:numId w:val="0"/>
      </w:numPr>
      <w:tabs>
        <w:tab w:val="clear" w:pos="0"/>
      </w:tabs>
      <w:autoSpaceDE/>
      <w:autoSpaceDN/>
      <w:snapToGrid w:val="0"/>
      <w:spacing w:line="240" w:lineRule="auto"/>
      <w:jc w:val="center"/>
      <w:textAlignment w:val="auto"/>
      <w:outlineLvl w:val="9"/>
    </w:pPr>
    <w:rPr>
      <w:b w:val="0"/>
      <w:szCs w:val="22"/>
      <w:lang w:bidi="en-US"/>
    </w:rPr>
  </w:style>
  <w:style w:type="character" w:customStyle="1" w:styleId="Char16">
    <w:name w:val="报告表正文 Char"/>
    <w:link w:val="a14"/>
    <w:qFormat/>
    <w:locked/>
    <w:rPr>
      <w:sz w:val="24"/>
    </w:rPr>
  </w:style>
  <w:style w:type="paragraph" w:customStyle="1" w:styleId="a21">
    <w:name w:val="【正文】"/>
    <w:basedOn w:val="BodyText"/>
    <w:qFormat/>
    <w:pPr>
      <w:adjustRightInd w:val="0"/>
      <w:snapToGrid w:val="0"/>
      <w:spacing w:after="120"/>
      <w:ind w:firstLine="480"/>
    </w:pPr>
    <w:rPr>
      <w:color w:val="0000CC"/>
      <w:sz w:val="24"/>
      <w:szCs w:val="24"/>
    </w:rPr>
  </w:style>
  <w:style w:type="character" w:customStyle="1" w:styleId="HTMLChar0">
    <w:name w:val="HTML 地址 Char"/>
    <w:basedOn w:val="DefaultParagraphFont"/>
    <w:link w:val="HTMLAddress"/>
    <w:semiHidden/>
    <w:qFormat/>
    <w:rPr>
      <w:i/>
      <w:iCs/>
      <w:kern w:val="2"/>
      <w:sz w:val="21"/>
      <w:szCs w:val="21"/>
    </w:rPr>
  </w:style>
  <w:style w:type="paragraph" w:customStyle="1" w:styleId="TOC10">
    <w:name w:val="TOC 标题1"/>
    <w:basedOn w:val="Heading1"/>
    <w:next w:val="Normal"/>
    <w:uiPriority w:val="39"/>
    <w:semiHidden/>
    <w:unhideWhenUsed/>
    <w:qFormat/>
    <w:pPr>
      <w:autoSpaceDE/>
      <w:autoSpaceDN/>
      <w:spacing w:before="340" w:after="330" w:line="578" w:lineRule="auto"/>
      <w:jc w:val="both"/>
      <w:textAlignment w:val="auto"/>
      <w:outlineLvl w:val="9"/>
    </w:pPr>
    <w:rPr>
      <w:rFonts w:eastAsia="宋体"/>
      <w:b/>
      <w:bCs/>
      <w:kern w:val="44"/>
      <w:sz w:val="44"/>
      <w:szCs w:val="44"/>
    </w:rPr>
  </w:style>
  <w:style w:type="character" w:customStyle="1" w:styleId="Char17">
    <w:name w:val="称呼 Char"/>
    <w:basedOn w:val="DefaultParagraphFont"/>
    <w:link w:val="Salutation"/>
    <w:qFormat/>
    <w:rPr>
      <w:kern w:val="2"/>
      <w:sz w:val="21"/>
      <w:szCs w:val="21"/>
    </w:rPr>
  </w:style>
  <w:style w:type="character" w:customStyle="1" w:styleId="Char18">
    <w:name w:val="电子邮件签名 Char"/>
    <w:basedOn w:val="DefaultParagraphFont"/>
    <w:link w:val="E-mailSignature"/>
    <w:semiHidden/>
    <w:qFormat/>
    <w:rPr>
      <w:kern w:val="2"/>
      <w:sz w:val="21"/>
      <w:szCs w:val="21"/>
    </w:rPr>
  </w:style>
  <w:style w:type="character" w:customStyle="1" w:styleId="Char19">
    <w:name w:val="副标题 Char"/>
    <w:basedOn w:val="DefaultParagraphFont"/>
    <w:link w:val="Subtitle"/>
    <w:qFormat/>
    <w:rPr>
      <w:rFonts w:asciiTheme="majorHAnsi" w:hAnsiTheme="majorHAnsi" w:cstheme="majorBidi"/>
      <w:b/>
      <w:bCs/>
      <w:kern w:val="28"/>
      <w:sz w:val="32"/>
      <w:szCs w:val="32"/>
    </w:rPr>
  </w:style>
  <w:style w:type="character" w:customStyle="1" w:styleId="Char20">
    <w:name w:val="宏文本 Char"/>
    <w:basedOn w:val="DefaultParagraphFont"/>
    <w:link w:val="Macro"/>
    <w:semiHidden/>
    <w:qFormat/>
    <w:rPr>
      <w:rFonts w:ascii="Courier New" w:hAnsi="Courier New" w:cs="Courier New"/>
      <w:kern w:val="2"/>
      <w:sz w:val="24"/>
      <w:szCs w:val="24"/>
    </w:rPr>
  </w:style>
  <w:style w:type="character" w:customStyle="1" w:styleId="Char21">
    <w:name w:val="脚注文本 Char"/>
    <w:basedOn w:val="DefaultParagraphFont"/>
    <w:link w:val="FootnoteText"/>
    <w:semiHidden/>
    <w:qFormat/>
    <w:rPr>
      <w:kern w:val="2"/>
      <w:sz w:val="18"/>
      <w:szCs w:val="18"/>
    </w:rPr>
  </w:style>
  <w:style w:type="character" w:customStyle="1" w:styleId="Char22">
    <w:name w:val="结束语 Char"/>
    <w:basedOn w:val="DefaultParagraphFont"/>
    <w:link w:val="Closing"/>
    <w:semiHidden/>
    <w:qFormat/>
    <w:rPr>
      <w:kern w:val="2"/>
      <w:sz w:val="21"/>
      <w:szCs w:val="21"/>
    </w:rPr>
  </w:style>
  <w:style w:type="paragraph" w:styleId="IntenseQuote">
    <w:name w:val="Intense Quote"/>
    <w:basedOn w:val="Normal"/>
    <w:next w:val="Normal"/>
    <w:link w:val="Char23"/>
    <w:uiPriority w:val="99"/>
    <w:qFormat/>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Char23">
    <w:name w:val="明显引用 Char"/>
    <w:basedOn w:val="DefaultParagraphFont"/>
    <w:link w:val="IntenseQuote"/>
    <w:uiPriority w:val="99"/>
    <w:qFormat/>
    <w:rPr>
      <w:i/>
      <w:iCs/>
      <w:color w:val="4F81BD" w:themeColor="accent1"/>
      <w:kern w:val="2"/>
      <w:sz w:val="21"/>
      <w:szCs w:val="21"/>
    </w:rPr>
  </w:style>
  <w:style w:type="character" w:customStyle="1" w:styleId="Char24">
    <w:name w:val="签名 Char"/>
    <w:basedOn w:val="DefaultParagraphFont"/>
    <w:link w:val="Signature"/>
    <w:semiHidden/>
    <w:qFormat/>
    <w:rPr>
      <w:kern w:val="2"/>
      <w:sz w:val="21"/>
      <w:szCs w:val="21"/>
    </w:rPr>
  </w:style>
  <w:style w:type="paragraph" w:customStyle="1" w:styleId="111">
    <w:name w:val="书目1"/>
    <w:basedOn w:val="Normal"/>
    <w:next w:val="Normal"/>
    <w:uiPriority w:val="37"/>
    <w:semiHidden/>
    <w:unhideWhenUsed/>
    <w:qFormat/>
  </w:style>
  <w:style w:type="character" w:customStyle="1" w:styleId="Char25">
    <w:name w:val="尾注文本 Char"/>
    <w:basedOn w:val="DefaultParagraphFont"/>
    <w:link w:val="EndnoteText"/>
    <w:semiHidden/>
    <w:qFormat/>
    <w:rPr>
      <w:kern w:val="2"/>
      <w:sz w:val="21"/>
      <w:szCs w:val="21"/>
    </w:rPr>
  </w:style>
  <w:style w:type="paragraph" w:styleId="NoSpacing">
    <w:name w:val="No Spacing"/>
    <w:link w:val="Char29"/>
    <w:uiPriority w:val="1"/>
    <w:qFormat/>
    <w:pPr>
      <w:widowControl w:val="0"/>
      <w:ind w:firstLine="200" w:firstLineChars="200"/>
      <w:jc w:val="both"/>
    </w:pPr>
    <w:rPr>
      <w:rFonts w:ascii="Times New Roman" w:eastAsia="宋体" w:hAnsi="Times New Roman" w:cs="Times New Roman"/>
      <w:kern w:val="2"/>
      <w:sz w:val="21"/>
      <w:szCs w:val="21"/>
      <w:lang w:val="en-US" w:eastAsia="zh-CN" w:bidi="ar-SA"/>
    </w:rPr>
  </w:style>
  <w:style w:type="character" w:customStyle="1" w:styleId="Char26">
    <w:name w:val="信息标题 Char"/>
    <w:basedOn w:val="DefaultParagraphFont"/>
    <w:link w:val="MessageHeader"/>
    <w:semiHidden/>
    <w:qFormat/>
    <w:rPr>
      <w:rFonts w:asciiTheme="majorHAnsi" w:eastAsiaTheme="majorEastAsia" w:hAnsiTheme="majorHAnsi" w:cstheme="majorBidi"/>
      <w:kern w:val="2"/>
      <w:sz w:val="24"/>
      <w:szCs w:val="24"/>
      <w:shd w:val="pct20" w:color="auto" w:fill="auto"/>
    </w:rPr>
  </w:style>
  <w:style w:type="paragraph" w:styleId="Quote">
    <w:name w:val="Quote"/>
    <w:basedOn w:val="Normal"/>
    <w:next w:val="Normal"/>
    <w:link w:val="Char110"/>
    <w:uiPriority w:val="99"/>
    <w:qFormat/>
    <w:pPr>
      <w:spacing w:before="200" w:after="160"/>
      <w:ind w:left="864" w:right="864"/>
      <w:jc w:val="center"/>
    </w:pPr>
    <w:rPr>
      <w:i/>
      <w:iCs/>
      <w:color w:val="3F3F3F" w:themeColor="text1" w:themeTint="BF"/>
    </w:rPr>
  </w:style>
  <w:style w:type="character" w:customStyle="1" w:styleId="Char110">
    <w:name w:val="引用 Char1"/>
    <w:basedOn w:val="DefaultParagraphFont"/>
    <w:link w:val="Quote"/>
    <w:uiPriority w:val="99"/>
    <w:qFormat/>
    <w:rPr>
      <w:i/>
      <w:iCs/>
      <w:color w:val="3F3F3F" w:themeColor="text1" w:themeTint="BF"/>
      <w:kern w:val="2"/>
      <w:sz w:val="21"/>
      <w:szCs w:val="21"/>
    </w:rPr>
  </w:style>
  <w:style w:type="character" w:customStyle="1" w:styleId="Char111">
    <w:name w:val="正文文本缩进 Char1"/>
    <w:basedOn w:val="DefaultParagraphFont"/>
    <w:link w:val="BodyTextIndent"/>
    <w:qFormat/>
    <w:rPr>
      <w:rFonts w:eastAsia="方正宋三简体"/>
      <w:kern w:val="2"/>
      <w:sz w:val="21"/>
    </w:rPr>
  </w:style>
  <w:style w:type="character" w:customStyle="1" w:styleId="2Char1">
    <w:name w:val="正文首行缩进 2 Char"/>
    <w:basedOn w:val="Char111"/>
    <w:link w:val="BodyTextFirstIndent2"/>
    <w:semiHidden/>
    <w:qFormat/>
    <w:rPr>
      <w:rFonts w:eastAsia="方正宋三简体"/>
      <w:kern w:val="2"/>
      <w:sz w:val="21"/>
      <w:szCs w:val="21"/>
    </w:rPr>
  </w:style>
  <w:style w:type="character" w:customStyle="1" w:styleId="Char27">
    <w:name w:val="注释标题 Char"/>
    <w:basedOn w:val="DefaultParagraphFont"/>
    <w:link w:val="NoteHeading"/>
    <w:semiHidden/>
    <w:qFormat/>
    <w:rPr>
      <w:kern w:val="2"/>
      <w:sz w:val="21"/>
      <w:szCs w:val="21"/>
    </w:rPr>
  </w:style>
  <w:style w:type="paragraph" w:customStyle="1" w:styleId="a22">
    <w:name w:val="洋的正文样式"/>
    <w:basedOn w:val="Normal"/>
    <w:qFormat/>
    <w:pPr>
      <w:ind w:firstLine="1440"/>
    </w:pPr>
    <w:rPr>
      <w:sz w:val="24"/>
    </w:rPr>
  </w:style>
  <w:style w:type="paragraph" w:customStyle="1" w:styleId="a23">
    <w:name w:val="图例表例"/>
    <w:basedOn w:val="Normal"/>
    <w:next w:val="Normal"/>
    <w:qFormat/>
    <w:pPr>
      <w:spacing w:line="240" w:lineRule="auto"/>
      <w:ind w:firstLine="0" w:firstLineChars="0"/>
      <w:jc w:val="center"/>
    </w:pPr>
    <w:rPr>
      <w:b/>
      <w:sz w:val="24"/>
    </w:rPr>
  </w:style>
  <w:style w:type="paragraph" w:customStyle="1" w:styleId="zh2">
    <w:name w:val="表格zh"/>
    <w:basedOn w:val="Normal"/>
    <w:qFormat/>
    <w:pPr>
      <w:spacing w:line="240" w:lineRule="auto"/>
      <w:ind w:firstLine="0" w:firstLineChars="0"/>
      <w:jc w:val="center"/>
    </w:pPr>
  </w:style>
  <w:style w:type="paragraph" w:customStyle="1" w:styleId="112">
    <w:name w:val="1级"/>
    <w:basedOn w:val="Normal"/>
    <w:qFormat/>
    <w:pPr>
      <w:ind w:firstLine="0" w:firstLineChars="0"/>
      <w:outlineLvl w:val="0"/>
    </w:pPr>
    <w:rPr>
      <w:rFonts w:eastAsia="黑体"/>
      <w:sz w:val="28"/>
    </w:rPr>
  </w:style>
  <w:style w:type="paragraph" w:customStyle="1" w:styleId="113">
    <w:name w:val="表格文字11"/>
    <w:basedOn w:val="Normal"/>
    <w:qFormat/>
    <w:pPr>
      <w:spacing w:line="360" w:lineRule="exact"/>
      <w:ind w:firstLine="0" w:firstLineChars="0"/>
    </w:pPr>
  </w:style>
  <w:style w:type="character" w:customStyle="1" w:styleId="Char28">
    <w:name w:val="德胜表格内容 Char"/>
    <w:link w:val="a24"/>
    <w:qFormat/>
    <w:locked/>
    <w:rPr>
      <w:rFonts w:ascii="宋体" w:hAnsi="宋体" w:cs="宋体"/>
      <w:snapToGrid w:val="0"/>
      <w:color w:val="0000FF"/>
      <w:szCs w:val="21"/>
    </w:rPr>
  </w:style>
  <w:style w:type="paragraph" w:customStyle="1" w:styleId="a24">
    <w:name w:val="德胜表格内容"/>
    <w:basedOn w:val="Normal"/>
    <w:link w:val="Char28"/>
    <w:qFormat/>
    <w:pPr>
      <w:adjustRightInd w:val="0"/>
      <w:snapToGrid w:val="0"/>
      <w:spacing w:line="240" w:lineRule="auto"/>
      <w:ind w:firstLine="0" w:firstLineChars="0"/>
      <w:jc w:val="center"/>
    </w:pPr>
    <w:rPr>
      <w:rFonts w:ascii="宋体" w:hAnsi="宋体" w:cs="宋体"/>
      <w:snapToGrid w:val="0"/>
      <w:color w:val="0000FF"/>
      <w:kern w:val="0"/>
      <w:sz w:val="20"/>
    </w:rPr>
  </w:style>
  <w:style w:type="paragraph" w:customStyle="1" w:styleId="a25">
    <w:name w:val="标准正文"/>
    <w:basedOn w:val="Normal"/>
    <w:qFormat/>
    <w:pPr>
      <w:adjustRightInd w:val="0"/>
      <w:spacing w:line="460" w:lineRule="atLeast"/>
      <w:ind w:firstLine="567" w:firstLineChars="0"/>
      <w:jc w:val="left"/>
    </w:pPr>
    <w:rPr>
      <w:kern w:val="28"/>
      <w:sz w:val="28"/>
      <w:szCs w:val="20"/>
    </w:rPr>
  </w:style>
  <w:style w:type="paragraph" w:customStyle="1" w:styleId="31">
    <w:name w:val="3级1"/>
    <w:basedOn w:val="Normal"/>
    <w:next w:val="Normal"/>
    <w:qFormat/>
    <w:rPr>
      <w:rFonts w:eastAsia="黑体"/>
      <w:sz w:val="24"/>
    </w:rPr>
  </w:style>
  <w:style w:type="paragraph" w:customStyle="1" w:styleId="22">
    <w:name w:val="2级"/>
    <w:basedOn w:val="Normal"/>
    <w:next w:val="Normal"/>
    <w:qFormat/>
    <w:pPr>
      <w:spacing w:beforeLines="50" w:afterLines="50"/>
      <w:ind w:firstLine="0" w:firstLineChars="0"/>
      <w:jc w:val="left"/>
    </w:pPr>
    <w:rPr>
      <w:rFonts w:eastAsia="黑体"/>
      <w:b/>
      <w:sz w:val="24"/>
    </w:rPr>
  </w:style>
  <w:style w:type="paragraph" w:customStyle="1" w:styleId="a26">
    <w:name w:val="报告书表格"/>
    <w:basedOn w:val="Normal"/>
    <w:qFormat/>
    <w:pPr>
      <w:adjustRightInd w:val="0"/>
      <w:snapToGrid w:val="0"/>
      <w:jc w:val="center"/>
      <w:textAlignment w:val="baseline"/>
    </w:pPr>
    <w:rPr>
      <w:kern w:val="0"/>
      <w:sz w:val="24"/>
      <w:szCs w:val="20"/>
    </w:rPr>
  </w:style>
  <w:style w:type="table" w:customStyle="1" w:styleId="23">
    <w:name w:val="网格型2"/>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h">
    <w:name w:val="h正文"/>
    <w:basedOn w:val="Normal"/>
    <w:qFormat/>
    <w:pPr>
      <w:adjustRightInd w:val="0"/>
      <w:snapToGrid w:val="0"/>
    </w:pPr>
    <w:rPr>
      <w:sz w:val="24"/>
      <w:szCs w:val="24"/>
    </w:rPr>
  </w:style>
  <w:style w:type="paragraph" w:customStyle="1" w:styleId="ParaCharCharCharCharCharCharCharCharCharChar">
    <w:name w:val="默认段落字体 Para Char Char Char Char Char Char Char Char Char Char"/>
    <w:basedOn w:val="Normal"/>
    <w:autoRedefine/>
    <w:qFormat/>
    <w:pPr>
      <w:spacing w:line="240" w:lineRule="auto"/>
      <w:ind w:firstLine="0" w:firstLineChars="0"/>
    </w:pPr>
    <w:rPr>
      <w:szCs w:val="24"/>
    </w:rPr>
  </w:style>
  <w:style w:type="paragraph" w:customStyle="1" w:styleId="QINCY">
    <w:name w:val="正文QINCY"/>
    <w:basedOn w:val="Normal"/>
    <w:qFormat/>
    <w:pPr>
      <w:widowControl/>
      <w:ind w:left="540" w:firstLine="480" w:leftChars="225"/>
      <w:jc w:val="left"/>
    </w:pPr>
    <w:rPr>
      <w:sz w:val="24"/>
      <w:szCs w:val="20"/>
    </w:rPr>
  </w:style>
  <w:style w:type="character" w:customStyle="1" w:styleId="Char29">
    <w:name w:val="无间隔 Char"/>
    <w:link w:val="NoSpacing"/>
    <w:uiPriority w:val="1"/>
    <w:qFormat/>
    <w:rPr>
      <w:kern w:val="2"/>
      <w:sz w:val="21"/>
      <w:szCs w:val="21"/>
    </w:rPr>
  </w:style>
  <w:style w:type="character" w:customStyle="1" w:styleId="Char30">
    <w:name w:val="表格内容 Char"/>
    <w:link w:val="a18"/>
    <w:qFormat/>
    <w:locked/>
    <w:rPr>
      <w:rFonts w:ascii="宋体"/>
      <w:sz w:val="24"/>
    </w:rPr>
  </w:style>
  <w:style w:type="character" w:customStyle="1" w:styleId="info3">
    <w:name w:val="info3"/>
    <w:basedOn w:val="DefaultParagraphFont"/>
    <w:qFormat/>
  </w:style>
  <w:style w:type="paragraph" w:customStyle="1" w:styleId="114">
    <w:name w:val="修订1"/>
    <w:hidden/>
    <w:uiPriority w:val="99"/>
    <w:semiHidden/>
    <w:qFormat/>
    <w:rPr>
      <w:rFonts w:ascii="Times New Roman" w:eastAsia="宋体" w:hAnsi="Times New Roman" w:cs="Times New Roman"/>
      <w:kern w:val="2"/>
      <w:sz w:val="21"/>
      <w:szCs w:val="21"/>
      <w:lang w:val="en-US" w:eastAsia="zh-CN" w:bidi="ar-SA"/>
    </w:rPr>
  </w:style>
  <w:style w:type="paragraph" w:customStyle="1" w:styleId="a27">
    <w:name w:val="表文字"/>
    <w:basedOn w:val="Normal"/>
    <w:link w:val="Char31"/>
    <w:qFormat/>
    <w:pPr>
      <w:spacing w:line="240" w:lineRule="atLeast"/>
      <w:ind w:firstLine="0" w:firstLineChars="0"/>
      <w:jc w:val="center"/>
    </w:pPr>
    <w:rPr>
      <w:rFonts w:ascii="宋体" w:hAnsi="宋体"/>
      <w:szCs w:val="20"/>
    </w:rPr>
  </w:style>
  <w:style w:type="character" w:customStyle="1" w:styleId="Char31">
    <w:name w:val="表文字 Char"/>
    <w:link w:val="a27"/>
    <w:qFormat/>
    <w:rPr>
      <w:rFonts w:ascii="宋体" w:hAnsi="宋体"/>
      <w:kern w:val="2"/>
      <w:sz w:val="21"/>
    </w:rPr>
  </w:style>
  <w:style w:type="paragraph" w:customStyle="1" w:styleId="a28">
    <w:name w:val="图表内容"/>
    <w:qFormat/>
    <w:pPr>
      <w:jc w:val="center"/>
    </w:pPr>
    <w:rPr>
      <w:rFonts w:ascii="Times New Roman" w:hAnsi="Times New Roman" w:eastAsiaTheme="minorEastAsia" w:cstheme="minorBidi"/>
      <w:kern w:val="2"/>
      <w:sz w:val="21"/>
      <w:szCs w:val="22"/>
      <w:lang w:val="en-US" w:eastAsia="zh-CN" w:bidi="ar-SA"/>
    </w:rPr>
  </w:style>
  <w:style w:type="table" w:customStyle="1" w:styleId="TableNormal0">
    <w:name w:val="Table Normal_0"/>
    <w:uiPriority w:val="2"/>
    <w:semiHidden/>
    <w:unhideWhenUsed/>
    <w:qFormat/>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table" w:customStyle="1" w:styleId="200">
    <w:name w:val="网格型2_0"/>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0">
    <w:name w:val="网格型2_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0">
    <w:name w:val="Table Grid_0"/>
    <w:basedOn w:val="TableNormal"/>
    <w:autoRedefine/>
    <w:uiPriority w:val="39"/>
    <w:qFormat/>
    <w:pPr>
      <w:widowControl w:val="0"/>
      <w:jc w:val="both"/>
    </w:pPr>
    <w:rPr>
      <w:sz w:val="21"/>
      <w:szCs w:val="21"/>
    </w:rPr>
    <w:tblPr>
      <w:jc w:val="center"/>
      <w:tblBorders>
        <w:top w:val="single" w:sz="12" w:space="0" w:color="auto"/>
        <w:bottom w:val="single" w:sz="12" w:space="0" w:color="auto"/>
        <w:insideH w:val="single" w:sz="4" w:space="0" w:color="auto"/>
        <w:insideV w:val="single" w:sz="4" w:space="0" w:color="auto"/>
      </w:tblBorders>
    </w:tblPr>
    <w:trPr>
      <w:jc w:val="center"/>
    </w:tr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customizations.xml.rels><?xml version="1.0" encoding="utf-8" standalone="yes"?><Relationships xmlns="http://schemas.openxmlformats.org/package/2006/relationships"><Relationship Id="rId1" Type="http://schemas.microsoft.com/office/2006/relationships/attachedToolbars" Target="attachedToolbars.bin" /></Relationship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00" Type="http://schemas.openxmlformats.org/officeDocument/2006/relationships/footer" Target="footer46.xml" /><Relationship Id="rId101" Type="http://schemas.openxmlformats.org/officeDocument/2006/relationships/footer" Target="footer47.xml" /><Relationship Id="rId102" Type="http://schemas.openxmlformats.org/officeDocument/2006/relationships/header" Target="header48.xml" /><Relationship Id="rId103" Type="http://schemas.openxmlformats.org/officeDocument/2006/relationships/footer" Target="footer48.xml" /><Relationship Id="rId104" Type="http://schemas.openxmlformats.org/officeDocument/2006/relationships/header" Target="header49.xml" /><Relationship Id="rId105" Type="http://schemas.openxmlformats.org/officeDocument/2006/relationships/header" Target="header50.xml" /><Relationship Id="rId106" Type="http://schemas.openxmlformats.org/officeDocument/2006/relationships/footer" Target="footer49.xml" /><Relationship Id="rId107" Type="http://schemas.openxmlformats.org/officeDocument/2006/relationships/footer" Target="footer50.xml" /><Relationship Id="rId108" Type="http://schemas.openxmlformats.org/officeDocument/2006/relationships/header" Target="header51.xml" /><Relationship Id="rId109" Type="http://schemas.openxmlformats.org/officeDocument/2006/relationships/footer" Target="footer51.xml" /><Relationship Id="rId11" Type="http://schemas.openxmlformats.org/officeDocument/2006/relationships/footer" Target="footer2.xml" /><Relationship Id="rId110" Type="http://schemas.openxmlformats.org/officeDocument/2006/relationships/header" Target="header52.xml" /><Relationship Id="rId111" Type="http://schemas.openxmlformats.org/officeDocument/2006/relationships/header" Target="header53.xml" /><Relationship Id="rId112" Type="http://schemas.openxmlformats.org/officeDocument/2006/relationships/footer" Target="footer52.xml" /><Relationship Id="rId113" Type="http://schemas.openxmlformats.org/officeDocument/2006/relationships/footer" Target="footer53.xml" /><Relationship Id="rId114" Type="http://schemas.openxmlformats.org/officeDocument/2006/relationships/header" Target="header54.xml" /><Relationship Id="rId115" Type="http://schemas.openxmlformats.org/officeDocument/2006/relationships/footer" Target="footer54.xml" /><Relationship Id="rId116" Type="http://schemas.openxmlformats.org/officeDocument/2006/relationships/header" Target="header55.xml" /><Relationship Id="rId117" Type="http://schemas.openxmlformats.org/officeDocument/2006/relationships/header" Target="header56.xml" /><Relationship Id="rId118" Type="http://schemas.openxmlformats.org/officeDocument/2006/relationships/footer" Target="footer55.xml" /><Relationship Id="rId119" Type="http://schemas.openxmlformats.org/officeDocument/2006/relationships/footer" Target="footer56.xml" /><Relationship Id="rId12" Type="http://schemas.openxmlformats.org/officeDocument/2006/relationships/header" Target="header3.xml" /><Relationship Id="rId120" Type="http://schemas.openxmlformats.org/officeDocument/2006/relationships/header" Target="header57.xml" /><Relationship Id="rId121" Type="http://schemas.openxmlformats.org/officeDocument/2006/relationships/footer" Target="footer57.xml" /><Relationship Id="rId122" Type="http://schemas.openxmlformats.org/officeDocument/2006/relationships/header" Target="header58.xml" /><Relationship Id="rId123" Type="http://schemas.openxmlformats.org/officeDocument/2006/relationships/header" Target="header59.xml" /><Relationship Id="rId124" Type="http://schemas.openxmlformats.org/officeDocument/2006/relationships/footer" Target="footer58.xml" /><Relationship Id="rId125" Type="http://schemas.openxmlformats.org/officeDocument/2006/relationships/footer" Target="footer59.xml" /><Relationship Id="rId126" Type="http://schemas.openxmlformats.org/officeDocument/2006/relationships/header" Target="header60.xml" /><Relationship Id="rId127" Type="http://schemas.openxmlformats.org/officeDocument/2006/relationships/footer" Target="footer60.xml" /><Relationship Id="rId128" Type="http://schemas.openxmlformats.org/officeDocument/2006/relationships/header" Target="header61.xml" /><Relationship Id="rId129" Type="http://schemas.openxmlformats.org/officeDocument/2006/relationships/header" Target="header62.xml" /><Relationship Id="rId13" Type="http://schemas.openxmlformats.org/officeDocument/2006/relationships/footer" Target="footer3.xml" /><Relationship Id="rId130" Type="http://schemas.openxmlformats.org/officeDocument/2006/relationships/footer" Target="footer61.xml" /><Relationship Id="rId131" Type="http://schemas.openxmlformats.org/officeDocument/2006/relationships/footer" Target="footer62.xml" /><Relationship Id="rId132" Type="http://schemas.openxmlformats.org/officeDocument/2006/relationships/header" Target="header63.xml" /><Relationship Id="rId133" Type="http://schemas.openxmlformats.org/officeDocument/2006/relationships/footer" Target="footer63.xml" /><Relationship Id="rId134" Type="http://schemas.openxmlformats.org/officeDocument/2006/relationships/header" Target="header64.xml" /><Relationship Id="rId135" Type="http://schemas.openxmlformats.org/officeDocument/2006/relationships/header" Target="header65.xml" /><Relationship Id="rId136" Type="http://schemas.openxmlformats.org/officeDocument/2006/relationships/footer" Target="footer64.xml" /><Relationship Id="rId137" Type="http://schemas.openxmlformats.org/officeDocument/2006/relationships/footer" Target="footer65.xml" /><Relationship Id="rId138" Type="http://schemas.openxmlformats.org/officeDocument/2006/relationships/header" Target="header66.xml" /><Relationship Id="rId139" Type="http://schemas.openxmlformats.org/officeDocument/2006/relationships/footer" Target="footer66.xml" /><Relationship Id="rId14" Type="http://schemas.openxmlformats.org/officeDocument/2006/relationships/header" Target="header4.xml" /><Relationship Id="rId140" Type="http://schemas.openxmlformats.org/officeDocument/2006/relationships/header" Target="header67.xml" /><Relationship Id="rId141" Type="http://schemas.openxmlformats.org/officeDocument/2006/relationships/header" Target="header68.xml" /><Relationship Id="rId142" Type="http://schemas.openxmlformats.org/officeDocument/2006/relationships/footer" Target="footer67.xml" /><Relationship Id="rId143" Type="http://schemas.openxmlformats.org/officeDocument/2006/relationships/footer" Target="footer68.xml" /><Relationship Id="rId144" Type="http://schemas.openxmlformats.org/officeDocument/2006/relationships/header" Target="header69.xml" /><Relationship Id="rId145" Type="http://schemas.openxmlformats.org/officeDocument/2006/relationships/footer" Target="footer69.xml" /><Relationship Id="rId146" Type="http://schemas.openxmlformats.org/officeDocument/2006/relationships/header" Target="header70.xml" /><Relationship Id="rId147" Type="http://schemas.openxmlformats.org/officeDocument/2006/relationships/header" Target="header71.xml" /><Relationship Id="rId148" Type="http://schemas.openxmlformats.org/officeDocument/2006/relationships/footer" Target="footer70.xml" /><Relationship Id="rId149" Type="http://schemas.openxmlformats.org/officeDocument/2006/relationships/footer" Target="footer71.xml" /><Relationship Id="rId15" Type="http://schemas.openxmlformats.org/officeDocument/2006/relationships/header" Target="header5.xml" /><Relationship Id="rId150" Type="http://schemas.openxmlformats.org/officeDocument/2006/relationships/header" Target="header72.xml" /><Relationship Id="rId151" Type="http://schemas.openxmlformats.org/officeDocument/2006/relationships/footer" Target="footer72.xml" /><Relationship Id="rId152" Type="http://schemas.openxmlformats.org/officeDocument/2006/relationships/header" Target="header73.xml" /><Relationship Id="rId153" Type="http://schemas.openxmlformats.org/officeDocument/2006/relationships/header" Target="header74.xml" /><Relationship Id="rId154" Type="http://schemas.openxmlformats.org/officeDocument/2006/relationships/footer" Target="footer73.xml" /><Relationship Id="rId155" Type="http://schemas.openxmlformats.org/officeDocument/2006/relationships/footer" Target="footer74.xml" /><Relationship Id="rId156" Type="http://schemas.openxmlformats.org/officeDocument/2006/relationships/header" Target="header75.xml" /><Relationship Id="rId157" Type="http://schemas.openxmlformats.org/officeDocument/2006/relationships/footer" Target="footer75.xml" /><Relationship Id="rId158" Type="http://schemas.openxmlformats.org/officeDocument/2006/relationships/header" Target="header76.xml" /><Relationship Id="rId159" Type="http://schemas.openxmlformats.org/officeDocument/2006/relationships/header" Target="header77.xml" /><Relationship Id="rId16" Type="http://schemas.openxmlformats.org/officeDocument/2006/relationships/footer" Target="footer4.xml" /><Relationship Id="rId160" Type="http://schemas.openxmlformats.org/officeDocument/2006/relationships/footer" Target="footer76.xml" /><Relationship Id="rId161" Type="http://schemas.openxmlformats.org/officeDocument/2006/relationships/footer" Target="footer77.xml" /><Relationship Id="rId162" Type="http://schemas.openxmlformats.org/officeDocument/2006/relationships/header" Target="header78.xml" /><Relationship Id="rId163" Type="http://schemas.openxmlformats.org/officeDocument/2006/relationships/footer" Target="footer78.xml" /><Relationship Id="rId164" Type="http://schemas.openxmlformats.org/officeDocument/2006/relationships/header" Target="header79.xml" /><Relationship Id="rId165" Type="http://schemas.openxmlformats.org/officeDocument/2006/relationships/header" Target="header80.xml" /><Relationship Id="rId166" Type="http://schemas.openxmlformats.org/officeDocument/2006/relationships/footer" Target="footer79.xml" /><Relationship Id="rId167" Type="http://schemas.openxmlformats.org/officeDocument/2006/relationships/footer" Target="footer80.xml" /><Relationship Id="rId168" Type="http://schemas.openxmlformats.org/officeDocument/2006/relationships/header" Target="header81.xml" /><Relationship Id="rId169" Type="http://schemas.openxmlformats.org/officeDocument/2006/relationships/footer" Target="footer81.xml" /><Relationship Id="rId17" Type="http://schemas.openxmlformats.org/officeDocument/2006/relationships/footer" Target="footer5.xml" /><Relationship Id="rId170" Type="http://schemas.openxmlformats.org/officeDocument/2006/relationships/header" Target="header82.xml" /><Relationship Id="rId171" Type="http://schemas.openxmlformats.org/officeDocument/2006/relationships/header" Target="header83.xml" /><Relationship Id="rId172" Type="http://schemas.openxmlformats.org/officeDocument/2006/relationships/footer" Target="footer82.xml" /><Relationship Id="rId173" Type="http://schemas.openxmlformats.org/officeDocument/2006/relationships/footer" Target="footer83.xml" /><Relationship Id="rId174" Type="http://schemas.openxmlformats.org/officeDocument/2006/relationships/header" Target="header84.xml" /><Relationship Id="rId175" Type="http://schemas.openxmlformats.org/officeDocument/2006/relationships/footer" Target="footer84.xml" /><Relationship Id="rId176" Type="http://schemas.openxmlformats.org/officeDocument/2006/relationships/header" Target="header85.xml" /><Relationship Id="rId177" Type="http://schemas.openxmlformats.org/officeDocument/2006/relationships/header" Target="header86.xml" /><Relationship Id="rId178" Type="http://schemas.openxmlformats.org/officeDocument/2006/relationships/footer" Target="footer85.xml" /><Relationship Id="rId179" Type="http://schemas.openxmlformats.org/officeDocument/2006/relationships/footer" Target="footer86.xml" /><Relationship Id="rId18" Type="http://schemas.openxmlformats.org/officeDocument/2006/relationships/header" Target="header6.xml" /><Relationship Id="rId180" Type="http://schemas.openxmlformats.org/officeDocument/2006/relationships/header" Target="header87.xml" /><Relationship Id="rId181" Type="http://schemas.openxmlformats.org/officeDocument/2006/relationships/footer" Target="footer87.xml" /><Relationship Id="rId182" Type="http://schemas.openxmlformats.org/officeDocument/2006/relationships/image" Target="media/image1.png" /><Relationship Id="rId183" Type="http://schemas.openxmlformats.org/officeDocument/2006/relationships/header" Target="header88.xml" /><Relationship Id="rId184" Type="http://schemas.openxmlformats.org/officeDocument/2006/relationships/header" Target="header89.xml" /><Relationship Id="rId185" Type="http://schemas.openxmlformats.org/officeDocument/2006/relationships/footer" Target="footer88.xml" /><Relationship Id="rId186" Type="http://schemas.openxmlformats.org/officeDocument/2006/relationships/footer" Target="footer89.xml" /><Relationship Id="rId187" Type="http://schemas.openxmlformats.org/officeDocument/2006/relationships/header" Target="header90.xml" /><Relationship Id="rId188" Type="http://schemas.openxmlformats.org/officeDocument/2006/relationships/footer" Target="footer90.xml" /><Relationship Id="rId189" Type="http://schemas.openxmlformats.org/officeDocument/2006/relationships/header" Target="header91.xml" /><Relationship Id="rId19" Type="http://schemas.openxmlformats.org/officeDocument/2006/relationships/footer" Target="footer6.xml" /><Relationship Id="rId190" Type="http://schemas.openxmlformats.org/officeDocument/2006/relationships/header" Target="header92.xml" /><Relationship Id="rId191" Type="http://schemas.openxmlformats.org/officeDocument/2006/relationships/footer" Target="footer91.xml" /><Relationship Id="rId192" Type="http://schemas.openxmlformats.org/officeDocument/2006/relationships/footer" Target="footer92.xml" /><Relationship Id="rId193" Type="http://schemas.openxmlformats.org/officeDocument/2006/relationships/header" Target="header93.xml" /><Relationship Id="rId194" Type="http://schemas.openxmlformats.org/officeDocument/2006/relationships/footer" Target="footer93.xml" /><Relationship Id="rId195" Type="http://schemas.openxmlformats.org/officeDocument/2006/relationships/header" Target="header94.xml" /><Relationship Id="rId196" Type="http://schemas.openxmlformats.org/officeDocument/2006/relationships/header" Target="header95.xml" /><Relationship Id="rId197" Type="http://schemas.openxmlformats.org/officeDocument/2006/relationships/footer" Target="footer94.xml" /><Relationship Id="rId198" Type="http://schemas.openxmlformats.org/officeDocument/2006/relationships/footer" Target="footer95.xml" /><Relationship Id="rId199" Type="http://schemas.openxmlformats.org/officeDocument/2006/relationships/header" Target="header96.xml" /><Relationship Id="rId2" Type="http://schemas.openxmlformats.org/officeDocument/2006/relationships/endnotes" Target="endnotes.xml" /><Relationship Id="rId20" Type="http://schemas.openxmlformats.org/officeDocument/2006/relationships/header" Target="header7.xml" /><Relationship Id="rId200" Type="http://schemas.openxmlformats.org/officeDocument/2006/relationships/footer" Target="footer96.xml" /><Relationship Id="rId201" Type="http://schemas.openxmlformats.org/officeDocument/2006/relationships/header" Target="header97.xml" /><Relationship Id="rId202" Type="http://schemas.openxmlformats.org/officeDocument/2006/relationships/header" Target="header98.xml" /><Relationship Id="rId203" Type="http://schemas.openxmlformats.org/officeDocument/2006/relationships/footer" Target="footer97.xml" /><Relationship Id="rId204" Type="http://schemas.openxmlformats.org/officeDocument/2006/relationships/footer" Target="footer98.xml" /><Relationship Id="rId205" Type="http://schemas.openxmlformats.org/officeDocument/2006/relationships/header" Target="header99.xml" /><Relationship Id="rId206" Type="http://schemas.openxmlformats.org/officeDocument/2006/relationships/footer" Target="footer99.xml" /><Relationship Id="rId207" Type="http://schemas.openxmlformats.org/officeDocument/2006/relationships/image" Target="media/image2.png" /><Relationship Id="rId208" Type="http://schemas.openxmlformats.org/officeDocument/2006/relationships/header" Target="header100.xml" /><Relationship Id="rId209" Type="http://schemas.openxmlformats.org/officeDocument/2006/relationships/header" Target="header101.xml" /><Relationship Id="rId21" Type="http://schemas.openxmlformats.org/officeDocument/2006/relationships/header" Target="header8.xml" /><Relationship Id="rId210" Type="http://schemas.openxmlformats.org/officeDocument/2006/relationships/footer" Target="footer100.xml" /><Relationship Id="rId211" Type="http://schemas.openxmlformats.org/officeDocument/2006/relationships/footer" Target="footer101.xml" /><Relationship Id="rId212" Type="http://schemas.openxmlformats.org/officeDocument/2006/relationships/header" Target="header102.xml" /><Relationship Id="rId213" Type="http://schemas.openxmlformats.org/officeDocument/2006/relationships/footer" Target="footer102.xml" /><Relationship Id="rId214" Type="http://schemas.openxmlformats.org/officeDocument/2006/relationships/header" Target="header103.xml" /><Relationship Id="rId215" Type="http://schemas.openxmlformats.org/officeDocument/2006/relationships/header" Target="header104.xml" /><Relationship Id="rId216" Type="http://schemas.openxmlformats.org/officeDocument/2006/relationships/footer" Target="footer103.xml" /><Relationship Id="rId217" Type="http://schemas.openxmlformats.org/officeDocument/2006/relationships/footer" Target="footer104.xml" /><Relationship Id="rId218" Type="http://schemas.openxmlformats.org/officeDocument/2006/relationships/header" Target="header105.xml" /><Relationship Id="rId219" Type="http://schemas.openxmlformats.org/officeDocument/2006/relationships/footer" Target="footer105.xml" /><Relationship Id="rId22" Type="http://schemas.openxmlformats.org/officeDocument/2006/relationships/footer" Target="footer7.xml" /><Relationship Id="rId220" Type="http://schemas.openxmlformats.org/officeDocument/2006/relationships/image" Target="media/image3.png" /><Relationship Id="rId221" Type="http://schemas.openxmlformats.org/officeDocument/2006/relationships/image" Target="media/image4.png" /><Relationship Id="rId222" Type="http://schemas.openxmlformats.org/officeDocument/2006/relationships/image" Target="media/image5.png" /><Relationship Id="rId223" Type="http://schemas.openxmlformats.org/officeDocument/2006/relationships/header" Target="header106.xml" /><Relationship Id="rId224" Type="http://schemas.openxmlformats.org/officeDocument/2006/relationships/header" Target="header107.xml" /><Relationship Id="rId225" Type="http://schemas.openxmlformats.org/officeDocument/2006/relationships/footer" Target="footer106.xml" /><Relationship Id="rId226" Type="http://schemas.openxmlformats.org/officeDocument/2006/relationships/footer" Target="footer107.xml" /><Relationship Id="rId227" Type="http://schemas.openxmlformats.org/officeDocument/2006/relationships/header" Target="header108.xml" /><Relationship Id="rId228" Type="http://schemas.openxmlformats.org/officeDocument/2006/relationships/footer" Target="footer108.xml" /><Relationship Id="rId229" Type="http://schemas.openxmlformats.org/officeDocument/2006/relationships/header" Target="header109.xml" /><Relationship Id="rId23" Type="http://schemas.openxmlformats.org/officeDocument/2006/relationships/footer" Target="footer8.xml" /><Relationship Id="rId230" Type="http://schemas.openxmlformats.org/officeDocument/2006/relationships/header" Target="header110.xml" /><Relationship Id="rId231" Type="http://schemas.openxmlformats.org/officeDocument/2006/relationships/footer" Target="footer109.xml" /><Relationship Id="rId232" Type="http://schemas.openxmlformats.org/officeDocument/2006/relationships/footer" Target="footer110.xml" /><Relationship Id="rId233" Type="http://schemas.openxmlformats.org/officeDocument/2006/relationships/header" Target="header111.xml" /><Relationship Id="rId234" Type="http://schemas.openxmlformats.org/officeDocument/2006/relationships/footer" Target="footer111.xml" /><Relationship Id="rId235" Type="http://schemas.openxmlformats.org/officeDocument/2006/relationships/header" Target="header112.xml" /><Relationship Id="rId236" Type="http://schemas.openxmlformats.org/officeDocument/2006/relationships/header" Target="header113.xml" /><Relationship Id="rId237" Type="http://schemas.openxmlformats.org/officeDocument/2006/relationships/footer" Target="footer112.xml" /><Relationship Id="rId238" Type="http://schemas.openxmlformats.org/officeDocument/2006/relationships/footer" Target="footer113.xml" /><Relationship Id="rId239" Type="http://schemas.openxmlformats.org/officeDocument/2006/relationships/header" Target="header114.xml" /><Relationship Id="rId24" Type="http://schemas.openxmlformats.org/officeDocument/2006/relationships/header" Target="header9.xml" /><Relationship Id="rId240" Type="http://schemas.openxmlformats.org/officeDocument/2006/relationships/footer" Target="footer114.xml" /><Relationship Id="rId241" Type="http://schemas.openxmlformats.org/officeDocument/2006/relationships/header" Target="header115.xml" /><Relationship Id="rId242" Type="http://schemas.openxmlformats.org/officeDocument/2006/relationships/header" Target="header116.xml" /><Relationship Id="rId243" Type="http://schemas.openxmlformats.org/officeDocument/2006/relationships/footer" Target="footer115.xml" /><Relationship Id="rId244" Type="http://schemas.openxmlformats.org/officeDocument/2006/relationships/footer" Target="footer116.xml" /><Relationship Id="rId245" Type="http://schemas.openxmlformats.org/officeDocument/2006/relationships/header" Target="header117.xml" /><Relationship Id="rId246" Type="http://schemas.openxmlformats.org/officeDocument/2006/relationships/footer" Target="footer117.xml" /><Relationship Id="rId247" Type="http://schemas.openxmlformats.org/officeDocument/2006/relationships/header" Target="header118.xml" /><Relationship Id="rId248" Type="http://schemas.openxmlformats.org/officeDocument/2006/relationships/header" Target="header119.xml" /><Relationship Id="rId249" Type="http://schemas.openxmlformats.org/officeDocument/2006/relationships/footer" Target="footer118.xml" /><Relationship Id="rId25" Type="http://schemas.openxmlformats.org/officeDocument/2006/relationships/footer" Target="footer9.xml" /><Relationship Id="rId250" Type="http://schemas.openxmlformats.org/officeDocument/2006/relationships/footer" Target="footer119.xml" /><Relationship Id="rId251" Type="http://schemas.openxmlformats.org/officeDocument/2006/relationships/header" Target="header120.xml" /><Relationship Id="rId252" Type="http://schemas.openxmlformats.org/officeDocument/2006/relationships/footer" Target="footer120.xml" /><Relationship Id="rId253" Type="http://schemas.openxmlformats.org/officeDocument/2006/relationships/header" Target="header121.xml" /><Relationship Id="rId254" Type="http://schemas.openxmlformats.org/officeDocument/2006/relationships/header" Target="header122.xml" /><Relationship Id="rId255" Type="http://schemas.openxmlformats.org/officeDocument/2006/relationships/footer" Target="footer121.xml" /><Relationship Id="rId256" Type="http://schemas.openxmlformats.org/officeDocument/2006/relationships/footer" Target="footer122.xml" /><Relationship Id="rId257" Type="http://schemas.openxmlformats.org/officeDocument/2006/relationships/header" Target="header123.xml" /><Relationship Id="rId258" Type="http://schemas.openxmlformats.org/officeDocument/2006/relationships/footer" Target="footer123.xml" /><Relationship Id="rId259" Type="http://schemas.openxmlformats.org/officeDocument/2006/relationships/header" Target="header124.xml" /><Relationship Id="rId26" Type="http://schemas.openxmlformats.org/officeDocument/2006/relationships/header" Target="header10.xml" /><Relationship Id="rId260" Type="http://schemas.openxmlformats.org/officeDocument/2006/relationships/header" Target="header125.xml" /><Relationship Id="rId261" Type="http://schemas.openxmlformats.org/officeDocument/2006/relationships/footer" Target="footer124.xml" /><Relationship Id="rId262" Type="http://schemas.openxmlformats.org/officeDocument/2006/relationships/footer" Target="footer125.xml" /><Relationship Id="rId263" Type="http://schemas.openxmlformats.org/officeDocument/2006/relationships/header" Target="header126.xml" /><Relationship Id="rId264" Type="http://schemas.openxmlformats.org/officeDocument/2006/relationships/footer" Target="footer126.xml" /><Relationship Id="rId265" Type="http://schemas.openxmlformats.org/officeDocument/2006/relationships/header" Target="header127.xml" /><Relationship Id="rId266" Type="http://schemas.openxmlformats.org/officeDocument/2006/relationships/header" Target="header128.xml" /><Relationship Id="rId267" Type="http://schemas.openxmlformats.org/officeDocument/2006/relationships/footer" Target="footer127.xml" /><Relationship Id="rId268" Type="http://schemas.openxmlformats.org/officeDocument/2006/relationships/footer" Target="footer128.xml" /><Relationship Id="rId269" Type="http://schemas.openxmlformats.org/officeDocument/2006/relationships/header" Target="header129.xml" /><Relationship Id="rId27" Type="http://schemas.openxmlformats.org/officeDocument/2006/relationships/header" Target="header11.xml" /><Relationship Id="rId270" Type="http://schemas.openxmlformats.org/officeDocument/2006/relationships/footer" Target="footer129.xml" /><Relationship Id="rId271" Type="http://schemas.openxmlformats.org/officeDocument/2006/relationships/header" Target="header130.xml" /><Relationship Id="rId272" Type="http://schemas.openxmlformats.org/officeDocument/2006/relationships/header" Target="header131.xml" /><Relationship Id="rId273" Type="http://schemas.openxmlformats.org/officeDocument/2006/relationships/footer" Target="footer130.xml" /><Relationship Id="rId274" Type="http://schemas.openxmlformats.org/officeDocument/2006/relationships/footer" Target="footer131.xml" /><Relationship Id="rId275" Type="http://schemas.openxmlformats.org/officeDocument/2006/relationships/header" Target="header132.xml" /><Relationship Id="rId276" Type="http://schemas.openxmlformats.org/officeDocument/2006/relationships/footer" Target="footer132.xml" /><Relationship Id="rId277" Type="http://schemas.openxmlformats.org/officeDocument/2006/relationships/header" Target="header133.xml" /><Relationship Id="rId278" Type="http://schemas.openxmlformats.org/officeDocument/2006/relationships/header" Target="header134.xml" /><Relationship Id="rId279" Type="http://schemas.openxmlformats.org/officeDocument/2006/relationships/footer" Target="footer133.xml" /><Relationship Id="rId28" Type="http://schemas.openxmlformats.org/officeDocument/2006/relationships/footer" Target="footer10.xml" /><Relationship Id="rId280" Type="http://schemas.openxmlformats.org/officeDocument/2006/relationships/footer" Target="footer134.xml" /><Relationship Id="rId281" Type="http://schemas.openxmlformats.org/officeDocument/2006/relationships/header" Target="header135.xml" /><Relationship Id="rId282" Type="http://schemas.openxmlformats.org/officeDocument/2006/relationships/footer" Target="footer135.xml" /><Relationship Id="rId283" Type="http://schemas.openxmlformats.org/officeDocument/2006/relationships/image" Target="media/image6.png" /><Relationship Id="rId284" Type="http://schemas.openxmlformats.org/officeDocument/2006/relationships/header" Target="header136.xml" /><Relationship Id="rId285" Type="http://schemas.openxmlformats.org/officeDocument/2006/relationships/header" Target="header137.xml" /><Relationship Id="rId286" Type="http://schemas.openxmlformats.org/officeDocument/2006/relationships/footer" Target="footer136.xml" /><Relationship Id="rId287" Type="http://schemas.openxmlformats.org/officeDocument/2006/relationships/footer" Target="footer137.xml" /><Relationship Id="rId288" Type="http://schemas.openxmlformats.org/officeDocument/2006/relationships/header" Target="header138.xml" /><Relationship Id="rId289" Type="http://schemas.openxmlformats.org/officeDocument/2006/relationships/footer" Target="footer138.xml" /><Relationship Id="rId29" Type="http://schemas.openxmlformats.org/officeDocument/2006/relationships/footer" Target="footer11.xml" /><Relationship Id="rId290" Type="http://schemas.openxmlformats.org/officeDocument/2006/relationships/header" Target="header139.xml" /><Relationship Id="rId291" Type="http://schemas.openxmlformats.org/officeDocument/2006/relationships/header" Target="header140.xml" /><Relationship Id="rId292" Type="http://schemas.openxmlformats.org/officeDocument/2006/relationships/footer" Target="footer139.xml" /><Relationship Id="rId293" Type="http://schemas.openxmlformats.org/officeDocument/2006/relationships/footer" Target="footer140.xml" /><Relationship Id="rId294" Type="http://schemas.openxmlformats.org/officeDocument/2006/relationships/header" Target="header141.xml" /><Relationship Id="rId295" Type="http://schemas.openxmlformats.org/officeDocument/2006/relationships/footer" Target="footer141.xml" /><Relationship Id="rId296" Type="http://schemas.openxmlformats.org/officeDocument/2006/relationships/header" Target="header142.xml" /><Relationship Id="rId297" Type="http://schemas.openxmlformats.org/officeDocument/2006/relationships/header" Target="header143.xml" /><Relationship Id="rId298" Type="http://schemas.openxmlformats.org/officeDocument/2006/relationships/footer" Target="footer142.xml" /><Relationship Id="rId299" Type="http://schemas.openxmlformats.org/officeDocument/2006/relationships/footer" Target="footer143.xml" /><Relationship Id="rId3" Type="http://schemas.openxmlformats.org/officeDocument/2006/relationships/settings" Target="settings.xml" /><Relationship Id="rId30" Type="http://schemas.openxmlformats.org/officeDocument/2006/relationships/header" Target="header12.xml" /><Relationship Id="rId300" Type="http://schemas.openxmlformats.org/officeDocument/2006/relationships/header" Target="header144.xml" /><Relationship Id="rId301" Type="http://schemas.openxmlformats.org/officeDocument/2006/relationships/footer" Target="footer144.xml" /><Relationship Id="rId302" Type="http://schemas.openxmlformats.org/officeDocument/2006/relationships/header" Target="header145.xml" /><Relationship Id="rId303" Type="http://schemas.openxmlformats.org/officeDocument/2006/relationships/header" Target="header146.xml" /><Relationship Id="rId304" Type="http://schemas.openxmlformats.org/officeDocument/2006/relationships/footer" Target="footer145.xml" /><Relationship Id="rId305" Type="http://schemas.openxmlformats.org/officeDocument/2006/relationships/footer" Target="footer146.xml" /><Relationship Id="rId306" Type="http://schemas.openxmlformats.org/officeDocument/2006/relationships/header" Target="header147.xml" /><Relationship Id="rId307" Type="http://schemas.openxmlformats.org/officeDocument/2006/relationships/footer" Target="footer147.xml" /><Relationship Id="rId308" Type="http://schemas.openxmlformats.org/officeDocument/2006/relationships/header" Target="header148.xml" /><Relationship Id="rId309" Type="http://schemas.openxmlformats.org/officeDocument/2006/relationships/header" Target="header149.xml" /><Relationship Id="rId31" Type="http://schemas.openxmlformats.org/officeDocument/2006/relationships/footer" Target="footer12.xml" /><Relationship Id="rId310" Type="http://schemas.openxmlformats.org/officeDocument/2006/relationships/footer" Target="footer148.xml" /><Relationship Id="rId311" Type="http://schemas.openxmlformats.org/officeDocument/2006/relationships/footer" Target="footer149.xml" /><Relationship Id="rId312" Type="http://schemas.openxmlformats.org/officeDocument/2006/relationships/header" Target="header150.xml" /><Relationship Id="rId313" Type="http://schemas.openxmlformats.org/officeDocument/2006/relationships/footer" Target="footer150.xml" /><Relationship Id="rId314" Type="http://schemas.openxmlformats.org/officeDocument/2006/relationships/header" Target="header151.xml" /><Relationship Id="rId315" Type="http://schemas.openxmlformats.org/officeDocument/2006/relationships/header" Target="header152.xml" /><Relationship Id="rId316" Type="http://schemas.openxmlformats.org/officeDocument/2006/relationships/footer" Target="footer151.xml" /><Relationship Id="rId317" Type="http://schemas.openxmlformats.org/officeDocument/2006/relationships/footer" Target="footer152.xml" /><Relationship Id="rId318" Type="http://schemas.openxmlformats.org/officeDocument/2006/relationships/header" Target="header153.xml" /><Relationship Id="rId319" Type="http://schemas.openxmlformats.org/officeDocument/2006/relationships/footer" Target="footer153.xml" /><Relationship Id="rId32" Type="http://schemas.openxmlformats.org/officeDocument/2006/relationships/header" Target="header13.xml" /><Relationship Id="rId320" Type="http://schemas.openxmlformats.org/officeDocument/2006/relationships/header" Target="header154.xml" /><Relationship Id="rId321" Type="http://schemas.openxmlformats.org/officeDocument/2006/relationships/header" Target="header155.xml" /><Relationship Id="rId322" Type="http://schemas.openxmlformats.org/officeDocument/2006/relationships/footer" Target="footer154.xml" /><Relationship Id="rId323" Type="http://schemas.openxmlformats.org/officeDocument/2006/relationships/footer" Target="footer155.xml" /><Relationship Id="rId324" Type="http://schemas.openxmlformats.org/officeDocument/2006/relationships/header" Target="header156.xml" /><Relationship Id="rId325" Type="http://schemas.openxmlformats.org/officeDocument/2006/relationships/footer" Target="footer156.xml" /><Relationship Id="rId326" Type="http://schemas.openxmlformats.org/officeDocument/2006/relationships/header" Target="header157.xml" /><Relationship Id="rId327" Type="http://schemas.openxmlformats.org/officeDocument/2006/relationships/header" Target="header158.xml" /><Relationship Id="rId328" Type="http://schemas.openxmlformats.org/officeDocument/2006/relationships/footer" Target="footer157.xml" /><Relationship Id="rId329" Type="http://schemas.openxmlformats.org/officeDocument/2006/relationships/footer" Target="footer158.xml" /><Relationship Id="rId33" Type="http://schemas.openxmlformats.org/officeDocument/2006/relationships/header" Target="header14.xml" /><Relationship Id="rId330" Type="http://schemas.openxmlformats.org/officeDocument/2006/relationships/header" Target="header159.xml" /><Relationship Id="rId331" Type="http://schemas.openxmlformats.org/officeDocument/2006/relationships/footer" Target="footer159.xml" /><Relationship Id="rId332" Type="http://schemas.openxmlformats.org/officeDocument/2006/relationships/image" Target="media/image7.png" /><Relationship Id="rId333" Type="http://schemas.openxmlformats.org/officeDocument/2006/relationships/header" Target="header160.xml" /><Relationship Id="rId334" Type="http://schemas.openxmlformats.org/officeDocument/2006/relationships/header" Target="header161.xml" /><Relationship Id="rId335" Type="http://schemas.openxmlformats.org/officeDocument/2006/relationships/footer" Target="footer160.xml" /><Relationship Id="rId336" Type="http://schemas.openxmlformats.org/officeDocument/2006/relationships/footer" Target="footer161.xml" /><Relationship Id="rId337" Type="http://schemas.openxmlformats.org/officeDocument/2006/relationships/header" Target="header162.xml" /><Relationship Id="rId338" Type="http://schemas.openxmlformats.org/officeDocument/2006/relationships/footer" Target="footer162.xml" /><Relationship Id="rId339" Type="http://schemas.openxmlformats.org/officeDocument/2006/relationships/header" Target="header163.xml" /><Relationship Id="rId34" Type="http://schemas.openxmlformats.org/officeDocument/2006/relationships/footer" Target="footer13.xml" /><Relationship Id="rId340" Type="http://schemas.openxmlformats.org/officeDocument/2006/relationships/header" Target="header164.xml" /><Relationship Id="rId341" Type="http://schemas.openxmlformats.org/officeDocument/2006/relationships/footer" Target="footer163.xml" /><Relationship Id="rId342" Type="http://schemas.openxmlformats.org/officeDocument/2006/relationships/footer" Target="footer164.xml" /><Relationship Id="rId343" Type="http://schemas.openxmlformats.org/officeDocument/2006/relationships/header" Target="header165.xml" /><Relationship Id="rId344" Type="http://schemas.openxmlformats.org/officeDocument/2006/relationships/footer" Target="footer165.xml" /><Relationship Id="rId345" Type="http://schemas.openxmlformats.org/officeDocument/2006/relationships/header" Target="header166.xml" /><Relationship Id="rId346" Type="http://schemas.openxmlformats.org/officeDocument/2006/relationships/header" Target="header167.xml" /><Relationship Id="rId347" Type="http://schemas.openxmlformats.org/officeDocument/2006/relationships/footer" Target="footer166.xml" /><Relationship Id="rId348" Type="http://schemas.openxmlformats.org/officeDocument/2006/relationships/footer" Target="footer167.xml" /><Relationship Id="rId349" Type="http://schemas.openxmlformats.org/officeDocument/2006/relationships/header" Target="header168.xml" /><Relationship Id="rId35" Type="http://schemas.openxmlformats.org/officeDocument/2006/relationships/footer" Target="footer14.xml" /><Relationship Id="rId350" Type="http://schemas.openxmlformats.org/officeDocument/2006/relationships/footer" Target="footer168.xml" /><Relationship Id="rId351" Type="http://schemas.openxmlformats.org/officeDocument/2006/relationships/header" Target="header169.xml" /><Relationship Id="rId352" Type="http://schemas.openxmlformats.org/officeDocument/2006/relationships/header" Target="header170.xml" /><Relationship Id="rId353" Type="http://schemas.openxmlformats.org/officeDocument/2006/relationships/footer" Target="footer169.xml" /><Relationship Id="rId354" Type="http://schemas.openxmlformats.org/officeDocument/2006/relationships/footer" Target="footer170.xml" /><Relationship Id="rId355" Type="http://schemas.openxmlformats.org/officeDocument/2006/relationships/header" Target="header171.xml" /><Relationship Id="rId356" Type="http://schemas.openxmlformats.org/officeDocument/2006/relationships/footer" Target="footer171.xml" /><Relationship Id="rId357" Type="http://schemas.openxmlformats.org/officeDocument/2006/relationships/image" Target="media/image8.jpeg" /><Relationship Id="rId358" Type="http://schemas.openxmlformats.org/officeDocument/2006/relationships/image" Target="media/image9.jpeg" /><Relationship Id="rId359" Type="http://schemas.openxmlformats.org/officeDocument/2006/relationships/image" Target="media/image10.jpeg" /><Relationship Id="rId36" Type="http://schemas.openxmlformats.org/officeDocument/2006/relationships/header" Target="header15.xml" /><Relationship Id="rId360" Type="http://schemas.openxmlformats.org/officeDocument/2006/relationships/image" Target="media/image11.jpeg" /><Relationship Id="rId361" Type="http://schemas.openxmlformats.org/officeDocument/2006/relationships/header" Target="header172.xml" /><Relationship Id="rId362" Type="http://schemas.openxmlformats.org/officeDocument/2006/relationships/header" Target="header173.xml" /><Relationship Id="rId363" Type="http://schemas.openxmlformats.org/officeDocument/2006/relationships/footer" Target="footer172.xml" /><Relationship Id="rId364" Type="http://schemas.openxmlformats.org/officeDocument/2006/relationships/footer" Target="footer173.xml" /><Relationship Id="rId365" Type="http://schemas.openxmlformats.org/officeDocument/2006/relationships/header" Target="header174.xml" /><Relationship Id="rId366" Type="http://schemas.openxmlformats.org/officeDocument/2006/relationships/footer" Target="footer174.xml" /><Relationship Id="rId367" Type="http://schemas.openxmlformats.org/officeDocument/2006/relationships/header" Target="header175.xml" /><Relationship Id="rId368" Type="http://schemas.openxmlformats.org/officeDocument/2006/relationships/header" Target="header176.xml" /><Relationship Id="rId369" Type="http://schemas.openxmlformats.org/officeDocument/2006/relationships/footer" Target="footer175.xml" /><Relationship Id="rId37" Type="http://schemas.openxmlformats.org/officeDocument/2006/relationships/footer" Target="footer15.xml" /><Relationship Id="rId370" Type="http://schemas.openxmlformats.org/officeDocument/2006/relationships/footer" Target="footer176.xml" /><Relationship Id="rId371" Type="http://schemas.openxmlformats.org/officeDocument/2006/relationships/header" Target="header177.xml" /><Relationship Id="rId372" Type="http://schemas.openxmlformats.org/officeDocument/2006/relationships/footer" Target="footer177.xml" /><Relationship Id="rId373" Type="http://schemas.openxmlformats.org/officeDocument/2006/relationships/image" Target="media/image12.jpeg" /><Relationship Id="rId374" Type="http://schemas.openxmlformats.org/officeDocument/2006/relationships/image" Target="media/image13.jpeg" /><Relationship Id="rId375" Type="http://schemas.openxmlformats.org/officeDocument/2006/relationships/header" Target="header178.xml" /><Relationship Id="rId376" Type="http://schemas.openxmlformats.org/officeDocument/2006/relationships/header" Target="header179.xml" /><Relationship Id="rId377" Type="http://schemas.openxmlformats.org/officeDocument/2006/relationships/footer" Target="footer178.xml" /><Relationship Id="rId378" Type="http://schemas.openxmlformats.org/officeDocument/2006/relationships/footer" Target="footer179.xml" /><Relationship Id="rId379" Type="http://schemas.openxmlformats.org/officeDocument/2006/relationships/header" Target="header180.xml" /><Relationship Id="rId38" Type="http://schemas.openxmlformats.org/officeDocument/2006/relationships/header" Target="header16.xml" /><Relationship Id="rId380" Type="http://schemas.openxmlformats.org/officeDocument/2006/relationships/footer" Target="footer180.xml" /><Relationship Id="rId381" Type="http://schemas.openxmlformats.org/officeDocument/2006/relationships/header" Target="header181.xml" /><Relationship Id="rId382" Type="http://schemas.openxmlformats.org/officeDocument/2006/relationships/header" Target="header182.xml" /><Relationship Id="rId383" Type="http://schemas.openxmlformats.org/officeDocument/2006/relationships/footer" Target="footer181.xml" /><Relationship Id="rId384" Type="http://schemas.openxmlformats.org/officeDocument/2006/relationships/footer" Target="footer182.xml" /><Relationship Id="rId385" Type="http://schemas.openxmlformats.org/officeDocument/2006/relationships/header" Target="header183.xml" /><Relationship Id="rId386" Type="http://schemas.openxmlformats.org/officeDocument/2006/relationships/footer" Target="footer183.xml" /><Relationship Id="rId387" Type="http://schemas.openxmlformats.org/officeDocument/2006/relationships/header" Target="header184.xml" /><Relationship Id="rId388" Type="http://schemas.openxmlformats.org/officeDocument/2006/relationships/header" Target="header185.xml" /><Relationship Id="rId389" Type="http://schemas.openxmlformats.org/officeDocument/2006/relationships/footer" Target="footer184.xml" /><Relationship Id="rId39" Type="http://schemas.openxmlformats.org/officeDocument/2006/relationships/header" Target="header17.xml" /><Relationship Id="rId390" Type="http://schemas.openxmlformats.org/officeDocument/2006/relationships/footer" Target="footer185.xml" /><Relationship Id="rId391" Type="http://schemas.openxmlformats.org/officeDocument/2006/relationships/header" Target="header186.xml" /><Relationship Id="rId392" Type="http://schemas.openxmlformats.org/officeDocument/2006/relationships/footer" Target="footer186.xml" /><Relationship Id="rId393" Type="http://schemas.openxmlformats.org/officeDocument/2006/relationships/header" Target="header187.xml" /><Relationship Id="rId394" Type="http://schemas.openxmlformats.org/officeDocument/2006/relationships/header" Target="header188.xml" /><Relationship Id="rId395" Type="http://schemas.openxmlformats.org/officeDocument/2006/relationships/footer" Target="footer187.xml" /><Relationship Id="rId396" Type="http://schemas.openxmlformats.org/officeDocument/2006/relationships/footer" Target="footer188.xml" /><Relationship Id="rId397" Type="http://schemas.openxmlformats.org/officeDocument/2006/relationships/header" Target="header189.xml" /><Relationship Id="rId398" Type="http://schemas.openxmlformats.org/officeDocument/2006/relationships/footer" Target="footer189.xml" /><Relationship Id="rId399" Type="http://schemas.openxmlformats.org/officeDocument/2006/relationships/header" Target="header190.xml" /><Relationship Id="rId4" Type="http://schemas.openxmlformats.org/officeDocument/2006/relationships/webSettings" Target="webSettings.xml" /><Relationship Id="rId40" Type="http://schemas.openxmlformats.org/officeDocument/2006/relationships/footer" Target="footer16.xml" /><Relationship Id="rId400" Type="http://schemas.openxmlformats.org/officeDocument/2006/relationships/header" Target="header191.xml" /><Relationship Id="rId401" Type="http://schemas.openxmlformats.org/officeDocument/2006/relationships/footer" Target="footer190.xml" /><Relationship Id="rId402" Type="http://schemas.openxmlformats.org/officeDocument/2006/relationships/footer" Target="footer191.xml" /><Relationship Id="rId403" Type="http://schemas.openxmlformats.org/officeDocument/2006/relationships/header" Target="header192.xml" /><Relationship Id="rId404" Type="http://schemas.openxmlformats.org/officeDocument/2006/relationships/footer" Target="footer192.xml" /><Relationship Id="rId405" Type="http://schemas.openxmlformats.org/officeDocument/2006/relationships/header" Target="header193.xml" /><Relationship Id="rId406" Type="http://schemas.openxmlformats.org/officeDocument/2006/relationships/header" Target="header194.xml" /><Relationship Id="rId407" Type="http://schemas.openxmlformats.org/officeDocument/2006/relationships/footer" Target="footer193.xml" /><Relationship Id="rId408" Type="http://schemas.openxmlformats.org/officeDocument/2006/relationships/footer" Target="footer194.xml" /><Relationship Id="rId409" Type="http://schemas.openxmlformats.org/officeDocument/2006/relationships/header" Target="header195.xml" /><Relationship Id="rId41" Type="http://schemas.openxmlformats.org/officeDocument/2006/relationships/footer" Target="footer17.xml" /><Relationship Id="rId410" Type="http://schemas.openxmlformats.org/officeDocument/2006/relationships/footer" Target="footer195.xml" /><Relationship Id="rId411" Type="http://schemas.openxmlformats.org/officeDocument/2006/relationships/header" Target="header196.xml" /><Relationship Id="rId412" Type="http://schemas.openxmlformats.org/officeDocument/2006/relationships/header" Target="header197.xml" /><Relationship Id="rId413" Type="http://schemas.openxmlformats.org/officeDocument/2006/relationships/footer" Target="footer196.xml" /><Relationship Id="rId414" Type="http://schemas.openxmlformats.org/officeDocument/2006/relationships/footer" Target="footer197.xml" /><Relationship Id="rId415" Type="http://schemas.openxmlformats.org/officeDocument/2006/relationships/header" Target="header198.xml" /><Relationship Id="rId416" Type="http://schemas.openxmlformats.org/officeDocument/2006/relationships/footer" Target="footer198.xml" /><Relationship Id="rId417" Type="http://schemas.openxmlformats.org/officeDocument/2006/relationships/header" Target="header199.xml" /><Relationship Id="rId418" Type="http://schemas.openxmlformats.org/officeDocument/2006/relationships/header" Target="header200.xml" /><Relationship Id="rId419" Type="http://schemas.openxmlformats.org/officeDocument/2006/relationships/footer" Target="footer199.xml" /><Relationship Id="rId42" Type="http://schemas.openxmlformats.org/officeDocument/2006/relationships/header" Target="header18.xml" /><Relationship Id="rId420" Type="http://schemas.openxmlformats.org/officeDocument/2006/relationships/footer" Target="footer200.xml" /><Relationship Id="rId421" Type="http://schemas.openxmlformats.org/officeDocument/2006/relationships/header" Target="header201.xml" /><Relationship Id="rId422" Type="http://schemas.openxmlformats.org/officeDocument/2006/relationships/footer" Target="footer201.xml" /><Relationship Id="rId423" Type="http://schemas.openxmlformats.org/officeDocument/2006/relationships/header" Target="header202.xml" /><Relationship Id="rId424" Type="http://schemas.openxmlformats.org/officeDocument/2006/relationships/header" Target="header203.xml" /><Relationship Id="rId425" Type="http://schemas.openxmlformats.org/officeDocument/2006/relationships/footer" Target="footer202.xml" /><Relationship Id="rId426" Type="http://schemas.openxmlformats.org/officeDocument/2006/relationships/footer" Target="footer203.xml" /><Relationship Id="rId427" Type="http://schemas.openxmlformats.org/officeDocument/2006/relationships/header" Target="header204.xml" /><Relationship Id="rId428" Type="http://schemas.openxmlformats.org/officeDocument/2006/relationships/footer" Target="footer204.xml" /><Relationship Id="rId429" Type="http://schemas.openxmlformats.org/officeDocument/2006/relationships/header" Target="header205.xml" /><Relationship Id="rId43" Type="http://schemas.openxmlformats.org/officeDocument/2006/relationships/footer" Target="footer18.xml" /><Relationship Id="rId430" Type="http://schemas.openxmlformats.org/officeDocument/2006/relationships/header" Target="header206.xml" /><Relationship Id="rId431" Type="http://schemas.openxmlformats.org/officeDocument/2006/relationships/footer" Target="footer205.xml" /><Relationship Id="rId432" Type="http://schemas.openxmlformats.org/officeDocument/2006/relationships/footer" Target="footer206.xml" /><Relationship Id="rId433" Type="http://schemas.openxmlformats.org/officeDocument/2006/relationships/header" Target="header207.xml" /><Relationship Id="rId434" Type="http://schemas.openxmlformats.org/officeDocument/2006/relationships/footer" Target="footer207.xml" /><Relationship Id="rId435" Type="http://schemas.openxmlformats.org/officeDocument/2006/relationships/header" Target="header208.xml" /><Relationship Id="rId436" Type="http://schemas.openxmlformats.org/officeDocument/2006/relationships/header" Target="header209.xml" /><Relationship Id="rId437" Type="http://schemas.openxmlformats.org/officeDocument/2006/relationships/footer" Target="footer208.xml" /><Relationship Id="rId438" Type="http://schemas.openxmlformats.org/officeDocument/2006/relationships/footer" Target="footer209.xml" /><Relationship Id="rId439" Type="http://schemas.openxmlformats.org/officeDocument/2006/relationships/header" Target="header210.xml" /><Relationship Id="rId44" Type="http://schemas.openxmlformats.org/officeDocument/2006/relationships/header" Target="header19.xml" /><Relationship Id="rId440" Type="http://schemas.openxmlformats.org/officeDocument/2006/relationships/footer" Target="footer210.xml" /><Relationship Id="rId441" Type="http://schemas.openxmlformats.org/officeDocument/2006/relationships/header" Target="header211.xml" /><Relationship Id="rId442" Type="http://schemas.openxmlformats.org/officeDocument/2006/relationships/header" Target="header212.xml" /><Relationship Id="rId443" Type="http://schemas.openxmlformats.org/officeDocument/2006/relationships/footer" Target="footer211.xml" /><Relationship Id="rId444" Type="http://schemas.openxmlformats.org/officeDocument/2006/relationships/footer" Target="footer212.xml" /><Relationship Id="rId445" Type="http://schemas.openxmlformats.org/officeDocument/2006/relationships/header" Target="header213.xml" /><Relationship Id="rId446" Type="http://schemas.openxmlformats.org/officeDocument/2006/relationships/footer" Target="footer213.xml" /><Relationship Id="rId447" Type="http://schemas.openxmlformats.org/officeDocument/2006/relationships/header" Target="header214.xml" /><Relationship Id="rId448" Type="http://schemas.openxmlformats.org/officeDocument/2006/relationships/header" Target="header215.xml" /><Relationship Id="rId449" Type="http://schemas.openxmlformats.org/officeDocument/2006/relationships/footer" Target="footer214.xml" /><Relationship Id="rId45" Type="http://schemas.openxmlformats.org/officeDocument/2006/relationships/header" Target="header20.xml" /><Relationship Id="rId450" Type="http://schemas.openxmlformats.org/officeDocument/2006/relationships/footer" Target="footer215.xml" /><Relationship Id="rId451" Type="http://schemas.openxmlformats.org/officeDocument/2006/relationships/header" Target="header216.xml" /><Relationship Id="rId452" Type="http://schemas.openxmlformats.org/officeDocument/2006/relationships/footer" Target="footer216.xml" /><Relationship Id="rId453" Type="http://schemas.openxmlformats.org/officeDocument/2006/relationships/header" Target="header217.xml" /><Relationship Id="rId454" Type="http://schemas.openxmlformats.org/officeDocument/2006/relationships/header" Target="header218.xml" /><Relationship Id="rId455" Type="http://schemas.openxmlformats.org/officeDocument/2006/relationships/footer" Target="footer217.xml" /><Relationship Id="rId456" Type="http://schemas.openxmlformats.org/officeDocument/2006/relationships/footer" Target="footer218.xml" /><Relationship Id="rId457" Type="http://schemas.openxmlformats.org/officeDocument/2006/relationships/header" Target="header219.xml" /><Relationship Id="rId458" Type="http://schemas.openxmlformats.org/officeDocument/2006/relationships/footer" Target="footer219.xml" /><Relationship Id="rId459" Type="http://schemas.openxmlformats.org/officeDocument/2006/relationships/image" Target="media/image14.png" /><Relationship Id="rId46" Type="http://schemas.openxmlformats.org/officeDocument/2006/relationships/footer" Target="footer19.xml" /><Relationship Id="rId460" Type="http://schemas.openxmlformats.org/officeDocument/2006/relationships/image" Target="media/image15.png" /><Relationship Id="rId461" Type="http://schemas.openxmlformats.org/officeDocument/2006/relationships/header" Target="header220.xml" /><Relationship Id="rId462" Type="http://schemas.openxmlformats.org/officeDocument/2006/relationships/header" Target="header221.xml" /><Relationship Id="rId463" Type="http://schemas.openxmlformats.org/officeDocument/2006/relationships/footer" Target="footer220.xml" /><Relationship Id="rId464" Type="http://schemas.openxmlformats.org/officeDocument/2006/relationships/footer" Target="footer221.xml" /><Relationship Id="rId465" Type="http://schemas.openxmlformats.org/officeDocument/2006/relationships/header" Target="header222.xml" /><Relationship Id="rId466" Type="http://schemas.openxmlformats.org/officeDocument/2006/relationships/footer" Target="footer222.xml" /><Relationship Id="rId467" Type="http://schemas.openxmlformats.org/officeDocument/2006/relationships/hyperlink" Target="https://d.book118.com/776042214114010103" TargetMode="External" /><Relationship Id="rId468" Type="http://schemas.openxmlformats.org/officeDocument/2006/relationships/header" Target="header223.xml" /><Relationship Id="rId469" Type="http://schemas.openxmlformats.org/officeDocument/2006/relationships/header" Target="header224.xml" /><Relationship Id="rId47" Type="http://schemas.openxmlformats.org/officeDocument/2006/relationships/footer" Target="footer20.xml" /><Relationship Id="rId470" Type="http://schemas.openxmlformats.org/officeDocument/2006/relationships/footer" Target="footer223.xml" /><Relationship Id="rId471" Type="http://schemas.openxmlformats.org/officeDocument/2006/relationships/footer" Target="footer224.xml" /><Relationship Id="rId472" Type="http://schemas.openxmlformats.org/officeDocument/2006/relationships/header" Target="header225.xml" /><Relationship Id="rId473" Type="http://schemas.openxmlformats.org/officeDocument/2006/relationships/footer" Target="footer225.xml" /><Relationship Id="rId474" Type="http://schemas.microsoft.com/office/2006/relationships/keyMapCustomizations" Target="customizations.xml" /><Relationship Id="rId475" Type="http://schemas.openxmlformats.org/officeDocument/2006/relationships/theme" Target="theme/theme1.xml" /><Relationship Id="rId476" Type="http://schemas.openxmlformats.org/officeDocument/2006/relationships/numbering" Target="numbering.xml" /><Relationship Id="rId477" Type="http://schemas.openxmlformats.org/officeDocument/2006/relationships/styles" Target="styles.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customXml" Target="../customXml/item2.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eader" Target="header34.xml" /><Relationship Id="rId75" Type="http://schemas.openxmlformats.org/officeDocument/2006/relationships/header" Target="header35.xml" /><Relationship Id="rId76" Type="http://schemas.openxmlformats.org/officeDocument/2006/relationships/footer" Target="footer34.xml" /><Relationship Id="rId77" Type="http://schemas.openxmlformats.org/officeDocument/2006/relationships/footer" Target="footer35.xml" /><Relationship Id="rId78" Type="http://schemas.openxmlformats.org/officeDocument/2006/relationships/header" Target="header36.xml" /><Relationship Id="rId79" Type="http://schemas.openxmlformats.org/officeDocument/2006/relationships/footer" Target="footer36.xml" /><Relationship Id="rId8" Type="http://schemas.openxmlformats.org/officeDocument/2006/relationships/header" Target="header1.xml" /><Relationship Id="rId80" Type="http://schemas.openxmlformats.org/officeDocument/2006/relationships/header" Target="header37.xml" /><Relationship Id="rId81" Type="http://schemas.openxmlformats.org/officeDocument/2006/relationships/header" Target="header38.xml" /><Relationship Id="rId82" Type="http://schemas.openxmlformats.org/officeDocument/2006/relationships/footer" Target="footer37.xml" /><Relationship Id="rId83" Type="http://schemas.openxmlformats.org/officeDocument/2006/relationships/footer" Target="footer38.xml" /><Relationship Id="rId84" Type="http://schemas.openxmlformats.org/officeDocument/2006/relationships/header" Target="header39.xml" /><Relationship Id="rId85" Type="http://schemas.openxmlformats.org/officeDocument/2006/relationships/footer" Target="footer39.xml" /><Relationship Id="rId86" Type="http://schemas.openxmlformats.org/officeDocument/2006/relationships/header" Target="header40.xml" /><Relationship Id="rId87" Type="http://schemas.openxmlformats.org/officeDocument/2006/relationships/header" Target="header41.xml" /><Relationship Id="rId88" Type="http://schemas.openxmlformats.org/officeDocument/2006/relationships/footer" Target="footer40.xml" /><Relationship Id="rId89" Type="http://schemas.openxmlformats.org/officeDocument/2006/relationships/footer" Target="footer41.xml" /><Relationship Id="rId9" Type="http://schemas.openxmlformats.org/officeDocument/2006/relationships/header" Target="header2.xml" /><Relationship Id="rId90" Type="http://schemas.openxmlformats.org/officeDocument/2006/relationships/header" Target="header42.xml" /><Relationship Id="rId91" Type="http://schemas.openxmlformats.org/officeDocument/2006/relationships/footer" Target="footer42.xml" /><Relationship Id="rId92" Type="http://schemas.openxmlformats.org/officeDocument/2006/relationships/header" Target="header43.xml" /><Relationship Id="rId93" Type="http://schemas.openxmlformats.org/officeDocument/2006/relationships/header" Target="header44.xml" /><Relationship Id="rId94" Type="http://schemas.openxmlformats.org/officeDocument/2006/relationships/footer" Target="footer43.xml" /><Relationship Id="rId95" Type="http://schemas.openxmlformats.org/officeDocument/2006/relationships/footer" Target="footer44.xml" /><Relationship Id="rId96" Type="http://schemas.openxmlformats.org/officeDocument/2006/relationships/header" Target="header45.xml" /><Relationship Id="rId97" Type="http://schemas.openxmlformats.org/officeDocument/2006/relationships/footer" Target="footer45.xml" /><Relationship Id="rId98" Type="http://schemas.openxmlformats.org/officeDocument/2006/relationships/header" Target="header46.xml" /><Relationship Id="rId99" Type="http://schemas.openxmlformats.org/officeDocument/2006/relationships/header" Target="header47.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128"/>
    <customShpInfo spid="_x0000_s1126"/>
    <customShpInfo spid="_x0000_s1103"/>
    <customShpInfo spid="_x0000_s1104"/>
    <customShpInfo spid="_x0000_s1122"/>
    <customShpInfo spid="_x0000_s1142"/>
    <customShpInfo spid="_x0000_s1140"/>
    <customShpInfo spid="_x0000_s1139"/>
    <customShpInfo spid="_x0000_s1141"/>
    <customShpInfo spid="_x0000_s1143"/>
    <customShpInfo spid="_x0000_s1144"/>
    <customShpInfo spid="_x0000_s1145"/>
    <customShpInfo spid="_x0000_s1146"/>
    <customShpInfo spid="_x0000_s1107"/>
    <customShpInfo spid="_x0000_s1108"/>
    <customShpInfo spid="_x0000_s1109"/>
    <customShpInfo spid="_x0000_s1110"/>
    <customShpInfo spid="_x0000_s111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8761C8-8D4C-4938-B3DC-C12D83ED353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82</Pages>
  <Words>33164</Words>
  <Characters>38802</Characters>
  <Application>Microsoft Office Word</Application>
  <DocSecurity>0</DocSecurity>
  <Lines>3880</Lines>
  <Paragraphs>4497</Paragraphs>
  <ScaleCrop>false</ScaleCrop>
  <Company>Microsoft</Company>
  <LinksUpToDate>false</LinksUpToDate>
  <CharactersWithSpaces>67469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建设项目基本情况</dc:title>
  <dc:creator>zxj</dc:creator>
  <cp:lastModifiedBy>委员</cp:lastModifiedBy>
  <cp:revision>5</cp:revision>
  <cp:lastPrinted>2019-06-04T05:45:00Z</cp:lastPrinted>
  <dcterms:created xsi:type="dcterms:W3CDTF">2020-09-01T05:28:00Z</dcterms:created>
  <dcterms:modified xsi:type="dcterms:W3CDTF">2024-03-10T11:44:43Z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D50554C098FA4D91B6E5496166EA3340_12</vt:lpwstr>
  </property>
  <property fmtid="{D5CDD505-2E9C-101B-9397-08002B2CF9AE}" pid="3" name="KSOProductBuildVer">
    <vt:lpwstr>2052-12.1.0.16388</vt:lpwstr>
  </property>
</Properties>
</file>