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ascii="微软雅黑" w:eastAsia="微软雅黑" w:hAnsi="微软雅黑" w:cs="微软雅黑" w:hint="eastAsia"/>
          <w:b/>
          <w:bCs/>
          <w:i w:val="0"/>
          <w:iCs w:val="0"/>
          <w:caps w:val="0"/>
          <w:color w:val="000000"/>
          <w:spacing w:val="0"/>
          <w:sz w:val="54"/>
          <w:szCs w:val="54"/>
          <w:shd w:val="clear" w:color="auto" w:fill="FFFFFF"/>
        </w:rPr>
      </w:pPr>
      <w:r>
        <w:rPr>
          <w:rFonts w:ascii="微软雅黑" w:eastAsia="微软雅黑" w:hAnsi="微软雅黑" w:cs="微软雅黑" w:hint="eastAsia"/>
          <w:b/>
          <w:bCs/>
          <w:i w:val="0"/>
          <w:iCs w:val="0"/>
          <w:caps w:val="0"/>
          <w:color w:val="000000"/>
          <w:spacing w:val="0"/>
          <w:sz w:val="54"/>
          <w:szCs w:val="54"/>
          <w:shd w:val="clear" w:color="auto" w:fill="FFFFFF"/>
        </w:rPr>
        <w:t>数据要素行业深度报告：新型生产要素，新增长引擎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360" w:beforeAutospacing="0" w:after="0" w:afterAutospacing="0" w:line="450" w:lineRule="atLeast"/>
        <w:ind w:left="0" w:right="0"/>
      </w:pPr>
      <w:r>
        <w:rPr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数据要素：是什么、为什么、怎么做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Style w:val="Strong"/>
          <w:rFonts w:ascii="Arial" w:hAnsi="Arial" w:cs="Arial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数据作为资源：相比传统资源，可再生可复制，多场景释放价值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可再生、非排他性：社会运行、企业经营均持续产生数据，同一数据产品可无限复制给多主体同时重复使用。价值释放更全面：数据通过以数字化转型、数据分析支撑决策等方式在数据持有者内部释放价值的同时，同一数 据经过确权、合规检查后，可以对外交易，再次释放价值。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Style w:val="Strong"/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数据作为生产要素，同时具备资源和工具属性，有培育超大企业的条件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 w:charSpace="0"/>
        </w:sect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核心启示：引领时代的国际级超大型公司，或占据稀有资源，或提供生产力工具 。 稀有资源：一、二次世界大战后，美国国内石油供不应求，加之阿拉伯成员国收回标价权、两伊战争爆发等因素，石油产量下降、价格上涨，利好石油公司。 生产力工具：进入互联网时代后，微软、谷歌等生产力软件企业逐渐成长，长期占据美股市值前十。</w:t>
      </w:r>
    </w:p>
    <w:p>
      <w:pPr>
        <w:keepNext w:val="0"/>
        <w:keepLines w:val="0"/>
        <w:widowControl/>
        <w:suppressLineNumbers w:val="0"/>
        <w:shd w:val="clear" w:color="auto" w:fill="FFFFFF"/>
        <w:spacing w:before="33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alt="IMG_256" style="width:480pt;height:320.25pt" o:preferrelative="t" filled="f" stroked="f">
            <v:fill o:detectmouseclick="t"/>
            <v:imagedata r:id="rId4" o:title="IMG_256"/>
            <v:path o:extrusionok="f"/>
            <o:lock v:ext="edit" aspectratio="t"/>
          </v:shape>
        </w:pic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420" w:beforeAutospacing="0" w:after="0" w:afterAutospacing="0" w:line="450" w:lineRule="atLeast"/>
        <w:ind w:left="0" w:right="0"/>
      </w:pPr>
      <w:r>
        <w:rPr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数据交易所：推动交易机制建设，目前仍收取佣金+增值服务费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Style w:val="Strong"/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数据交易所：不仅是交易中介，还是资源整合者和行业审查者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资源整合者：将数据供给方、数据需求方及法律咨询、资产评估、数据清洗等服务方整合到平台上，推动供需之间实现高效配置。行业审查者：在数据交易前，审查交易双方的准入资质，确保供给方的数据合规，需求方的使用合规；在交易进行时，通过数据确权、数据价值评估、数据交易等相关规则与制度规范数据交易事项；在交易完成后，通过相关规范文件，确保数据使用合规合法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Style w:val="Strong"/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数据交易所未来盈利模式为所商分离，仅收取佣金和会员费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 w:charSpace="0"/>
        </w:sect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数据交易所角色变化：跳出交易撮合者的角色，开始全面承担资源整合者、产品及服务提供者、行业审查者的角色。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 xml:space="preserve"> 长期定位为公益性机构：负责实现标准化数据产品的交易撮合、价格生成、清结算等核心交易环节和功能。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Style w:val="Strong"/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交易所分类：区域级为主，北上深均于2021年成立定位国家级的交易所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建立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“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国家级+区域性+行业性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”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多层次数据交易场所：截至2022年9月，中国内地共建立46家数据交易平台。在注册资金分布上，数据交易平台的注册资金在1,000~80,000万元之间，各交易平台之间差距较大；在平台定位上，多数定位为主要面向省内的区域性数据交易平台；在交易模式上，出现多种交易模式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360" w:beforeAutospacing="0" w:after="0" w:afterAutospacing="0" w:line="450" w:lineRule="atLeast"/>
        <w:ind w:left="0" w:right="0"/>
      </w:pPr>
      <w:r>
        <w:rPr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数据服务商：较为分散的服务商逐渐整合成为复合型全能数商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Style w:val="Strong"/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数据服务商的角色：提供技术、合规保荐、价值发现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提供接口或环境：允许数据使用者布设算法，直接 获得计算和分析结果。为数据产品的持续使用搭建通道：开发各类算法模 型，对数据进行计算分析，实现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“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原始数据不出域、 数据可用不可见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”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为数据交易流通提供相应的风险控制和撮合机制。数据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“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溯源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”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核查，确保数据加工、处理在合法范围 内，对数据的使用场景进行合规评估，秉承无场景不 交易的原则，避免数据被无序和违法利用。 对拟参与数据交易的企业进行辅导，帮助其在企业内 部匹配可靠的数据产品来源，从来源环节做好数据隔 离与风险排除，对数据授权相关协议进行全面的审查， 确保数据获取协议不会对后续数据产品流通形成障碍。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360" w:beforeAutospacing="0" w:after="0" w:afterAutospacing="0" w:line="450" w:lineRule="atLeast"/>
        <w:ind w:left="0" w:right="0"/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 w:charSpace="0"/>
        </w:sectPr>
      </w:pPr>
      <w:r>
        <w:rPr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数据安全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Style w:val="Strong"/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合规外因：明确的合规要求有望改善目前处罚轻、规定模糊的问题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89.9%的企业认为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“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合规需求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”</w:t>
      </w: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是安全建设的主要原因 。 当前数据安全合规条例较为笼统，尚无完善的配套规则以及具体的落地制度，数据分级分类管理制度等合规要求对于不同行业、企业的类型、数据的种类并未进行合规管理的细化和区分。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数据安全违法行为处罚力度较轻：从自《数据安全法》事实以来公开处罚的32起典型案例来看，主要可以分成两类， 违规收集个人信息、服务器存在访问漏洞、未建立数据分级保护制度等违法行为的处罚为给予警告并责令整改； 对于未建立数据安全防护体系、存在较为严重的安全漏洞、发生数据泄露等违法行为的处罚中罚款不超过100万元。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360" w:beforeAutospacing="0" w:after="0" w:afterAutospacing="0" w:line="450" w:lineRule="atLeast"/>
        <w:ind w:left="0" w:right="0"/>
      </w:pPr>
      <w:r>
        <w:rPr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数据采集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Style w:val="Strong"/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软件产品：毛利率稳定，受云产品影响，占营收比有所下降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ERP企业主营业务从软件产品转向云产品，进一步提高智能化水平。ERP云转型趋势下，云ERP无需在企业端安装：传统ERP：安装在企业自身的硬件和服务器上，然后由企业的IT职员管理 。 云ERP：ERP服务商集中管理和统一维护，对于ERP供应商来说，安装服务收入减少。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Style w:val="Strong"/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软硬件集成企业：毛利率较高，兼具数据分析能力，传统企业转型方向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 w:charSpace="0"/>
        </w:sect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发展空间大，传统企业转型方向： 1. 毛利率较高，部分企业软硬件集成系统毛利率超50%。 2. 软硬件集成系统兼具数据分析能力，能够为客户提供数字化解决方案，盈利能力增强。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360" w:beforeAutospacing="0" w:after="0" w:afterAutospacing="0" w:line="450" w:lineRule="atLeast"/>
        <w:ind w:left="0" w:right="0"/>
      </w:pPr>
      <w:r>
        <w:rPr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数据存储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Style w:val="Strong"/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数据存储：数据生产量高、存储量低，大量数据待储存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全球角度：据IDC统计，2021年，全球数据总量达到了84.5ZB；预计到2026年，全球数据总量将达到221.2ZB，全球数据存储需求旺盛。存储现状：数据存储比例（存储量/生产量）低，大量数据未储存。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Style w:val="Strong"/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存储软件：对标海外，国内公司仍有差距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50" w:lineRule="atLeast"/>
        <w:ind w:left="0" w:right="0"/>
        <w:rPr>
          <w:color w:val="222222"/>
          <w:sz w:val="27"/>
          <w:szCs w:val="27"/>
        </w:rPr>
      </w:pPr>
      <w:r>
        <w:rPr>
          <w:rFonts w:ascii="Arial" w:hAnsi="Arial" w:cs="Arial" w:hint="default"/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软件定义存储理：有高效地管理存储、提高控制和效率、支持敏捷消费、实时进行扩展等优势 。存储软件与硬件分隔开的存储架构：不同于传统的网络附加存储或存储区域网络系统，软件定义存储依托专用系统运行，对硬件依赖低。软件定义存储与云： 相同：均是由虚拟资源构建而成的池，用户通过自助服务门户按需访问资源，并通过管理和自动化软件使用资源。 不同：软件定义的存储只是一个协助向云输送数据的层，它会在云环境中运行以提供统一存储。</w:t>
      </w:r>
    </w:p>
    <w:p>
      <w:pPr>
        <w:pStyle w:val="Heading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360" w:beforeAutospacing="0" w:after="0" w:afterAutospacing="0" w:line="450" w:lineRule="atLeast"/>
        <w:ind w:left="0" w:right="0"/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 w:charSpace="0"/>
        </w:sectPr>
      </w:pPr>
      <w:r>
        <w:rPr>
          <w:i w:val="0"/>
          <w:iCs w:val="0"/>
          <w:caps w:val="0"/>
          <w:color w:val="222222"/>
          <w:spacing w:val="0"/>
          <w:sz w:val="27"/>
          <w:szCs w:val="27"/>
          <w:shd w:val="clear" w:color="auto" w:fill="FFFFFF"/>
        </w:rPr>
        <w:t>报告节选：</w:t>
      </w:r>
    </w:p>
    <w:p>
      <w:pPr>
        <w:keepNext w:val="0"/>
        <w:keepLines w:val="0"/>
        <w:widowControl/>
        <w:suppressLineNumbers w:val="0"/>
        <w:shd w:val="clear" w:color="auto" w:fill="FFFFFF"/>
        <w:spacing w:before="33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2" o:spid="_x0000_i1026" type="#_x0000_t75" alt="IMG_257" style="width:480pt;height:270pt" o:preferrelative="t" filled="f" stroked="f">
            <v:fill o:detectmouseclick="t"/>
            <v:imagedata r:id="rId5" o:title="IMG_257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 w:charSpace="0"/>
        </w:sect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3" o:spid="_x0000_i1027" type="#_x0000_t75" alt="IMG_258" style="width:480pt;height:270pt" o:preferrelative="t" filled="f" stroked="f">
            <v:fill o:detectmouseclick="t"/>
            <v:imagedata r:id="rId6" o:title="IMG_258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4" o:spid="_x0000_i1028" type="#_x0000_t75" alt="IMG_259" style="width:480pt;height:270pt" o:preferrelative="t" filled="f" stroked="f">
            <v:fill o:detectmouseclick="t"/>
            <v:imagedata r:id="rId7" o:title="IMG_259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 w:charSpace="0"/>
        </w:sect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5" o:spid="_x0000_i1029" type="#_x0000_t75" alt="IMG_260" style="width:480pt;height:270pt" o:preferrelative="t" filled="f" stroked="f">
            <v:fill o:detectmouseclick="t"/>
            <v:imagedata r:id="rId8" o:title="IMG_260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6" o:spid="_x0000_i1030" type="#_x0000_t75" alt="IMG_261" style="width:480pt;height:270pt" o:preferrelative="t" filled="f" stroked="f">
            <v:fill o:detectmouseclick="t"/>
            <v:imagedata r:id="rId9" o:title="IMG_261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 w:charSpace="0"/>
        </w:sect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7" o:spid="_x0000_i1031" type="#_x0000_t75" alt="IMG_262" style="width:480pt;height:270pt" o:preferrelative="t" filled="f" stroked="f">
            <v:fill o:detectmouseclick="t"/>
            <v:imagedata r:id="rId10" o:title="IMG_262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8" o:spid="_x0000_i1032" type="#_x0000_t75" alt="IMG_263" style="width:480.04pt;height:270pt" o:preferrelative="t" filled="f" stroked="f">
            <v:fill o:detectmouseclick="t"/>
            <v:imagedata r:id="rId11" o:title="IMG_263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 w:charSpace="0"/>
        </w:sect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9" o:spid="_x0000_i1033" type="#_x0000_t75" alt="IMG_264" style="width:480pt;height:270pt" o:preferrelative="t" filled="f" stroked="f">
            <v:fill o:detectmouseclick="t"/>
            <v:imagedata r:id="rId12" o:title="IMG_264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10" o:spid="_x0000_i1034" type="#_x0000_t75" alt="IMG_265" style="width:480pt;height:270pt" o:preferrelative="t" filled="f" stroked="f">
            <v:fill o:detectmouseclick="t"/>
            <v:imagedata r:id="rId13" o:title="IMG_265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 w:charSpace="0"/>
        </w:sect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11" o:spid="_x0000_i1035" type="#_x0000_t75" alt="IMG_266" style="width:480pt;height:270pt" o:preferrelative="t" filled="f" stroked="f">
            <v:fill o:detectmouseclick="t"/>
            <v:imagedata r:id="rId14" o:title="IMG_266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12" o:spid="_x0000_i1036" type="#_x0000_t75" alt="IMG_267" style="width:480pt;height:270pt" o:preferrelative="t" filled="f" stroked="f">
            <v:fill o:detectmouseclick="t"/>
            <v:imagedata r:id="rId15" o:title="IMG_267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 w:charSpace="0"/>
        </w:sect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13" o:spid="_x0000_i1037" type="#_x0000_t75" alt="IMG_268" style="width:480pt;height:270pt" o:preferrelative="t" filled="f" stroked="f">
            <v:fill o:detectmouseclick="t"/>
            <v:imagedata r:id="rId16" o:title="IMG_268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14" o:spid="_x0000_i1038" type="#_x0000_t75" alt="IMG_269" style="width:480pt;height:270pt" o:preferrelative="t" filled="f" stroked="f">
            <v:fill o:detectmouseclick="t"/>
            <v:imagedata r:id="rId17" o:title="IMG_269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708"/>
          <w:titlePg w:val="0"/>
          <w:docGrid w:type="lines" w:linePitch="312" w:charSpace="0"/>
        </w:sect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15" o:spid="_x0000_i1039" type="#_x0000_t75" alt="IMG_270" style="width:480pt;height:270pt" o:preferrelative="t" filled="f" stroked="f">
            <v:fill o:detectmouseclick="t"/>
            <v:imagedata r:id="rId18" o:title="IMG_270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16" o:spid="_x0000_i1040" type="#_x0000_t75" alt="IMG_271" style="width:480pt;height:270pt" o:preferrelative="t" filled="f" stroked="f">
            <v:fill o:detectmouseclick="t"/>
            <v:imagedata r:id="rId19" o:title="IMG_271"/>
            <v:path o:extrusionok="f"/>
            <o:lock v:ext="edit" aspectratio="t"/>
          </v:shape>
        </w:pict>
      </w:r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Arial" w:eastAsia="宋体" w:hAnsi="Arial" w:cs="Arial" w:hint="default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color="auto" w:fill="FFFFFF"/>
          <w:lang w:val="en-US" w:eastAsia="zh-CN" w:bidi="ar"/>
        </w:rPr>
        <w:pict>
          <v:shape id="图片 17" o:spid="_x0000_i1041" type="#_x0000_t75" alt="IMG_272" style="width:480pt;height:270pt" o:preferrelative="t" filled="f" stroked="f">
            <v:fill o:detectmouseclick="t"/>
            <v:imagedata r:id="rId20" o:title="IMG_272"/>
            <v:path o:extrusionok="f"/>
            <o:lock v:ext="edit" aspectratio="t"/>
          </v:shape>
        </w:pict>
      </w:r>
      <w:r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  <w:br/>
      </w:r>
      <w:r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https://d.book118.com/776100120212010030</w:t>
        </w:r>
      </w:hyperlink>
    </w:p>
    <w:p>
      <w:pPr>
        <w:keepNext w:val="0"/>
        <w:keepLines w:val="0"/>
        <w:widowControl/>
        <w:suppressLineNumbers w:val="0"/>
        <w:shd w:val="clear" w:color="auto" w:fill="FFFFFF"/>
        <w:spacing w:before="600" w:beforeAutospacing="0"/>
        <w:ind w:left="0" w:firstLine="0"/>
        <w:jc w:val="left"/>
        <w:rPr>
          <w:rFonts w:ascii="Arial" w:hAnsi="Arial" w:cs="Arial" w:hint="default"/>
          <w:i w:val="0"/>
          <w:iCs w:val="0"/>
          <w:caps w:val="0"/>
          <w:color w:val="000000"/>
          <w:spacing w:val="0"/>
          <w:sz w:val="18"/>
          <w:szCs w:val="18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3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125C4A54"/>
    <w:rsid w:val="125C4A54"/>
    <w:rsid w:val="567C2EB6"/>
  </w:rsids>
  <w:docVars>
    <w:docVar w:name="commondata" w:val="eyJoZGlkIjoiYjk5ODM0YmMxOWJiYWQyNDU4MGIzYWRmYTA0ZmI5NDc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cs="宋体" w:hint="eastAsia"/>
      <w:b/>
      <w:bCs/>
      <w:kern w:val="0"/>
      <w:sz w:val="27"/>
      <w:szCs w:val="27"/>
      <w:lang w:val="en-US" w:eastAsia="zh-CN" w:bidi="a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Pr>
      <w:sz w:val="24"/>
    </w:rPr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jpeg" /><Relationship Id="rId19" Type="http://schemas.openxmlformats.org/officeDocument/2006/relationships/image" Target="media/image16.jpeg" /><Relationship Id="rId2" Type="http://schemas.openxmlformats.org/officeDocument/2006/relationships/webSettings" Target="webSettings.xml" /><Relationship Id="rId20" Type="http://schemas.openxmlformats.org/officeDocument/2006/relationships/image" Target="media/image17.jpeg" /><Relationship Id="rId21" Type="http://schemas.openxmlformats.org/officeDocument/2006/relationships/hyperlink" Target="https://d.book118.com/776100120212010030" TargetMode="External" /><Relationship Id="rId22" Type="http://schemas.openxmlformats.org/officeDocument/2006/relationships/theme" Target="theme/theme1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汤亮</cp:lastModifiedBy>
  <cp:revision>1</cp:revision>
  <dcterms:created xsi:type="dcterms:W3CDTF">2023-12-09T14:58:00Z</dcterms:created>
  <dcterms:modified xsi:type="dcterms:W3CDTF">2023-12-14T08:57:53Z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26D5122C9F8A4353A8EBA4B69AB01217_13</vt:lpwstr>
  </property>
  <property fmtid="{D5CDD505-2E9C-101B-9397-08002B2CF9AE}" pid="3" name="KSOProductBuildVer">
    <vt:lpwstr>2052-12.1.0.15712</vt:lpwstr>
  </property>
</Properties>
</file>