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2018-2023年四川托普信息技术职业学院高职单招（数学／语文／英语）历年常考试题库含答案解析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在《答司马谏议书》中，王安石驳斥司马光指责新法“征利”的观点时，所持的理论依据是（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A.“受命于人主”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B.“举先王之政”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C.“为天下理财”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D.“度义而后动”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“文章的布局也就是一种阵势，每一段就是一个队伍，摆在最得力的地位才可以发生最大效用”，这句话的修辞方法是（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D.反复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准确描述《五代史伶官传序》中心论点的一组对应词语是（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A.兴盛与衰败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B.天命与人事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C.自满与谦虚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D.忧劳与逸豫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4.</w:t>
      </w:r>
      <w:r>
        <w:rPr>
          <w:rFonts w:ascii="黑体" w:eastAsia="黑体" w:hAnsi="黑体" w:cs="Times New Roman"/>
          <w:sz w:val="24"/>
          <w:lang w:val="en-US" w:eastAsia="ja-JP" w:bidi="ar-SA"/>
        </w:rPr>
        <w:t>“文章合为时而著，歌诗合为事而作”的口号是谁提出的 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A.韩愈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B.杜甫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D.李贺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3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李斯的《谏逐客书》选自（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杜甫《蜀相》“长使英雄泪满襟”的前一句是（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A.三十从军今白发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B.三顾频烦天下计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C.拔剑四顾心茫然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D.出师未捷身先死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下列作品选自宋代郭茂倩编辑的《乐府诗集》的是（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C.《陌上桑》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D.《行路难》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下列作品中，通篇采用寓言形式说理的是（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C.《冯谖客孟尝君》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《关山月》是一首（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A.新乐府诗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B.古题乐府诗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《米龙老爹》的故事背景是（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A.1848年革命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B.1870年的普法战争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C.1914年第一次世界大战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D.1830年七月革命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《炉中煤》中的“我年青的女郎”指的是（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A.心爱的姑娘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B.日本的妻子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C.诗人心目中的祖国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D.未实现的梦想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我国第一部纪传体通史是（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D.《汉书》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《宝玉挨打》中描写探伤时，“手里托着一丸药走进来”，说道：“早听人一句话，也不至今日。别说老太太、太太心疼，就是我们看着，心里也疼——”这个人物是（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A.林黛玉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B.薛宝钗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C.王熙凤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D.袭人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徐志摩以康桥为题写的诗作有（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https://d.book118.com/776105044230010052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776105044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