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hint="eastAsia"/>
          <w:sz w:val="56"/>
          <w:szCs w:val="56"/>
        </w:rPr>
      </w:pPr>
      <w:bookmarkStart w:id="0" w:name="_Toc14464"/>
      <w:bookmarkStart w:id="1" w:name="_Toc12990"/>
      <w:bookmarkStart w:id="2" w:name="_Toc35"/>
      <w:bookmarkStart w:id="3" w:name="_Toc14187"/>
      <w:bookmarkStart w:id="4" w:name="_Toc25760"/>
      <w:bookmarkStart w:id="5" w:name="_Toc26828"/>
    </w:p>
    <w:p>
      <w:pPr>
        <w:jc w:val="center"/>
        <w:outlineLvl w:val="9"/>
        <w:rPr>
          <w:rFonts w:ascii="黑体" w:eastAsia="黑体" w:hint="eastAsia"/>
          <w:sz w:val="56"/>
          <w:szCs w:val="56"/>
        </w:rPr>
      </w:pPr>
      <w:r>
        <w:rPr>
          <w:rFonts w:ascii="黑体" w:eastAsia="黑体" w:hint="eastAsia"/>
          <w:sz w:val="56"/>
          <w:szCs w:val="56"/>
        </w:rPr>
        <w:t>郑州大学现代远程教育</w:t>
      </w:r>
    </w:p>
    <w:p>
      <w:pPr>
        <w:jc w:val="center"/>
        <w:rPr>
          <w:rFonts w:ascii="宋体" w:hint="eastAsia"/>
          <w:sz w:val="28"/>
        </w:rPr>
      </w:pPr>
    </w:p>
    <w:p>
      <w:pPr>
        <w:jc w:val="center"/>
        <w:rPr>
          <w:rFonts w:ascii="宋体"/>
          <w:b/>
          <w:bCs/>
          <w:sz w:val="44"/>
        </w:rPr>
      </w:pPr>
      <w:r>
        <w:rPr>
          <w:rFonts w:ascii="黑体" w:eastAsia="黑体" w:hint="eastAsia"/>
          <w:bCs/>
          <w:sz w:val="96"/>
        </w:rPr>
        <w:t>毕 业 论 文</w:t>
      </w:r>
    </w:p>
    <w:p>
      <w:pPr>
        <w:jc w:val="center"/>
        <w:rPr>
          <w:rFonts w:ascii="宋体"/>
          <w:b/>
          <w:bCs/>
          <w:sz w:val="44"/>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242"/>
        <w:gridCol w:w="571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jc w:val="center"/>
        </w:trPr>
        <w:tc>
          <w:tcPr>
            <w:tcW w:w="1242" w:type="dxa"/>
            <w:vMerge w:val="restart"/>
            <w:tcBorders>
              <w:top w:val="nil"/>
              <w:left w:val="nil"/>
              <w:right w:val="nil"/>
            </w:tcBorders>
          </w:tcPr>
          <w:p>
            <w:pPr>
              <w:jc w:val="right"/>
              <w:rPr>
                <w:rFonts w:ascii="宋体" w:hint="eastAsia"/>
                <w:b/>
                <w:bCs/>
                <w:sz w:val="44"/>
              </w:rPr>
            </w:pPr>
            <w:r>
              <w:rPr>
                <w:rFonts w:ascii="宋体" w:hint="eastAsia"/>
                <w:b/>
                <w:bCs/>
                <w:sz w:val="32"/>
                <w:szCs w:val="32"/>
              </w:rPr>
              <w:t>题目：</w:t>
            </w:r>
          </w:p>
        </w:tc>
        <w:tc>
          <w:tcPr>
            <w:tcW w:w="5716" w:type="dxa"/>
            <w:tcBorders>
              <w:top w:val="nil"/>
              <w:left w:val="nil"/>
              <w:bottom w:val="single" w:sz="4" w:space="0" w:color="auto"/>
              <w:right w:val="nil"/>
            </w:tcBorders>
            <w:vAlign w:val="bottom"/>
          </w:tcPr>
          <w:p>
            <w:pPr>
              <w:spacing w:line="360" w:lineRule="auto"/>
              <w:ind w:firstLine="200" w:firstLineChars="50"/>
              <w:jc w:val="left"/>
              <w:rPr>
                <w:rFonts w:ascii="宋体" w:hint="eastAsia"/>
                <w:b/>
                <w:bCs/>
                <w:sz w:val="40"/>
                <w:szCs w:val="40"/>
              </w:rPr>
            </w:pPr>
            <w:r>
              <w:rPr>
                <w:rFonts w:ascii="宋体" w:hint="eastAsia"/>
                <w:b/>
                <w:bCs/>
                <w:sz w:val="40"/>
                <w:szCs w:val="40"/>
              </w:rPr>
              <w:t>网络作品影视改编中的保护</w:t>
            </w:r>
          </w:p>
        </w:tc>
      </w:tr>
      <w:tr>
        <w:tblPrEx>
          <w:tblW w:w="0" w:type="auto"/>
          <w:jc w:val="center"/>
          <w:tblCellMar>
            <w:top w:w="0" w:type="dxa"/>
            <w:left w:w="108" w:type="dxa"/>
            <w:bottom w:w="0" w:type="dxa"/>
            <w:right w:w="108" w:type="dxa"/>
          </w:tblCellMar>
          <w:tblLook w:val="0000"/>
        </w:tblPrEx>
        <w:trPr>
          <w:cantSplit/>
          <w:jc w:val="center"/>
        </w:trPr>
        <w:tc>
          <w:tcPr>
            <w:tcW w:w="1242" w:type="dxa"/>
            <w:vMerge/>
            <w:tcBorders>
              <w:left w:val="nil"/>
              <w:bottom w:val="nil"/>
              <w:right w:val="nil"/>
            </w:tcBorders>
          </w:tcPr>
          <w:p>
            <w:pPr>
              <w:jc w:val="right"/>
              <w:rPr>
                <w:rFonts w:ascii="宋体" w:hint="eastAsia"/>
                <w:b/>
                <w:bCs/>
                <w:sz w:val="32"/>
                <w:szCs w:val="32"/>
              </w:rPr>
            </w:pPr>
          </w:p>
        </w:tc>
        <w:tc>
          <w:tcPr>
            <w:tcW w:w="5716" w:type="dxa"/>
            <w:tcBorders>
              <w:top w:val="single" w:sz="4" w:space="0" w:color="auto"/>
              <w:left w:val="nil"/>
              <w:bottom w:val="single" w:sz="4" w:space="0" w:color="auto"/>
              <w:right w:val="nil"/>
            </w:tcBorders>
            <w:vAlign w:val="bottom"/>
          </w:tcPr>
          <w:p>
            <w:pPr>
              <w:spacing w:line="360" w:lineRule="auto"/>
              <w:ind w:firstLine="200" w:firstLineChars="50"/>
              <w:jc w:val="left"/>
              <w:rPr>
                <w:rFonts w:ascii="宋体" w:hint="eastAsia"/>
                <w:b/>
                <w:bCs/>
                <w:sz w:val="40"/>
                <w:szCs w:val="40"/>
              </w:rPr>
            </w:pPr>
            <w:r>
              <w:rPr>
                <w:rFonts w:ascii="宋体" w:hint="eastAsia"/>
                <w:b/>
                <w:bCs/>
                <w:sz w:val="40"/>
                <w:szCs w:val="40"/>
              </w:rPr>
              <w:t>作品完整权研究</w:t>
            </w:r>
          </w:p>
        </w:tc>
      </w:tr>
    </w:tbl>
    <w:p>
      <w:pPr>
        <w:rPr>
          <w:rFonts w:ascii="宋体"/>
          <w:b/>
          <w:bCs/>
          <w:sz w:val="36"/>
          <w:u w:val="single"/>
        </w:rPr>
      </w:pPr>
    </w:p>
    <w:p>
      <w:pPr>
        <w:rPr>
          <w:rFonts w:ascii="宋体"/>
          <w:b/>
          <w:bCs/>
          <w:sz w:val="36"/>
          <w:u w:val="single"/>
        </w:rPr>
      </w:pPr>
    </w:p>
    <w:p>
      <w:pPr>
        <w:rPr>
          <w:rFonts w:ascii="宋体"/>
          <w:b/>
          <w:bCs/>
          <w:sz w:val="36"/>
          <w:u w:val="single"/>
        </w:rPr>
      </w:pPr>
    </w:p>
    <w:p>
      <w:pPr>
        <w:rPr>
          <w:rFonts w:ascii="宋体" w:hint="eastAsia"/>
          <w:b/>
          <w:bCs/>
          <w:sz w:val="36"/>
          <w:u w:val="single"/>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01"/>
        <w:gridCol w:w="426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624"/>
          <w:jc w:val="center"/>
        </w:trPr>
        <w:tc>
          <w:tcPr>
            <w:tcW w:w="1601" w:type="dxa"/>
            <w:tcBorders>
              <w:top w:val="nil"/>
              <w:left w:val="nil"/>
              <w:bottom w:val="nil"/>
              <w:right w:val="nil"/>
            </w:tcBorders>
            <w:vAlign w:val="center"/>
          </w:tcPr>
          <w:p>
            <w:pPr>
              <w:jc w:val="center"/>
              <w:rPr>
                <w:rFonts w:ascii="宋体" w:hint="eastAsia"/>
                <w:b/>
                <w:bCs/>
                <w:sz w:val="32"/>
                <w:szCs w:val="32"/>
              </w:rPr>
            </w:pPr>
            <w:r>
              <w:rPr>
                <w:rFonts w:ascii="宋体" w:hint="eastAsia"/>
                <w:b/>
                <w:bCs/>
                <w:sz w:val="32"/>
                <w:szCs w:val="32"/>
              </w:rPr>
              <w:t xml:space="preserve">姓 </w:t>
            </w:r>
            <w:r>
              <w:rPr>
                <w:rFonts w:ascii="宋体"/>
                <w:b/>
                <w:bCs/>
                <w:sz w:val="32"/>
                <w:szCs w:val="32"/>
              </w:rPr>
              <w:t xml:space="preserve">   </w:t>
            </w:r>
            <w:r>
              <w:rPr>
                <w:rFonts w:ascii="宋体" w:hint="eastAsia"/>
                <w:b/>
                <w:bCs/>
                <w:sz w:val="32"/>
                <w:szCs w:val="32"/>
              </w:rPr>
              <w:t>名</w:t>
            </w:r>
          </w:p>
        </w:tc>
        <w:tc>
          <w:tcPr>
            <w:tcW w:w="4262" w:type="dxa"/>
            <w:tcBorders>
              <w:top w:val="nil"/>
              <w:left w:val="nil"/>
              <w:bottom w:val="single" w:sz="4" w:space="0" w:color="auto"/>
              <w:right w:val="nil"/>
            </w:tcBorders>
            <w:vAlign w:val="bottom"/>
          </w:tcPr>
          <w:p>
            <w:pPr>
              <w:jc w:val="center"/>
              <w:rPr>
                <w:rFonts w:ascii="宋体" w:eastAsia="宋体" w:hint="default"/>
                <w:b/>
                <w:bCs/>
                <w:sz w:val="30"/>
                <w:szCs w:val="30"/>
              </w:rPr>
            </w:pPr>
            <w:r>
              <w:rPr>
                <w:rFonts w:ascii="宋体" w:hint="eastAsia"/>
                <w:b/>
                <w:bCs/>
                <w:sz w:val="30"/>
                <w:szCs w:val="30"/>
                <w:lang w:val="en-US" w:eastAsia="zh-CN"/>
              </w:rPr>
              <w:t>岳帅朋</w:t>
            </w:r>
          </w:p>
        </w:tc>
      </w:tr>
      <w:tr>
        <w:tblPrEx>
          <w:tblW w:w="0" w:type="auto"/>
          <w:jc w:val="center"/>
          <w:tblCellMar>
            <w:top w:w="0" w:type="dxa"/>
            <w:left w:w="108" w:type="dxa"/>
            <w:bottom w:w="0" w:type="dxa"/>
            <w:right w:w="108" w:type="dxa"/>
          </w:tblCellMar>
          <w:tblLook w:val="0000"/>
        </w:tblPrEx>
        <w:trPr>
          <w:trHeight w:val="624"/>
          <w:jc w:val="center"/>
        </w:trPr>
        <w:tc>
          <w:tcPr>
            <w:tcW w:w="1601" w:type="dxa"/>
            <w:tcBorders>
              <w:top w:val="nil"/>
              <w:left w:val="nil"/>
              <w:bottom w:val="nil"/>
              <w:right w:val="nil"/>
            </w:tcBorders>
            <w:vAlign w:val="center"/>
          </w:tcPr>
          <w:p>
            <w:pPr>
              <w:jc w:val="center"/>
              <w:rPr>
                <w:rFonts w:ascii="宋体" w:hint="eastAsia"/>
                <w:b/>
                <w:bCs/>
                <w:sz w:val="32"/>
                <w:szCs w:val="32"/>
              </w:rPr>
            </w:pPr>
            <w:r>
              <w:rPr>
                <w:rFonts w:ascii="宋体" w:hint="eastAsia"/>
                <w:b/>
                <w:bCs/>
                <w:sz w:val="32"/>
                <w:szCs w:val="32"/>
              </w:rPr>
              <w:t xml:space="preserve">学 </w:t>
            </w:r>
            <w:r>
              <w:rPr>
                <w:rFonts w:ascii="宋体"/>
                <w:b/>
                <w:bCs/>
                <w:sz w:val="32"/>
                <w:szCs w:val="32"/>
              </w:rPr>
              <w:t xml:space="preserve">   </w:t>
            </w:r>
            <w:r>
              <w:rPr>
                <w:rFonts w:ascii="宋体" w:hint="eastAsia"/>
                <w:b/>
                <w:bCs/>
                <w:sz w:val="32"/>
                <w:szCs w:val="32"/>
              </w:rPr>
              <w:t>号</w:t>
            </w:r>
          </w:p>
        </w:tc>
        <w:tc>
          <w:tcPr>
            <w:tcW w:w="4262" w:type="dxa"/>
            <w:tcBorders>
              <w:left w:val="nil"/>
              <w:right w:val="nil"/>
            </w:tcBorders>
            <w:vAlign w:val="bottom"/>
          </w:tcPr>
          <w:p>
            <w:pPr>
              <w:jc w:val="center"/>
              <w:rPr>
                <w:rFonts w:ascii="宋体" w:hint="eastAsia"/>
                <w:b/>
                <w:bCs/>
                <w:sz w:val="30"/>
                <w:szCs w:val="30"/>
              </w:rPr>
            </w:pPr>
            <w:r>
              <w:rPr>
                <w:rFonts w:ascii="宋体" w:hint="eastAsia"/>
                <w:b/>
                <w:bCs/>
                <w:sz w:val="30"/>
                <w:szCs w:val="30"/>
              </w:rPr>
              <w:t>21106702007</w:t>
            </w:r>
          </w:p>
        </w:tc>
      </w:tr>
      <w:tr>
        <w:tblPrEx>
          <w:tblW w:w="0" w:type="auto"/>
          <w:jc w:val="center"/>
          <w:tblCellMar>
            <w:top w:w="0" w:type="dxa"/>
            <w:left w:w="108" w:type="dxa"/>
            <w:bottom w:w="0" w:type="dxa"/>
            <w:right w:w="108" w:type="dxa"/>
          </w:tblCellMar>
          <w:tblLook w:val="0000"/>
        </w:tblPrEx>
        <w:trPr>
          <w:trHeight w:val="624"/>
          <w:jc w:val="center"/>
        </w:trPr>
        <w:tc>
          <w:tcPr>
            <w:tcW w:w="1601" w:type="dxa"/>
            <w:tcBorders>
              <w:top w:val="nil"/>
              <w:left w:val="nil"/>
              <w:bottom w:val="nil"/>
              <w:right w:val="nil"/>
            </w:tcBorders>
            <w:vAlign w:val="center"/>
          </w:tcPr>
          <w:p>
            <w:pPr>
              <w:jc w:val="center"/>
              <w:rPr>
                <w:rFonts w:ascii="宋体" w:hint="eastAsia"/>
                <w:b/>
                <w:bCs/>
                <w:sz w:val="32"/>
                <w:szCs w:val="32"/>
              </w:rPr>
            </w:pPr>
            <w:r>
              <w:rPr>
                <w:rFonts w:ascii="宋体" w:hint="eastAsia"/>
                <w:b/>
                <w:bCs/>
                <w:sz w:val="32"/>
                <w:szCs w:val="32"/>
              </w:rPr>
              <w:t>指导老师</w:t>
            </w:r>
          </w:p>
        </w:tc>
        <w:tc>
          <w:tcPr>
            <w:tcW w:w="4262" w:type="dxa"/>
            <w:tcBorders>
              <w:left w:val="nil"/>
              <w:bottom w:val="single" w:sz="4" w:space="0" w:color="auto"/>
              <w:right w:val="nil"/>
            </w:tcBorders>
            <w:vAlign w:val="bottom"/>
          </w:tcPr>
          <w:p>
            <w:pPr>
              <w:jc w:val="center"/>
              <w:rPr>
                <w:rFonts w:ascii="宋体" w:eastAsia="宋体" w:hint="eastAsia"/>
                <w:b/>
                <w:bCs/>
                <w:sz w:val="30"/>
                <w:szCs w:val="30"/>
              </w:rPr>
            </w:pPr>
            <w:r>
              <w:rPr>
                <w:rFonts w:ascii="宋体" w:hint="eastAsia"/>
                <w:b/>
                <w:bCs/>
                <w:sz w:val="30"/>
                <w:szCs w:val="30"/>
                <w:lang w:val="en-US" w:eastAsia="zh-CN"/>
              </w:rPr>
              <w:t>苗沛霖</w:t>
            </w:r>
          </w:p>
        </w:tc>
      </w:tr>
      <w:tr>
        <w:tblPrEx>
          <w:tblW w:w="0" w:type="auto"/>
          <w:jc w:val="center"/>
          <w:tblCellMar>
            <w:top w:w="0" w:type="dxa"/>
            <w:left w:w="108" w:type="dxa"/>
            <w:bottom w:w="0" w:type="dxa"/>
            <w:right w:w="108" w:type="dxa"/>
          </w:tblCellMar>
          <w:tblLook w:val="0000"/>
        </w:tblPrEx>
        <w:trPr>
          <w:trHeight w:val="624"/>
          <w:jc w:val="center"/>
        </w:trPr>
        <w:tc>
          <w:tcPr>
            <w:tcW w:w="1601" w:type="dxa"/>
            <w:tcBorders>
              <w:top w:val="nil"/>
              <w:left w:val="nil"/>
              <w:bottom w:val="nil"/>
              <w:right w:val="nil"/>
            </w:tcBorders>
            <w:vAlign w:val="center"/>
          </w:tcPr>
          <w:p>
            <w:pPr>
              <w:jc w:val="center"/>
              <w:rPr>
                <w:rFonts w:ascii="宋体" w:hint="eastAsia"/>
                <w:b/>
                <w:bCs/>
                <w:sz w:val="32"/>
                <w:szCs w:val="32"/>
              </w:rPr>
            </w:pPr>
            <w:r>
              <w:rPr>
                <w:rFonts w:ascii="宋体" w:hint="eastAsia"/>
                <w:b/>
                <w:bCs/>
                <w:sz w:val="32"/>
                <w:szCs w:val="32"/>
              </w:rPr>
              <w:t xml:space="preserve">专 </w:t>
            </w:r>
            <w:r>
              <w:rPr>
                <w:rFonts w:ascii="宋体"/>
                <w:b/>
                <w:bCs/>
                <w:sz w:val="32"/>
                <w:szCs w:val="32"/>
              </w:rPr>
              <w:t xml:space="preserve">   </w:t>
            </w:r>
            <w:r>
              <w:rPr>
                <w:rFonts w:ascii="宋体" w:hint="eastAsia"/>
                <w:b/>
                <w:bCs/>
                <w:sz w:val="32"/>
                <w:szCs w:val="32"/>
              </w:rPr>
              <w:t>业</w:t>
            </w:r>
          </w:p>
        </w:tc>
        <w:tc>
          <w:tcPr>
            <w:tcW w:w="4262" w:type="dxa"/>
            <w:tcBorders>
              <w:top w:val="single" w:sz="4" w:space="0" w:color="auto"/>
              <w:left w:val="nil"/>
              <w:bottom w:val="single" w:sz="4" w:space="0" w:color="auto"/>
              <w:right w:val="nil"/>
            </w:tcBorders>
            <w:vAlign w:val="bottom"/>
          </w:tcPr>
          <w:p>
            <w:pPr>
              <w:jc w:val="center"/>
              <w:rPr>
                <w:rFonts w:ascii="宋体" w:eastAsia="宋体" w:hint="eastAsia"/>
                <w:b/>
                <w:bCs/>
                <w:sz w:val="30"/>
                <w:szCs w:val="30"/>
              </w:rPr>
            </w:pPr>
            <w:r>
              <w:rPr>
                <w:rFonts w:ascii="宋体" w:hint="eastAsia"/>
                <w:b/>
                <w:bCs/>
                <w:sz w:val="30"/>
                <w:szCs w:val="30"/>
                <w:lang w:val="en-US" w:eastAsia="zh-CN"/>
              </w:rPr>
              <w:t>法学</w:t>
            </w:r>
          </w:p>
        </w:tc>
      </w:tr>
      <w:tr>
        <w:tblPrEx>
          <w:tblW w:w="0" w:type="auto"/>
          <w:jc w:val="center"/>
          <w:tblCellMar>
            <w:top w:w="0" w:type="dxa"/>
            <w:left w:w="108" w:type="dxa"/>
            <w:bottom w:w="0" w:type="dxa"/>
            <w:right w:w="108" w:type="dxa"/>
          </w:tblCellMar>
          <w:tblLook w:val="0000"/>
        </w:tblPrEx>
        <w:trPr>
          <w:trHeight w:val="624"/>
          <w:jc w:val="center"/>
        </w:trPr>
        <w:tc>
          <w:tcPr>
            <w:tcW w:w="1601" w:type="dxa"/>
            <w:tcBorders>
              <w:top w:val="nil"/>
              <w:left w:val="nil"/>
              <w:bottom w:val="nil"/>
              <w:right w:val="nil"/>
            </w:tcBorders>
            <w:vAlign w:val="center"/>
          </w:tcPr>
          <w:p>
            <w:pPr>
              <w:jc w:val="center"/>
              <w:rPr>
                <w:rFonts w:ascii="宋体" w:hint="eastAsia"/>
                <w:b/>
                <w:bCs/>
                <w:sz w:val="32"/>
                <w:szCs w:val="32"/>
              </w:rPr>
            </w:pPr>
            <w:r>
              <w:rPr>
                <w:rFonts w:ascii="宋体" w:hint="eastAsia"/>
                <w:b/>
                <w:bCs/>
                <w:sz w:val="32"/>
                <w:szCs w:val="32"/>
              </w:rPr>
              <w:t>完成时间</w:t>
            </w:r>
          </w:p>
        </w:tc>
        <w:tc>
          <w:tcPr>
            <w:tcW w:w="4262" w:type="dxa"/>
            <w:tcBorders>
              <w:top w:val="single" w:sz="4" w:space="0" w:color="auto"/>
              <w:left w:val="nil"/>
              <w:right w:val="nil"/>
            </w:tcBorders>
            <w:vAlign w:val="bottom"/>
          </w:tcPr>
          <w:p>
            <w:pPr>
              <w:jc w:val="center"/>
              <w:rPr>
                <w:rFonts w:ascii="宋体" w:hint="eastAsia"/>
                <w:b/>
                <w:bCs/>
                <w:sz w:val="30"/>
                <w:szCs w:val="30"/>
              </w:rPr>
            </w:pPr>
            <w:r>
              <w:rPr>
                <w:rFonts w:ascii="宋体" w:hint="eastAsia"/>
                <w:b/>
                <w:bCs/>
                <w:sz w:val="30"/>
                <w:szCs w:val="30"/>
                <w:lang w:val="en-US" w:eastAsia="zh-CN"/>
              </w:rPr>
              <w:t>23</w:t>
            </w:r>
            <w:r>
              <w:rPr>
                <w:rFonts w:ascii="宋体" w:hint="eastAsia"/>
                <w:b/>
                <w:bCs/>
                <w:sz w:val="30"/>
                <w:szCs w:val="30"/>
              </w:rPr>
              <w:t>年</w:t>
            </w:r>
            <w:r>
              <w:rPr>
                <w:rFonts w:ascii="宋体" w:hint="eastAsia"/>
                <w:b/>
                <w:bCs/>
                <w:sz w:val="30"/>
                <w:szCs w:val="30"/>
                <w:lang w:val="en-US" w:eastAsia="zh-CN"/>
              </w:rPr>
              <w:t>10</w:t>
            </w:r>
            <w:r>
              <w:rPr>
                <w:rFonts w:ascii="宋体" w:hint="eastAsia"/>
                <w:b/>
                <w:bCs/>
                <w:sz w:val="30"/>
                <w:szCs w:val="30"/>
              </w:rPr>
              <w:t>月</w:t>
            </w:r>
          </w:p>
        </w:tc>
      </w:tr>
    </w:tbl>
    <w:p>
      <w:pPr>
        <w:rPr>
          <w:rFonts w:ascii="宋体"/>
          <w:b/>
          <w:bCs/>
          <w:sz w:val="32"/>
          <w:szCs w:val="32"/>
        </w:rPr>
      </w:pPr>
    </w:p>
    <w:p>
      <w:pPr>
        <w:keepNext w:val="0"/>
        <w:keepLines w:val="0"/>
        <w:pageBreakBefore w:val="0"/>
        <w:widowControl w:val="0"/>
        <w:kinsoku/>
        <w:wordWrap/>
        <w:overflowPunct/>
        <w:topLinePunct w:val="0"/>
        <w:autoSpaceDE/>
        <w:autoSpaceDN/>
        <w:bidi w:val="0"/>
        <w:adjustRightInd/>
        <w:snapToGrid/>
        <w:spacing w:before="313" w:beforeLines="100" w:after="251" w:afterLines="80" w:line="440" w:lineRule="exact"/>
        <w:jc w:val="center"/>
        <w:textAlignment w:val="auto"/>
        <w:outlineLvl w:val="9"/>
        <w:rPr>
          <w:rFonts w:ascii="宋体" w:eastAsia="宋体" w:hAnsi="Courier New" w:cs="Times New Roman" w:hint="eastAsia"/>
          <w:b/>
          <w:sz w:val="44"/>
          <w:szCs w:val="44"/>
        </w:rPr>
      </w:pPr>
    </w:p>
    <w:p>
      <w:pPr>
        <w:keepNext w:val="0"/>
        <w:keepLines w:val="0"/>
        <w:pageBreakBefore w:val="0"/>
        <w:widowControl w:val="0"/>
        <w:kinsoku/>
        <w:wordWrap/>
        <w:overflowPunct/>
        <w:topLinePunct w:val="0"/>
        <w:autoSpaceDE/>
        <w:autoSpaceDN/>
        <w:bidi w:val="0"/>
        <w:adjustRightInd/>
        <w:snapToGrid/>
        <w:spacing w:before="313" w:beforeLines="100" w:after="251" w:afterLines="80" w:line="440" w:lineRule="exact"/>
        <w:jc w:val="center"/>
        <w:textAlignment w:val="auto"/>
        <w:outlineLvl w:val="9"/>
        <w:rPr>
          <w:rFonts w:ascii="宋体" w:eastAsia="宋体" w:hAnsi="Courier New" w:cs="Times New Roman" w:hint="eastAsia"/>
          <w:b/>
          <w:sz w:val="44"/>
          <w:szCs w:val="44"/>
        </w:rPr>
      </w:pPr>
    </w:p>
    <w:p>
      <w:pPr>
        <w:spacing w:line="360" w:lineRule="auto"/>
        <w:jc w:val="center"/>
        <w:rPr>
          <w:rFonts w:ascii="宋体" w:eastAsia="宋体" w:hAnsi="宋体" w:cs="宋体" w:hint="eastAsia"/>
          <w:b/>
          <w:color w:val="000000"/>
          <w:sz w:val="24"/>
        </w:rPr>
        <w:sectPr>
          <w:headerReference w:type="default" r:id="rId5"/>
          <w:headerReference w:type="first" r:id="rId6"/>
          <w:type w:val="nextPage"/>
          <w:pgSz w:w="11906" w:h="16838"/>
          <w:pgMar w:top="1701" w:right="1417" w:bottom="1417" w:left="1701" w:header="1134" w:footer="964" w:gutter="0"/>
          <w:paperSrc w:first="0" w:other="0"/>
          <w:pgNumType w:fmt="decimal" w:start="1"/>
          <w:cols w:space="708"/>
          <w:titlePg/>
          <w:rtlGutter w:val="0"/>
          <w:docGrid w:type="lines" w:linePitch="312" w:charSpace="0"/>
        </w:sectPr>
      </w:pPr>
    </w:p>
    <w:p>
      <w:pPr>
        <w:pStyle w:val="TOC1"/>
        <w:keepNext w:val="0"/>
        <w:keepLines w:val="0"/>
        <w:pageBreakBefore w:val="0"/>
        <w:widowControl w:val="0"/>
        <w:tabs>
          <w:tab w:val="right" w:leader="dot" w:pos="8820"/>
        </w:tabs>
        <w:kinsoku/>
        <w:wordWrap/>
        <w:overflowPunct/>
        <w:topLinePunct w:val="0"/>
        <w:autoSpaceDE/>
        <w:autoSpaceDN/>
        <w:bidi w:val="0"/>
        <w:adjustRightInd/>
        <w:snapToGrid/>
        <w:jc w:val="center"/>
        <w:textAlignment w:val="auto"/>
        <w:rPr>
          <w:rFonts w:ascii="宋体" w:eastAsia="宋体" w:hAnsi="宋体" w:cs="宋体" w:hint="eastAsia"/>
          <w:b/>
          <w:bCs/>
          <w:sz w:val="30"/>
          <w:szCs w:val="30"/>
          <w:lang w:val="en-US" w:eastAsia="zh-CN"/>
        </w:rPr>
      </w:pPr>
      <w:r>
        <w:rPr>
          <w:rFonts w:ascii="宋体" w:eastAsia="宋体" w:hAnsi="宋体" w:cs="宋体" w:hint="eastAsia"/>
          <w:b/>
          <w:bCs/>
          <w:sz w:val="30"/>
          <w:szCs w:val="30"/>
          <w:lang w:val="en-US" w:eastAsia="zh-CN"/>
        </w:rPr>
        <w:t>目    录</w:t>
      </w:r>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TOC \o "1-3" \h \u </w:instrText>
      </w:r>
      <w:r>
        <w:rPr>
          <w:rFonts w:ascii="宋体" w:eastAsia="宋体" w:hAnsi="宋体" w:cs="宋体" w:hint="eastAsia"/>
          <w:sz w:val="24"/>
          <w:szCs w:val="24"/>
        </w:rPr>
        <w:fldChar w:fldCharType="separate"/>
      </w:r>
      <w:hyperlink w:anchor="_Toc24070" w:history="1">
        <w:r>
          <w:rPr>
            <w:rFonts w:ascii="Times New Roman" w:eastAsia="宋体" w:hAnsi="Times New Roman" w:hint="eastAsia"/>
            <w:bCs w:val="0"/>
            <w:i w:val="0"/>
            <w:iCs w:val="0"/>
            <w:sz w:val="24"/>
            <w:szCs w:val="30"/>
          </w:rPr>
          <w:t>摘要</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_Toc24070 \h </w:instrText>
        </w:r>
        <w:r>
          <w:rPr>
            <w:rFonts w:ascii="Times New Roman" w:eastAsia="宋体" w:hAnsi="Times New Roman"/>
            <w:sz w:val="24"/>
          </w:rPr>
          <w:fldChar w:fldCharType="separate"/>
        </w:r>
        <w:r>
          <w:rPr>
            <w:rFonts w:ascii="Times New Roman" w:eastAsia="宋体" w:hAnsi="Times New Roman"/>
            <w:sz w:val="24"/>
          </w:rPr>
          <w:t>II</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1488" w:history="1">
        <w:r>
          <w:rPr>
            <w:rFonts w:ascii="Times New Roman" w:eastAsia="宋体" w:hAnsi="Times New Roman" w:hint="eastAsia"/>
            <w:sz w:val="24"/>
            <w:lang w:val="zh-CN" w:eastAsia="zh-CN"/>
          </w:rPr>
          <w:t>前言</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_Toc21488 \h </w:instrText>
        </w:r>
        <w:r>
          <w:rPr>
            <w:rFonts w:ascii="Times New Roman" w:eastAsia="宋体" w:hAnsi="Times New Roman"/>
            <w:sz w:val="24"/>
          </w:rPr>
          <w:fldChar w:fldCharType="separate"/>
        </w:r>
        <w:r>
          <w:rPr>
            <w:rFonts w:ascii="Times New Roman" w:eastAsia="宋体" w:hAnsi="Times New Roman"/>
            <w:sz w:val="24"/>
          </w:rPr>
          <w:t>1</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7470" w:history="1">
        <w:r>
          <w:rPr>
            <w:rFonts w:ascii="Times New Roman" w:eastAsia="宋体" w:hAnsi="Times New Roman" w:hint="eastAsia"/>
            <w:sz w:val="24"/>
            <w:lang w:val="en-US" w:eastAsia="zh-CN"/>
          </w:rPr>
          <w:t>一、影视改编作品中保护作品完整权的概述</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_Toc27470 \h </w:instrText>
        </w:r>
        <w:r>
          <w:rPr>
            <w:rFonts w:ascii="Times New Roman" w:eastAsia="宋体" w:hAnsi="Times New Roman"/>
            <w:sz w:val="24"/>
          </w:rPr>
          <w:fldChar w:fldCharType="separate"/>
        </w:r>
        <w:r>
          <w:rPr>
            <w:rFonts w:ascii="Times New Roman" w:eastAsia="宋体" w:hAnsi="Times New Roman"/>
            <w:sz w:val="24"/>
          </w:rPr>
          <w:t>2</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3440" w:history="1">
        <w:r>
          <w:rPr>
            <w:rFonts w:ascii="Times New Roman" w:eastAsia="宋体" w:hAnsi="Times New Roman" w:hint="eastAsia"/>
            <w:sz w:val="24"/>
            <w:lang w:val="en-US" w:eastAsia="zh-CN"/>
          </w:rPr>
          <w:t>（一）</w:t>
        </w:r>
        <w:r>
          <w:rPr>
            <w:rFonts w:ascii="Times New Roman" w:eastAsia="宋体" w:hAnsi="Times New Roman" w:hint="eastAsia"/>
            <w:sz w:val="24"/>
            <w:lang w:val="zh-CN" w:eastAsia="zh-CN"/>
          </w:rPr>
          <w:t>保护作品完整权的含义</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_Toc23440 \h </w:instrText>
        </w:r>
        <w:r>
          <w:rPr>
            <w:rFonts w:ascii="Times New Roman" w:eastAsia="宋体" w:hAnsi="Times New Roman"/>
            <w:sz w:val="24"/>
          </w:rPr>
          <w:fldChar w:fldCharType="separate"/>
        </w:r>
        <w:r>
          <w:rPr>
            <w:rFonts w:ascii="Times New Roman" w:eastAsia="宋体" w:hAnsi="Times New Roman"/>
            <w:sz w:val="24"/>
          </w:rPr>
          <w:t>2</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7069" w:history="1">
        <w:r>
          <w:rPr>
            <w:rFonts w:ascii="Times New Roman" w:eastAsia="宋体" w:hAnsi="Times New Roman" w:hint="eastAsia"/>
            <w:sz w:val="24"/>
            <w:lang w:val="en-US" w:eastAsia="zh-CN"/>
          </w:rPr>
          <w:t>1.</w:t>
        </w:r>
        <w:r>
          <w:rPr>
            <w:rFonts w:ascii="Times New Roman" w:eastAsia="宋体" w:hAnsi="Times New Roman" w:hint="eastAsia"/>
            <w:sz w:val="24"/>
            <w:lang w:val="zh-CN" w:eastAsia="zh-CN"/>
          </w:rPr>
          <w:t>保护作品完整权的概念</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_Toc17069 \h </w:instrText>
        </w:r>
        <w:r>
          <w:rPr>
            <w:rFonts w:ascii="Times New Roman" w:eastAsia="宋体" w:hAnsi="Times New Roman"/>
            <w:sz w:val="24"/>
          </w:rPr>
          <w:fldChar w:fldCharType="separate"/>
        </w:r>
        <w:r>
          <w:rPr>
            <w:rFonts w:ascii="Times New Roman" w:eastAsia="宋体" w:hAnsi="Times New Roman"/>
            <w:sz w:val="24"/>
          </w:rPr>
          <w:t>2</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5343" w:history="1">
        <w:r>
          <w:rPr>
            <w:rFonts w:ascii="Times New Roman" w:eastAsia="宋体" w:hAnsi="Times New Roman" w:cs="Times New Roman" w:hint="eastAsia"/>
            <w:bCs/>
            <w:sz w:val="24"/>
            <w:lang w:val="en-US" w:eastAsia="zh-CN"/>
          </w:rPr>
          <w:t>2.</w:t>
        </w:r>
        <w:r>
          <w:rPr>
            <w:rFonts w:ascii="Times New Roman" w:eastAsia="宋体" w:hAnsi="Times New Roman" w:cs="Times New Roman" w:hint="eastAsia"/>
            <w:bCs/>
            <w:sz w:val="24"/>
            <w:lang w:val="zh-CN" w:eastAsia="zh-CN"/>
          </w:rPr>
          <w:t>保护作品完整权的性质</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_Toc5343 \h </w:instrText>
        </w:r>
        <w:r>
          <w:rPr>
            <w:rFonts w:ascii="Times New Roman" w:eastAsia="宋体" w:hAnsi="Times New Roman"/>
            <w:sz w:val="24"/>
          </w:rPr>
          <w:fldChar w:fldCharType="separate"/>
        </w:r>
        <w:r>
          <w:rPr>
            <w:rFonts w:ascii="Times New Roman" w:eastAsia="宋体" w:hAnsi="Times New Roman"/>
            <w:sz w:val="24"/>
          </w:rPr>
          <w:t>3</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4875" w:history="1">
        <w:r>
          <w:rPr>
            <w:rFonts w:ascii="Times New Roman" w:eastAsia="宋体" w:hAnsi="Times New Roman" w:cs="Times New Roman" w:hint="eastAsia"/>
            <w:bCs/>
            <w:sz w:val="24"/>
            <w:lang w:val="en-US" w:eastAsia="zh-CN"/>
          </w:rPr>
          <w:t>（二）</w:t>
        </w:r>
        <w:r>
          <w:rPr>
            <w:rFonts w:ascii="Times New Roman" w:eastAsia="宋体" w:hAnsi="Times New Roman" w:cs="Times New Roman" w:hint="eastAsia"/>
            <w:bCs/>
            <w:sz w:val="24"/>
            <w:lang w:val="zh-CN" w:eastAsia="zh-CN"/>
          </w:rPr>
          <w:t>保护作品完整权的判定方法</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_Toc14875 \h </w:instrText>
        </w:r>
        <w:r>
          <w:rPr>
            <w:rFonts w:ascii="Times New Roman" w:eastAsia="宋体" w:hAnsi="Times New Roman"/>
            <w:sz w:val="24"/>
          </w:rPr>
          <w:fldChar w:fldCharType="separate"/>
        </w:r>
        <w:r>
          <w:rPr>
            <w:rFonts w:ascii="Times New Roman" w:eastAsia="宋体" w:hAnsi="Times New Roman"/>
            <w:sz w:val="24"/>
          </w:rPr>
          <w:t>3</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8095" w:history="1">
        <w:r>
          <w:rPr>
            <w:rFonts w:ascii="Times New Roman" w:eastAsia="宋体" w:hAnsi="Times New Roman" w:hint="eastAsia"/>
            <w:sz w:val="24"/>
            <w:lang w:val="zh-CN" w:eastAsia="zh-CN"/>
          </w:rPr>
          <w:t>（</w:t>
        </w:r>
        <w:r>
          <w:rPr>
            <w:rFonts w:ascii="Times New Roman" w:eastAsia="宋体" w:hAnsi="Times New Roman" w:hint="eastAsia"/>
            <w:sz w:val="24"/>
            <w:lang w:val="en-US" w:eastAsia="zh-CN"/>
          </w:rPr>
          <w:t>三</w:t>
        </w:r>
        <w:r>
          <w:rPr>
            <w:rFonts w:ascii="Times New Roman" w:eastAsia="宋体" w:hAnsi="Times New Roman" w:hint="eastAsia"/>
            <w:sz w:val="24"/>
            <w:lang w:val="zh-CN" w:eastAsia="zh-CN"/>
          </w:rPr>
          <w:t>）影视改编</w:t>
        </w:r>
        <w:r>
          <w:rPr>
            <w:rFonts w:ascii="Times New Roman" w:eastAsia="宋体" w:hAnsi="Times New Roman" w:hint="eastAsia"/>
            <w:sz w:val="24"/>
            <w:lang w:val="en-US" w:eastAsia="zh-CN"/>
          </w:rPr>
          <w:t>的具体含义及其特殊性</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_Toc8095 \h </w:instrText>
        </w:r>
        <w:r>
          <w:rPr>
            <w:rFonts w:ascii="Times New Roman" w:eastAsia="宋体" w:hAnsi="Times New Roman"/>
            <w:sz w:val="24"/>
          </w:rPr>
          <w:fldChar w:fldCharType="separate"/>
        </w:r>
        <w:r>
          <w:rPr>
            <w:rFonts w:ascii="Times New Roman" w:eastAsia="宋体" w:hAnsi="Times New Roman"/>
            <w:sz w:val="24"/>
          </w:rPr>
          <w:t>4</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3656" w:history="1">
        <w:r>
          <w:rPr>
            <w:rFonts w:ascii="Times New Roman" w:eastAsia="宋体" w:hAnsi="Times New Roman" w:cs="Times New Roman" w:hint="eastAsia"/>
            <w:bCs/>
            <w:sz w:val="24"/>
            <w:lang w:val="en-US" w:eastAsia="zh-CN"/>
          </w:rPr>
          <w:t>（四）</w:t>
        </w:r>
        <w:r>
          <w:rPr>
            <w:rFonts w:ascii="Times New Roman" w:eastAsia="宋体" w:hAnsi="Times New Roman" w:cs="Times New Roman" w:hint="eastAsia"/>
            <w:bCs/>
            <w:sz w:val="24"/>
            <w:lang w:val="zh-CN" w:eastAsia="zh-CN"/>
          </w:rPr>
          <w:t>影视改编作品中保护作品完整权的产生</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_Toc13656 \h </w:instrText>
        </w:r>
        <w:r>
          <w:rPr>
            <w:rFonts w:ascii="Times New Roman" w:eastAsia="宋体" w:hAnsi="Times New Roman"/>
            <w:sz w:val="24"/>
          </w:rPr>
          <w:fldChar w:fldCharType="separate"/>
        </w:r>
        <w:r>
          <w:rPr>
            <w:rFonts w:ascii="Times New Roman" w:eastAsia="宋体" w:hAnsi="Times New Roman"/>
            <w:sz w:val="24"/>
          </w:rPr>
          <w:t>5</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3981" w:history="1">
        <w:r>
          <w:rPr>
            <w:rFonts w:ascii="Times New Roman" w:eastAsia="宋体" w:hAnsi="Times New Roman" w:cs="Times New Roman" w:hint="eastAsia"/>
            <w:bCs/>
            <w:sz w:val="24"/>
            <w:lang w:val="en-US" w:eastAsia="zh-CN"/>
          </w:rPr>
          <w:t>（五）</w:t>
        </w:r>
        <w:r>
          <w:rPr>
            <w:rFonts w:ascii="Times New Roman" w:eastAsia="宋体" w:hAnsi="Times New Roman" w:cs="Times New Roman" w:hint="eastAsia"/>
            <w:bCs/>
            <w:sz w:val="24"/>
            <w:lang w:val="zh-CN" w:eastAsia="zh-CN"/>
          </w:rPr>
          <w:t>影视改编作品中保护作品完整权的立法意义</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_Toc3981 \h </w:instrText>
        </w:r>
        <w:r>
          <w:rPr>
            <w:rFonts w:ascii="Times New Roman" w:eastAsia="宋体" w:hAnsi="Times New Roman"/>
            <w:sz w:val="24"/>
          </w:rPr>
          <w:fldChar w:fldCharType="separate"/>
        </w:r>
        <w:r>
          <w:rPr>
            <w:rFonts w:ascii="Times New Roman" w:eastAsia="宋体" w:hAnsi="Times New Roman"/>
            <w:sz w:val="24"/>
          </w:rPr>
          <w:t>6</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9283" w:history="1">
        <w:r>
          <w:rPr>
            <w:rFonts w:ascii="Times New Roman" w:eastAsia="宋体" w:hAnsi="Times New Roman" w:hint="eastAsia"/>
            <w:sz w:val="24"/>
            <w:lang w:val="en-US" w:eastAsia="zh-CN"/>
          </w:rPr>
          <w:t>二、保护作品完整权的实践问题</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_Toc9283 \h </w:instrText>
        </w:r>
        <w:r>
          <w:rPr>
            <w:rFonts w:ascii="Times New Roman" w:eastAsia="宋体" w:hAnsi="Times New Roman"/>
            <w:sz w:val="24"/>
          </w:rPr>
          <w:fldChar w:fldCharType="separate"/>
        </w:r>
        <w:r>
          <w:rPr>
            <w:rFonts w:ascii="Times New Roman" w:eastAsia="宋体" w:hAnsi="Times New Roman"/>
            <w:sz w:val="24"/>
          </w:rPr>
          <w:t>7</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3507" w:history="1">
        <w:r>
          <w:rPr>
            <w:rFonts w:ascii="Times New Roman" w:eastAsia="宋体" w:hAnsi="Times New Roman" w:hint="eastAsia"/>
            <w:sz w:val="24"/>
            <w:lang w:val="en-US" w:eastAsia="zh-CN"/>
          </w:rPr>
          <w:t>（一）</w:t>
        </w:r>
        <w:r>
          <w:rPr>
            <w:rFonts w:ascii="Times New Roman" w:eastAsia="宋体" w:hAnsi="Times New Roman" w:hint="eastAsia"/>
            <w:sz w:val="24"/>
            <w:lang w:val="zh-CN" w:eastAsia="zh-CN"/>
          </w:rPr>
          <w:t>保护作品完整权缺乏限制性标准</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_Toc23507 \h </w:instrText>
        </w:r>
        <w:r>
          <w:rPr>
            <w:rFonts w:ascii="Times New Roman" w:eastAsia="宋体" w:hAnsi="Times New Roman"/>
            <w:sz w:val="24"/>
          </w:rPr>
          <w:fldChar w:fldCharType="separate"/>
        </w:r>
        <w:r>
          <w:rPr>
            <w:rFonts w:ascii="Times New Roman" w:eastAsia="宋体" w:hAnsi="Times New Roman"/>
            <w:sz w:val="24"/>
          </w:rPr>
          <w:t>7</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9945" w:history="1">
        <w:r>
          <w:rPr>
            <w:rFonts w:ascii="Times New Roman" w:eastAsia="宋体" w:hAnsi="Times New Roman" w:hint="eastAsia"/>
            <w:sz w:val="24"/>
            <w:lang w:val="en-US" w:eastAsia="zh-CN"/>
          </w:rPr>
          <w:t>（二）</w:t>
        </w:r>
        <w:r>
          <w:rPr>
            <w:rFonts w:ascii="Times New Roman" w:eastAsia="宋体" w:hAnsi="Times New Roman" w:hint="eastAsia"/>
            <w:sz w:val="24"/>
            <w:lang w:val="zh-CN" w:eastAsia="zh-CN"/>
          </w:rPr>
          <w:t>作者声誉损害缺乏具体评判标准</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_Toc29945 \h </w:instrText>
        </w:r>
        <w:r>
          <w:rPr>
            <w:rFonts w:ascii="Times New Roman" w:eastAsia="宋体" w:hAnsi="Times New Roman"/>
            <w:sz w:val="24"/>
          </w:rPr>
          <w:fldChar w:fldCharType="separate"/>
        </w:r>
        <w:r>
          <w:rPr>
            <w:rFonts w:ascii="Times New Roman" w:eastAsia="宋体" w:hAnsi="Times New Roman"/>
            <w:sz w:val="24"/>
          </w:rPr>
          <w:t>7</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8231" w:history="1">
        <w:r>
          <w:rPr>
            <w:rFonts w:ascii="Times New Roman" w:eastAsia="宋体" w:hAnsi="Times New Roman" w:hint="eastAsia"/>
            <w:sz w:val="24"/>
            <w:lang w:val="en-US" w:eastAsia="zh-CN"/>
          </w:rPr>
          <w:t>（三）</w:t>
        </w:r>
        <w:r>
          <w:rPr>
            <w:rFonts w:ascii="Times New Roman" w:eastAsia="宋体" w:hAnsi="Times New Roman" w:hint="eastAsia"/>
            <w:sz w:val="24"/>
            <w:lang w:val="zh-CN" w:eastAsia="zh-CN"/>
          </w:rPr>
          <w:t>保护作品完整权和修改权存在冲突</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_Toc18231 \h </w:instrText>
        </w:r>
        <w:r>
          <w:rPr>
            <w:rFonts w:ascii="Times New Roman" w:eastAsia="宋体" w:hAnsi="Times New Roman"/>
            <w:sz w:val="24"/>
          </w:rPr>
          <w:fldChar w:fldCharType="separate"/>
        </w:r>
        <w:r>
          <w:rPr>
            <w:rFonts w:ascii="Times New Roman" w:eastAsia="宋体" w:hAnsi="Times New Roman"/>
            <w:sz w:val="24"/>
          </w:rPr>
          <w:t>8</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8157" w:history="1">
        <w:r>
          <w:rPr>
            <w:rFonts w:ascii="Times New Roman" w:eastAsia="宋体" w:hAnsi="Times New Roman" w:hint="eastAsia"/>
            <w:sz w:val="24"/>
            <w:lang w:val="en-US" w:eastAsia="zh-CN"/>
          </w:rPr>
          <w:t>（四）</w:t>
        </w:r>
        <w:r>
          <w:rPr>
            <w:rFonts w:ascii="Times New Roman" w:eastAsia="宋体" w:hAnsi="Times New Roman" w:hint="eastAsia"/>
            <w:sz w:val="24"/>
            <w:lang w:val="zh-CN" w:eastAsia="zh-CN"/>
          </w:rPr>
          <w:t>保护作品完整权和改编权存在冲突</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_Toc8157 \h </w:instrText>
        </w:r>
        <w:r>
          <w:rPr>
            <w:rFonts w:ascii="Times New Roman" w:eastAsia="宋体" w:hAnsi="Times New Roman"/>
            <w:sz w:val="24"/>
          </w:rPr>
          <w:fldChar w:fldCharType="separate"/>
        </w:r>
        <w:r>
          <w:rPr>
            <w:rFonts w:ascii="Times New Roman" w:eastAsia="宋体" w:hAnsi="Times New Roman"/>
            <w:sz w:val="24"/>
          </w:rPr>
          <w:t>8</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8278" w:history="1">
        <w:r>
          <w:rPr>
            <w:rFonts w:ascii="Times New Roman" w:eastAsia="宋体" w:hAnsi="Times New Roman" w:hint="eastAsia"/>
            <w:sz w:val="24"/>
            <w:lang w:val="en-US" w:eastAsia="zh-CN"/>
          </w:rPr>
          <w:t>三、国外保护作品完整权的法律规制的启示</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_Toc28278 \h </w:instrText>
        </w:r>
        <w:r>
          <w:rPr>
            <w:rFonts w:ascii="Times New Roman" w:eastAsia="宋体" w:hAnsi="Times New Roman"/>
            <w:sz w:val="24"/>
          </w:rPr>
          <w:fldChar w:fldCharType="separate"/>
        </w:r>
        <w:r>
          <w:rPr>
            <w:rFonts w:ascii="Times New Roman" w:eastAsia="宋体" w:hAnsi="Times New Roman"/>
            <w:sz w:val="24"/>
          </w:rPr>
          <w:t>9</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5853" w:history="1">
        <w:r>
          <w:rPr>
            <w:rFonts w:ascii="Times New Roman" w:eastAsia="宋体" w:hAnsi="Times New Roman" w:hint="eastAsia"/>
            <w:sz w:val="24"/>
            <w:lang w:val="en-US" w:eastAsia="zh-CN"/>
          </w:rPr>
          <w:t>（一）</w:t>
        </w:r>
        <w:r>
          <w:rPr>
            <w:rFonts w:ascii="Times New Roman" w:eastAsia="宋体" w:hAnsi="Times New Roman" w:hint="eastAsia"/>
            <w:sz w:val="24"/>
            <w:lang w:val="zh-CN" w:eastAsia="zh-CN"/>
          </w:rPr>
          <w:t>国外影视改编中保护作品完整的法律规制</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_Toc25853 \h </w:instrText>
        </w:r>
        <w:r>
          <w:rPr>
            <w:rFonts w:ascii="Times New Roman" w:eastAsia="宋体" w:hAnsi="Times New Roman"/>
            <w:sz w:val="24"/>
          </w:rPr>
          <w:fldChar w:fldCharType="separate"/>
        </w:r>
        <w:r>
          <w:rPr>
            <w:rFonts w:ascii="Times New Roman" w:eastAsia="宋体" w:hAnsi="Times New Roman"/>
            <w:sz w:val="24"/>
          </w:rPr>
          <w:t>9</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2181" w:history="1">
        <w:r>
          <w:rPr>
            <w:rFonts w:ascii="Times New Roman" w:eastAsia="宋体" w:hAnsi="Times New Roman" w:hint="eastAsia"/>
            <w:sz w:val="24"/>
            <w:lang w:val="en-US" w:eastAsia="zh-CN"/>
          </w:rPr>
          <w:t>（二）</w:t>
        </w:r>
        <w:r>
          <w:rPr>
            <w:rFonts w:ascii="Times New Roman" w:eastAsia="宋体" w:hAnsi="Times New Roman" w:hint="eastAsia"/>
            <w:sz w:val="24"/>
            <w:lang w:val="zh-CN" w:eastAsia="zh-CN"/>
          </w:rPr>
          <w:t>国外影视改编中保护作品完整法律规制的</w:t>
        </w:r>
        <w:r>
          <w:rPr>
            <w:rFonts w:ascii="Times New Roman" w:eastAsia="宋体" w:hAnsi="Times New Roman" w:hint="eastAsia"/>
            <w:sz w:val="24"/>
            <w:lang w:val="en-US" w:eastAsia="zh-CN"/>
          </w:rPr>
          <w:t>启示</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_Toc22181 \h </w:instrText>
        </w:r>
        <w:r>
          <w:rPr>
            <w:rFonts w:ascii="Times New Roman" w:eastAsia="宋体" w:hAnsi="Times New Roman"/>
            <w:sz w:val="24"/>
          </w:rPr>
          <w:fldChar w:fldCharType="separate"/>
        </w:r>
        <w:r>
          <w:rPr>
            <w:rFonts w:ascii="Times New Roman" w:eastAsia="宋体" w:hAnsi="Times New Roman"/>
            <w:sz w:val="24"/>
          </w:rPr>
          <w:t>10</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9815" w:history="1">
        <w:r>
          <w:rPr>
            <w:rFonts w:ascii="Times New Roman" w:eastAsia="宋体" w:hAnsi="Times New Roman" w:hint="eastAsia"/>
            <w:sz w:val="24"/>
            <w:lang w:val="en-US" w:eastAsia="zh-CN"/>
          </w:rPr>
          <w:t>四、完善我国保护作品完整权的立法建议</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_Toc19815 \h </w:instrText>
        </w:r>
        <w:r>
          <w:rPr>
            <w:rFonts w:ascii="Times New Roman" w:eastAsia="宋体" w:hAnsi="Times New Roman"/>
            <w:sz w:val="24"/>
          </w:rPr>
          <w:fldChar w:fldCharType="separate"/>
        </w:r>
        <w:r>
          <w:rPr>
            <w:rFonts w:ascii="Times New Roman" w:eastAsia="宋体" w:hAnsi="Times New Roman"/>
            <w:sz w:val="24"/>
          </w:rPr>
          <w:t>11</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5502" w:history="1">
        <w:r>
          <w:rPr>
            <w:rFonts w:ascii="Times New Roman" w:eastAsia="宋体" w:hAnsi="Times New Roman" w:hint="eastAsia"/>
            <w:sz w:val="24"/>
            <w:lang w:val="en-US" w:eastAsia="zh-CN"/>
          </w:rPr>
          <w:t>（一）</w:t>
        </w:r>
        <w:r>
          <w:rPr>
            <w:rFonts w:ascii="Times New Roman" w:eastAsia="宋体" w:hAnsi="Times New Roman" w:hint="eastAsia"/>
            <w:sz w:val="24"/>
            <w:lang w:val="zh-CN" w:eastAsia="zh-CN"/>
          </w:rPr>
          <w:t>对保护作品完整权限制性标准进行确定</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_Toc25502 \h </w:instrText>
        </w:r>
        <w:r>
          <w:rPr>
            <w:rFonts w:ascii="Times New Roman" w:eastAsia="宋体" w:hAnsi="Times New Roman"/>
            <w:sz w:val="24"/>
          </w:rPr>
          <w:fldChar w:fldCharType="separate"/>
        </w:r>
        <w:r>
          <w:rPr>
            <w:rFonts w:ascii="Times New Roman" w:eastAsia="宋体" w:hAnsi="Times New Roman"/>
            <w:sz w:val="24"/>
          </w:rPr>
          <w:t>11</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22643" w:history="1">
        <w:r>
          <w:rPr>
            <w:rFonts w:ascii="Times New Roman" w:eastAsia="宋体" w:hAnsi="Times New Roman" w:hint="eastAsia"/>
            <w:sz w:val="24"/>
            <w:lang w:val="en-US" w:eastAsia="zh-CN"/>
          </w:rPr>
          <w:t>（二）</w:t>
        </w:r>
        <w:r>
          <w:rPr>
            <w:rFonts w:ascii="Times New Roman" w:eastAsia="宋体" w:hAnsi="Times New Roman" w:hint="eastAsia"/>
            <w:sz w:val="24"/>
            <w:lang w:val="zh-CN" w:eastAsia="zh-CN"/>
          </w:rPr>
          <w:t>完善对作者声誉损害评判标准</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_Toc22643 \h </w:instrText>
        </w:r>
        <w:r>
          <w:rPr>
            <w:rFonts w:ascii="Times New Roman" w:eastAsia="宋体" w:hAnsi="Times New Roman"/>
            <w:sz w:val="24"/>
          </w:rPr>
          <w:fldChar w:fldCharType="separate"/>
        </w:r>
        <w:r>
          <w:rPr>
            <w:rFonts w:ascii="Times New Roman" w:eastAsia="宋体" w:hAnsi="Times New Roman"/>
            <w:sz w:val="24"/>
          </w:rPr>
          <w:t>11</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7864" w:history="1">
        <w:r>
          <w:rPr>
            <w:rFonts w:ascii="Times New Roman" w:eastAsia="宋体" w:hAnsi="Times New Roman" w:hint="eastAsia"/>
            <w:sz w:val="24"/>
            <w:lang w:val="en-US" w:eastAsia="zh-CN"/>
          </w:rPr>
          <w:t>（三）</w:t>
        </w:r>
        <w:r>
          <w:rPr>
            <w:rFonts w:ascii="Times New Roman" w:eastAsia="宋体" w:hAnsi="Times New Roman" w:hint="eastAsia"/>
            <w:sz w:val="24"/>
            <w:lang w:val="zh-CN" w:eastAsia="zh-CN"/>
          </w:rPr>
          <w:t>将修改权和作品完整权进行立法重构</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_Toc7864 \h </w:instrText>
        </w:r>
        <w:r>
          <w:rPr>
            <w:rFonts w:ascii="Times New Roman" w:eastAsia="宋体" w:hAnsi="Times New Roman"/>
            <w:sz w:val="24"/>
          </w:rPr>
          <w:fldChar w:fldCharType="separate"/>
        </w:r>
        <w:r>
          <w:rPr>
            <w:rFonts w:ascii="Times New Roman" w:eastAsia="宋体" w:hAnsi="Times New Roman"/>
            <w:sz w:val="24"/>
          </w:rPr>
          <w:t>12</w:t>
        </w:r>
        <w:r>
          <w:rPr>
            <w:rFonts w:ascii="Times New Roman" w:eastAsia="宋体" w:hAnsi="Times New Roman"/>
            <w:sz w:val="24"/>
          </w:rPr>
          <w:fldChar w:fldCharType="end"/>
        </w:r>
      </w:hyperlink>
    </w:p>
    <w:p>
      <w:pPr>
        <w:pStyle w:val="TOC2"/>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5371" w:history="1">
        <w:r>
          <w:rPr>
            <w:rFonts w:ascii="Times New Roman" w:eastAsia="宋体" w:hAnsi="Times New Roman" w:hint="eastAsia"/>
            <w:sz w:val="24"/>
            <w:lang w:val="en-US" w:eastAsia="zh-CN"/>
          </w:rPr>
          <w:t>（四）</w:t>
        </w:r>
        <w:r>
          <w:rPr>
            <w:rFonts w:ascii="Times New Roman" w:eastAsia="宋体" w:hAnsi="Times New Roman" w:hint="eastAsia"/>
            <w:sz w:val="24"/>
            <w:lang w:val="zh-CN" w:eastAsia="zh-CN"/>
          </w:rPr>
          <w:t>平衡改编权和保护作品完整权之间的利益</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_Toc15371 \h </w:instrText>
        </w:r>
        <w:r>
          <w:rPr>
            <w:rFonts w:ascii="Times New Roman" w:eastAsia="宋体" w:hAnsi="Times New Roman"/>
            <w:sz w:val="24"/>
          </w:rPr>
          <w:fldChar w:fldCharType="separate"/>
        </w:r>
        <w:r>
          <w:rPr>
            <w:rFonts w:ascii="Times New Roman" w:eastAsia="宋体" w:hAnsi="Times New Roman"/>
            <w:sz w:val="24"/>
          </w:rPr>
          <w:t>12</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14430" w:history="1">
        <w:r>
          <w:rPr>
            <w:rFonts w:ascii="Times New Roman" w:eastAsia="宋体" w:hAnsi="Times New Roman" w:hint="eastAsia"/>
            <w:sz w:val="24"/>
            <w:lang w:val="en-US" w:eastAsia="zh-CN"/>
          </w:rPr>
          <w:t>结论</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_Toc14430 \h </w:instrText>
        </w:r>
        <w:r>
          <w:rPr>
            <w:rFonts w:ascii="Times New Roman" w:eastAsia="宋体" w:hAnsi="Times New Roman"/>
            <w:sz w:val="24"/>
          </w:rPr>
          <w:fldChar w:fldCharType="separate"/>
        </w:r>
        <w:r>
          <w:rPr>
            <w:rFonts w:ascii="Times New Roman" w:eastAsia="宋体" w:hAnsi="Times New Roman"/>
            <w:sz w:val="24"/>
          </w:rPr>
          <w:t>13</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rPr>
          <w:rFonts w:ascii="Times New Roman" w:eastAsia="宋体" w:hAnsi="Times New Roman"/>
        </w:rPr>
      </w:pPr>
      <w:hyperlink w:anchor="_Toc6257" w:history="1">
        <w:r>
          <w:rPr>
            <w:rFonts w:ascii="Times New Roman" w:eastAsia="宋体" w:hAnsi="Times New Roman" w:cs="Times New Roman" w:hint="eastAsia"/>
            <w:kern w:val="2"/>
            <w:sz w:val="24"/>
            <w:szCs w:val="20"/>
            <w:lang w:val="zh-CN" w:eastAsia="zh-CN" w:bidi="ar-SA"/>
          </w:rPr>
          <w:t>参考文献</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_Toc6257 \h </w:instrText>
        </w:r>
        <w:r>
          <w:rPr>
            <w:rFonts w:ascii="Times New Roman" w:eastAsia="宋体" w:hAnsi="Times New Roman"/>
            <w:sz w:val="24"/>
          </w:rPr>
          <w:fldChar w:fldCharType="separate"/>
        </w:r>
        <w:r>
          <w:rPr>
            <w:rFonts w:ascii="Times New Roman" w:eastAsia="宋体" w:hAnsi="Times New Roman"/>
            <w:sz w:val="24"/>
          </w:rPr>
          <w:t>14</w:t>
        </w:r>
        <w:r>
          <w:rPr>
            <w:rFonts w:ascii="Times New Roman" w:eastAsia="宋体" w:hAnsi="Times New Roman"/>
            <w:sz w:val="24"/>
          </w:rPr>
          <w:fldChar w:fldCharType="end"/>
        </w:r>
      </w:hyperlink>
    </w:p>
    <w:p>
      <w:pPr>
        <w:pStyle w:val="TOC1"/>
        <w:keepNext w:val="0"/>
        <w:keepLines w:val="0"/>
        <w:pageBreakBefore w:val="0"/>
        <w:widowControl w:val="0"/>
        <w:tabs>
          <w:tab w:val="right" w:leader="dot" w:pos="8820"/>
        </w:tabs>
        <w:kinsoku/>
        <w:wordWrap/>
        <w:overflowPunct/>
        <w:topLinePunct w:val="0"/>
        <w:autoSpaceDE/>
        <w:autoSpaceDN/>
        <w:bidi w:val="0"/>
        <w:adjustRightInd/>
        <w:snapToGrid/>
        <w:spacing w:line="360" w:lineRule="auto"/>
        <w:textAlignment w:val="auto"/>
      </w:pPr>
      <w:hyperlink w:anchor="_Toc17219" w:history="1">
        <w:r>
          <w:rPr>
            <w:rFonts w:ascii="Times New Roman" w:eastAsia="宋体" w:hAnsi="Times New Roman" w:hint="eastAsia"/>
            <w:bCs w:val="0"/>
            <w:sz w:val="24"/>
            <w:szCs w:val="30"/>
          </w:rPr>
          <w:t>致  谢</w:t>
        </w:r>
        <w:r>
          <w:rPr>
            <w:rFonts w:ascii="Times New Roman" w:eastAsia="宋体" w:hAnsi="Times New Roman"/>
            <w:sz w:val="24"/>
          </w:rPr>
          <w:tab/>
        </w:r>
        <w:r>
          <w:rPr>
            <w:rFonts w:ascii="Times New Roman" w:eastAsia="宋体" w:hAnsi="Times New Roman"/>
            <w:sz w:val="24"/>
          </w:rPr>
          <w:fldChar w:fldCharType="begin"/>
        </w:r>
        <w:r>
          <w:rPr>
            <w:rFonts w:ascii="Times New Roman" w:eastAsia="宋体" w:hAnsi="Times New Roman"/>
            <w:sz w:val="24"/>
          </w:rPr>
          <w:instrText xml:space="preserve"> PAGEREF _Toc17219 \h </w:instrText>
        </w:r>
        <w:r>
          <w:rPr>
            <w:rFonts w:ascii="Times New Roman" w:eastAsia="宋体" w:hAnsi="Times New Roman"/>
            <w:sz w:val="24"/>
          </w:rPr>
          <w:fldChar w:fldCharType="separate"/>
        </w:r>
        <w:r>
          <w:rPr>
            <w:rFonts w:ascii="Times New Roman" w:eastAsia="宋体" w:hAnsi="Times New Roman"/>
            <w:sz w:val="24"/>
          </w:rPr>
          <w:t>15</w:t>
        </w:r>
        <w:r>
          <w:rPr>
            <w:rFonts w:ascii="Times New Roman" w:eastAsia="宋体" w:hAnsi="Times New Roman"/>
            <w:sz w:val="24"/>
          </w:rPr>
          <w:fldChar w:fldCharType="end"/>
        </w:r>
      </w:hyperlink>
    </w:p>
    <w:p>
      <w:pPr>
        <w:keepNext w:val="0"/>
        <w:keepLines w:val="0"/>
        <w:pageBreakBefore w:val="0"/>
        <w:widowControl w:val="0"/>
        <w:tabs>
          <w:tab w:val="center" w:pos="4454"/>
          <w:tab w:val="left" w:pos="5021"/>
        </w:tabs>
        <w:kinsoku/>
        <w:wordWrap/>
        <w:overflowPunct/>
        <w:topLinePunct w:val="0"/>
        <w:autoSpaceDE/>
        <w:autoSpaceDN/>
        <w:bidi w:val="0"/>
        <w:adjustRightInd/>
        <w:snapToGrid/>
        <w:spacing w:before="312" w:beforeLines="100" w:after="250" w:afterLines="80" w:line="360" w:lineRule="auto"/>
        <w:jc w:val="left"/>
        <w:textAlignment w:val="auto"/>
        <w:outlineLvl w:val="9"/>
        <w:rPr>
          <w:rFonts w:ascii="宋体" w:eastAsia="宋体" w:hAnsi="宋体" w:cs="宋体" w:hint="eastAsia"/>
          <w:sz w:val="24"/>
        </w:rPr>
      </w:pPr>
      <w:r>
        <w:rPr>
          <w:rFonts w:ascii="宋体" w:eastAsia="宋体" w:hAnsi="宋体" w:cs="宋体" w:hint="eastAsia"/>
          <w:szCs w:val="24"/>
        </w:rPr>
        <w:fldChar w:fldCharType="end"/>
      </w:r>
      <w:r>
        <w:rPr>
          <w:rFonts w:ascii="宋体" w:eastAsia="宋体" w:hAnsi="宋体" w:cs="宋体" w:hint="eastAsia"/>
          <w:sz w:val="24"/>
          <w:szCs w:val="24"/>
          <w:lang w:eastAsia="zh-CN"/>
        </w:rPr>
        <w:tab/>
      </w:r>
      <w:r>
        <w:rPr>
          <w:rFonts w:ascii="宋体" w:eastAsia="宋体" w:hAnsi="宋体" w:cs="宋体" w:hint="eastAsia"/>
          <w:sz w:val="24"/>
          <w:szCs w:val="24"/>
          <w:lang w:eastAsia="zh-CN"/>
        </w:rPr>
        <w:tab/>
      </w:r>
    </w:p>
    <w:p>
      <w:pPr>
        <w:pStyle w:val="Heading1"/>
        <w:bidi w:val="0"/>
        <w:ind w:left="0" w:firstLine="0" w:leftChars="0" w:firstLineChars="0"/>
        <w:rPr>
          <w:rFonts w:hint="eastAsia"/>
        </w:rPr>
        <w:sectPr>
          <w:headerReference w:type="default" r:id="rId7"/>
          <w:footerReference w:type="default" r:id="rId8"/>
          <w:headerReference w:type="first" r:id="rId9"/>
          <w:footerReference w:type="first" r:id="rId10"/>
          <w:type w:val="nextPage"/>
          <w:pgSz w:w="11906" w:h="16838"/>
          <w:pgMar w:top="1701" w:right="1385" w:bottom="1417" w:left="1701" w:header="1134" w:footer="964" w:gutter="0"/>
          <w:paperSrc w:first="0" w:other="0"/>
          <w:pgNumType w:fmt="upperRoman" w:start="1"/>
          <w:cols w:space="708"/>
          <w:titlePg w:val="0"/>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313" w:beforeLines="100" w:after="251" w:afterLines="80" w:line="440" w:lineRule="exact"/>
        <w:jc w:val="center"/>
        <w:textAlignment w:val="auto"/>
        <w:outlineLvl w:val="9"/>
        <w:rPr>
          <w:rFonts w:ascii="宋体" w:eastAsia="宋体" w:hAnsi="Courier New" w:cs="Times New Roman" w:hint="eastAsia"/>
          <w:b/>
          <w:sz w:val="44"/>
          <w:szCs w:val="44"/>
        </w:rPr>
      </w:pPr>
      <w:r>
        <w:rPr>
          <w:rFonts w:ascii="宋体" w:eastAsia="宋体" w:hAnsi="Courier New" w:cs="Times New Roman" w:hint="eastAsia"/>
          <w:b/>
          <w:sz w:val="44"/>
          <w:szCs w:val="44"/>
        </w:rPr>
        <w:t>网络作品影视改编中的保护作品完整权研究</w:t>
      </w:r>
      <w:bookmarkEnd w:id="0"/>
      <w:bookmarkEnd w:id="1"/>
    </w:p>
    <w:p>
      <w:pPr>
        <w:keepNext w:val="0"/>
        <w:keepLines w:val="0"/>
        <w:pageBreakBefore w:val="0"/>
        <w:widowControl w:val="0"/>
        <w:kinsoku/>
        <w:wordWrap/>
        <w:overflowPunct/>
        <w:topLinePunct w:val="0"/>
        <w:autoSpaceDE/>
        <w:autoSpaceDN/>
        <w:bidi w:val="0"/>
        <w:adjustRightInd/>
        <w:snapToGrid/>
        <w:spacing w:before="313" w:beforeLines="100" w:after="251" w:afterLines="80" w:line="440" w:lineRule="exact"/>
        <w:jc w:val="center"/>
        <w:textAlignment w:val="auto"/>
        <w:outlineLvl w:val="9"/>
        <w:rPr>
          <w:rFonts w:ascii="宋体" w:eastAsia="宋体" w:hAnsi="Courier New" w:cs="Times New Roman" w:hint="eastAsia"/>
          <w:b/>
          <w:sz w:val="32"/>
          <w:szCs w:val="20"/>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ascii="Times New Roman" w:eastAsia="宋体" w:hAnsi="宋体" w:cs="Times New Roman" w:hint="eastAsia"/>
          <w:sz w:val="24"/>
        </w:rPr>
      </w:pPr>
      <w:bookmarkStart w:id="6" w:name="_Toc1041"/>
      <w:bookmarkStart w:id="7" w:name="_Toc24070"/>
      <w:bookmarkStart w:id="8" w:name="_Toc232855565"/>
      <w:bookmarkEnd w:id="2"/>
      <w:r>
        <w:rPr>
          <w:rStyle w:val="1"/>
          <w:rFonts w:ascii="宋体" w:eastAsia="宋体" w:hAnsi="宋体" w:hint="eastAsia"/>
          <w:b/>
          <w:bCs w:val="0"/>
          <w:i w:val="0"/>
          <w:iCs w:val="0"/>
          <w:color w:val="000000"/>
          <w:sz w:val="30"/>
          <w:szCs w:val="30"/>
        </w:rPr>
        <w:t>摘要</w:t>
      </w:r>
      <w:bookmarkEnd w:id="6"/>
      <w:bookmarkEnd w:id="7"/>
      <w:bookmarkEnd w:id="8"/>
      <w:r>
        <w:rPr>
          <w:rFonts w:ascii="宋体" w:hAnsi="宋体" w:hint="eastAsia"/>
          <w:b/>
          <w:bCs w:val="0"/>
          <w:i w:val="0"/>
          <w:iCs w:val="0"/>
          <w:color w:val="000000"/>
          <w:sz w:val="30"/>
          <w:szCs w:val="30"/>
        </w:rPr>
        <w:t>：</w:t>
      </w:r>
      <w:r>
        <w:rPr>
          <w:rFonts w:ascii="Times New Roman" w:eastAsia="宋体" w:hAnsi="宋体" w:cs="Times New Roman" w:hint="eastAsia"/>
          <w:kern w:val="2"/>
          <w:sz w:val="24"/>
          <w:szCs w:val="24"/>
          <w:lang w:val="en-US" w:eastAsia="zh-CN" w:bidi="ar-SA"/>
        </w:rPr>
        <w:t>文字与影视是文化传播的两个不同载体。目前，随着互联网的发展，我国文化市场空前繁荣，大量的网络作品被改编为影视剧作品，充分满足了社会公众对于不同形式、不同内容文艺作品的需求。在此背景下，大量的网络网络作品被改变为</w:t>
      </w:r>
      <w:r>
        <w:rPr>
          <w:rFonts w:ascii="Times New Roman" w:eastAsia="宋体" w:hAnsi="宋体" w:cs="Times New Roman" w:hint="eastAsia"/>
          <w:kern w:val="2"/>
          <w:sz w:val="24"/>
          <w:szCs w:val="24"/>
          <w:lang w:val="en-US" w:eastAsia="zh-CN" w:bidi="ar-SA"/>
        </w:rPr>
        <w:t>“</w:t>
      </w:r>
      <w:r>
        <w:rPr>
          <w:rFonts w:ascii="Times New Roman" w:eastAsia="宋体" w:hAnsi="宋体" w:cs="Times New Roman" w:hint="eastAsia"/>
          <w:kern w:val="2"/>
          <w:sz w:val="24"/>
          <w:szCs w:val="24"/>
          <w:lang w:val="en-US" w:eastAsia="zh-CN" w:bidi="ar-SA"/>
        </w:rPr>
        <w:t>网络大电影</w:t>
      </w:r>
      <w:r>
        <w:rPr>
          <w:rFonts w:ascii="Times New Roman" w:eastAsia="宋体" w:hAnsi="宋体" w:cs="Times New Roman" w:hint="eastAsia"/>
          <w:kern w:val="2"/>
          <w:sz w:val="24"/>
          <w:szCs w:val="24"/>
          <w:lang w:val="en-US" w:eastAsia="zh-CN" w:bidi="ar-SA"/>
        </w:rPr>
        <w:t>”</w:t>
      </w:r>
      <w:r>
        <w:rPr>
          <w:rFonts w:ascii="Times New Roman" w:eastAsia="宋体" w:hAnsi="宋体" w:cs="Times New Roman" w:hint="eastAsia"/>
          <w:kern w:val="2"/>
          <w:sz w:val="24"/>
          <w:szCs w:val="24"/>
          <w:lang w:val="en-US" w:eastAsia="zh-CN" w:bidi="ar-SA"/>
        </w:rPr>
        <w:t>和</w:t>
      </w:r>
      <w:r>
        <w:rPr>
          <w:rFonts w:ascii="Times New Roman" w:eastAsia="宋体" w:hAnsi="宋体" w:cs="Times New Roman" w:hint="eastAsia"/>
          <w:kern w:val="2"/>
          <w:sz w:val="24"/>
          <w:szCs w:val="24"/>
          <w:lang w:val="en-US" w:eastAsia="zh-CN" w:bidi="ar-SA"/>
        </w:rPr>
        <w:t>“</w:t>
      </w:r>
      <w:r>
        <w:rPr>
          <w:rFonts w:ascii="Times New Roman" w:eastAsia="宋体" w:hAnsi="宋体" w:cs="Times New Roman" w:hint="eastAsia"/>
          <w:kern w:val="2"/>
          <w:sz w:val="24"/>
          <w:szCs w:val="24"/>
          <w:lang w:val="en-US" w:eastAsia="zh-CN" w:bidi="ar-SA"/>
        </w:rPr>
        <w:t>网剧</w:t>
      </w:r>
      <w:r>
        <w:rPr>
          <w:rFonts w:ascii="Times New Roman" w:eastAsia="宋体" w:hAnsi="宋体" w:cs="Times New Roman" w:hint="eastAsia"/>
          <w:kern w:val="2"/>
          <w:sz w:val="24"/>
          <w:szCs w:val="24"/>
          <w:lang w:val="en-US" w:eastAsia="zh-CN" w:bidi="ar-SA"/>
        </w:rPr>
        <w:t>”</w:t>
      </w:r>
      <w:r>
        <w:rPr>
          <w:rFonts w:ascii="Times New Roman" w:eastAsia="宋体" w:hAnsi="宋体" w:cs="Times New Roman" w:hint="eastAsia"/>
          <w:kern w:val="2"/>
          <w:sz w:val="24"/>
          <w:szCs w:val="24"/>
          <w:lang w:val="en-US" w:eastAsia="zh-CN" w:bidi="ar-SA"/>
        </w:rPr>
        <w:t>，随之而来的是著作权侵权行为日益多发，关于保护作品完整权的诉讼占著作权相关内容诉讼的比例较高。在立法角度而言，过于模糊的</w:t>
      </w:r>
      <w:r>
        <w:rPr>
          <w:rFonts w:ascii="Times New Roman" w:eastAsia="宋体" w:hAnsi="宋体" w:cs="Times New Roman" w:hint="eastAsia"/>
          <w:kern w:val="2"/>
          <w:sz w:val="24"/>
          <w:szCs w:val="24"/>
          <w:lang w:val="en-US" w:eastAsia="zh-CN" w:bidi="ar-SA"/>
        </w:rPr>
        <w:t>“</w:t>
      </w:r>
      <w:r>
        <w:rPr>
          <w:rFonts w:ascii="Times New Roman" w:eastAsia="宋体" w:hAnsi="宋体" w:cs="Times New Roman" w:hint="eastAsia"/>
          <w:kern w:val="2"/>
          <w:sz w:val="24"/>
          <w:szCs w:val="24"/>
          <w:lang w:val="en-US" w:eastAsia="zh-CN" w:bidi="ar-SA"/>
        </w:rPr>
        <w:t>歪曲篡改</w:t>
      </w:r>
      <w:r>
        <w:rPr>
          <w:rFonts w:ascii="Times New Roman" w:eastAsia="宋体" w:hAnsi="宋体" w:cs="Times New Roman" w:hint="eastAsia"/>
          <w:kern w:val="2"/>
          <w:sz w:val="24"/>
          <w:szCs w:val="24"/>
          <w:lang w:val="en-US" w:eastAsia="zh-CN" w:bidi="ar-SA"/>
        </w:rPr>
        <w:t>”</w:t>
      </w:r>
      <w:r>
        <w:rPr>
          <w:rFonts w:ascii="Times New Roman" w:eastAsia="宋体" w:hAnsi="宋体" w:cs="Times New Roman" w:hint="eastAsia"/>
          <w:kern w:val="2"/>
          <w:sz w:val="24"/>
          <w:szCs w:val="24"/>
          <w:lang w:val="en-US" w:eastAsia="zh-CN" w:bidi="ar-SA"/>
        </w:rPr>
        <w:t>规定难以处理多样化的侵权行为。本文保护作品完整权的概述入手，阐述了其立法意义，针对于立法中对于侵权认定的不足进行了重点探讨，结合国外对于著作权财产性权利于人身权利的平衡经验，提出提出完善保护作品完整权的限制性标准、合理理解损害作者声誉的标准、将修改权融入保护作品完整权之中和对于改编行为和侵权行为进行利益平衡四方面建议，在完善现有认定标准和在现行法律框架下进行利益平衡方面给出了具体评价。</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ascii="Times New Roman" w:eastAsia="宋体" w:hAnsi="宋体" w:cs="Times New Roman" w:hint="eastAsia"/>
          <w:sz w:val="24"/>
        </w:rPr>
      </w:pPr>
      <w:r>
        <w:rPr>
          <w:rFonts w:ascii="宋体" w:hAnsi="宋体" w:hint="eastAsia"/>
          <w:b/>
          <w:color w:val="000000"/>
          <w:sz w:val="30"/>
          <w:szCs w:val="30"/>
        </w:rPr>
        <w:t>关键词：</w:t>
      </w:r>
      <w:r>
        <w:rPr>
          <w:rFonts w:ascii="Times New Roman" w:eastAsia="宋体" w:hAnsi="宋体" w:cs="Times New Roman" w:hint="eastAsia"/>
          <w:kern w:val="2"/>
          <w:sz w:val="24"/>
          <w:szCs w:val="24"/>
          <w:lang w:val="en-US" w:eastAsia="zh-CN" w:bidi="ar-SA"/>
        </w:rPr>
        <w:t>著作权；保护作品完整权；影视改编；歪曲篡改</w:t>
      </w: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spacing w:line="360" w:lineRule="auto"/>
        <w:ind w:firstLine="480" w:firstLineChars="200"/>
        <w:jc w:val="left"/>
        <w:rPr>
          <w:rFonts w:ascii="Times New Roman" w:eastAsia="宋体" w:hAnsi="宋体" w:cs="Times New Roman" w:hint="eastAsia"/>
          <w:sz w:val="24"/>
        </w:rPr>
      </w:pPr>
    </w:p>
    <w:p>
      <w:pPr>
        <w:keepNext/>
        <w:keepLines/>
        <w:pageBreakBefore w:val="0"/>
        <w:widowControl w:val="0"/>
        <w:numPr>
          <w:ilvl w:val="0"/>
          <w:numId w:val="0"/>
        </w:numPr>
        <w:kinsoku/>
        <w:wordWrap/>
        <w:overflowPunct/>
        <w:topLinePunct w:val="0"/>
        <w:autoSpaceDE/>
        <w:autoSpaceDN/>
        <w:bidi w:val="0"/>
        <w:adjustRightInd/>
        <w:snapToGrid/>
        <w:spacing w:before="313" w:beforeLines="100" w:after="313" w:afterLines="100" w:line="440" w:lineRule="exact"/>
        <w:jc w:val="center"/>
        <w:textAlignment w:val="auto"/>
        <w:outlineLvl w:val="9"/>
        <w:rPr>
          <w:rFonts w:ascii="宋体" w:eastAsia="宋体" w:hAnsi="Courier New" w:cs="Times New Roman" w:hint="eastAsia"/>
          <w:b/>
          <w:sz w:val="32"/>
          <w:szCs w:val="20"/>
          <w:lang w:val="zh-CN"/>
        </w:rPr>
        <w:sectPr>
          <w:headerReference w:type="default" r:id="rId11"/>
          <w:footerReference w:type="default" r:id="rId12"/>
          <w:headerReference w:type="first" r:id="rId13"/>
          <w:footerReference w:type="first" r:id="rId14"/>
          <w:type w:val="nextPage"/>
          <w:pgSz w:w="11906" w:h="16838"/>
          <w:pgMar w:top="1701" w:right="1417" w:bottom="1417" w:left="1701" w:header="1134" w:footer="964" w:gutter="0"/>
          <w:paperSrc w:first="0" w:other="0"/>
          <w:pgNumType w:fmt="upperRoman" w:start="2"/>
          <w:cols w:space="708"/>
          <w:titlePg w:val="0"/>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bookmarkStart w:id="9" w:name="_Toc21622"/>
      <w:r>
        <w:rPr>
          <w:rFonts w:eastAsia="黑体"/>
          <w:b/>
          <w:color w:val="000000"/>
          <w:sz w:val="30"/>
          <w:szCs w:val="30"/>
        </w:rPr>
        <w:t>Abstract</w:t>
      </w:r>
      <w:r>
        <w:rPr>
          <w:b/>
          <w:color w:val="000000"/>
          <w:sz w:val="30"/>
          <w:szCs w:val="30"/>
        </w:rPr>
        <w:t>:</w:t>
      </w:r>
      <w:r>
        <w:rPr>
          <w:color w:val="000000"/>
          <w:sz w:val="24"/>
        </w:rPr>
        <w:t xml:space="preserve"> </w:t>
      </w:r>
      <w:r>
        <w:rPr>
          <w:rFonts w:ascii="Times New Roman" w:hAnsi="Times New Roman" w:cs="Times New Roman"/>
          <w:sz w:val="24"/>
        </w:rPr>
        <w:t>Text and film and television are two different carriers of cultural communication. At present, with the development of the Internet, China's cultural market is unprecedentedly prosperous, and a large number of novels have been adapted into films and TV dramas, which fully meet the public's demand for literary and artistic works of different forms and contents. In this context, a large number of online novels have been adapted into "Internet movies" and "online dramas", which are followed by the increasing number of copyright infringement ACTS. The litigation concerning the protection of the right to integrity of works accounts for a high proportion of copyright-related content litigation. The right to protect the integrity of a work refers to the right to protect the work from distortion or tampering. In the process of film and television adaptation, due to the particularity of the adaptation and the limitation of the content review mechanism, it is difficult to avoid the modification of the works in the process of adaptation. China's laws are not clear enough about the protection of the right to integrity of works, and there is no clear explanation of the scope of modification or distortion of the definition. As a result, it is difficult to determine the trial standards in judicial trials, leaving judges with a large amount of discretion in the trial. Foreign laws clearly define the standards of copyright infringement, and the standards of personal rights and property rights infringement are relatively fixed. Therefore, it is necessary to form a unified theory and law for the demarcation between the judgment standard of infringement of the right to protect the integrity of works and the other rights of copyright. Under the premise of clear reconstruction of copyright legislation, a unified tort standard and legal interpretation should be formed in the legislative and judicial practice.</w:t>
      </w:r>
    </w:p>
    <w:p>
      <w:pPr>
        <w:spacing w:line="360" w:lineRule="auto"/>
        <w:jc w:val="center"/>
        <w:rPr>
          <w:b/>
          <w:sz w:val="36"/>
        </w:rPr>
      </w:pPr>
    </w:p>
    <w:p>
      <w:pPr>
        <w:spacing w:line="360" w:lineRule="auto"/>
        <w:jc w:val="center"/>
        <w:rPr>
          <w:b/>
          <w:sz w:val="36"/>
        </w:rPr>
        <w:sectPr>
          <w:headerReference w:type="default" r:id="rId15"/>
          <w:footerReference w:type="default" r:id="rId16"/>
          <w:headerReference w:type="first" r:id="rId17"/>
          <w:footerReference w:type="first" r:id="rId18"/>
          <w:footnotePr>
            <w:numFmt w:val="decimalEnclosedCircleChinese"/>
          </w:footnotePr>
          <w:type w:val="nextPage"/>
          <w:pgSz w:w="11906" w:h="16838"/>
          <w:pgMar w:top="1440" w:right="1440" w:bottom="1440" w:left="1440" w:header="851" w:footer="992" w:gutter="0"/>
          <w:pgNumType w:fmt="upperRoman" w:start="3"/>
          <w:cols w:space="708"/>
          <w:docGrid w:type="lines" w:linePitch="312" w:charSpace="0"/>
        </w:sectPr>
      </w:pPr>
    </w:p>
    <w:p>
      <w:pPr>
        <w:widowControl/>
        <w:jc w:val="left"/>
        <w:rPr>
          <w:b/>
          <w:sz w:val="36"/>
        </w:rPr>
        <w:sectPr>
          <w:headerReference w:type="default" r:id="rId19"/>
          <w:footerReference w:type="default" r:id="rId20"/>
          <w:headerReference w:type="first" r:id="rId21"/>
          <w:footerReference w:type="first" r:id="rId22"/>
          <w:footnotePr>
            <w:numFmt w:val="decimalEnclosedCircleChinese"/>
          </w:footnotePr>
          <w:type w:val="continuous"/>
          <w:pgSz w:w="11906" w:h="16838"/>
          <w:pgMar w:top="1440" w:right="1440" w:bottom="1440" w:left="1440" w:header="851" w:footer="992" w:gutter="0"/>
          <w:pgNumType w:fmt="upperRoman" w:start="4"/>
          <w:cols w:space="708"/>
          <w:docGrid w:type="lines" w:linePitch="312" w:charSpace="0"/>
        </w:sectPr>
      </w:pPr>
      <w:r>
        <w:rPr>
          <w:rFonts w:eastAsia="黑体"/>
          <w:b/>
          <w:color w:val="000000"/>
          <w:sz w:val="30"/>
          <w:szCs w:val="30"/>
        </w:rPr>
        <w:t>Key words</w:t>
      </w:r>
      <w:r>
        <w:rPr>
          <w:b/>
          <w:color w:val="000000"/>
          <w:sz w:val="30"/>
          <w:szCs w:val="30"/>
        </w:rPr>
        <w:t xml:space="preserve">: </w:t>
      </w:r>
      <w:r>
        <w:rPr>
          <w:rFonts w:ascii="Times New Roman" w:hAnsi="Times New Roman" w:cs="Times New Roman"/>
          <w:color w:val="000000"/>
          <w:kern w:val="0"/>
          <w:sz w:val="24"/>
        </w:rPr>
        <w:t>Copyright；Protection of the integrity of works；Film adaptation；Falsification</w:t>
      </w:r>
    </w:p>
    <w:p>
      <w:pPr>
        <w:pStyle w:val="Heading1"/>
        <w:bidi w:val="0"/>
        <w:ind w:left="0" w:firstLine="0" w:leftChars="0" w:firstLineChars="0"/>
        <w:rPr>
          <w:rFonts w:hint="eastAsia"/>
          <w:lang w:val="zh-CN" w:eastAsia="zh-CN"/>
        </w:rPr>
      </w:pPr>
      <w:bookmarkStart w:id="10" w:name="_Toc26941"/>
      <w:bookmarkEnd w:id="9"/>
    </w:p>
    <w:p>
      <w:pPr>
        <w:pStyle w:val="Heading1"/>
        <w:bidi w:val="0"/>
        <w:rPr>
          <w:rFonts w:hint="eastAsia"/>
          <w:lang w:val="zh-CN" w:eastAsia="zh-CN"/>
        </w:rPr>
      </w:pPr>
    </w:p>
    <w:p>
      <w:pPr>
        <w:pStyle w:val="Heading1"/>
        <w:bidi w:val="0"/>
        <w:rPr>
          <w:rFonts w:hint="eastAsia"/>
          <w:lang w:val="zh-CN" w:eastAsia="zh-CN"/>
        </w:rPr>
      </w:pPr>
    </w:p>
    <w:p>
      <w:pPr>
        <w:pStyle w:val="Heading1"/>
        <w:bidi w:val="0"/>
        <w:rPr>
          <w:rFonts w:hint="eastAsia"/>
          <w:lang w:val="zh-CN" w:eastAsia="zh-CN"/>
        </w:rPr>
      </w:pPr>
    </w:p>
    <w:p>
      <w:pPr>
        <w:pStyle w:val="Heading1"/>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lang w:val="zh-CN" w:eastAsia="zh-CN"/>
        </w:rPr>
        <w:sectPr>
          <w:headerReference w:type="default" r:id="rId23"/>
          <w:footerReference w:type="default" r:id="rId24"/>
          <w:headerReference w:type="first" r:id="rId25"/>
          <w:footerReference w:type="first" r:id="rId26"/>
          <w:type w:val="continuous"/>
          <w:pgSz w:w="11906" w:h="16838"/>
          <w:pgMar w:top="1701" w:right="1417" w:bottom="1417" w:left="1701" w:header="1134" w:footer="964" w:gutter="0"/>
          <w:paperSrc w:first="0" w:other="0"/>
          <w:pgNumType w:fmt="upperRoman" w:start="5"/>
          <w:cols w:space="708"/>
          <w:titlePg/>
          <w:rtlGutter w:val="0"/>
          <w:docGrid w:type="lines" w:linePitch="312" w:charSpace="0"/>
        </w:sectPr>
      </w:pPr>
    </w:p>
    <w:p>
      <w:pPr>
        <w:pStyle w:val="Heading1"/>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lang w:val="zh-CN" w:eastAsia="zh-CN"/>
        </w:rPr>
      </w:pPr>
      <w:bookmarkStart w:id="11" w:name="_Toc21488"/>
      <w:r>
        <w:rPr>
          <w:rFonts w:hint="eastAsia"/>
          <w:lang w:val="zh-CN" w:eastAsia="zh-CN"/>
        </w:rPr>
        <w:t>前言</w:t>
      </w:r>
      <w:bookmarkEnd w:id="3"/>
      <w:bookmarkEnd w:id="4"/>
      <w:bookmarkEnd w:id="5"/>
      <w:bookmarkEnd w:id="10"/>
      <w:bookmarkEnd w:id="11"/>
    </w:p>
    <w:p>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宋体" w:eastAsia="宋体" w:hAnsi="宋体" w:cs="宋体" w:hint="eastAsia"/>
          <w:b w:val="0"/>
          <w:bCs w:val="0"/>
          <w:sz w:val="24"/>
        </w:rPr>
      </w:pPr>
      <w:bookmarkStart w:id="12" w:name="_Toc30409"/>
      <w:bookmarkStart w:id="13" w:name="_Toc10791"/>
      <w:bookmarkStart w:id="14" w:name="_Toc9392"/>
      <w:bookmarkStart w:id="15" w:name="_Toc20471"/>
      <w:bookmarkStart w:id="16" w:name="_Toc20426"/>
      <w:bookmarkStart w:id="17" w:name="_Toc29256"/>
      <w:r>
        <w:rPr>
          <w:rFonts w:ascii="宋体" w:eastAsia="宋体" w:hAnsi="宋体" w:cs="宋体" w:hint="eastAsia"/>
          <w:b w:val="0"/>
          <w:bCs w:val="0"/>
          <w:sz w:val="24"/>
          <w:szCs w:val="24"/>
          <w:lang w:val="en-US" w:eastAsia="zh-CN"/>
        </w:rPr>
        <w:t>随着互联网的快速发展，信息传播方式不断革新，人们的生活方式发生了巨大的变化。互联网技术的普及使得人们可以随时随地获取信息，进行在线交流和互动。政府也需要与时俱进，适应网络时代的发展趋势。建设服务型政府，就意味着政府需要更加注重倾听网民的声音，并且尊重资本和流量的作用。首先，政府需要倾听网民的声音。互联网为人们提供了一个自由表达意见的平台，政府应该充分利用互联网的优势，通过各种方式收集网民的意见和建议。政府可以建立网上意见征集平台，邀请网民参与政策制定和决策过程。同时，政府还可以通过社交媒体等渠道与网民进行互动，了解他们的需求和意见。只有真正倾听网民的声音，政府才能更好地为人民服务，解决他们的问题。其次，政府应该尊重资本和流量。在互联网时代，资本和流量成为了影响社会发展的重要因素。政府应该充分认识到资本和流量的重要性，尊重市场规律，鼓励创新和创业。政府可以制定相关政策，支持互联网企业的发展，为其提供良好的营商环境。同时，政府还应该尊重流量的选择权，不干预市场竞争，保护用户的隐私权和信息安全。在各行业倡导</w:t>
      </w:r>
      <w:r>
        <w:rPr>
          <w:rFonts w:ascii="宋体" w:eastAsia="宋体" w:hAnsi="宋体" w:cs="宋体" w:hint="eastAsia"/>
          <w:b w:val="0"/>
          <w:bCs w:val="0"/>
          <w:sz w:val="24"/>
          <w:szCs w:val="24"/>
          <w:lang w:val="en-US" w:eastAsia="zh-CN"/>
        </w:rPr>
        <w:t>“</w:t>
      </w:r>
      <w:r>
        <w:rPr>
          <w:rFonts w:ascii="宋体" w:eastAsia="宋体" w:hAnsi="宋体" w:cs="宋体" w:hint="eastAsia"/>
          <w:b w:val="0"/>
          <w:bCs w:val="0"/>
          <w:sz w:val="24"/>
          <w:szCs w:val="24"/>
          <w:lang w:val="en-US" w:eastAsia="zh-CN"/>
        </w:rPr>
        <w:t>互联网+</w:t>
      </w:r>
      <w:r>
        <w:rPr>
          <w:rFonts w:ascii="宋体" w:eastAsia="宋体" w:hAnsi="宋体" w:cs="宋体" w:hint="eastAsia"/>
          <w:b w:val="0"/>
          <w:bCs w:val="0"/>
          <w:sz w:val="24"/>
          <w:szCs w:val="24"/>
          <w:lang w:val="en-US" w:eastAsia="zh-CN"/>
        </w:rPr>
        <w:t>”</w:t>
      </w:r>
      <w:r>
        <w:rPr>
          <w:rFonts w:ascii="宋体" w:eastAsia="宋体" w:hAnsi="宋体" w:cs="宋体" w:hint="eastAsia"/>
          <w:b w:val="0"/>
          <w:bCs w:val="0"/>
          <w:sz w:val="24"/>
          <w:szCs w:val="24"/>
          <w:lang w:val="en-US" w:eastAsia="zh-CN"/>
        </w:rPr>
        <w:t>概念的背景下，政府积极运用新技术，推进各类政务信息系统的整合共享工作。政府可以建立统一的政务信息平台，整合各部门的信息系统，实现信息的共享和交流。通过政务信息系统的整合共享，政府可以提高工作效率，减少重复劳动，提供更加便捷的服务。同时，政府还可以利用大数据和人工智能等新技术，对政务工作进行智能化处理，提高决策的科学性和精确度。总之，网络时代，建设服务型政府需要倾听网民的声音，尊重资本和流量。政府应该充分利用互联网的优势，倾听网民的意见和建议，为人民服务。同时，政府还应该尊重市场规律，鼓励创新和创业，为互联网企业提供良好的发展环境。政府还应该积极运用新技术，推进政务信息系统的整合共享工作，提高工作效率和服务质量。只有这样，政府才能更好地适应网络时代的发展，为人民提供更好的服务。</w:t>
      </w:r>
    </w:p>
    <w:p>
      <w:pPr>
        <w:pStyle w:val="Heading2"/>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b w:val="0"/>
          <w:bCs w:val="0"/>
          <w:sz w:val="24"/>
          <w:szCs w:val="24"/>
          <w:lang w:val="en-US" w:eastAsia="zh-CN"/>
        </w:rPr>
        <w:sectPr>
          <w:headerReference w:type="default" r:id="rId27"/>
          <w:footerReference w:type="default" r:id="rId28"/>
          <w:headerReference w:type="first" r:id="rId29"/>
          <w:footerReference w:type="first" r:id="rId30"/>
          <w:type w:val="nextPage"/>
          <w:pgSz w:w="11906" w:h="16838"/>
          <w:pgMar w:top="1701" w:right="1417" w:bottom="1417" w:left="1701" w:header="1134" w:footer="964" w:gutter="0"/>
          <w:paperSrc w:first="0" w:other="0"/>
          <w:pgNumType w:fmt="decimal" w:start="1"/>
          <w:cols w:space="708"/>
          <w:titlePg/>
          <w:rtlGutter w:val="0"/>
          <w:docGrid w:type="lines" w:linePitch="312" w:charSpace="0"/>
        </w:sectPr>
      </w:pPr>
    </w:p>
    <w:p>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宋体" w:hAnsi="Times New Roman" w:cs="Times New Roman" w:hint="default"/>
          <w:sz w:val="24"/>
        </w:rPr>
      </w:pPr>
      <w:r>
        <w:rPr>
          <w:rFonts w:ascii="宋体" w:eastAsia="宋体" w:hAnsi="宋体" w:cs="宋体" w:hint="eastAsia"/>
          <w:b w:val="0"/>
          <w:bCs w:val="0"/>
          <w:sz w:val="24"/>
          <w:szCs w:val="24"/>
          <w:lang w:val="en-US" w:eastAsia="zh-CN"/>
        </w:rPr>
        <w:t>随着信息不断革新，观众群体日益年强化，加之文学作品题材类型的丰富性，越来越多的网络文学作品被搬上了大小屏幕，在未来的一定时期内，影视改编作品仍然会在影视作品中占有较大比重。在这些作品为制作公司与原作品作者带来经济收益与知名度的同时，由改编引起的一系列著作权纠纷也吸引了各方的关注。一方面，影视作品创作是创作形态中的一种，相关从业者在影视作品的利用过程中会进行一定的再次创作，在一定程度上对原作品进行改动；另一方面，影视作品的完成需要经历一个很长的周期，在此期间，市场、政府政策等不确定因素都会对影视改编作品内容的确定造成一定影响。因此对影视作品改编行为缺乏必要的限制。综合以上因素，制作公司与文学作品作者因作品改编程度而产生的著作权纠纷，实质上体现的是改编权与保护作品完整权因我国相关立法缺失具体判断规则而产生的冲突。</w:t>
      </w:r>
      <w:bookmarkEnd w:id="12"/>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rPr>
      </w:pPr>
      <w:r>
        <w:rPr>
          <w:rFonts w:ascii="宋体" w:eastAsia="宋体" w:hAnsi="宋体" w:cs="宋体" w:hint="eastAsia"/>
          <w:sz w:val="24"/>
          <w:szCs w:val="24"/>
        </w:rPr>
        <w:t>论文研究的主要目的在于实现影视改编中的保护作品完整权的实践意义。通过研究，第一是希望从国内和国外两个角度探索保护作品完整权制度的立法完善；第二是在司法实践中解决同一案件不同判决结果的问题，在新时期影视剧改编法律问题较为混乱的现状下形成可参考的实践依据；第三是希望通过研究，促进影视剧改编过程中原作者和改编者能够规避违法风险，促进文化、文艺市场繁荣稳定，促进影视改编创新性与合法性的提升。第一是为保护作品完整权的相关制度提供一定理论支撑。目前我国对于影视改编中保护作品完整权的争议较多，侵权判断标准较为模糊，相关原则缺少统一观点。进行此项研究，会探讨这些争议较大的理论问题，并进行归纳总结，提出建议，从而为保护作品完整权制度提供理论支撑。第二是为著作权法学内容研究扩宽适用领域，在影视改编侵权判定上提供更多的适用依据。第三是为影视科学、技术研究提供理论素材，探讨合理的制度对于降低科学技术的发展带来的负面影响、增大科学技术对于经济文化促进效用的作用。</w:t>
      </w:r>
    </w:p>
    <w:p>
      <w:pPr>
        <w:pStyle w:val="Heading1"/>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lang w:val="en-US" w:eastAsia="zh-CN"/>
        </w:rPr>
      </w:pPr>
      <w:bookmarkStart w:id="18" w:name="_Toc27470"/>
      <w:r>
        <w:rPr>
          <w:rFonts w:hint="eastAsia"/>
          <w:lang w:val="en-US" w:eastAsia="zh-CN"/>
        </w:rPr>
        <w:t>一、影视改编作品中保护作品完整权的概述</w:t>
      </w:r>
      <w:bookmarkEnd w:id="13"/>
      <w:bookmarkEnd w:id="14"/>
      <w:bookmarkEnd w:id="15"/>
      <w:bookmarkEnd w:id="16"/>
      <w:bookmarkEnd w:id="17"/>
      <w:bookmarkEnd w:id="18"/>
    </w:p>
    <w:p>
      <w:pPr>
        <w:pStyle w:val="Heading2"/>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lang w:val="zh-CN" w:eastAsia="zh-CN"/>
        </w:rPr>
      </w:pPr>
      <w:bookmarkStart w:id="19" w:name="_Toc18074"/>
      <w:bookmarkStart w:id="20" w:name="_Toc23289"/>
      <w:bookmarkStart w:id="21" w:name="_Toc20704"/>
      <w:bookmarkStart w:id="22" w:name="_Toc11907"/>
      <w:bookmarkStart w:id="23" w:name="_Toc15940"/>
      <w:bookmarkStart w:id="24" w:name="_Toc23440"/>
      <w:r>
        <w:rPr>
          <w:rFonts w:hint="eastAsia"/>
          <w:lang w:val="en-US" w:eastAsia="zh-CN"/>
        </w:rPr>
        <w:t>（一）</w:t>
      </w:r>
      <w:r>
        <w:rPr>
          <w:rFonts w:hint="eastAsia"/>
          <w:lang w:val="zh-CN" w:eastAsia="zh-CN"/>
        </w:rPr>
        <w:t>保护作品完整权的含义</w:t>
      </w:r>
      <w:bookmarkEnd w:id="19"/>
      <w:bookmarkEnd w:id="20"/>
      <w:bookmarkEnd w:id="21"/>
      <w:bookmarkEnd w:id="22"/>
      <w:bookmarkEnd w:id="23"/>
      <w:bookmarkEnd w:id="24"/>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lang w:val="zh-CN"/>
        </w:rPr>
      </w:pPr>
      <w:bookmarkStart w:id="25" w:name="_Toc29727"/>
      <w:bookmarkStart w:id="26" w:name="_Toc17069"/>
      <w:bookmarkStart w:id="27" w:name="_Toc2712"/>
      <w:bookmarkStart w:id="28" w:name="_Toc16315"/>
      <w:bookmarkStart w:id="29" w:name="_Toc20222"/>
      <w:bookmarkStart w:id="30" w:name="_Toc19303"/>
      <w:r>
        <w:rPr>
          <w:rFonts w:ascii="宋体" w:eastAsia="宋体" w:hAnsi="宋体" w:cs="宋体" w:hint="eastAsia"/>
          <w:b/>
          <w:bCs/>
          <w:sz w:val="28"/>
          <w:szCs w:val="28"/>
          <w:lang w:val="en-US" w:eastAsia="zh-CN"/>
        </w:rPr>
        <w:t>1.</w:t>
      </w:r>
      <w:r>
        <w:rPr>
          <w:rFonts w:ascii="宋体" w:eastAsia="宋体" w:hAnsi="宋体" w:cs="宋体" w:hint="eastAsia"/>
          <w:b/>
          <w:bCs/>
          <w:sz w:val="28"/>
          <w:szCs w:val="28"/>
          <w:lang w:val="zh-CN" w:eastAsia="zh-CN"/>
        </w:rPr>
        <w:t>保护作品完整权的概念</w:t>
      </w:r>
      <w:bookmarkEnd w:id="25"/>
      <w:bookmarkEnd w:id="26"/>
      <w:bookmarkEnd w:id="27"/>
      <w:bookmarkEnd w:id="28"/>
      <w:bookmarkEnd w:id="29"/>
      <w:bookmarkEnd w:id="30"/>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ascii="宋体" w:eastAsia="宋体" w:hAnsi="宋体" w:cs="宋体" w:hint="eastAsia"/>
          <w:sz w:val="24"/>
        </w:rPr>
        <w:sectPr>
          <w:headerReference w:type="default" r:id="rId31"/>
          <w:footerReference w:type="default" r:id="rId32"/>
          <w:headerReference w:type="first" r:id="rId33"/>
          <w:footerReference w:type="first" r:id="rId34"/>
          <w:type w:val="nextPage"/>
          <w:pgSz w:w="11906" w:h="16838"/>
          <w:pgMar w:top="1701" w:right="1417" w:bottom="1417" w:left="1701" w:header="1134" w:footer="964" w:gutter="0"/>
          <w:paperSrc w:first="0" w:other="0"/>
          <w:pgNumType w:fmt="decimal" w:start="2"/>
          <w:cols w:space="708"/>
          <w:titlePg/>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ascii="宋体" w:eastAsia="宋体" w:hAnsi="宋体" w:cs="宋体" w:hint="eastAsia"/>
          <w:sz w:val="24"/>
        </w:rPr>
      </w:pPr>
      <w:r>
        <w:rPr>
          <w:rFonts w:ascii="宋体" w:eastAsia="宋体" w:hAnsi="宋体" w:cs="宋体" w:hint="eastAsia"/>
          <w:sz w:val="24"/>
          <w:szCs w:val="24"/>
        </w:rPr>
        <w:t>对于保护作品完整权这一项权利，从理论上来说存在着不同观点。一种观点从保护原作者声誉出发，认为该权利是保护作者避免因作品完整性受损而侵犯其声誉；另一种观点认为保护作品完整权的核心应当聚焦到保护原作品思想性的完整上</w:t>
      </w:r>
      <w:r>
        <w:rPr>
          <w:rStyle w:val="FootnoteReference"/>
          <w:rFonts w:ascii="宋体" w:eastAsia="宋体" w:hAnsi="宋体" w:cs="宋体" w:hint="eastAsia"/>
          <w:sz w:val="24"/>
          <w:szCs w:val="24"/>
        </w:rPr>
        <w:t>[</w:t>
      </w:r>
      <w:r>
        <w:rPr>
          <w:rStyle w:val="FootnoteReference"/>
          <w:rFonts w:ascii="宋体" w:eastAsia="宋体" w:hAnsi="宋体" w:cs="宋体" w:hint="eastAsia"/>
          <w:sz w:val="24"/>
          <w:szCs w:val="24"/>
        </w:rPr>
        <w:footnoteReference w:id="2"/>
      </w:r>
      <w:r>
        <w:rPr>
          <w:rStyle w:val="FootnoteReference"/>
          <w:rFonts w:ascii="宋体" w:eastAsia="宋体" w:hAnsi="宋体" w:cs="宋体" w:hint="eastAsia"/>
          <w:sz w:val="24"/>
          <w:szCs w:val="24"/>
        </w:rPr>
        <w:t>]</w:t>
      </w:r>
      <w:r>
        <w:rPr>
          <w:rFonts w:ascii="宋体" w:eastAsia="宋体" w:hAnsi="宋体" w:cs="宋体" w:hint="eastAsia"/>
          <w:sz w:val="24"/>
          <w:szCs w:val="24"/>
        </w:rPr>
        <w:t>。本文对于影视改编中保护作品完整权的定义放在保护作品思想的完整、所传达精神的准确上，在原作者的作品思想性受到改变，且改变足以令他人产生对原作品内涵的异化理解，在此情况下，原作者，即权利人，可以禁止此项侵权行为。</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lang w:val="zh-CN"/>
        </w:rPr>
      </w:pPr>
      <w:bookmarkStart w:id="31" w:name="_Toc21751"/>
      <w:bookmarkStart w:id="32" w:name="_Toc8428"/>
      <w:bookmarkStart w:id="33" w:name="_Toc5343"/>
      <w:bookmarkStart w:id="34" w:name="_Toc6143"/>
      <w:bookmarkStart w:id="35" w:name="_Toc116"/>
      <w:bookmarkStart w:id="36" w:name="_Toc20192"/>
      <w:r>
        <w:rPr>
          <w:rFonts w:ascii="宋体" w:eastAsia="宋体" w:hAnsi="宋体" w:cs="宋体" w:hint="eastAsia"/>
          <w:b/>
          <w:bCs/>
          <w:sz w:val="28"/>
          <w:szCs w:val="28"/>
          <w:lang w:val="en-US" w:eastAsia="zh-CN"/>
        </w:rPr>
        <w:t>2.</w:t>
      </w:r>
      <w:r>
        <w:rPr>
          <w:rFonts w:ascii="宋体" w:eastAsia="宋体" w:hAnsi="宋体" w:cs="宋体" w:hint="eastAsia"/>
          <w:b/>
          <w:bCs/>
          <w:sz w:val="28"/>
          <w:szCs w:val="28"/>
          <w:lang w:val="zh-CN" w:eastAsia="zh-CN"/>
        </w:rPr>
        <w:t>保护作品完整权的性质</w:t>
      </w:r>
      <w:bookmarkEnd w:id="31"/>
      <w:bookmarkEnd w:id="32"/>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ascii="宋体" w:eastAsia="宋体" w:hAnsi="宋体" w:cs="宋体" w:hint="eastAsia"/>
          <w:sz w:val="24"/>
        </w:rPr>
      </w:pPr>
      <w:r>
        <w:rPr>
          <w:rFonts w:ascii="宋体" w:eastAsia="宋体" w:hAnsi="宋体" w:cs="宋体" w:hint="eastAsia"/>
          <w:sz w:val="24"/>
          <w:szCs w:val="24"/>
        </w:rPr>
        <w:t>对于保护作品完整权是一项人身权利还是财产权利，我国立法及实践所采用的是人身权利说。然而，对于该项人身权的性质，理论上存在不同观点：</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ascii="宋体" w:eastAsia="宋体" w:hAnsi="宋体" w:cs="宋体" w:hint="eastAsia"/>
          <w:sz w:val="24"/>
        </w:rPr>
      </w:pPr>
      <w:r>
        <w:rPr>
          <w:rFonts w:ascii="宋体" w:eastAsia="宋体" w:hAnsi="宋体" w:cs="宋体" w:hint="eastAsia"/>
          <w:sz w:val="24"/>
          <w:szCs w:val="24"/>
        </w:rPr>
        <w:t>一种观点是身份权说，该观点认为如署名权、发表权一样，保护作品完整权属于身份关系，是权利人依据特定的身份而享有的。另一种观点是抽象人身权说，认为著作人身权和普通的人身权概念上相同，著作人身权只是其中的一部分。还有观点认为保护作品完整权作为一项人身权利，也是特定的财产权利，作者可以通过作品的完整性取得物质、精神利益，因最终该权利保护的是</w:t>
      </w:r>
      <w:r>
        <w:rPr>
          <w:rFonts w:ascii="宋体" w:eastAsia="宋体" w:hAnsi="宋体" w:cs="宋体" w:hint="eastAsia"/>
          <w:sz w:val="24"/>
          <w:szCs w:val="24"/>
        </w:rPr>
        <w:t>“</w:t>
      </w:r>
      <w:r>
        <w:rPr>
          <w:rFonts w:ascii="宋体" w:eastAsia="宋体" w:hAnsi="宋体" w:cs="宋体" w:hint="eastAsia"/>
          <w:sz w:val="24"/>
          <w:szCs w:val="24"/>
        </w:rPr>
        <w:t>利益</w:t>
      </w:r>
      <w:r>
        <w:rPr>
          <w:rFonts w:ascii="宋体" w:eastAsia="宋体" w:hAnsi="宋体" w:cs="宋体" w:hint="eastAsia"/>
          <w:sz w:val="24"/>
          <w:szCs w:val="24"/>
        </w:rPr>
        <w:t>”</w:t>
      </w:r>
      <w:r>
        <w:rPr>
          <w:rFonts w:ascii="宋体" w:eastAsia="宋体" w:hAnsi="宋体" w:cs="宋体" w:hint="eastAsia"/>
          <w:sz w:val="24"/>
          <w:szCs w:val="24"/>
        </w:rPr>
        <w:t>，故该权利可以归类为特殊财产权。此外，对于该权利性质，还有著作人身权独立说，认为与普通人格权、身份权是并列关系。本文赞同著作人格权独立说，著作权人的身份权类似于物的所有权，与普遍意义上的身份权概念范围不同；普通的人身权也包括人格权、身份权，直接将著作权相关权利界定为普通人身权将导致权利无法实现具体化。同时，普通人身权利中，人格权随主体消亡而不复存在，而著作人身权是随着作品流传而存在，两者不能混同。因此，保护作品完整权作为著作人身权利的一种，应在理论上将其独立化，作为特殊的独立人格权。</w:t>
      </w:r>
    </w:p>
    <w:p>
      <w:pPr>
        <w:pStyle w:val="Heading2"/>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hint="eastAsia"/>
          <w:bCs/>
          <w:lang w:val="zh-CN" w:eastAsia="zh-CN"/>
        </w:rPr>
      </w:pPr>
      <w:bookmarkStart w:id="37" w:name="_Toc16377"/>
      <w:bookmarkStart w:id="38" w:name="_Toc17401"/>
      <w:bookmarkStart w:id="39" w:name="_Toc30982"/>
      <w:bookmarkStart w:id="40" w:name="_Toc28856"/>
      <w:bookmarkStart w:id="41" w:name="_Toc14875"/>
      <w:bookmarkStart w:id="42" w:name="_Toc24897"/>
      <w:r>
        <w:rPr>
          <w:rFonts w:ascii="Arial" w:eastAsia="宋体" w:hAnsi="Arial" w:cs="Times New Roman" w:hint="eastAsia"/>
          <w:bCs/>
          <w:lang w:val="en-US" w:eastAsia="zh-CN"/>
        </w:rPr>
        <w:t>（二）</w:t>
      </w:r>
      <w:r>
        <w:rPr>
          <w:rFonts w:ascii="Arial" w:eastAsia="宋体" w:hAnsi="Arial" w:cs="Times New Roman" w:hint="eastAsia"/>
          <w:bCs/>
          <w:lang w:val="zh-CN" w:eastAsia="zh-CN"/>
        </w:rPr>
        <w:t>保护作品完整权的判定方法</w:t>
      </w:r>
      <w:bookmarkEnd w:id="37"/>
      <w:bookmarkEnd w:id="38"/>
      <w:bookmarkEnd w:id="39"/>
      <w:bookmarkEnd w:id="40"/>
      <w:bookmarkEnd w:id="41"/>
      <w:bookmarkEnd w:id="42"/>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ascii="宋体" w:eastAsia="宋体" w:hAnsi="宋体" w:cs="宋体" w:hint="eastAsia"/>
          <w:sz w:val="24"/>
        </w:rPr>
      </w:pPr>
      <w:r>
        <w:rPr>
          <w:rFonts w:ascii="宋体" w:eastAsia="宋体" w:hAnsi="宋体" w:cs="宋体" w:hint="eastAsia"/>
          <w:sz w:val="24"/>
          <w:szCs w:val="24"/>
        </w:rPr>
        <w:t>如今，互联网文学快速发展，大量优秀的网络</w:t>
      </w:r>
      <w:r>
        <w:rPr>
          <w:rFonts w:ascii="宋体" w:eastAsia="宋体" w:hAnsi="宋体" w:cs="宋体" w:hint="eastAsia"/>
          <w:sz w:val="24"/>
          <w:szCs w:val="24"/>
          <w:lang w:eastAsia="zh-CN"/>
        </w:rPr>
        <w:t>网络作品</w:t>
      </w:r>
      <w:r>
        <w:rPr>
          <w:rFonts w:ascii="宋体" w:eastAsia="宋体" w:hAnsi="宋体" w:cs="宋体" w:hint="eastAsia"/>
          <w:sz w:val="24"/>
          <w:szCs w:val="24"/>
        </w:rPr>
        <w:t>被改编为影视剧作品。网络</w:t>
      </w:r>
      <w:r>
        <w:rPr>
          <w:rFonts w:ascii="宋体" w:eastAsia="宋体" w:hAnsi="宋体" w:cs="宋体" w:hint="eastAsia"/>
          <w:sz w:val="24"/>
          <w:szCs w:val="24"/>
          <w:lang w:eastAsia="zh-CN"/>
        </w:rPr>
        <w:t>网络作品</w:t>
      </w:r>
      <w:r>
        <w:rPr>
          <w:rFonts w:ascii="宋体" w:eastAsia="宋体" w:hAnsi="宋体" w:cs="宋体" w:hint="eastAsia"/>
          <w:sz w:val="24"/>
          <w:szCs w:val="24"/>
        </w:rPr>
        <w:t>有篇幅长、内容繁杂、想象奇特、影视改编难度大的特点。由于影视改编中，影视剧受时长、上映审查和收入预期的影响，可能会在改编中对于原作篇幅和情节进行改编和修改，这将客观上造成原作完整性的破坏。因此，面对影视剧改编或多或少都会破坏原作完整性的特点，有必要明确对于侵犯影视改编中保护作品完整权的判断方式，从而实现权利的完整保护。</w:t>
      </w:r>
    </w:p>
    <w:p>
      <w:pPr>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rPr>
        <w:sectPr>
          <w:headerReference w:type="default" r:id="rId35"/>
          <w:footerReference w:type="default" r:id="rId36"/>
          <w:headerReference w:type="first" r:id="rId37"/>
          <w:footerReference w:type="first" r:id="rId38"/>
          <w:type w:val="nextPage"/>
          <w:pgSz w:w="11906" w:h="16838"/>
          <w:pgMar w:top="1701" w:right="1417" w:bottom="1417" w:left="1701" w:header="1134" w:footer="964" w:gutter="0"/>
          <w:paperSrc w:first="0" w:other="0"/>
          <w:pgNumType w:fmt="decimal" w:start="3"/>
          <w:cols w:space="708"/>
          <w:titlePg w:val="0"/>
          <w:rtlGutter w:val="0"/>
          <w:docGrid w:type="lines" w:linePitch="312" w:charSpace="0"/>
        </w:sectPr>
      </w:pPr>
      <w:bookmarkStart w:id="43" w:name="_Toc7233"/>
      <w:bookmarkStart w:id="44" w:name="_Toc8802"/>
      <w:bookmarkStart w:id="45" w:name="_Toc7769"/>
      <w:bookmarkStart w:id="46" w:name="_Toc9298"/>
      <w:bookmarkStart w:id="47" w:name="_Toc1444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rPr>
      </w:pPr>
      <w:r>
        <w:rPr>
          <w:rFonts w:ascii="宋体" w:eastAsia="宋体" w:hAnsi="宋体" w:cs="宋体" w:hint="eastAsia"/>
          <w:b/>
          <w:bCs/>
          <w:sz w:val="28"/>
          <w:szCs w:val="28"/>
          <w:lang w:val="en-US" w:eastAsia="zh-CN"/>
        </w:rPr>
        <w:t>1.主观标准</w:t>
      </w:r>
      <w:bookmarkEnd w:id="43"/>
      <w:bookmarkEnd w:id="44"/>
      <w:bookmarkEnd w:id="45"/>
      <w:bookmarkEnd w:id="46"/>
      <w:bookmarkEnd w:id="4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宋体" w:hAnsi="Times New Roman" w:cs="宋体"/>
          <w:color w:val="auto"/>
          <w:sz w:val="24"/>
        </w:rPr>
      </w:pPr>
      <w:r>
        <w:rPr>
          <w:rFonts w:ascii="Times New Roman" w:eastAsia="宋体" w:hAnsi="Times New Roman" w:cs="宋体" w:hint="eastAsia"/>
          <w:color w:val="auto"/>
          <w:sz w:val="24"/>
        </w:rPr>
        <w:t>侵犯保护作品完整权主观判定标准依托于原作者及读者和观众根据改编作品观感进行的价值判断。目前在司法实践中，部分法院在判决中认为，是否侵犯该权利，不以利益相关人认为声誉受损为构成要件，而声誉受损应当为判断侵权行为情节轻重的一项具体因素。如将侵权主观判定标准作为侵权行为判断的唯一依据，则不利于作品改编方进行文艺创作，同样不利于著作权法律规制更新与进步</w:t>
      </w:r>
      <w:r>
        <w:rPr>
          <w:rStyle w:val="FootnoteReference"/>
          <w:rFonts w:ascii="Times New Roman" w:eastAsia="宋体" w:hAnsi="Times New Roman" w:cs="宋体" w:hint="eastAsia"/>
          <w:color w:val="auto"/>
          <w:sz w:val="24"/>
        </w:rPr>
        <w:t>[</w:t>
      </w:r>
      <w:r>
        <w:rPr>
          <w:rStyle w:val="FootnoteReference"/>
          <w:rFonts w:ascii="Times New Roman" w:eastAsia="宋体" w:hAnsi="Times New Roman" w:cs="宋体" w:hint="eastAsia"/>
          <w:color w:val="auto"/>
          <w:sz w:val="24"/>
        </w:rPr>
        <w:footnoteReference w:id="3"/>
      </w:r>
      <w:r>
        <w:rPr>
          <w:rStyle w:val="FootnoteReference"/>
          <w:rFonts w:ascii="Times New Roman" w:eastAsia="宋体" w:hAnsi="Times New Roman" w:cs="宋体" w:hint="eastAsia"/>
          <w:color w:val="auto"/>
          <w:sz w:val="24"/>
        </w:rPr>
        <w:t>]</w:t>
      </w:r>
      <w:r>
        <w:rPr>
          <w:rFonts w:ascii="Times New Roman" w:eastAsia="宋体" w:hAnsi="Times New Roman" w:cs="宋体" w:hint="eastAsia"/>
          <w:color w:val="auto"/>
          <w:sz w:val="24"/>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ascii="Times New Roman" w:eastAsia="宋体" w:hAnsi="Times New Roman" w:cs="宋体" w:hint="eastAsia"/>
          <w:sz w:val="24"/>
        </w:rPr>
      </w:pPr>
      <w:r>
        <w:rPr>
          <w:rFonts w:ascii="Times New Roman" w:eastAsia="宋体" w:hAnsi="Times New Roman" w:cs="宋体" w:hint="eastAsia"/>
          <w:sz w:val="24"/>
          <w:szCs w:val="24"/>
        </w:rPr>
        <w:t>目前在司法实践中，部分法院在判决中认为，是否侵犯了该权利，不以利益相关人认为声誉受损为构成要件，而声誉受损应当为判断侵权行为情节轻重的一项具体因素。在张牧野诉《九层妖塔》侵权案件</w:t>
      </w:r>
      <w:r>
        <w:rPr>
          <w:rFonts w:ascii="Times New Roman" w:eastAsia="宋体" w:hAnsi="Times New Roman" w:cs="宋体" w:hint="eastAsia"/>
          <w:sz w:val="24"/>
          <w:szCs w:val="24"/>
          <w:lang w:eastAsia="zh-CN"/>
        </w:rPr>
        <w:t>（</w:t>
      </w:r>
      <w:r>
        <w:rPr>
          <w:rFonts w:ascii="Times New Roman" w:eastAsia="宋体" w:hAnsi="Times New Roman" w:cs="宋体" w:hint="eastAsia"/>
        </w:rPr>
        <w:t>北京市</w:t>
      </w:r>
      <w:r>
        <w:rPr>
          <w:rFonts w:ascii="Times New Roman" w:eastAsia="宋体" w:hAnsi="Times New Roman" w:cs="宋体" w:hint="eastAsia"/>
          <w:lang w:val="en-US" w:eastAsia="zh-CN"/>
        </w:rPr>
        <w:t>东</w:t>
      </w:r>
      <w:r>
        <w:rPr>
          <w:rFonts w:ascii="Times New Roman" w:eastAsia="宋体" w:hAnsi="Times New Roman" w:cs="宋体" w:hint="eastAsia"/>
        </w:rPr>
        <w:t>城区人民法院：《民事判决书》(201</w:t>
      </w:r>
      <w:r>
        <w:rPr>
          <w:rFonts w:ascii="Times New Roman" w:eastAsia="宋体" w:hAnsi="Times New Roman" w:cs="宋体" w:hint="eastAsia"/>
          <w:lang w:val="en-US" w:eastAsia="zh-CN"/>
        </w:rPr>
        <w:t>8</w:t>
      </w:r>
      <w:r>
        <w:rPr>
          <w:rFonts w:ascii="Times New Roman" w:eastAsia="宋体" w:hAnsi="Times New Roman" w:cs="宋体" w:hint="eastAsia"/>
        </w:rPr>
        <w:t>)京0102民初</w:t>
      </w:r>
      <w:r>
        <w:rPr>
          <w:rFonts w:ascii="Times New Roman" w:eastAsia="宋体" w:hAnsi="Times New Roman" w:cs="宋体" w:hint="eastAsia"/>
          <w:lang w:val="en-US" w:eastAsia="zh-CN"/>
        </w:rPr>
        <w:t>103</w:t>
      </w:r>
      <w:r>
        <w:rPr>
          <w:rFonts w:ascii="Times New Roman" w:eastAsia="宋体" w:hAnsi="Times New Roman" w:cs="宋体" w:hint="eastAsia"/>
        </w:rPr>
        <w:t>号</w:t>
      </w:r>
      <w:r>
        <w:rPr>
          <w:rFonts w:ascii="Times New Roman" w:eastAsia="宋体" w:hAnsi="Times New Roman" w:cs="宋体" w:hint="eastAsia"/>
          <w:sz w:val="24"/>
          <w:szCs w:val="24"/>
          <w:lang w:eastAsia="zh-CN"/>
        </w:rPr>
        <w:t>）</w:t>
      </w:r>
      <w:r>
        <w:rPr>
          <w:rFonts w:ascii="Times New Roman" w:eastAsia="宋体" w:hAnsi="Times New Roman" w:cs="宋体" w:hint="eastAsia"/>
          <w:sz w:val="24"/>
          <w:szCs w:val="24"/>
        </w:rPr>
        <w:t>中，原告认为判断该电影是否侵权，应从影视剧体现的细节、印象和人物特点进行判断。以该案例为例，目前我国对于影视改编中保护作品完整权的侵权判断并不以原作者主观表达意思为标准，体现了以作品客观展现的内涵为判断标准的模式，在作者主观标准判定上，声誉受损作为侵权行为轻重的要件进行考虑。</w:t>
      </w:r>
    </w:p>
    <w:p>
      <w:pPr>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rPr>
      </w:pPr>
      <w:bookmarkStart w:id="48" w:name="_Toc5916"/>
      <w:bookmarkStart w:id="49" w:name="_Toc28611"/>
      <w:bookmarkStart w:id="50" w:name="_Toc28164"/>
      <w:bookmarkStart w:id="51" w:name="_Toc23996"/>
      <w:bookmarkStart w:id="52" w:name="_Toc19300"/>
      <w:r>
        <w:rPr>
          <w:rFonts w:ascii="宋体" w:eastAsia="宋体" w:hAnsi="宋体" w:cs="宋体" w:hint="eastAsia"/>
          <w:b/>
          <w:bCs/>
          <w:sz w:val="28"/>
          <w:szCs w:val="28"/>
          <w:lang w:val="en-US" w:eastAsia="zh-CN"/>
        </w:rPr>
        <w:t>2.客观标准</w:t>
      </w:r>
      <w:bookmarkEnd w:id="48"/>
      <w:bookmarkEnd w:id="49"/>
      <w:bookmarkEnd w:id="50"/>
      <w:bookmarkEnd w:id="51"/>
      <w:bookmarkEnd w:id="52"/>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ascii="宋体" w:eastAsia="宋体" w:hAnsi="宋体" w:cs="宋体" w:hint="eastAsia"/>
          <w:sz w:val="24"/>
        </w:rPr>
      </w:pPr>
      <w:r>
        <w:rPr>
          <w:rFonts w:ascii="宋体" w:eastAsia="宋体" w:hAnsi="宋体" w:cs="宋体" w:hint="eastAsia"/>
          <w:sz w:val="24"/>
          <w:szCs w:val="24"/>
        </w:rPr>
        <w:t>以网络</w:t>
      </w:r>
      <w:r>
        <w:rPr>
          <w:rFonts w:ascii="宋体" w:eastAsia="宋体" w:hAnsi="宋体" w:cs="宋体" w:hint="eastAsia"/>
          <w:sz w:val="24"/>
          <w:szCs w:val="24"/>
          <w:lang w:eastAsia="zh-CN"/>
        </w:rPr>
        <w:t>网络作品</w:t>
      </w:r>
      <w:r>
        <w:rPr>
          <w:rFonts w:ascii="宋体" w:eastAsia="宋体" w:hAnsi="宋体" w:cs="宋体" w:hint="eastAsia"/>
          <w:sz w:val="24"/>
          <w:szCs w:val="24"/>
        </w:rPr>
        <w:t>《皇家胡同十九号》作者起诉北京乐韬世纪文化传媒有限公司的</w:t>
      </w:r>
      <w:r>
        <w:rPr>
          <w:rFonts w:ascii="宋体" w:eastAsia="宋体" w:hAnsi="宋体" w:cs="宋体" w:hint="eastAsia"/>
          <w:sz w:val="24"/>
          <w:szCs w:val="24"/>
        </w:rPr>
        <w:t>“</w:t>
      </w:r>
      <w:r>
        <w:rPr>
          <w:rFonts w:ascii="宋体" w:eastAsia="宋体" w:hAnsi="宋体" w:cs="宋体" w:hint="eastAsia"/>
          <w:sz w:val="24"/>
          <w:szCs w:val="24"/>
        </w:rPr>
        <w:t>皇家胡同案</w:t>
      </w:r>
      <w:r>
        <w:rPr>
          <w:rFonts w:ascii="宋体" w:eastAsia="宋体" w:hAnsi="宋体" w:cs="宋体" w:hint="eastAsia"/>
          <w:sz w:val="24"/>
          <w:szCs w:val="24"/>
        </w:rPr>
        <w:t>”</w:t>
      </w:r>
      <w:r>
        <w:rPr>
          <w:rFonts w:ascii="宋体" w:eastAsia="宋体" w:hAnsi="宋体" w:cs="宋体" w:hint="eastAsia"/>
          <w:sz w:val="24"/>
          <w:szCs w:val="24"/>
          <w:lang w:eastAsia="zh-CN"/>
        </w:rPr>
        <w:t>（</w:t>
      </w:r>
      <w:r>
        <w:rPr>
          <w:rFonts w:ascii="宋体" w:eastAsia="宋体" w:hAnsi="宋体" w:cs="宋体" w:hint="eastAsia"/>
        </w:rPr>
        <w:t>北京市西城区人民法院：《民事判决书》(2016)京0102民初83号</w:t>
      </w:r>
      <w:r>
        <w:rPr>
          <w:rFonts w:ascii="宋体" w:eastAsia="宋体" w:hAnsi="宋体" w:cs="宋体" w:hint="eastAsia"/>
          <w:sz w:val="24"/>
          <w:szCs w:val="24"/>
          <w:lang w:eastAsia="zh-CN"/>
        </w:rPr>
        <w:t>）</w:t>
      </w:r>
      <w:r>
        <w:rPr>
          <w:rFonts w:ascii="宋体" w:eastAsia="宋体" w:hAnsi="宋体" w:cs="宋体" w:hint="eastAsia"/>
        </w:rPr>
        <w:t>。</w:t>
      </w:r>
      <w:r>
        <w:rPr>
          <w:rFonts w:ascii="宋体" w:eastAsia="宋体" w:hAnsi="宋体" w:cs="宋体" w:hint="eastAsia"/>
          <w:sz w:val="24"/>
          <w:szCs w:val="24"/>
        </w:rPr>
        <w:t>为例，</w:t>
      </w:r>
      <w:r>
        <w:rPr>
          <w:rFonts w:ascii="宋体" w:eastAsia="宋体" w:hAnsi="宋体" w:cs="宋体" w:hint="eastAsia"/>
          <w:sz w:val="24"/>
          <w:szCs w:val="24"/>
          <w:lang w:eastAsia="zh-CN"/>
        </w:rPr>
        <w:t>网络作品</w:t>
      </w:r>
      <w:r>
        <w:rPr>
          <w:rFonts w:ascii="宋体" w:eastAsia="宋体" w:hAnsi="宋体" w:cs="宋体" w:hint="eastAsia"/>
          <w:sz w:val="24"/>
          <w:szCs w:val="24"/>
        </w:rPr>
        <w:t>人物</w:t>
      </w:r>
      <w:r>
        <w:rPr>
          <w:rFonts w:ascii="宋体" w:eastAsia="宋体" w:hAnsi="宋体" w:cs="宋体" w:hint="eastAsia"/>
          <w:sz w:val="24"/>
          <w:szCs w:val="24"/>
        </w:rPr>
        <w:t>“</w:t>
      </w:r>
      <w:r>
        <w:rPr>
          <w:rFonts w:ascii="宋体" w:eastAsia="宋体" w:hAnsi="宋体" w:cs="宋体" w:hint="eastAsia"/>
          <w:sz w:val="24"/>
          <w:szCs w:val="24"/>
        </w:rPr>
        <w:t>紫姨</w:t>
      </w:r>
      <w:r>
        <w:rPr>
          <w:rFonts w:ascii="宋体" w:eastAsia="宋体" w:hAnsi="宋体" w:cs="宋体" w:hint="eastAsia"/>
          <w:sz w:val="24"/>
          <w:szCs w:val="24"/>
        </w:rPr>
        <w:t>”</w:t>
      </w:r>
      <w:r>
        <w:rPr>
          <w:rFonts w:ascii="宋体" w:eastAsia="宋体" w:hAnsi="宋体" w:cs="宋体" w:hint="eastAsia"/>
          <w:sz w:val="24"/>
          <w:szCs w:val="24"/>
        </w:rPr>
        <w:t>是一个只能靠轮椅代步的中年女人，而电视剧中将其改为有腿疾拄一根拐杖的形象，并在年龄、职业上进行了都有很大程度的改变。审理法院认为，根据实际情况，该形象的改编，并未降低社会公众对原作品的评价，不能认定被告侵犯了原告的保护作品完整权</w:t>
      </w:r>
      <w:r>
        <w:rPr>
          <w:rStyle w:val="FootnoteReference"/>
          <w:rFonts w:ascii="宋体" w:eastAsia="宋体" w:hAnsi="宋体" w:cs="宋体" w:hint="eastAsia"/>
          <w:sz w:val="24"/>
          <w:szCs w:val="24"/>
        </w:rPr>
        <w:t>[</w:t>
      </w:r>
      <w:r>
        <w:rPr>
          <w:rStyle w:val="FootnoteReference"/>
          <w:rFonts w:ascii="宋体" w:eastAsia="宋体" w:hAnsi="宋体" w:cs="宋体" w:hint="eastAsia"/>
          <w:sz w:val="24"/>
          <w:szCs w:val="24"/>
        </w:rPr>
        <w:footnoteReference w:id="4"/>
      </w:r>
      <w:r>
        <w:rPr>
          <w:rStyle w:val="FootnoteReference"/>
          <w:rFonts w:ascii="宋体" w:eastAsia="宋体" w:hAnsi="宋体" w:cs="宋体" w:hint="eastAsia"/>
          <w:sz w:val="24"/>
          <w:szCs w:val="24"/>
        </w:rPr>
        <w:t>]</w:t>
      </w:r>
      <w:r>
        <w:rPr>
          <w:rFonts w:ascii="宋体" w:eastAsia="宋体" w:hAnsi="宋体" w:cs="宋体" w:hint="eastAsia"/>
          <w:sz w:val="24"/>
          <w:szCs w:val="24"/>
        </w:rPr>
        <w:t>。对于该案例，原告难以对</w:t>
      </w:r>
      <w:r>
        <w:rPr>
          <w:rFonts w:ascii="宋体" w:eastAsia="宋体" w:hAnsi="宋体" w:cs="宋体" w:hint="eastAsia"/>
          <w:sz w:val="24"/>
          <w:szCs w:val="24"/>
        </w:rPr>
        <w:t>“</w:t>
      </w:r>
      <w:r>
        <w:rPr>
          <w:rFonts w:ascii="宋体" w:eastAsia="宋体" w:hAnsi="宋体" w:cs="宋体" w:hint="eastAsia"/>
          <w:sz w:val="24"/>
          <w:szCs w:val="24"/>
        </w:rPr>
        <w:t>损害作者声誉</w:t>
      </w:r>
      <w:r>
        <w:rPr>
          <w:rFonts w:ascii="宋体" w:eastAsia="宋体" w:hAnsi="宋体" w:cs="宋体" w:hint="eastAsia"/>
          <w:sz w:val="24"/>
          <w:szCs w:val="24"/>
        </w:rPr>
        <w:t>”</w:t>
      </w:r>
      <w:r>
        <w:rPr>
          <w:rFonts w:ascii="宋体" w:eastAsia="宋体" w:hAnsi="宋体" w:cs="宋体" w:hint="eastAsia"/>
          <w:sz w:val="24"/>
          <w:szCs w:val="24"/>
        </w:rPr>
        <w:t>进行举证，我国法律也并未对损害作者声誉进行完整细致的解释，因此，造成保护作品完整权侵权，需要从客观标准为出发点，判断改编作品是否歪曲了作品中的核心思想，造成社会评价降低。</w:t>
      </w:r>
    </w:p>
    <w:p>
      <w:pPr>
        <w:pStyle w:val="Heading2"/>
        <w:keepNext/>
        <w:keepLines/>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lang w:val="en-US" w:eastAsia="zh-CN"/>
        </w:rPr>
      </w:pPr>
      <w:bookmarkStart w:id="53" w:name="_Toc4729"/>
      <w:bookmarkStart w:id="54" w:name="_Toc8095"/>
      <w:bookmarkStart w:id="55" w:name="_Toc20741"/>
      <w:bookmarkStart w:id="56" w:name="_Toc23591"/>
      <w:bookmarkStart w:id="57" w:name="_Toc16485"/>
      <w:bookmarkStart w:id="58" w:name="_Toc19066"/>
      <w:r>
        <w:rPr>
          <w:rFonts w:hint="eastAsia"/>
          <w:lang w:val="zh-CN" w:eastAsia="zh-CN"/>
        </w:rPr>
        <w:t>（</w:t>
      </w:r>
      <w:r>
        <w:rPr>
          <w:rFonts w:hint="eastAsia"/>
          <w:lang w:val="en-US" w:eastAsia="zh-CN"/>
        </w:rPr>
        <w:t>三</w:t>
      </w:r>
      <w:r>
        <w:rPr>
          <w:rFonts w:hint="eastAsia"/>
          <w:lang w:val="zh-CN" w:eastAsia="zh-CN"/>
        </w:rPr>
        <w:t>）影视改编</w:t>
      </w:r>
      <w:r>
        <w:rPr>
          <w:rFonts w:hint="eastAsia"/>
          <w:lang w:val="en-US" w:eastAsia="zh-CN"/>
        </w:rPr>
        <w:t>的具体含义及其特殊性</w:t>
      </w:r>
      <w:bookmarkEnd w:id="53"/>
      <w:bookmarkEnd w:id="5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rPr>
        <w:sectPr>
          <w:headerReference w:type="default" r:id="rId39"/>
          <w:footerReference w:type="default" r:id="rId40"/>
          <w:headerReference w:type="first" r:id="rId41"/>
          <w:footerReference w:type="first" r:id="rId42"/>
          <w:type w:val="nextPage"/>
          <w:pgSz w:w="11906" w:h="16838"/>
          <w:pgMar w:top="1701" w:right="1417" w:bottom="1417" w:left="1701" w:header="1134" w:footer="964" w:gutter="0"/>
          <w:paperSrc w:first="0" w:other="0"/>
          <w:pgNumType w:fmt="decimal" w:start="4"/>
          <w:cols w:space="708"/>
          <w:titlePg w:val="0"/>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rPr>
      </w:pPr>
      <w:r>
        <w:rPr>
          <w:rFonts w:hint="default"/>
          <w:sz w:val="24"/>
          <w:szCs w:val="24"/>
          <w:lang w:val="en-US" w:eastAsia="zh-CN"/>
        </w:rPr>
        <w:t>影视改编作品是指将文学作品、漫画、游戏等其他形式的作品改编成电影、电视剧、动画片等影视作品的创作形式。这种创作形式在当前的影视行业中越来越受到重视，并且成为一种常见的创作模式。影视改编作品有其独特的特殊性，它既具有优势，也存在一些难题。</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rPr>
      </w:pPr>
      <w:r>
        <w:rPr>
          <w:rFonts w:hint="default"/>
          <w:sz w:val="24"/>
          <w:szCs w:val="24"/>
          <w:lang w:val="en-US" w:eastAsia="zh-CN"/>
        </w:rPr>
        <w:t>首先，影视改编作品的特殊性体现在它可以借助原著作品的知名度和粉丝基础，为电影、电视剧等影视作品带来观众的关注度和市场影响力。许多经典文学作品、畅销小说等被改编成影视作品后，往往能够吸引大量观众的关注，因为观众对原著作品已经有了一定的了解和兴趣。这种关注度和兴趣的传递，为电影、电视剧等影视作品的宣传和推广提供了有力的支持。此外，影视改编作品还可以通过改编的形式和手法，将原著作品的精华内容进行再现和呈现，使观众能够更加直观地感受到原著作品所传递的思想、情感和价值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rPr>
      </w:pPr>
      <w:r>
        <w:rPr>
          <w:rFonts w:hint="default"/>
          <w:sz w:val="24"/>
          <w:szCs w:val="24"/>
          <w:lang w:val="en-US" w:eastAsia="zh-CN"/>
        </w:rPr>
        <w:t>其次，影视改编作品也面临着一些困难和挑战。首先，原著作品和影视作品在形式和语言表达上存在差异，如何将原著作品中的情节、人物、场景等元素进行转化和再创作，是一个需要解决的问题。影视改编作品需要在保留原著作品的核心和精神的基础上，进行必要的删减、调整和加工，以适应影视作品的语言表达和叙事方式。这就需要编剧和导演等创作人员具备对原著作品的深入理解和把握，以及创新的思维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rPr>
      </w:pPr>
      <w:r>
        <w:rPr>
          <w:rFonts w:hint="default"/>
          <w:sz w:val="24"/>
          <w:szCs w:val="24"/>
          <w:lang w:val="en-US" w:eastAsia="zh-CN"/>
        </w:rPr>
        <w:t>此外，影视改编作品还面临着观众的期待和评价。观众对于原著作品往往有一定的情感和评价，他们希望影视改编作品能够忠实地还原原著作品的内容和精神。然而，影视改编作品必然会在一定程度上对原著作品进行改动和重新诠释，这就需要创作人员在平衡观众期待和创作自由之间找到平衡点</w:t>
      </w:r>
      <w:r>
        <w:rPr>
          <w:rStyle w:val="FootnoteReference"/>
          <w:rFonts w:hint="default"/>
          <w:sz w:val="24"/>
          <w:szCs w:val="24"/>
          <w:lang w:val="en-US" w:eastAsia="zh-CN"/>
        </w:rPr>
        <w:t>[</w:t>
      </w:r>
      <w:r>
        <w:rPr>
          <w:rStyle w:val="FootnoteReference"/>
          <w:rFonts w:hint="default"/>
          <w:sz w:val="24"/>
          <w:szCs w:val="24"/>
          <w:lang w:val="en-US" w:eastAsia="zh-CN"/>
        </w:rPr>
        <w:footnoteReference w:id="5"/>
      </w:r>
      <w:r>
        <w:rPr>
          <w:rStyle w:val="FootnoteReference"/>
          <w:rFonts w:hint="default"/>
          <w:sz w:val="24"/>
          <w:szCs w:val="24"/>
          <w:lang w:val="en-US" w:eastAsia="zh-CN"/>
        </w:rPr>
        <w:t>]</w:t>
      </w:r>
      <w:r>
        <w:rPr>
          <w:rFonts w:hint="default"/>
          <w:sz w:val="24"/>
          <w:szCs w:val="24"/>
          <w:lang w:val="en-US" w:eastAsia="zh-CN"/>
        </w:rPr>
        <w:t>。同时，观众对于影视改编作品的评价也会受到原著作品的影响，如果观众认为影视作品没有达到他们的期待，就容易引发负面的评价和口碑。影视改编作品具有独特的特殊性。它能够借助原著作品的知名度和粉丝基础，为影视作品带来观众的关注度和市场影响力；同时，影视改编作品也面临着原著作品和观众期待的挑战。在未来的影视创作中，我们需要更加注重对原著作品的深入研究和理解，以及创新的创作思维和方法，才能更好地发挥影视改编作品的特殊性，为观众带来更多优秀的影视作品。</w:t>
      </w:r>
    </w:p>
    <w:p>
      <w:pPr>
        <w:pStyle w:val="Heading2"/>
        <w:keepNext/>
        <w:keepLines/>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cs="Times New Roman" w:hint="eastAsia"/>
          <w:bCs/>
          <w:lang w:val="zh-CN" w:eastAsia="zh-CN"/>
        </w:rPr>
      </w:pPr>
      <w:bookmarkStart w:id="59" w:name="_Toc13656"/>
      <w:bookmarkStart w:id="60" w:name="_Toc31955"/>
      <w:r>
        <w:rPr>
          <w:rFonts w:ascii="Arial" w:eastAsia="宋体" w:hAnsi="Arial" w:cs="Times New Roman" w:hint="eastAsia"/>
          <w:bCs/>
          <w:lang w:val="en-US" w:eastAsia="zh-CN"/>
        </w:rPr>
        <w:t>（四）</w:t>
      </w:r>
      <w:r>
        <w:rPr>
          <w:rFonts w:ascii="Arial" w:eastAsia="宋体" w:hAnsi="Arial" w:cs="Times New Roman" w:hint="eastAsia"/>
          <w:bCs/>
          <w:lang w:val="zh-CN" w:eastAsia="zh-CN"/>
        </w:rPr>
        <w:t>影视改编作品中保护作品完整权的产生</w:t>
      </w:r>
      <w:bookmarkEnd w:id="55"/>
      <w:bookmarkEnd w:id="56"/>
      <w:bookmarkEnd w:id="57"/>
      <w:bookmarkEnd w:id="58"/>
      <w:bookmarkEnd w:id="59"/>
      <w:bookmarkEnd w:id="60"/>
    </w:p>
    <w:p>
      <w:pPr>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rPr>
      </w:pPr>
      <w:r>
        <w:rPr>
          <w:rFonts w:ascii="宋体" w:eastAsia="宋体" w:hAnsi="宋体" w:cs="宋体" w:hint="eastAsia"/>
          <w:b/>
          <w:bCs/>
          <w:sz w:val="28"/>
          <w:szCs w:val="28"/>
        </w:rPr>
        <w:br/>
      </w:r>
      <w:r>
        <w:rPr>
          <w:rFonts w:ascii="宋体" w:eastAsia="宋体" w:hAnsi="宋体" w:cs="宋体" w:hint="eastAsia"/>
          <w:b/>
          <w:bCs/>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https://d.book118.com/776110035203010055</w:t>
        </w:r>
      </w:hyperlink>
    </w:p>
    <w:p>
      <w:pPr>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ascii="宋体" w:eastAsia="宋体" w:hAnsi="宋体" w:cs="宋体" w:hint="eastAsia"/>
          <w:b/>
          <w:bCs/>
          <w:sz w:val="28"/>
          <w:szCs w:val="28"/>
        </w:rPr>
      </w:pPr>
    </w:p>
    <w:sectPr>
      <w:headerReference w:type="default" r:id="rId44"/>
      <w:footerReference w:type="default" r:id="rId45"/>
      <w:headerReference w:type="first" r:id="rId46"/>
      <w:footerReference w:type="first" r:id="rId47"/>
      <w:type w:val="nextPage"/>
      <w:pgSz w:w="11906" w:h="16838"/>
      <w:pgMar w:top="1701" w:right="1417" w:bottom="1417" w:left="1701" w:header="1134" w:footer="964" w:gutter="0"/>
      <w:paperSrc w:first="0" w:other="0"/>
      <w:pgNumType w:fmt="decimal" w:start="5"/>
      <w:cols w:space="708"/>
      <w:titlePg w:val="0"/>
      <w:rtlGutter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swiss"/>
    <w:pitch w:val="default"/>
    <w:sig w:usb0="E0002EFF" w:usb1="C000785B" w:usb2="00000009" w:usb3="00000000" w:csb0="4004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74" o:spid="_x0000_s2049" type="#_x0000_t202" style="width:2in;height:2in;margin-top:0;margin-left:0;mso-position-horizontal:center;mso-position-horizontal-relative:margin;mso-wrap-style:none;position:absolute;v-text-anchor:top;z-index:251659264"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I</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9" o:spid="_x0000_s2050" type="#_x0000_t202" style="width:2in;height:2in;margin-top:0;margin-left:0;mso-position-horizontal:center;mso-position-horizontal-relative:margin;mso-wrap-style:none;position:absolute;z-index:251658240" filled="f" stroked="f" strokeweight="1.25p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0" o:spid="_x0000_s2051" type="#_x0000_t202" style="width:2in;height:2in;margin-top:0;margin-left:0;mso-position-horizontal:center;mso-position-horizontal-relative:margin;mso-wrap-style:none;position:absolute;v-text-anchor:top;z-index:251661312"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II</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9" o:spid="_x0000_s2052" type="#_x0000_t202" style="width:2in;height:2in;margin-top:0;margin-left:0;mso-position-horizontal:center;mso-position-horizontal-relative:margin;mso-wrap-style:none;position:absolute;z-index:251660288" filled="f" stroked="f" strokeweight="1.25p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0" o:spid="_x0000_s2053" type="#_x0000_t202" style="width:2in;height:2in;margin-top:0;margin-left:0;mso-position-horizontal:center;mso-position-horizontal-relative:margin;mso-wrap-style:none;position:absolute;v-text-anchor:top;z-index:251663360"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III</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9" o:spid="_x0000_s2054" type="#_x0000_t202" style="width:2in;height:2in;margin-top:0;margin-left:0;mso-position-horizontal:center;mso-position-horizontal-relative:margin;mso-wrap-style:none;position:absolute;z-index:251662336" filled="f" stroked="f" strokeweight="1.25p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5" o:spid="_x0000_s2055" type="#_x0000_t202" style="width:2in;height:2in;margin-top:0;margin-left:0;mso-position-horizontal:center;mso-position-horizontal-relative:margin;mso-wrap-style:none;position:absolute;v-text-anchor:top;z-index:251664384"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9" o:spid="_x0000_s2056" type="#_x0000_t202" style="width:2in;height:2in;margin-top:0;margin-left:0;mso-position-horizontal:center;mso-position-horizontal-relative:margin;mso-wrap-style:none;position:absolute;z-index:251665408" filled="f" stroked="f" strokeweight="1.25p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75" o:spid="_x0000_s2057" type="#_x0000_t202" style="width:2in;height:2in;margin-top:0;margin-left:0;mso-position-horizontal:center;mso-position-horizontal-relative:margin;mso-wrap-style:none;position:absolute;v-text-anchor:top;z-index:251668480"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r>
      <w:rPr>
        <w:sz w:val="18"/>
      </w:rPr>
      <w:pict>
        <v:shape id="文本框 31" o:spid="_x0000_s2058" type="#_x0000_t202" style="width:2in;height:2in;margin-top:0;margin-left:0;mso-position-horizontal:center;mso-position-horizontal-relative:margin;mso-wrap-style:none;position:absolute;v-text-anchor:top;z-index:251666432" filled="f" stroked="f" strokeweight="1.25pt">
          <v:fill o:detectmouseclick="t"/>
          <v:stroke linestyle="single"/>
          <v:shadow color="gray"/>
          <o:lock v:ext="edit" aspectratio="f"/>
          <v:textbox style="layout-flow:horizontal;mso-fit-shape-to-text:t" inset="0,0,0,0">
            <w:txbxContent>
              <w:p>
                <w:pPr>
                  <w:pStyle w:val="Footer"/>
                  <w:tabs>
                    <w:tab w:val="center" w:pos="4153"/>
                    <w:tab w:val="right" w:pos="8306"/>
                  </w:tabs>
                  <w:rPr>
                    <w:rFonts w:hint="default"/>
                    <w:lang w:val="en-US" w:eastAsia="zh-CN"/>
                  </w:rPr>
                </w:pP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2" o:spid="_x0000_s2059" type="#_x0000_t202" style="width:2in;height:2in;margin-top:0;margin-left:0;mso-position-horizontal:center;mso-position-horizontal-relative:margin;mso-wrap-style:none;position:absolute;v-text-anchor:top;z-index:251667456"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V</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73" o:spid="_x0000_s2060" type="#_x0000_t202" style="width:2in;height:2in;margin-top:0;margin-left:0;mso-position-horizontal:center;mso-position-horizontal-relative:margin;mso-wrap-style:none;position:absolute;v-text-anchor:top;z-index:251670528"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r>
      <w:rPr>
        <w:sz w:val="18"/>
      </w:rPr>
      <w:pict>
        <v:shape id="文本框 71" o:spid="_x0000_s2061" type="#_x0000_t202" style="width:2in;height:2in;margin-top:0;margin-left:0;mso-position-horizontal:center;mso-position-horizontal-relative:margin;mso-wrap-style:none;position:absolute;z-index:251669504" filled="f" stroked="f" strokeweight="1.25pt">
          <v:stroke linestyle="single"/>
          <o:lock v:ext="edit" aspectratio="f"/>
          <v:textbox style="mso-fit-shape-to-text:t" inset="0,0,0,0">
            <w:txbxContent>
              <w:p>
                <w:pPr>
                  <w:pStyle w:val="Footer"/>
                  <w:tabs>
                    <w:tab w:val="center" w:pos="4153"/>
                    <w:tab w:val="right" w:pos="8306"/>
                  </w:tabs>
                  <w:rPr>
                    <w:rFonts w:hint="default"/>
                    <w:lang w:val="en-US" w:eastAsia="zh-CN"/>
                  </w:rPr>
                </w:pP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76" o:spid="_x0000_s2062" type="#_x0000_t202" style="width:2in;height:2in;margin-top:0;margin-left:0;mso-position-horizontal:center;mso-position-horizontal-relative:margin;mso-wrap-style:none;position:absolute;v-text-anchor:top;z-index:251671552" filled="f" stroked="f" strokeweight="1.25pt">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1</w:t>
                </w:r>
                <w: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51" o:spid="_x0000_s2063" type="#_x0000_t202" style="width:2in;height:2in;margin-top:0;margin-left:0;mso-position-horizontal:center;mso-position-horizontal-relative:margin;mso-wrap-style:none;position:absolute;v-text-anchor:top;z-index:251673600"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10</w:t>
                </w:r>
                <w:r>
                  <w:fldChar w:fldCharType="end"/>
                </w:r>
              </w:p>
            </w:txbxContent>
          </v:textbox>
          <w10:wrap anchorx="margin"/>
        </v:shape>
      </w:pict>
    </w:r>
    <w:r>
      <w:rPr>
        <w:sz w:val="18"/>
      </w:rPr>
      <w:pict>
        <v:shape id="文本框 44" o:spid="_x0000_s2064" type="#_x0000_t202" style="width:2in;height:2in;margin-top:0;margin-left:0;mso-position-horizontal:center;mso-position-horizontal-relative:margin;mso-wrap-style:none;position:absolute;z-index:251672576" filled="f" stroked="f" strokeweight="1.25pt">
          <v:stroke linestyle="single"/>
          <o:lock v:ext="edit" aspectratio="f"/>
          <v:textbox style="mso-fit-shape-to-text:t" inset="0,0,0,0">
            <w:txbxContent>
              <w:p>
                <w:pPr>
                  <w:pStyle w:val="Footer"/>
                  <w:tabs>
                    <w:tab w:val="center" w:pos="4153"/>
                    <w:tab w:val="right" w:pos="8306"/>
                  </w:tabs>
                  <w:rPr>
                    <w:rFonts w:hint="default"/>
                    <w:lang w:val="en-US" w:eastAsia="zh-CN"/>
                  </w:rPr>
                </w:pP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77" o:spid="_x0000_s2065" type="#_x0000_t202" style="width:2in;height:2in;margin-top:0;margin-left:0;mso-position-horizontal:center;mso-position-horizontal-relative:margin;mso-wrap-style:none;position:absolute;v-text-anchor:top;z-index:251675648" filled="f" stroked="f" strokeweight="1.25pt">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w:r>
    <w:r>
      <w:rPr>
        <w:sz w:val="18"/>
      </w:rPr>
      <w:pict>
        <v:shape id="文本框 52" o:spid="_x0000_s2066" type="#_x0000_t202" style="width:6.4pt;height:11.35pt;margin-top:-1pt;margin-left:208.75pt;flip:x;mso-position-horizontal-relative:margin;mso-wrap-style:square;position:absolute;v-text-anchor:top;z-index:251674624" filled="f" stroked="f" strokeweight="1.25pt">
          <v:fill o:detectmouseclick="t"/>
          <v:shadow color="gray"/>
          <o:lock v:ext="edit" aspectratio="f"/>
          <v:textbox style="layout-flow:horizontal" inset="0,0,0,0">
            <w:txbxContent>
              <w:p>
                <w:pPr>
                  <w:pStyle w:val="Footer"/>
                  <w:tabs>
                    <w:tab w:val="center" w:pos="4153"/>
                    <w:tab w:val="right" w:pos="8306"/>
                  </w:tabs>
                </w:pP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51" o:spid="_x0000_s2067" type="#_x0000_t202" style="width:2in;height:2in;margin-top:0;margin-left:0;mso-position-horizontal:center;mso-position-horizontal-relative:margin;mso-wrap-style:none;position:absolute;v-text-anchor:top;z-index:251677696"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r>
      <w:rPr>
        <w:sz w:val="18"/>
      </w:rPr>
      <w:pict>
        <v:shape id="文本框 44" o:spid="_x0000_s2068" type="#_x0000_t202" style="width:2in;height:2in;margin-top:0;margin-left:0;mso-position-horizontal:center;mso-position-horizontal-relative:margin;mso-wrap-style:none;position:absolute;z-index:251676672" filled="f" stroked="f" strokeweight="1.25pt">
          <v:stroke linestyle="single"/>
          <o:lock v:ext="edit" aspectratio="f"/>
          <v:textbox style="mso-fit-shape-to-text:t" inset="0,0,0,0">
            <w:txbxContent>
              <w:p>
                <w:pPr>
                  <w:pStyle w:val="Footer"/>
                  <w:tabs>
                    <w:tab w:val="center" w:pos="4153"/>
                    <w:tab w:val="right" w:pos="8306"/>
                  </w:tabs>
                  <w:rPr>
                    <w:rFonts w:hint="default"/>
                    <w:lang w:val="en-US" w:eastAsia="zh-CN"/>
                  </w:rPr>
                </w:pP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77" o:spid="_x0000_s2069" type="#_x0000_t202" style="width:2in;height:2in;margin-top:0;margin-left:0;mso-position-horizontal:center;mso-position-horizontal-relative:margin;mso-wrap-style:none;position:absolute;v-text-anchor:top;z-index:251679744" filled="f" stroked="f" strokeweight="1.25pt">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w:r>
    <w:r>
      <w:rPr>
        <w:sz w:val="18"/>
      </w:rPr>
      <w:pict>
        <v:shape id="文本框 52" o:spid="_x0000_s2070" type="#_x0000_t202" style="width:6.4pt;height:11.35pt;margin-top:-1pt;margin-left:208.75pt;flip:x;mso-position-horizontal-relative:margin;mso-wrap-style:square;position:absolute;v-text-anchor:top;z-index:251678720" filled="f" stroked="f" strokeweight="1.25pt">
          <v:fill o:detectmouseclick="t"/>
          <v:shadow color="gray"/>
          <o:lock v:ext="edit" aspectratio="f"/>
          <v:textbox style="layout-flow:horizontal" inset="0,0,0,0">
            <w:txbxContent>
              <w:p>
                <w:pPr>
                  <w:pStyle w:val="Footer"/>
                  <w:tabs>
                    <w:tab w:val="center" w:pos="4153"/>
                    <w:tab w:val="right" w:pos="8306"/>
                  </w:tabs>
                </w:pP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51" o:spid="_x0000_s2071" type="#_x0000_t202" style="width:2in;height:2in;margin-top:0;margin-left:0;mso-position-horizontal:center;mso-position-horizontal-relative:margin;mso-wrap-style:none;position:absolute;v-text-anchor:top;z-index:251681792"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r>
      <w:rPr>
        <w:sz w:val="18"/>
      </w:rPr>
      <w:pict>
        <v:shape id="文本框 44" o:spid="_x0000_s2072" type="#_x0000_t202" style="width:2in;height:2in;margin-top:0;margin-left:0;mso-position-horizontal:center;mso-position-horizontal-relative:margin;mso-wrap-style:none;position:absolute;z-index:251680768" filled="f" stroked="f" strokeweight="1.25pt">
          <v:stroke linestyle="single"/>
          <o:lock v:ext="edit" aspectratio="f"/>
          <v:textbox style="mso-fit-shape-to-text:t" inset="0,0,0,0">
            <w:txbxContent>
              <w:p>
                <w:pPr>
                  <w:pStyle w:val="Footer"/>
                  <w:tabs>
                    <w:tab w:val="center" w:pos="4153"/>
                    <w:tab w:val="right" w:pos="8306"/>
                  </w:tabs>
                  <w:rPr>
                    <w:rFonts w:hint="default"/>
                    <w:lang w:val="en-US" w:eastAsia="zh-CN"/>
                  </w:rPr>
                </w:pP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77" o:spid="_x0000_s2073" type="#_x0000_t202" style="width:2in;height:2in;margin-top:0;margin-left:0;mso-position-horizontal:center;mso-position-horizontal-relative:margin;mso-wrap-style:none;position:absolute;v-text-anchor:top;z-index:251683840" filled="f" stroked="f" strokeweight="1.25pt">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w:r>
    <w:r>
      <w:rPr>
        <w:sz w:val="18"/>
      </w:rPr>
      <w:pict>
        <v:shape id="文本框 52" o:spid="_x0000_s2074" type="#_x0000_t202" style="width:6.4pt;height:11.35pt;margin-top:-1pt;margin-left:208.75pt;flip:x;mso-position-horizontal-relative:margin;mso-wrap-style:square;position:absolute;v-text-anchor:top;z-index:251682816" filled="f" stroked="f" strokeweight="1.25pt">
          <v:fill o:detectmouseclick="t"/>
          <v:shadow color="gray"/>
          <o:lock v:ext="edit" aspectratio="f"/>
          <v:textbox style="layout-flow:horizontal" inset="0,0,0,0">
            <w:txbxContent>
              <w:p>
                <w:pPr>
                  <w:pStyle w:val="Footer"/>
                  <w:tabs>
                    <w:tab w:val="center" w:pos="4153"/>
                    <w:tab w:val="right" w:pos="8306"/>
                  </w:tabs>
                </w:pP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51" o:spid="_x0000_s2075" type="#_x0000_t202" style="width:2in;height:2in;margin-top:0;margin-left:0;mso-position-horizontal:center;mso-position-horizontal-relative:margin;mso-wrap-style:none;position:absolute;v-text-anchor:top;z-index:251685888" filled="f" stroked="f" strokeweight="1.25pt">
          <v:fill o:detectmouseclick="t"/>
          <v:shadow color="gray"/>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r>
      <w:rPr>
        <w:sz w:val="18"/>
      </w:rPr>
      <w:pict>
        <v:shape id="文本框 44" o:spid="_x0000_s2076" type="#_x0000_t202" style="width:2in;height:2in;margin-top:0;margin-left:0;mso-position-horizontal:center;mso-position-horizontal-relative:margin;mso-wrap-style:none;position:absolute;z-index:251684864" filled="f" stroked="f" strokeweight="1.25pt">
          <v:stroke linestyle="single"/>
          <o:lock v:ext="edit" aspectratio="f"/>
          <v:textbox style="mso-fit-shape-to-text:t" inset="0,0,0,0">
            <w:txbxContent>
              <w:p>
                <w:pPr>
                  <w:pStyle w:val="Footer"/>
                  <w:tabs>
                    <w:tab w:val="center" w:pos="4153"/>
                    <w:tab w:val="right" w:pos="8306"/>
                  </w:tabs>
                  <w:rPr>
                    <w:rFonts w:hint="default"/>
                    <w:lang w:val="en-US" w:eastAsia="zh-CN"/>
                  </w:rPr>
                </w:pP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394"/>
        <w:tab w:val="right" w:pos="8306"/>
      </w:tabs>
    </w:pPr>
    <w:r>
      <w:rPr>
        <w:sz w:val="18"/>
      </w:rPr>
      <w:pict>
        <v:shapetype id="_x0000_t202" coordsize="21600,21600" o:spt="202" path="m,l,21600r21600,l21600,xe">
          <v:stroke joinstyle="miter"/>
          <v:path gradientshapeok="t" o:connecttype="rect"/>
        </v:shapetype>
        <v:shape id="文本框 77" o:spid="_x0000_s2077" type="#_x0000_t202" style="width:2in;height:2in;margin-top:0;margin-left:0;mso-position-horizontal:center;mso-position-horizontal-relative:margin;mso-wrap-style:none;position:absolute;v-text-anchor:top;z-index:251687936" filled="f" stroked="f" strokeweight="1.25pt">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w:r>
    <w:r>
      <w:rPr>
        <w:sz w:val="18"/>
      </w:rPr>
      <w:pict>
        <v:shape id="文本框 52" o:spid="_x0000_s2078" type="#_x0000_t202" style="width:6.4pt;height:11.35pt;margin-top:-1pt;margin-left:208.75pt;flip:x;mso-position-horizontal-relative:margin;mso-wrap-style:square;position:absolute;v-text-anchor:top;z-index:251686912" filled="f" stroked="f" strokeweight="1.25pt">
          <v:fill o:detectmouseclick="t"/>
          <v:shadow color="gray"/>
          <o:lock v:ext="edit" aspectratio="f"/>
          <v:textbox style="layout-flow:horizontal" inset="0,0,0,0">
            <w:txbxContent>
              <w:p>
                <w:pPr>
                  <w:pStyle w:val="Footer"/>
                  <w:tabs>
                    <w:tab w:val="center" w:pos="4153"/>
                    <w:tab w:val="right" w:pos="8306"/>
                  </w:tabs>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snapToGrid w:val="0"/>
      </w:pPr>
      <w:r>
        <w:rPr>
          <w:rStyle w:val="FootnoteReference"/>
        </w:rPr>
        <w:t>[</w:t>
      </w:r>
      <w:r>
        <w:rPr>
          <w:rStyle w:val="FootnoteReference"/>
        </w:rPr>
        <w:footnoteRef/>
      </w:r>
      <w:r>
        <w:rPr>
          <w:rStyle w:val="FootnoteReference"/>
        </w:rPr>
        <w:t>]</w:t>
      </w:r>
      <w:r>
        <w:t xml:space="preserve"> </w:t>
      </w:r>
      <w:r>
        <w:rPr>
          <w:rStyle w:val="top1"/>
          <w:rFonts w:ascii="宋体" w:eastAsia="宋体" w:hAnsi="宋体" w:cs="Times New Roman" w:hint="eastAsia"/>
          <w:color w:val="000000"/>
          <w:sz w:val="18"/>
          <w:szCs w:val="18"/>
        </w:rPr>
        <w:t>范长军译.外国知识产权法律译丛:德国著作权法[M].北京:知识产权出版社.2013。</w:t>
      </w:r>
    </w:p>
  </w:footnote>
  <w:footnote w:id="3">
    <w:p>
      <w:pPr>
        <w:pStyle w:val="FootnoteText"/>
        <w:snapToGrid w:val="0"/>
      </w:pPr>
      <w:r>
        <w:rPr>
          <w:rStyle w:val="FootnoteReference"/>
        </w:rPr>
        <w:t>[</w:t>
      </w:r>
      <w:r>
        <w:rPr>
          <w:rStyle w:val="FootnoteReference"/>
        </w:rPr>
        <w:footnoteRef/>
      </w:r>
      <w:r>
        <w:rPr>
          <w:rStyle w:val="FootnoteReference"/>
        </w:rPr>
        <w:t>]</w:t>
      </w:r>
      <w:r>
        <w:t xml:space="preserve"> </w:t>
      </w:r>
      <w:r>
        <w:rPr>
          <w:rStyle w:val="top1"/>
          <w:rFonts w:ascii="宋体" w:eastAsia="宋体" w:hAnsi="宋体" w:cs="Times New Roman" w:hint="eastAsia"/>
          <w:color w:val="000000"/>
          <w:sz w:val="18"/>
          <w:szCs w:val="18"/>
        </w:rPr>
        <w:t>黄晖译</w:t>
      </w:r>
      <w:r>
        <w:rPr>
          <w:rStyle w:val="top1"/>
          <w:rFonts w:ascii="宋体" w:eastAsia="宋体" w:hAnsi="宋体" w:cs="Times New Roman" w:hint="eastAsia"/>
          <w:color w:val="000000"/>
          <w:sz w:val="18"/>
          <w:szCs w:val="18"/>
          <w:lang w:val="en-US" w:eastAsia="zh-CN"/>
        </w:rPr>
        <w:t>,</w:t>
      </w:r>
      <w:r>
        <w:rPr>
          <w:rStyle w:val="top1"/>
          <w:rFonts w:ascii="宋体" w:eastAsia="宋体" w:hAnsi="宋体" w:cs="Times New Roman" w:hint="eastAsia"/>
          <w:color w:val="000000"/>
          <w:sz w:val="18"/>
          <w:szCs w:val="18"/>
        </w:rPr>
        <w:t>郑成思审校.法国知识产权法典[M].北京:商务印书馆</w:t>
      </w:r>
      <w:r>
        <w:rPr>
          <w:rStyle w:val="top1"/>
          <w:rFonts w:ascii="宋体" w:eastAsia="宋体" w:hAnsi="宋体" w:cs="Times New Roman" w:hint="eastAsia"/>
          <w:color w:val="000000"/>
          <w:sz w:val="18"/>
          <w:szCs w:val="18"/>
          <w:lang w:val="en-US" w:eastAsia="zh-CN"/>
        </w:rPr>
        <w:t>,</w:t>
      </w:r>
      <w:r>
        <w:rPr>
          <w:rStyle w:val="top1"/>
          <w:rFonts w:ascii="宋体" w:eastAsia="宋体" w:hAnsi="宋体" w:cs="Times New Roman" w:hint="eastAsia"/>
          <w:color w:val="000000"/>
          <w:sz w:val="18"/>
          <w:szCs w:val="18"/>
        </w:rPr>
        <w:t>1999。</w:t>
      </w:r>
    </w:p>
  </w:footnote>
  <w:footnote w:id="4">
    <w:p>
      <w:pPr>
        <w:pStyle w:val="FootnoteText"/>
        <w:snapToGrid w:val="0"/>
      </w:pPr>
      <w:r>
        <w:rPr>
          <w:rStyle w:val="FootnoteReference"/>
        </w:rPr>
        <w:t>[</w:t>
      </w:r>
      <w:r>
        <w:rPr>
          <w:rStyle w:val="FootnoteReference"/>
        </w:rPr>
        <w:footnoteRef/>
      </w:r>
      <w:r>
        <w:rPr>
          <w:rStyle w:val="FootnoteReference"/>
        </w:rPr>
        <w:t>]</w:t>
      </w:r>
      <w:r>
        <w:t xml:space="preserve"> </w:t>
      </w:r>
      <w:r>
        <w:rPr>
          <w:rStyle w:val="top1"/>
          <w:rFonts w:ascii="宋体" w:eastAsia="宋体" w:hAnsi="宋体" w:cs="Times New Roman" w:hint="eastAsia"/>
          <w:color w:val="000000"/>
          <w:sz w:val="18"/>
          <w:szCs w:val="18"/>
        </w:rPr>
        <w:t>胡康生.中华人民共和国著作权法释义[M].北京:法律出版社，2002。</w:t>
      </w:r>
    </w:p>
  </w:footnote>
  <w:footnote w:id="5">
    <w:p>
      <w:pPr>
        <w:pStyle w:val="FootnoteText"/>
        <w:snapToGrid w:val="0"/>
      </w:pPr>
      <w:r>
        <w:rPr>
          <w:rStyle w:val="FootnoteReference"/>
        </w:rPr>
        <w:t>[</w:t>
      </w:r>
      <w:r>
        <w:rPr>
          <w:rStyle w:val="FootnoteReference"/>
        </w:rPr>
        <w:footnoteRef/>
      </w:r>
      <w:r>
        <w:rPr>
          <w:rStyle w:val="FootnoteReference"/>
        </w:rPr>
        <w:t>]</w:t>
      </w:r>
      <w:r>
        <w:t xml:space="preserve"> </w:t>
      </w:r>
      <w:r>
        <w:rPr>
          <w:rStyle w:val="top1"/>
          <w:rFonts w:ascii="宋体" w:eastAsia="宋体" w:hAnsi="宋体" w:cs="Times New Roman" w:hint="eastAsia"/>
          <w:color w:val="000000"/>
          <w:sz w:val="18"/>
          <w:szCs w:val="18"/>
        </w:rPr>
        <w:t>张新宝.侵权责任法(第四版)[M].北京:中国人民大学出版社</w:t>
      </w:r>
      <w:r>
        <w:rPr>
          <w:rStyle w:val="top1"/>
          <w:rFonts w:ascii="宋体" w:eastAsia="宋体" w:hAnsi="宋体" w:cs="Times New Roman" w:hint="eastAsia"/>
          <w:color w:val="000000"/>
          <w:sz w:val="18"/>
          <w:szCs w:val="18"/>
          <w:lang w:val="en-US" w:eastAsia="zh-CN"/>
        </w:rPr>
        <w:t>,</w:t>
      </w:r>
      <w:r>
        <w:rPr>
          <w:rStyle w:val="top1"/>
          <w:rFonts w:ascii="宋体" w:eastAsia="宋体" w:hAnsi="宋体" w:cs="Times New Roman" w:hint="eastAsia"/>
          <w:color w:val="000000"/>
          <w:sz w:val="18"/>
          <w:szCs w:val="18"/>
        </w:rPr>
        <w:t>2016。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6B93BEE"/>
    <w:multiLevelType w:val="singleLevel"/>
    <w:tmpl w:val="F6B93BEE"/>
    <w:lvl w:ilvl="0">
      <w:start w:val="1"/>
      <w:numFmt w:val="chineseCounting"/>
      <w:suff w:val="nothing"/>
      <w:lvlText w:val="第%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7A0C"/>
    <w:rsid w:val="000206CE"/>
    <w:rsid w:val="00023645"/>
    <w:rsid w:val="00035B14"/>
    <w:rsid w:val="00035EC5"/>
    <w:rsid w:val="00061461"/>
    <w:rsid w:val="000726C5"/>
    <w:rsid w:val="00096137"/>
    <w:rsid w:val="000B36E3"/>
    <w:rsid w:val="000C4626"/>
    <w:rsid w:val="000C72A4"/>
    <w:rsid w:val="000D045B"/>
    <w:rsid w:val="000F1FD4"/>
    <w:rsid w:val="000F203F"/>
    <w:rsid w:val="000F51B9"/>
    <w:rsid w:val="00103914"/>
    <w:rsid w:val="0010422A"/>
    <w:rsid w:val="00114988"/>
    <w:rsid w:val="00116CC9"/>
    <w:rsid w:val="00123249"/>
    <w:rsid w:val="001500AA"/>
    <w:rsid w:val="0015234F"/>
    <w:rsid w:val="00154EEC"/>
    <w:rsid w:val="00162A09"/>
    <w:rsid w:val="00177A0C"/>
    <w:rsid w:val="00182AA3"/>
    <w:rsid w:val="001E10A0"/>
    <w:rsid w:val="001E681B"/>
    <w:rsid w:val="001E7C83"/>
    <w:rsid w:val="001F7E1F"/>
    <w:rsid w:val="00251A63"/>
    <w:rsid w:val="00273D87"/>
    <w:rsid w:val="00281F64"/>
    <w:rsid w:val="002A6DBE"/>
    <w:rsid w:val="002B2D31"/>
    <w:rsid w:val="002B799C"/>
    <w:rsid w:val="002D0600"/>
    <w:rsid w:val="002D7E9D"/>
    <w:rsid w:val="002E2BED"/>
    <w:rsid w:val="002E79DF"/>
    <w:rsid w:val="002F1DF7"/>
    <w:rsid w:val="003259CC"/>
    <w:rsid w:val="00350016"/>
    <w:rsid w:val="003667FA"/>
    <w:rsid w:val="003861F8"/>
    <w:rsid w:val="00395BF7"/>
    <w:rsid w:val="003A4764"/>
    <w:rsid w:val="003B71A7"/>
    <w:rsid w:val="003C3913"/>
    <w:rsid w:val="003C6F2E"/>
    <w:rsid w:val="003C7652"/>
    <w:rsid w:val="003D4457"/>
    <w:rsid w:val="003F2A4C"/>
    <w:rsid w:val="00400BCC"/>
    <w:rsid w:val="004127E5"/>
    <w:rsid w:val="00420F13"/>
    <w:rsid w:val="00423CDE"/>
    <w:rsid w:val="004408A2"/>
    <w:rsid w:val="00441793"/>
    <w:rsid w:val="00442CF7"/>
    <w:rsid w:val="00477C26"/>
    <w:rsid w:val="004B3BBA"/>
    <w:rsid w:val="004C1C24"/>
    <w:rsid w:val="004C2424"/>
    <w:rsid w:val="004C57DF"/>
    <w:rsid w:val="004E04C3"/>
    <w:rsid w:val="005059DE"/>
    <w:rsid w:val="0050688E"/>
    <w:rsid w:val="00522D7E"/>
    <w:rsid w:val="005411F5"/>
    <w:rsid w:val="00542A3A"/>
    <w:rsid w:val="005563F3"/>
    <w:rsid w:val="00585F6E"/>
    <w:rsid w:val="00595BE9"/>
    <w:rsid w:val="005962E5"/>
    <w:rsid w:val="00596BE0"/>
    <w:rsid w:val="005B5795"/>
    <w:rsid w:val="005C5409"/>
    <w:rsid w:val="005F170E"/>
    <w:rsid w:val="005F207B"/>
    <w:rsid w:val="005F2215"/>
    <w:rsid w:val="006813A3"/>
    <w:rsid w:val="00690E3B"/>
    <w:rsid w:val="006A150E"/>
    <w:rsid w:val="006A69F3"/>
    <w:rsid w:val="006B0C33"/>
    <w:rsid w:val="006B4A02"/>
    <w:rsid w:val="006C0E35"/>
    <w:rsid w:val="006C364D"/>
    <w:rsid w:val="006D13DC"/>
    <w:rsid w:val="006D4DAB"/>
    <w:rsid w:val="006E0026"/>
    <w:rsid w:val="006E7835"/>
    <w:rsid w:val="0070019B"/>
    <w:rsid w:val="00722DC7"/>
    <w:rsid w:val="00740111"/>
    <w:rsid w:val="00745BDD"/>
    <w:rsid w:val="00757720"/>
    <w:rsid w:val="00762EEE"/>
    <w:rsid w:val="00796DEB"/>
    <w:rsid w:val="007B2128"/>
    <w:rsid w:val="007B6B67"/>
    <w:rsid w:val="007C647D"/>
    <w:rsid w:val="007C75D5"/>
    <w:rsid w:val="007D62EC"/>
    <w:rsid w:val="007E2503"/>
    <w:rsid w:val="007F6045"/>
    <w:rsid w:val="0080251E"/>
    <w:rsid w:val="00812816"/>
    <w:rsid w:val="008228B6"/>
    <w:rsid w:val="0084117C"/>
    <w:rsid w:val="00845432"/>
    <w:rsid w:val="00846F27"/>
    <w:rsid w:val="00885002"/>
    <w:rsid w:val="0088607B"/>
    <w:rsid w:val="00892568"/>
    <w:rsid w:val="008B31BD"/>
    <w:rsid w:val="008E5B06"/>
    <w:rsid w:val="008F3379"/>
    <w:rsid w:val="008F4DDE"/>
    <w:rsid w:val="00904D5E"/>
    <w:rsid w:val="0091072D"/>
    <w:rsid w:val="009169C2"/>
    <w:rsid w:val="009476F8"/>
    <w:rsid w:val="009626B9"/>
    <w:rsid w:val="00970716"/>
    <w:rsid w:val="00994DBA"/>
    <w:rsid w:val="009B6222"/>
    <w:rsid w:val="009D0CBB"/>
    <w:rsid w:val="009E6B2F"/>
    <w:rsid w:val="009F52FC"/>
    <w:rsid w:val="00A07AA4"/>
    <w:rsid w:val="00A17FF1"/>
    <w:rsid w:val="00A46C52"/>
    <w:rsid w:val="00A83A31"/>
    <w:rsid w:val="00A9315F"/>
    <w:rsid w:val="00A95AAA"/>
    <w:rsid w:val="00AA256C"/>
    <w:rsid w:val="00AB357D"/>
    <w:rsid w:val="00AC5AC7"/>
    <w:rsid w:val="00AC7845"/>
    <w:rsid w:val="00AE28D6"/>
    <w:rsid w:val="00AF2C33"/>
    <w:rsid w:val="00B133D6"/>
    <w:rsid w:val="00B63073"/>
    <w:rsid w:val="00B6679C"/>
    <w:rsid w:val="00B830E5"/>
    <w:rsid w:val="00B8640A"/>
    <w:rsid w:val="00B86FCF"/>
    <w:rsid w:val="00B93AF9"/>
    <w:rsid w:val="00B95797"/>
    <w:rsid w:val="00BE44F2"/>
    <w:rsid w:val="00BF00B8"/>
    <w:rsid w:val="00BF3B56"/>
    <w:rsid w:val="00BF770E"/>
    <w:rsid w:val="00C15A2C"/>
    <w:rsid w:val="00C265DA"/>
    <w:rsid w:val="00C302E7"/>
    <w:rsid w:val="00C31E43"/>
    <w:rsid w:val="00C33E48"/>
    <w:rsid w:val="00C47AA1"/>
    <w:rsid w:val="00C67007"/>
    <w:rsid w:val="00C83670"/>
    <w:rsid w:val="00C917B1"/>
    <w:rsid w:val="00CA3944"/>
    <w:rsid w:val="00CC26E9"/>
    <w:rsid w:val="00CD5C4A"/>
    <w:rsid w:val="00CE4901"/>
    <w:rsid w:val="00CF476B"/>
    <w:rsid w:val="00D00898"/>
    <w:rsid w:val="00D2338F"/>
    <w:rsid w:val="00D33137"/>
    <w:rsid w:val="00D35286"/>
    <w:rsid w:val="00D6519F"/>
    <w:rsid w:val="00D81434"/>
    <w:rsid w:val="00D9173C"/>
    <w:rsid w:val="00DA7A90"/>
    <w:rsid w:val="00DC5896"/>
    <w:rsid w:val="00DC7F33"/>
    <w:rsid w:val="00DE58FB"/>
    <w:rsid w:val="00DE6AC3"/>
    <w:rsid w:val="00E1194A"/>
    <w:rsid w:val="00E22693"/>
    <w:rsid w:val="00E32F69"/>
    <w:rsid w:val="00E3420A"/>
    <w:rsid w:val="00E352D7"/>
    <w:rsid w:val="00E368D8"/>
    <w:rsid w:val="00E55FAB"/>
    <w:rsid w:val="00E60A14"/>
    <w:rsid w:val="00E73FE2"/>
    <w:rsid w:val="00E95671"/>
    <w:rsid w:val="00EA1A32"/>
    <w:rsid w:val="00EE2277"/>
    <w:rsid w:val="00EE3ECF"/>
    <w:rsid w:val="00EE4ECD"/>
    <w:rsid w:val="00EF232D"/>
    <w:rsid w:val="00EF4C27"/>
    <w:rsid w:val="00F14166"/>
    <w:rsid w:val="00F35A7C"/>
    <w:rsid w:val="00F4396D"/>
    <w:rsid w:val="00F4566E"/>
    <w:rsid w:val="00F456F0"/>
    <w:rsid w:val="00F47B8B"/>
    <w:rsid w:val="00F53265"/>
    <w:rsid w:val="00F66BF4"/>
    <w:rsid w:val="00F67041"/>
    <w:rsid w:val="00F7690B"/>
    <w:rsid w:val="00F863D9"/>
    <w:rsid w:val="00F90B47"/>
    <w:rsid w:val="00FA36AE"/>
    <w:rsid w:val="00FA5654"/>
    <w:rsid w:val="00FD4993"/>
    <w:rsid w:val="00FE019F"/>
    <w:rsid w:val="00FE02D7"/>
    <w:rsid w:val="00FF3E8E"/>
    <w:rsid w:val="010F1DA1"/>
    <w:rsid w:val="013C06BC"/>
    <w:rsid w:val="04020397"/>
    <w:rsid w:val="040E6340"/>
    <w:rsid w:val="04267B2D"/>
    <w:rsid w:val="047F723D"/>
    <w:rsid w:val="048E122E"/>
    <w:rsid w:val="05E80E12"/>
    <w:rsid w:val="060774EA"/>
    <w:rsid w:val="064160FC"/>
    <w:rsid w:val="065F10D4"/>
    <w:rsid w:val="072A7934"/>
    <w:rsid w:val="092B09F2"/>
    <w:rsid w:val="0A661AB2"/>
    <w:rsid w:val="0B183AF9"/>
    <w:rsid w:val="0B582596"/>
    <w:rsid w:val="0B662F05"/>
    <w:rsid w:val="107D48AD"/>
    <w:rsid w:val="10A03FC5"/>
    <w:rsid w:val="10C06C14"/>
    <w:rsid w:val="11EE5A02"/>
    <w:rsid w:val="11FC3C7B"/>
    <w:rsid w:val="122D3E57"/>
    <w:rsid w:val="123C0639"/>
    <w:rsid w:val="129E11D6"/>
    <w:rsid w:val="134B6B7F"/>
    <w:rsid w:val="136917E4"/>
    <w:rsid w:val="13970757"/>
    <w:rsid w:val="13BC5DB8"/>
    <w:rsid w:val="13D6674E"/>
    <w:rsid w:val="14DB36B0"/>
    <w:rsid w:val="152F152B"/>
    <w:rsid w:val="156319E3"/>
    <w:rsid w:val="158521DA"/>
    <w:rsid w:val="158F660A"/>
    <w:rsid w:val="15994099"/>
    <w:rsid w:val="15BD7ABA"/>
    <w:rsid w:val="17830EBC"/>
    <w:rsid w:val="17BB6387"/>
    <w:rsid w:val="18760D6C"/>
    <w:rsid w:val="1A1B63AD"/>
    <w:rsid w:val="1A2E1092"/>
    <w:rsid w:val="1AF66B5E"/>
    <w:rsid w:val="1B525FC6"/>
    <w:rsid w:val="1B9E7108"/>
    <w:rsid w:val="1BA333BA"/>
    <w:rsid w:val="1BA710FC"/>
    <w:rsid w:val="1BDE43F2"/>
    <w:rsid w:val="1C1105DE"/>
    <w:rsid w:val="1C1D13BE"/>
    <w:rsid w:val="1D4651FE"/>
    <w:rsid w:val="1D525097"/>
    <w:rsid w:val="1D5C7CC4"/>
    <w:rsid w:val="1D7E1483"/>
    <w:rsid w:val="1D9531D6"/>
    <w:rsid w:val="1E4569AA"/>
    <w:rsid w:val="1E4E1FC7"/>
    <w:rsid w:val="1E5866DD"/>
    <w:rsid w:val="1E5D0198"/>
    <w:rsid w:val="1E803E86"/>
    <w:rsid w:val="1E917E41"/>
    <w:rsid w:val="1E935967"/>
    <w:rsid w:val="1E9A6782"/>
    <w:rsid w:val="1E9D0594"/>
    <w:rsid w:val="1EDA1BAB"/>
    <w:rsid w:val="1F165C7A"/>
    <w:rsid w:val="1F374545"/>
    <w:rsid w:val="1F7C464D"/>
    <w:rsid w:val="1FAA019E"/>
    <w:rsid w:val="201828B7"/>
    <w:rsid w:val="204D5FEA"/>
    <w:rsid w:val="2076109D"/>
    <w:rsid w:val="216B6728"/>
    <w:rsid w:val="218850C1"/>
    <w:rsid w:val="21D807AC"/>
    <w:rsid w:val="22164990"/>
    <w:rsid w:val="22B81E40"/>
    <w:rsid w:val="23841D23"/>
    <w:rsid w:val="245625F3"/>
    <w:rsid w:val="24615D32"/>
    <w:rsid w:val="249B508A"/>
    <w:rsid w:val="250E3F9A"/>
    <w:rsid w:val="26414A37"/>
    <w:rsid w:val="268F110A"/>
    <w:rsid w:val="28C332ED"/>
    <w:rsid w:val="28FE4325"/>
    <w:rsid w:val="290132E8"/>
    <w:rsid w:val="2939535D"/>
    <w:rsid w:val="29451A67"/>
    <w:rsid w:val="296E3259"/>
    <w:rsid w:val="2A080B08"/>
    <w:rsid w:val="2AD47691"/>
    <w:rsid w:val="2B45448D"/>
    <w:rsid w:val="2BA207E4"/>
    <w:rsid w:val="2BCF1FA9"/>
    <w:rsid w:val="2C016985"/>
    <w:rsid w:val="2C1874AC"/>
    <w:rsid w:val="2C1F6A8C"/>
    <w:rsid w:val="2D360531"/>
    <w:rsid w:val="2E1662EC"/>
    <w:rsid w:val="2E56250D"/>
    <w:rsid w:val="2ED022C4"/>
    <w:rsid w:val="2EE47B19"/>
    <w:rsid w:val="2EF02A01"/>
    <w:rsid w:val="2F6F7D2B"/>
    <w:rsid w:val="2F9F771C"/>
    <w:rsid w:val="2FB15C4D"/>
    <w:rsid w:val="2FCC6F2B"/>
    <w:rsid w:val="30304425"/>
    <w:rsid w:val="30516896"/>
    <w:rsid w:val="30A25EDE"/>
    <w:rsid w:val="312608BD"/>
    <w:rsid w:val="3234700A"/>
    <w:rsid w:val="32764F2C"/>
    <w:rsid w:val="33FE342B"/>
    <w:rsid w:val="344243E9"/>
    <w:rsid w:val="34926DFC"/>
    <w:rsid w:val="34C865A9"/>
    <w:rsid w:val="357716E7"/>
    <w:rsid w:val="359278DE"/>
    <w:rsid w:val="35F8354B"/>
    <w:rsid w:val="36015455"/>
    <w:rsid w:val="366D46DB"/>
    <w:rsid w:val="36CA1CEB"/>
    <w:rsid w:val="37187E4C"/>
    <w:rsid w:val="389E51DD"/>
    <w:rsid w:val="38C735B6"/>
    <w:rsid w:val="391536F1"/>
    <w:rsid w:val="39A00D1B"/>
    <w:rsid w:val="39D709A6"/>
    <w:rsid w:val="3AEF1D20"/>
    <w:rsid w:val="3B9A1C8B"/>
    <w:rsid w:val="3BA40D5C"/>
    <w:rsid w:val="3D1141CF"/>
    <w:rsid w:val="3D2130C5"/>
    <w:rsid w:val="3D2757A1"/>
    <w:rsid w:val="3E495BEB"/>
    <w:rsid w:val="3EEA2F2A"/>
    <w:rsid w:val="3EF7319B"/>
    <w:rsid w:val="3F1A5214"/>
    <w:rsid w:val="402C1320"/>
    <w:rsid w:val="40320D42"/>
    <w:rsid w:val="403703F1"/>
    <w:rsid w:val="407C4366"/>
    <w:rsid w:val="40B27A77"/>
    <w:rsid w:val="4119275B"/>
    <w:rsid w:val="41321107"/>
    <w:rsid w:val="41397935"/>
    <w:rsid w:val="41517290"/>
    <w:rsid w:val="4191768D"/>
    <w:rsid w:val="41EB6EC2"/>
    <w:rsid w:val="425C413F"/>
    <w:rsid w:val="428752F8"/>
    <w:rsid w:val="43EC53C7"/>
    <w:rsid w:val="44CF1C88"/>
    <w:rsid w:val="44E26451"/>
    <w:rsid w:val="456A0C8B"/>
    <w:rsid w:val="45A83D91"/>
    <w:rsid w:val="45D71D2E"/>
    <w:rsid w:val="460F6CFA"/>
    <w:rsid w:val="46150332"/>
    <w:rsid w:val="461D3BE5"/>
    <w:rsid w:val="48A01467"/>
    <w:rsid w:val="497526AF"/>
    <w:rsid w:val="49827F74"/>
    <w:rsid w:val="49EB7B56"/>
    <w:rsid w:val="4A49144C"/>
    <w:rsid w:val="4A507E69"/>
    <w:rsid w:val="4A8C05F4"/>
    <w:rsid w:val="4AB663B6"/>
    <w:rsid w:val="4AD650FF"/>
    <w:rsid w:val="4B9761E7"/>
    <w:rsid w:val="4CE94821"/>
    <w:rsid w:val="4EDA733B"/>
    <w:rsid w:val="4EF35BE9"/>
    <w:rsid w:val="4F56108D"/>
    <w:rsid w:val="4F781E8C"/>
    <w:rsid w:val="4FB855E9"/>
    <w:rsid w:val="51AE428B"/>
    <w:rsid w:val="52C17AB5"/>
    <w:rsid w:val="536F3D88"/>
    <w:rsid w:val="54120070"/>
    <w:rsid w:val="5456436D"/>
    <w:rsid w:val="548046FA"/>
    <w:rsid w:val="54F14BBA"/>
    <w:rsid w:val="55747599"/>
    <w:rsid w:val="563A433F"/>
    <w:rsid w:val="56F97D56"/>
    <w:rsid w:val="5781368F"/>
    <w:rsid w:val="57C80253"/>
    <w:rsid w:val="57EE3633"/>
    <w:rsid w:val="58340C31"/>
    <w:rsid w:val="590429E2"/>
    <w:rsid w:val="59350DEE"/>
    <w:rsid w:val="5943175D"/>
    <w:rsid w:val="5A4F5EDF"/>
    <w:rsid w:val="5B490B80"/>
    <w:rsid w:val="5BB93169"/>
    <w:rsid w:val="5C771D72"/>
    <w:rsid w:val="5CE51E91"/>
    <w:rsid w:val="5D0E2082"/>
    <w:rsid w:val="5D172CE4"/>
    <w:rsid w:val="5D445AA3"/>
    <w:rsid w:val="5D9E51B4"/>
    <w:rsid w:val="5E0920C9"/>
    <w:rsid w:val="5E714676"/>
    <w:rsid w:val="5F807654"/>
    <w:rsid w:val="5FBA204D"/>
    <w:rsid w:val="60727B29"/>
    <w:rsid w:val="616B24B6"/>
    <w:rsid w:val="627E3A1C"/>
    <w:rsid w:val="62D35631"/>
    <w:rsid w:val="63585E05"/>
    <w:rsid w:val="635A1B7D"/>
    <w:rsid w:val="642C552C"/>
    <w:rsid w:val="64654C7D"/>
    <w:rsid w:val="6485697D"/>
    <w:rsid w:val="65893B33"/>
    <w:rsid w:val="6673003C"/>
    <w:rsid w:val="6674047E"/>
    <w:rsid w:val="66BF332A"/>
    <w:rsid w:val="67F04F8A"/>
    <w:rsid w:val="682D4F2F"/>
    <w:rsid w:val="6841330B"/>
    <w:rsid w:val="68650042"/>
    <w:rsid w:val="6873723D"/>
    <w:rsid w:val="68A11FFC"/>
    <w:rsid w:val="68A50F35"/>
    <w:rsid w:val="68D52EEA"/>
    <w:rsid w:val="68D60C33"/>
    <w:rsid w:val="6A070584"/>
    <w:rsid w:val="6A835E5D"/>
    <w:rsid w:val="6A9A4817"/>
    <w:rsid w:val="6ABE6E95"/>
    <w:rsid w:val="6B623CC4"/>
    <w:rsid w:val="6B9419A4"/>
    <w:rsid w:val="6D262AD0"/>
    <w:rsid w:val="6DDF784E"/>
    <w:rsid w:val="6E4F6056"/>
    <w:rsid w:val="6ED94654"/>
    <w:rsid w:val="6F1D3E1C"/>
    <w:rsid w:val="6FAC3760"/>
    <w:rsid w:val="70182BA3"/>
    <w:rsid w:val="71A40458"/>
    <w:rsid w:val="721101F2"/>
    <w:rsid w:val="725F0F5E"/>
    <w:rsid w:val="729D3834"/>
    <w:rsid w:val="73896CCE"/>
    <w:rsid w:val="73CD639B"/>
    <w:rsid w:val="742B4356"/>
    <w:rsid w:val="745A7D86"/>
    <w:rsid w:val="75437E7C"/>
    <w:rsid w:val="756A088D"/>
    <w:rsid w:val="75894543"/>
    <w:rsid w:val="75D369C2"/>
    <w:rsid w:val="76187FA1"/>
    <w:rsid w:val="777F58FA"/>
    <w:rsid w:val="779276DF"/>
    <w:rsid w:val="77EF68E0"/>
    <w:rsid w:val="78186422"/>
    <w:rsid w:val="7879264D"/>
    <w:rsid w:val="787943FB"/>
    <w:rsid w:val="78D67D52"/>
    <w:rsid w:val="7A4600FF"/>
    <w:rsid w:val="7B2E3BC3"/>
    <w:rsid w:val="7C02295A"/>
    <w:rsid w:val="7C356EF9"/>
    <w:rsid w:val="7CCA3477"/>
    <w:rsid w:val="7CE85A77"/>
    <w:rsid w:val="7E92782C"/>
    <w:rsid w:val="7E981D76"/>
    <w:rsid w:val="7EC32874"/>
    <w:rsid w:val="7F9F6E3D"/>
    <w:rsid w:val="7FB26619"/>
    <w:rsid w:val="7FD065BE"/>
  </w:rsids>
  <w:docVars>
    <w:docVar w:name="commondata" w:val="eyJoZGlkIjoiNWJkNmYxNTc5MzY0NzgzMDA0NDQ1MjBlMzc2ZGI1Zm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beforeAutospacing="1" w:afterAutospacing="1" w:line="400" w:lineRule="exact"/>
      <w:ind w:firstLine="883" w:firstLineChars="200"/>
      <w:jc w:val="left"/>
      <w:outlineLvl w:val="0"/>
    </w:pPr>
    <w:rPr>
      <w:rFonts w:ascii="Times New Roman" w:eastAsia="宋体" w:hAnsi="Times New Roman"/>
      <w:b/>
      <w:bCs/>
      <w:kern w:val="44"/>
      <w:sz w:val="30"/>
      <w:szCs w:val="44"/>
    </w:rPr>
  </w:style>
  <w:style w:type="paragraph" w:styleId="Heading2">
    <w:name w:val="heading 2"/>
    <w:basedOn w:val="Normal"/>
    <w:next w:val="Normal"/>
    <w:qFormat/>
    <w:pPr>
      <w:keepNext/>
      <w:keepLines/>
      <w:spacing w:beforeAutospacing="0" w:afterAutospacing="0" w:line="400" w:lineRule="exact"/>
      <w:ind w:firstLine="883" w:firstLineChars="200"/>
      <w:jc w:val="left"/>
      <w:outlineLvl w:val="1"/>
    </w:pPr>
    <w:rPr>
      <w:rFonts w:ascii="Arial" w:eastAsia="宋体" w:hAnsi="Arial"/>
      <w:b/>
      <w:bCs/>
      <w:sz w:val="28"/>
      <w:szCs w:val="32"/>
    </w:rPr>
  </w:style>
  <w:style w:type="paragraph" w:styleId="Heading3">
    <w:name w:val="heading 3"/>
    <w:basedOn w:val="Normal"/>
    <w:next w:val="Normal"/>
    <w:qFormat/>
    <w:pPr>
      <w:keepNext/>
      <w:keepLines/>
      <w:spacing w:line="400" w:lineRule="exact"/>
      <w:jc w:val="left"/>
      <w:outlineLvl w:val="2"/>
    </w:pPr>
    <w:rPr>
      <w:rFonts w:ascii="Times New Roman" w:eastAsia="楷体" w:hAnsi="Times New Roman"/>
      <w:b/>
      <w:bCs/>
      <w:sz w:val="24"/>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
    <w:name w:val="标题 1 字符"/>
    <w:link w:val="Heading1"/>
    <w:qFormat/>
    <w:rPr>
      <w:rFonts w:ascii="Times New Roman" w:eastAsia="宋体" w:hAnsi="Times New Roman"/>
      <w:b/>
      <w:bCs/>
      <w:kern w:val="44"/>
      <w:sz w:val="30"/>
      <w:szCs w:val="44"/>
    </w:rPr>
  </w:style>
  <w:style w:type="paragraph" w:styleId="NormalIndent">
    <w:name w:val="Normal Indent"/>
    <w:basedOn w:val="Normal"/>
    <w:pPr>
      <w:ind w:firstLine="420"/>
    </w:pPr>
    <w:rPr>
      <w:szCs w:val="20"/>
    </w:rPr>
  </w:style>
  <w:style w:type="paragraph" w:styleId="CommentText">
    <w:name w:val="annotation text"/>
    <w:basedOn w:val="Normal"/>
    <w:pPr>
      <w:jc w:val="left"/>
    </w:pPr>
  </w:style>
  <w:style w:type="paragraph" w:styleId="BodyText">
    <w:name w:val="Body Text"/>
    <w:basedOn w:val="Normal"/>
    <w:uiPriority w:val="99"/>
    <w:unhideWhenUsed/>
    <w:qFormat/>
    <w:pPr>
      <w:spacing w:after="120"/>
    </w:pPr>
  </w:style>
  <w:style w:type="paragraph" w:styleId="TOC3">
    <w:name w:val="toc 3"/>
    <w:basedOn w:val="Normal"/>
    <w:next w:val="Normal"/>
    <w:pPr>
      <w:tabs>
        <w:tab w:val="right" w:leader="dot" w:pos="8302"/>
      </w:tabs>
      <w:spacing w:line="360" w:lineRule="auto"/>
      <w:ind w:left="840" w:firstLine="59" w:leftChars="400" w:firstLineChars="28"/>
    </w:pPr>
  </w:style>
  <w:style w:type="paragraph" w:styleId="PlainText">
    <w:name w:val="Plain Text"/>
    <w:basedOn w:val="Normal"/>
    <w:rPr>
      <w:rFonts w:ascii="宋体" w:hAnsi="Courier New" w:cs="Courier New"/>
      <w:szCs w:val="21"/>
    </w:rPr>
  </w:style>
  <w:style w:type="paragraph" w:styleId="Date">
    <w:name w:val="Date"/>
    <w:basedOn w:val="Normal"/>
    <w:next w:val="Normal"/>
    <w:pPr>
      <w:ind w:left="100" w:leftChars="2500"/>
    </w:pPr>
    <w:rPr>
      <w:rFonts w:ascii="隶书" w:eastAsia="隶书" w:hAnsi="Courier New"/>
      <w:sz w:val="44"/>
      <w:szCs w:val="20"/>
    </w:rPr>
  </w:style>
  <w:style w:type="paragraph" w:styleId="BodyTextIndent2">
    <w:name w:val="Body Text Indent 2"/>
    <w:basedOn w:val="Normal"/>
    <w:pPr>
      <w:widowControl/>
      <w:spacing w:before="100" w:beforeAutospacing="1" w:after="10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pPr>
      <w:spacing w:line="360" w:lineRule="auto"/>
    </w:pPr>
    <w:rPr>
      <w:sz w:val="24"/>
    </w:rPr>
  </w:style>
  <w:style w:type="paragraph" w:styleId="FootnoteText">
    <w:name w:val="footnote text"/>
    <w:basedOn w:val="Normal"/>
    <w:pPr>
      <w:snapToGrid w:val="0"/>
      <w:jc w:val="left"/>
    </w:pPr>
    <w:rPr>
      <w:sz w:val="18"/>
    </w:rPr>
  </w:style>
  <w:style w:type="paragraph" w:styleId="TOC2">
    <w:name w:val="toc 2"/>
    <w:basedOn w:val="Normal"/>
    <w:next w:val="Normal"/>
    <w:semiHidden/>
    <w:pPr>
      <w:spacing w:line="360" w:lineRule="auto"/>
      <w:ind w:left="200" w:leftChars="200"/>
    </w:pPr>
    <w:rPr>
      <w:sz w:val="24"/>
    </w:rPr>
  </w:style>
  <w:style w:type="paragraph" w:styleId="Title">
    <w:name w:val="Title"/>
    <w:basedOn w:val="Normal"/>
    <w:next w:val="Normal"/>
    <w:link w:val="Char"/>
    <w:qFormat/>
    <w:pPr>
      <w:spacing w:before="240" w:beforeLines="0" w:beforeAutospacing="0" w:after="60" w:afterLines="0" w:afterAutospacing="0"/>
      <w:jc w:val="center"/>
      <w:outlineLvl w:val="0"/>
    </w:pPr>
    <w:rPr>
      <w:rFonts w:ascii="Arial" w:hAnsi="Arial"/>
      <w:b/>
      <w:sz w:val="32"/>
    </w:rPr>
  </w:style>
  <w:style w:type="character" w:customStyle="1" w:styleId="Char">
    <w:name w:val="标题 Char"/>
    <w:link w:val="Title"/>
    <w:rPr>
      <w:rFonts w:ascii="Arial" w:hAnsi="Arial"/>
      <w:b/>
      <w:sz w:val="32"/>
    </w:rPr>
  </w:style>
  <w:style w:type="paragraph" w:styleId="BodyTextFirstIndent">
    <w:name w:val="Body Text First Indent"/>
    <w:basedOn w:val="BodyText"/>
    <w:uiPriority w:val="99"/>
    <w:unhideWhenUsed/>
    <w:qFormat/>
    <w:pPr>
      <w:ind w:firstLine="420" w:firstLineChars="10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basedOn w:val="DefaultParagraphFont"/>
    <w:rPr>
      <w:color w:val="003468"/>
      <w:u w:val="none"/>
    </w:rPr>
  </w:style>
  <w:style w:type="character" w:styleId="FootnoteReference">
    <w:name w:val="footnote reference"/>
    <w:basedOn w:val="DefaultParagraphFont"/>
    <w:rPr>
      <w:vertAlign w:val="superscript"/>
    </w:rPr>
  </w:style>
  <w:style w:type="paragraph" w:customStyle="1" w:styleId="ordinary-output">
    <w:name w:val="ordinary-output"/>
    <w:basedOn w:val="Normal"/>
    <w:pPr>
      <w:widowControl/>
      <w:spacing w:before="100" w:beforeAutospacing="1" w:after="75" w:line="330" w:lineRule="atLeast"/>
      <w:jc w:val="left"/>
    </w:pPr>
    <w:rPr>
      <w:rFonts w:ascii="宋体" w:eastAsia="宋体" w:hAnsi="宋体" w:cs="宋体"/>
      <w:color w:val="333333"/>
      <w:kern w:val="0"/>
      <w:sz w:val="27"/>
      <w:szCs w:val="27"/>
    </w:rPr>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 w:type="paragraph" w:customStyle="1" w:styleId="WPSOffice3">
    <w:name w:val="WPSOffice手动目录 3"/>
    <w:pPr>
      <w:ind w:leftChars="400"/>
    </w:pPr>
    <w:rPr>
      <w:sz w:val="20"/>
      <w:szCs w:val="20"/>
    </w:rPr>
  </w:style>
  <w:style w:type="character" w:customStyle="1" w:styleId="top1">
    <w:name w:val="top1"/>
    <w:basedOn w:val="DefaultParagraphFont"/>
    <w:qFormat/>
    <w:rPr>
      <w:color w:val="003366"/>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footer" Target="footer3.xml" /><Relationship Id="rId13" Type="http://schemas.openxmlformats.org/officeDocument/2006/relationships/header" Target="header6.xml" /><Relationship Id="rId14" Type="http://schemas.openxmlformats.org/officeDocument/2006/relationships/footer" Target="footer4.xml" /><Relationship Id="rId15" Type="http://schemas.openxmlformats.org/officeDocument/2006/relationships/header" Target="header7.xml" /><Relationship Id="rId16" Type="http://schemas.openxmlformats.org/officeDocument/2006/relationships/footer" Target="footer5.xml" /><Relationship Id="rId17" Type="http://schemas.openxmlformats.org/officeDocument/2006/relationships/header" Target="header8.xml" /><Relationship Id="rId18" Type="http://schemas.openxmlformats.org/officeDocument/2006/relationships/footer" Target="footer6.xml" /><Relationship Id="rId19" Type="http://schemas.openxmlformats.org/officeDocument/2006/relationships/header" Target="header9.xml" /><Relationship Id="rId2" Type="http://schemas.openxmlformats.org/officeDocument/2006/relationships/settings" Target="settings.xml" /><Relationship Id="rId20" Type="http://schemas.openxmlformats.org/officeDocument/2006/relationships/footer" Target="footer7.xml" /><Relationship Id="rId21" Type="http://schemas.openxmlformats.org/officeDocument/2006/relationships/header" Target="header10.xml" /><Relationship Id="rId22" Type="http://schemas.openxmlformats.org/officeDocument/2006/relationships/footer" Target="footer8.xml" /><Relationship Id="rId23" Type="http://schemas.openxmlformats.org/officeDocument/2006/relationships/header" Target="header11.xml" /><Relationship Id="rId24" Type="http://schemas.openxmlformats.org/officeDocument/2006/relationships/footer" Target="footer9.xml" /><Relationship Id="rId25" Type="http://schemas.openxmlformats.org/officeDocument/2006/relationships/header" Target="header12.xml" /><Relationship Id="rId26" Type="http://schemas.openxmlformats.org/officeDocument/2006/relationships/footer" Target="footer10.xml" /><Relationship Id="rId27" Type="http://schemas.openxmlformats.org/officeDocument/2006/relationships/header" Target="header13.xml" /><Relationship Id="rId28" Type="http://schemas.openxmlformats.org/officeDocument/2006/relationships/footer" Target="footer11.xml" /><Relationship Id="rId29" Type="http://schemas.openxmlformats.org/officeDocument/2006/relationships/header" Target="header14.xml" /><Relationship Id="rId3" Type="http://schemas.openxmlformats.org/officeDocument/2006/relationships/webSettings" Target="webSettings.xml" /><Relationship Id="rId30" Type="http://schemas.openxmlformats.org/officeDocument/2006/relationships/footer" Target="footer12.xml" /><Relationship Id="rId31" Type="http://schemas.openxmlformats.org/officeDocument/2006/relationships/header" Target="header15.xml" /><Relationship Id="rId32" Type="http://schemas.openxmlformats.org/officeDocument/2006/relationships/footer" Target="footer13.xml" /><Relationship Id="rId33" Type="http://schemas.openxmlformats.org/officeDocument/2006/relationships/header" Target="header16.xml" /><Relationship Id="rId34" Type="http://schemas.openxmlformats.org/officeDocument/2006/relationships/footer" Target="footer14.xml" /><Relationship Id="rId35" Type="http://schemas.openxmlformats.org/officeDocument/2006/relationships/header" Target="header17.xml" /><Relationship Id="rId36" Type="http://schemas.openxmlformats.org/officeDocument/2006/relationships/footer" Target="footer15.xml" /><Relationship Id="rId37" Type="http://schemas.openxmlformats.org/officeDocument/2006/relationships/header" Target="header18.xml" /><Relationship Id="rId38" Type="http://schemas.openxmlformats.org/officeDocument/2006/relationships/footer" Target="footer16.xml" /><Relationship Id="rId39" Type="http://schemas.openxmlformats.org/officeDocument/2006/relationships/header" Target="header19.xml" /><Relationship Id="rId4" Type="http://schemas.openxmlformats.org/officeDocument/2006/relationships/fontTable" Target="fontTable.xml" /><Relationship Id="rId40" Type="http://schemas.openxmlformats.org/officeDocument/2006/relationships/footer" Target="footer17.xml" /><Relationship Id="rId41" Type="http://schemas.openxmlformats.org/officeDocument/2006/relationships/header" Target="header20.xml" /><Relationship Id="rId42" Type="http://schemas.openxmlformats.org/officeDocument/2006/relationships/footer" Target="footer18.xml" /><Relationship Id="rId43" Type="http://schemas.openxmlformats.org/officeDocument/2006/relationships/hyperlink" Target="https://d.book118.com/776110035203010055" TargetMode="External" /><Relationship Id="rId44" Type="http://schemas.openxmlformats.org/officeDocument/2006/relationships/header" Target="header21.xml" /><Relationship Id="rId45" Type="http://schemas.openxmlformats.org/officeDocument/2006/relationships/footer" Target="footer19.xml" /><Relationship Id="rId46" Type="http://schemas.openxmlformats.org/officeDocument/2006/relationships/header" Target="header22.xml" /><Relationship Id="rId47" Type="http://schemas.openxmlformats.org/officeDocument/2006/relationships/footer" Target="footer20.xml" /><Relationship Id="rId48" Type="http://schemas.openxmlformats.org/officeDocument/2006/relationships/theme" Target="theme/theme1.xml" /><Relationship Id="rId49" Type="http://schemas.openxmlformats.org/officeDocument/2006/relationships/numbering" Target="numbering.xml" /><Relationship Id="rId5" Type="http://schemas.openxmlformats.org/officeDocument/2006/relationships/header" Target="header1.xml" /><Relationship Id="rId50" Type="http://schemas.openxmlformats.org/officeDocument/2006/relationships/styles" Target="styles.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1.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157257600</TotalTime>
  <Pages>12</Pages>
  <Words>12451</Words>
  <Characters>14083</Characters>
  <Application>Microsoft Office Word</Application>
  <DocSecurity>0</DocSecurity>
  <Lines>90</Lines>
  <Paragraphs>25</Paragraphs>
  <ScaleCrop>false</ScaleCrop>
  <Company>on</Company>
  <LinksUpToDate>false</LinksUpToDate>
  <CharactersWithSpaces>14504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中国地质大学北京网络教育学院</dc:title>
  <dc:subject>毕业论文写作要求（本科）</dc:subject>
  <dc:creator>zjz</dc:creator>
  <cp:lastModifiedBy>貓.</cp:lastModifiedBy>
  <cp:revision>2</cp:revision>
  <dcterms:created xsi:type="dcterms:W3CDTF">2007-07-12T08:14:00Z</dcterms:created>
  <dcterms:modified xsi:type="dcterms:W3CDTF">2023-10-17T12:51:46Z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B40F8783FE8D4B3683B483ECAAC1FA9A_13</vt:lpwstr>
  </property>
  <property fmtid="{D5CDD505-2E9C-101B-9397-08002B2CF9AE}" pid="3" name="KSOProductBuildVer">
    <vt:lpwstr>2052-12.1.0.15712</vt:lpwstr>
  </property>
  <property fmtid="{D5CDD505-2E9C-101B-9397-08002B2CF9AE}" pid="4" name="KSORubyTemplateID">
    <vt:lpwstr>6</vt:lpwstr>
  </property>
</Properties>
</file>