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真空助力器项目概述报告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578" w:history="1">
        <w:r>
          <w:rPr>
            <w:rFonts w:ascii="仿宋" w:eastAsia="仿宋" w:hAnsi="仿宋" w:cs="仿宋" w:hint="eastAsia"/>
            <w:lang w:eastAsia="zh-CN"/>
          </w:rPr>
          <w:t>概论</w:t>
        </w:r>
        <w:r>
          <w:tab/>
        </w:r>
        <w:r>
          <w:fldChar w:fldCharType="begin"/>
        </w:r>
        <w:r>
          <w:instrText xml:space="preserve"> PAGEREF _Toc18578 \h </w:instrText>
        </w:r>
        <w:r>
          <w:fldChar w:fldCharType="separate"/>
        </w:r>
        <w:r>
          <w:t>3</w:t>
        </w:r>
        <w:r>
          <w:fldChar w:fldCharType="end"/>
        </w:r>
      </w:hyperlink>
    </w:p>
    <w:p>
      <w:pPr>
        <w:pStyle w:val="TOC1"/>
        <w:tabs>
          <w:tab w:val="right" w:leader="dot" w:pos="8306"/>
        </w:tabs>
      </w:pPr>
      <w:hyperlink w:anchor="_Toc25040" w:history="1">
        <w:r>
          <w:rPr>
            <w:rFonts w:ascii="仿宋" w:eastAsia="仿宋" w:hAnsi="仿宋" w:cs="仿宋" w:hint="eastAsia"/>
            <w:lang w:eastAsia="zh-CN"/>
          </w:rPr>
          <w:t>一、真空助力器项目选址说明</w:t>
        </w:r>
        <w:r>
          <w:tab/>
        </w:r>
        <w:r>
          <w:fldChar w:fldCharType="begin"/>
        </w:r>
        <w:r>
          <w:instrText xml:space="preserve"> PAGEREF _Toc25040 \h </w:instrText>
        </w:r>
        <w:r>
          <w:fldChar w:fldCharType="separate"/>
        </w:r>
        <w:r>
          <w:t>3</w:t>
        </w:r>
        <w:r>
          <w:fldChar w:fldCharType="end"/>
        </w:r>
      </w:hyperlink>
    </w:p>
    <w:p>
      <w:pPr>
        <w:pStyle w:val="TOC2"/>
        <w:tabs>
          <w:tab w:val="right" w:leader="dot" w:pos="8306"/>
        </w:tabs>
      </w:pPr>
      <w:hyperlink w:anchor="_Toc5495" w:history="1">
        <w:r>
          <w:rPr>
            <w:rFonts w:ascii="仿宋" w:eastAsia="仿宋" w:hAnsi="仿宋" w:cs="仿宋" w:hint="eastAsia"/>
            <w:lang w:eastAsia="zh-CN"/>
          </w:rPr>
          <w:t>(一)、真空助力器项目选址</w:t>
        </w:r>
        <w:r>
          <w:tab/>
        </w:r>
        <w:r>
          <w:fldChar w:fldCharType="begin"/>
        </w:r>
        <w:r>
          <w:instrText xml:space="preserve"> PAGEREF _Toc5495 \h </w:instrText>
        </w:r>
        <w:r>
          <w:fldChar w:fldCharType="separate"/>
        </w:r>
        <w:r>
          <w:t>3</w:t>
        </w:r>
        <w:r>
          <w:fldChar w:fldCharType="end"/>
        </w:r>
      </w:hyperlink>
    </w:p>
    <w:p>
      <w:pPr>
        <w:pStyle w:val="TOC2"/>
        <w:tabs>
          <w:tab w:val="right" w:leader="dot" w:pos="8306"/>
        </w:tabs>
      </w:pPr>
      <w:hyperlink w:anchor="_Toc27855" w:history="1">
        <w:r>
          <w:rPr>
            <w:rFonts w:ascii="仿宋" w:eastAsia="仿宋" w:hAnsi="仿宋" w:cs="仿宋" w:hint="eastAsia"/>
            <w:lang w:eastAsia="zh-CN"/>
          </w:rPr>
          <w:t>(二)、用地控制指标</w:t>
        </w:r>
        <w:r>
          <w:tab/>
        </w:r>
        <w:r>
          <w:fldChar w:fldCharType="begin"/>
        </w:r>
        <w:r>
          <w:instrText xml:space="preserve"> PAGEREF _Toc27855 \h </w:instrText>
        </w:r>
        <w:r>
          <w:fldChar w:fldCharType="separate"/>
        </w:r>
        <w:r>
          <w:t>4</w:t>
        </w:r>
        <w:r>
          <w:fldChar w:fldCharType="end"/>
        </w:r>
      </w:hyperlink>
    </w:p>
    <w:p>
      <w:pPr>
        <w:pStyle w:val="TOC2"/>
        <w:tabs>
          <w:tab w:val="right" w:leader="dot" w:pos="8306"/>
        </w:tabs>
      </w:pPr>
      <w:hyperlink w:anchor="_Toc32401" w:history="1">
        <w:r>
          <w:rPr>
            <w:rFonts w:ascii="仿宋" w:eastAsia="仿宋" w:hAnsi="仿宋" w:cs="仿宋" w:hint="eastAsia"/>
            <w:lang w:eastAsia="zh-CN"/>
          </w:rPr>
          <w:t>(三)、节约用地措施</w:t>
        </w:r>
        <w:r>
          <w:tab/>
        </w:r>
        <w:r>
          <w:fldChar w:fldCharType="begin"/>
        </w:r>
        <w:r>
          <w:instrText xml:space="preserve"> PAGEREF _Toc32401 \h </w:instrText>
        </w:r>
        <w:r>
          <w:fldChar w:fldCharType="separate"/>
        </w:r>
        <w:r>
          <w:t>4</w:t>
        </w:r>
        <w:r>
          <w:fldChar w:fldCharType="end"/>
        </w:r>
      </w:hyperlink>
    </w:p>
    <w:p>
      <w:pPr>
        <w:pStyle w:val="TOC2"/>
        <w:tabs>
          <w:tab w:val="right" w:leader="dot" w:pos="8306"/>
        </w:tabs>
      </w:pPr>
      <w:hyperlink w:anchor="_Toc30166" w:history="1">
        <w:r>
          <w:rPr>
            <w:rFonts w:ascii="仿宋" w:eastAsia="仿宋" w:hAnsi="仿宋" w:cs="仿宋" w:hint="eastAsia"/>
            <w:lang w:eastAsia="zh-CN"/>
          </w:rPr>
          <w:t>(四)、总图布置方案</w:t>
        </w:r>
        <w:r>
          <w:tab/>
        </w:r>
        <w:r>
          <w:fldChar w:fldCharType="begin"/>
        </w:r>
        <w:r>
          <w:instrText xml:space="preserve"> PAGEREF _Toc30166 \h </w:instrText>
        </w:r>
        <w:r>
          <w:fldChar w:fldCharType="separate"/>
        </w:r>
        <w:r>
          <w:t>5</w:t>
        </w:r>
        <w:r>
          <w:fldChar w:fldCharType="end"/>
        </w:r>
      </w:hyperlink>
    </w:p>
    <w:p>
      <w:pPr>
        <w:pStyle w:val="TOC2"/>
        <w:tabs>
          <w:tab w:val="right" w:leader="dot" w:pos="8306"/>
        </w:tabs>
      </w:pPr>
      <w:hyperlink w:anchor="_Toc28310" w:history="1">
        <w:r>
          <w:rPr>
            <w:rFonts w:ascii="仿宋" w:eastAsia="仿宋" w:hAnsi="仿宋" w:cs="仿宋" w:hint="eastAsia"/>
            <w:lang w:eastAsia="zh-CN"/>
          </w:rPr>
          <w:t>(五)、选址综合评价</w:t>
        </w:r>
        <w:r>
          <w:tab/>
        </w:r>
        <w:r>
          <w:fldChar w:fldCharType="begin"/>
        </w:r>
        <w:r>
          <w:instrText xml:space="preserve"> PAGEREF _Toc28310 \h </w:instrText>
        </w:r>
        <w:r>
          <w:fldChar w:fldCharType="separate"/>
        </w:r>
        <w:r>
          <w:t>6</w:t>
        </w:r>
        <w:r>
          <w:fldChar w:fldCharType="end"/>
        </w:r>
      </w:hyperlink>
    </w:p>
    <w:p>
      <w:pPr>
        <w:pStyle w:val="TOC1"/>
        <w:tabs>
          <w:tab w:val="right" w:leader="dot" w:pos="8306"/>
        </w:tabs>
      </w:pPr>
      <w:hyperlink w:anchor="_Toc31772" w:history="1">
        <w:r>
          <w:rPr>
            <w:rFonts w:ascii="仿宋" w:eastAsia="仿宋" w:hAnsi="仿宋" w:cs="仿宋" w:hint="eastAsia"/>
            <w:lang w:eastAsia="zh-CN"/>
          </w:rPr>
          <w:t>二、建设单位基本信息</w:t>
        </w:r>
        <w:r>
          <w:tab/>
        </w:r>
        <w:r>
          <w:fldChar w:fldCharType="begin"/>
        </w:r>
        <w:r>
          <w:instrText xml:space="preserve"> PAGEREF _Toc31772 \h </w:instrText>
        </w:r>
        <w:r>
          <w:fldChar w:fldCharType="separate"/>
        </w:r>
        <w:r>
          <w:t>8</w:t>
        </w:r>
        <w:r>
          <w:fldChar w:fldCharType="end"/>
        </w:r>
      </w:hyperlink>
    </w:p>
    <w:p>
      <w:pPr>
        <w:pStyle w:val="TOC2"/>
        <w:tabs>
          <w:tab w:val="right" w:leader="dot" w:pos="8306"/>
        </w:tabs>
      </w:pPr>
      <w:hyperlink w:anchor="_Toc29162" w:history="1">
        <w:r>
          <w:rPr>
            <w:rFonts w:ascii="仿宋" w:eastAsia="仿宋" w:hAnsi="仿宋" w:cs="仿宋" w:hint="eastAsia"/>
            <w:lang w:eastAsia="zh-CN"/>
          </w:rPr>
          <w:t>(一)、真空助力器项目承办单位基本情况</w:t>
        </w:r>
        <w:r>
          <w:tab/>
        </w:r>
        <w:r>
          <w:fldChar w:fldCharType="begin"/>
        </w:r>
        <w:r>
          <w:instrText xml:space="preserve"> PAGEREF _Toc29162 \h </w:instrText>
        </w:r>
        <w:r>
          <w:fldChar w:fldCharType="separate"/>
        </w:r>
        <w:r>
          <w:t>8</w:t>
        </w:r>
        <w:r>
          <w:fldChar w:fldCharType="end"/>
        </w:r>
      </w:hyperlink>
    </w:p>
    <w:p>
      <w:pPr>
        <w:pStyle w:val="TOC2"/>
        <w:tabs>
          <w:tab w:val="right" w:leader="dot" w:pos="8306"/>
        </w:tabs>
      </w:pPr>
      <w:hyperlink w:anchor="_Toc25683" w:history="1">
        <w:r>
          <w:rPr>
            <w:rFonts w:ascii="仿宋" w:eastAsia="仿宋" w:hAnsi="仿宋" w:cs="仿宋" w:hint="eastAsia"/>
            <w:lang w:eastAsia="zh-CN"/>
          </w:rPr>
          <w:t>(二)、公司经济效益分析</w:t>
        </w:r>
        <w:r>
          <w:tab/>
        </w:r>
        <w:r>
          <w:fldChar w:fldCharType="begin"/>
        </w:r>
        <w:r>
          <w:instrText xml:space="preserve"> PAGEREF _Toc25683 \h </w:instrText>
        </w:r>
        <w:r>
          <w:fldChar w:fldCharType="separate"/>
        </w:r>
        <w:r>
          <w:t>9</w:t>
        </w:r>
        <w:r>
          <w:fldChar w:fldCharType="end"/>
        </w:r>
      </w:hyperlink>
    </w:p>
    <w:p>
      <w:pPr>
        <w:pStyle w:val="TOC1"/>
        <w:tabs>
          <w:tab w:val="right" w:leader="dot" w:pos="8306"/>
        </w:tabs>
      </w:pPr>
      <w:hyperlink w:anchor="_Toc17614" w:history="1">
        <w:r>
          <w:rPr>
            <w:rFonts w:ascii="仿宋" w:eastAsia="仿宋" w:hAnsi="仿宋" w:cs="仿宋" w:hint="eastAsia"/>
            <w:lang w:eastAsia="zh-CN"/>
          </w:rPr>
          <w:t>三、工艺分析</w:t>
        </w:r>
        <w:r>
          <w:tab/>
        </w:r>
        <w:r>
          <w:fldChar w:fldCharType="begin"/>
        </w:r>
        <w:r>
          <w:instrText xml:space="preserve"> PAGEREF _Toc17614 \h </w:instrText>
        </w:r>
        <w:r>
          <w:fldChar w:fldCharType="separate"/>
        </w:r>
        <w:r>
          <w:t>11</w:t>
        </w:r>
        <w:r>
          <w:fldChar w:fldCharType="end"/>
        </w:r>
      </w:hyperlink>
    </w:p>
    <w:p>
      <w:pPr>
        <w:pStyle w:val="TOC2"/>
        <w:tabs>
          <w:tab w:val="right" w:leader="dot" w:pos="8306"/>
        </w:tabs>
      </w:pPr>
      <w:hyperlink w:anchor="_Toc8873" w:history="1">
        <w:r>
          <w:rPr>
            <w:rFonts w:ascii="仿宋" w:eastAsia="仿宋" w:hAnsi="仿宋" w:cs="仿宋" w:hint="eastAsia"/>
            <w:lang w:eastAsia="zh-CN"/>
          </w:rPr>
          <w:t>(一)、技术管理特点</w:t>
        </w:r>
        <w:r>
          <w:tab/>
        </w:r>
        <w:r>
          <w:fldChar w:fldCharType="begin"/>
        </w:r>
        <w:r>
          <w:instrText xml:space="preserve"> PAGEREF _Toc8873 \h </w:instrText>
        </w:r>
        <w:r>
          <w:fldChar w:fldCharType="separate"/>
        </w:r>
        <w:r>
          <w:t>11</w:t>
        </w:r>
        <w:r>
          <w:fldChar w:fldCharType="end"/>
        </w:r>
      </w:hyperlink>
    </w:p>
    <w:p>
      <w:pPr>
        <w:pStyle w:val="TOC2"/>
        <w:tabs>
          <w:tab w:val="right" w:leader="dot" w:pos="8306"/>
        </w:tabs>
      </w:pPr>
      <w:hyperlink w:anchor="_Toc22500" w:history="1">
        <w:r>
          <w:rPr>
            <w:rFonts w:ascii="仿宋" w:eastAsia="仿宋" w:hAnsi="仿宋" w:cs="仿宋" w:hint="eastAsia"/>
            <w:lang w:eastAsia="zh-CN"/>
          </w:rPr>
          <w:t>(二)、真空助力器项目工艺技术设计方案</w:t>
        </w:r>
        <w:r>
          <w:tab/>
        </w:r>
        <w:r>
          <w:fldChar w:fldCharType="begin"/>
        </w:r>
        <w:r>
          <w:instrText xml:space="preserve"> PAGEREF _Toc22500 \h </w:instrText>
        </w:r>
        <w:r>
          <w:fldChar w:fldCharType="separate"/>
        </w:r>
        <w:r>
          <w:t>11</w:t>
        </w:r>
        <w:r>
          <w:fldChar w:fldCharType="end"/>
        </w:r>
      </w:hyperlink>
    </w:p>
    <w:p>
      <w:pPr>
        <w:pStyle w:val="TOC2"/>
        <w:tabs>
          <w:tab w:val="right" w:leader="dot" w:pos="8306"/>
        </w:tabs>
      </w:pPr>
      <w:hyperlink w:anchor="_Toc9658" w:history="1">
        <w:r>
          <w:rPr>
            <w:rFonts w:ascii="仿宋" w:eastAsia="仿宋" w:hAnsi="仿宋" w:cs="仿宋" w:hint="eastAsia"/>
            <w:lang w:eastAsia="zh-CN"/>
          </w:rPr>
          <w:t>(三)、设备选型方案</w:t>
        </w:r>
        <w:r>
          <w:tab/>
        </w:r>
        <w:r>
          <w:fldChar w:fldCharType="begin"/>
        </w:r>
        <w:r>
          <w:instrText xml:space="preserve"> PAGEREF _Toc9658 \h </w:instrText>
        </w:r>
        <w:r>
          <w:fldChar w:fldCharType="separate"/>
        </w:r>
        <w:r>
          <w:t>12</w:t>
        </w:r>
        <w:r>
          <w:fldChar w:fldCharType="end"/>
        </w:r>
      </w:hyperlink>
    </w:p>
    <w:p>
      <w:pPr>
        <w:pStyle w:val="TOC1"/>
        <w:tabs>
          <w:tab w:val="right" w:leader="dot" w:pos="8306"/>
        </w:tabs>
      </w:pPr>
      <w:hyperlink w:anchor="_Toc9686" w:history="1">
        <w:r>
          <w:rPr>
            <w:rFonts w:ascii="仿宋" w:eastAsia="仿宋" w:hAnsi="仿宋" w:cs="仿宋" w:hint="eastAsia"/>
            <w:lang w:eastAsia="zh-CN"/>
          </w:rPr>
          <w:t>四、真空助力器项目市场前景分析</w:t>
        </w:r>
        <w:r>
          <w:tab/>
        </w:r>
        <w:r>
          <w:fldChar w:fldCharType="begin"/>
        </w:r>
        <w:r>
          <w:instrText xml:space="preserve"> PAGEREF _Toc9686 \h </w:instrText>
        </w:r>
        <w:r>
          <w:fldChar w:fldCharType="separate"/>
        </w:r>
        <w:r>
          <w:t>13</w:t>
        </w:r>
        <w:r>
          <w:fldChar w:fldCharType="end"/>
        </w:r>
      </w:hyperlink>
    </w:p>
    <w:p>
      <w:pPr>
        <w:pStyle w:val="TOC2"/>
        <w:tabs>
          <w:tab w:val="right" w:leader="dot" w:pos="8306"/>
        </w:tabs>
      </w:pPr>
      <w:hyperlink w:anchor="_Toc4638" w:history="1">
        <w:r>
          <w:rPr>
            <w:rFonts w:ascii="仿宋" w:eastAsia="仿宋" w:hAnsi="仿宋" w:cs="仿宋" w:hint="eastAsia"/>
            <w:lang w:eastAsia="zh-CN"/>
          </w:rPr>
          <w:t>(一)、建设地经济发展概况</w:t>
        </w:r>
        <w:r>
          <w:tab/>
        </w:r>
        <w:r>
          <w:fldChar w:fldCharType="begin"/>
        </w:r>
        <w:r>
          <w:instrText xml:space="preserve"> PAGEREF _Toc4638 \h </w:instrText>
        </w:r>
        <w:r>
          <w:fldChar w:fldCharType="separate"/>
        </w:r>
        <w:r>
          <w:t>13</w:t>
        </w:r>
        <w:r>
          <w:fldChar w:fldCharType="end"/>
        </w:r>
      </w:hyperlink>
    </w:p>
    <w:p>
      <w:pPr>
        <w:pStyle w:val="TOC2"/>
        <w:tabs>
          <w:tab w:val="right" w:leader="dot" w:pos="8306"/>
        </w:tabs>
      </w:pPr>
      <w:hyperlink w:anchor="_Toc19230" w:history="1">
        <w:r>
          <w:rPr>
            <w:rFonts w:ascii="仿宋" w:eastAsia="仿宋" w:hAnsi="仿宋" w:cs="仿宋" w:hint="eastAsia"/>
            <w:lang w:eastAsia="zh-CN"/>
          </w:rPr>
          <w:t>(二)、行业市场分析</w:t>
        </w:r>
        <w:r>
          <w:tab/>
        </w:r>
        <w:r>
          <w:fldChar w:fldCharType="begin"/>
        </w:r>
        <w:r>
          <w:instrText xml:space="preserve"> PAGEREF _Toc19230 \h </w:instrText>
        </w:r>
        <w:r>
          <w:fldChar w:fldCharType="separate"/>
        </w:r>
        <w:r>
          <w:t>15</w:t>
        </w:r>
        <w:r>
          <w:fldChar w:fldCharType="end"/>
        </w:r>
      </w:hyperlink>
    </w:p>
    <w:p>
      <w:pPr>
        <w:pStyle w:val="TOC1"/>
        <w:tabs>
          <w:tab w:val="right" w:leader="dot" w:pos="8306"/>
        </w:tabs>
      </w:pPr>
      <w:hyperlink w:anchor="_Toc7045" w:history="1">
        <w:r>
          <w:rPr>
            <w:rFonts w:ascii="仿宋" w:eastAsia="仿宋" w:hAnsi="仿宋" w:cs="仿宋" w:hint="eastAsia"/>
            <w:lang w:eastAsia="zh-CN"/>
          </w:rPr>
          <w:t>五、员工福利与企业文化</w:t>
        </w:r>
        <w:r>
          <w:tab/>
        </w:r>
        <w:r>
          <w:fldChar w:fldCharType="begin"/>
        </w:r>
        <w:r>
          <w:instrText xml:space="preserve"> PAGEREF _Toc7045 \h </w:instrText>
        </w:r>
        <w:r>
          <w:fldChar w:fldCharType="separate"/>
        </w:r>
        <w:r>
          <w:t>16</w:t>
        </w:r>
        <w:r>
          <w:fldChar w:fldCharType="end"/>
        </w:r>
      </w:hyperlink>
    </w:p>
    <w:p>
      <w:pPr>
        <w:pStyle w:val="TOC2"/>
        <w:tabs>
          <w:tab w:val="right" w:leader="dot" w:pos="8306"/>
        </w:tabs>
      </w:pPr>
      <w:hyperlink w:anchor="_Toc6475" w:history="1">
        <w:r>
          <w:rPr>
            <w:rFonts w:ascii="仿宋" w:eastAsia="仿宋" w:hAnsi="仿宋" w:cs="仿宋" w:hint="eastAsia"/>
            <w:lang w:eastAsia="zh-CN"/>
          </w:rPr>
          <w:t>(一)、员工福利政策</w:t>
        </w:r>
        <w:r>
          <w:tab/>
        </w:r>
        <w:r>
          <w:fldChar w:fldCharType="begin"/>
        </w:r>
        <w:r>
          <w:instrText xml:space="preserve"> PAGEREF _Toc6475 \h </w:instrText>
        </w:r>
        <w:r>
          <w:fldChar w:fldCharType="separate"/>
        </w:r>
        <w:r>
          <w:t>16</w:t>
        </w:r>
        <w:r>
          <w:fldChar w:fldCharType="end"/>
        </w:r>
      </w:hyperlink>
    </w:p>
    <w:p>
      <w:pPr>
        <w:pStyle w:val="TOC2"/>
        <w:tabs>
          <w:tab w:val="right" w:leader="dot" w:pos="8306"/>
        </w:tabs>
      </w:pPr>
      <w:hyperlink w:anchor="_Toc28532" w:history="1">
        <w:r>
          <w:rPr>
            <w:rFonts w:ascii="仿宋" w:eastAsia="仿宋" w:hAnsi="仿宋" w:cs="仿宋" w:hint="eastAsia"/>
            <w:lang w:eastAsia="zh-CN"/>
          </w:rPr>
          <w:t>(二)、团队建设与员工培训</w:t>
        </w:r>
        <w:r>
          <w:tab/>
        </w:r>
        <w:r>
          <w:fldChar w:fldCharType="begin"/>
        </w:r>
        <w:r>
          <w:instrText xml:space="preserve"> PAGEREF _Toc28532 \h </w:instrText>
        </w:r>
        <w:r>
          <w:fldChar w:fldCharType="separate"/>
        </w:r>
        <w:r>
          <w:t>18</w:t>
        </w:r>
        <w:r>
          <w:fldChar w:fldCharType="end"/>
        </w:r>
      </w:hyperlink>
    </w:p>
    <w:p>
      <w:pPr>
        <w:pStyle w:val="TOC2"/>
        <w:tabs>
          <w:tab w:val="right" w:leader="dot" w:pos="8306"/>
        </w:tabs>
      </w:pPr>
      <w:hyperlink w:anchor="_Toc26936" w:history="1">
        <w:r>
          <w:rPr>
            <w:rFonts w:ascii="仿宋" w:eastAsia="仿宋" w:hAnsi="仿宋" w:cs="仿宋" w:hint="eastAsia"/>
            <w:lang w:eastAsia="zh-CN"/>
          </w:rPr>
          <w:t>(三)、企业文化建设</w:t>
        </w:r>
        <w:r>
          <w:tab/>
        </w:r>
        <w:r>
          <w:fldChar w:fldCharType="begin"/>
        </w:r>
        <w:r>
          <w:instrText xml:space="preserve"> PAGEREF _Toc26936 \h </w:instrText>
        </w:r>
        <w:r>
          <w:fldChar w:fldCharType="separate"/>
        </w:r>
        <w:r>
          <w:t>19</w:t>
        </w:r>
        <w:r>
          <w:fldChar w:fldCharType="end"/>
        </w:r>
      </w:hyperlink>
    </w:p>
    <w:p>
      <w:pPr>
        <w:pStyle w:val="TOC2"/>
        <w:tabs>
          <w:tab w:val="right" w:leader="dot" w:pos="8306"/>
        </w:tabs>
      </w:pPr>
      <w:hyperlink w:anchor="_Toc1823" w:history="1">
        <w:r>
          <w:rPr>
            <w:rFonts w:ascii="仿宋" w:eastAsia="仿宋" w:hAnsi="仿宋" w:cs="仿宋" w:hint="eastAsia"/>
            <w:lang w:eastAsia="zh-CN"/>
          </w:rPr>
          <w:t>(四)、员工健康与工作平衡</w:t>
        </w:r>
        <w:r>
          <w:tab/>
        </w:r>
        <w:r>
          <w:fldChar w:fldCharType="begin"/>
        </w:r>
        <w:r>
          <w:instrText xml:space="preserve"> PAGEREF _Toc1823 \h </w:instrText>
        </w:r>
        <w:r>
          <w:fldChar w:fldCharType="separate"/>
        </w:r>
        <w:r>
          <w:t>21</w:t>
        </w:r>
        <w:r>
          <w:fldChar w:fldCharType="end"/>
        </w:r>
      </w:hyperlink>
    </w:p>
    <w:p>
      <w:pPr>
        <w:pStyle w:val="TOC1"/>
        <w:tabs>
          <w:tab w:val="right" w:leader="dot" w:pos="8306"/>
        </w:tabs>
      </w:pPr>
      <w:hyperlink w:anchor="_Toc19459" w:history="1">
        <w:r>
          <w:rPr>
            <w:rFonts w:ascii="仿宋" w:eastAsia="仿宋" w:hAnsi="仿宋" w:cs="仿宋" w:hint="eastAsia"/>
            <w:lang w:eastAsia="zh-CN"/>
          </w:rPr>
          <w:t>六、危机管理与应急预案</w:t>
        </w:r>
        <w:r>
          <w:tab/>
        </w:r>
        <w:r>
          <w:fldChar w:fldCharType="begin"/>
        </w:r>
        <w:r>
          <w:instrText xml:space="preserve"> PAGEREF _Toc19459 \h </w:instrText>
        </w:r>
        <w:r>
          <w:fldChar w:fldCharType="separate"/>
        </w:r>
        <w:r>
          <w:t>23</w:t>
        </w:r>
        <w:r>
          <w:fldChar w:fldCharType="end"/>
        </w:r>
      </w:hyperlink>
    </w:p>
    <w:p>
      <w:pPr>
        <w:pStyle w:val="TOC2"/>
        <w:tabs>
          <w:tab w:val="right" w:leader="dot" w:pos="8306"/>
        </w:tabs>
      </w:pPr>
      <w:hyperlink w:anchor="_Toc8445" w:history="1">
        <w:r>
          <w:rPr>
            <w:rFonts w:ascii="仿宋" w:eastAsia="仿宋" w:hAnsi="仿宋" w:cs="仿宋" w:hint="eastAsia"/>
            <w:lang w:eastAsia="zh-CN"/>
          </w:rPr>
          <w:t>(一)、危机预警与监测</w:t>
        </w:r>
        <w:r>
          <w:tab/>
        </w:r>
        <w:r>
          <w:fldChar w:fldCharType="begin"/>
        </w:r>
        <w:r>
          <w:instrText xml:space="preserve"> PAGEREF _Toc8445 \h </w:instrText>
        </w:r>
        <w:r>
          <w:fldChar w:fldCharType="separate"/>
        </w:r>
        <w:r>
          <w:t>23</w:t>
        </w:r>
        <w:r>
          <w:fldChar w:fldCharType="end"/>
        </w:r>
      </w:hyperlink>
    </w:p>
    <w:p>
      <w:pPr>
        <w:pStyle w:val="TOC2"/>
        <w:tabs>
          <w:tab w:val="right" w:leader="dot" w:pos="8306"/>
        </w:tabs>
      </w:pPr>
      <w:hyperlink w:anchor="_Toc30928" w:history="1">
        <w:r>
          <w:rPr>
            <w:rFonts w:ascii="仿宋" w:eastAsia="仿宋" w:hAnsi="仿宋" w:cs="仿宋" w:hint="eastAsia"/>
            <w:lang w:eastAsia="zh-CN"/>
          </w:rPr>
          <w:t>(二)、应急预案与危机响应</w:t>
        </w:r>
        <w:r>
          <w:tab/>
        </w:r>
        <w:r>
          <w:fldChar w:fldCharType="begin"/>
        </w:r>
        <w:r>
          <w:instrText xml:space="preserve"> PAGEREF _Toc30928 \h </w:instrText>
        </w:r>
        <w:r>
          <w:fldChar w:fldCharType="separate"/>
        </w:r>
        <w:r>
          <w:t>25</w:t>
        </w:r>
        <w:r>
          <w:fldChar w:fldCharType="end"/>
        </w:r>
      </w:hyperlink>
    </w:p>
    <w:p>
      <w:pPr>
        <w:pStyle w:val="TOC2"/>
        <w:tabs>
          <w:tab w:val="right" w:leader="dot" w:pos="8306"/>
        </w:tabs>
      </w:pPr>
      <w:hyperlink w:anchor="_Toc26626" w:history="1">
        <w:r>
          <w:rPr>
            <w:rFonts w:ascii="仿宋" w:eastAsia="仿宋" w:hAnsi="仿宋" w:cs="仿宋" w:hint="eastAsia"/>
            <w:lang w:eastAsia="zh-CN"/>
          </w:rPr>
          <w:t>(三)、危机沟通与舆情控制</w:t>
        </w:r>
        <w:r>
          <w:tab/>
        </w:r>
        <w:r>
          <w:fldChar w:fldCharType="begin"/>
        </w:r>
        <w:r>
          <w:instrText xml:space="preserve"> PAGEREF _Toc26626 \h </w:instrText>
        </w:r>
        <w:r>
          <w:fldChar w:fldCharType="separate"/>
        </w:r>
        <w:r>
          <w:t>26</w:t>
        </w:r>
        <w:r>
          <w:fldChar w:fldCharType="end"/>
        </w:r>
      </w:hyperlink>
    </w:p>
    <w:p>
      <w:pPr>
        <w:pStyle w:val="TOC2"/>
        <w:tabs>
          <w:tab w:val="right" w:leader="dot" w:pos="8306"/>
        </w:tabs>
      </w:pPr>
      <w:hyperlink w:anchor="_Toc1438" w:history="1">
        <w:r>
          <w:rPr>
            <w:rFonts w:ascii="仿宋" w:eastAsia="仿宋" w:hAnsi="仿宋" w:cs="仿宋" w:hint="eastAsia"/>
            <w:lang w:eastAsia="zh-CN"/>
          </w:rPr>
          <w:t>(四)、危机后教训与改进</w:t>
        </w:r>
        <w:r>
          <w:tab/>
        </w:r>
        <w:r>
          <w:fldChar w:fldCharType="begin"/>
        </w:r>
        <w:r>
          <w:instrText xml:space="preserve"> PAGEREF _Toc1438 \h </w:instrText>
        </w:r>
        <w:r>
          <w:fldChar w:fldCharType="separate"/>
        </w:r>
        <w:r>
          <w:t>28</w:t>
        </w:r>
        <w:r>
          <w:fldChar w:fldCharType="end"/>
        </w:r>
      </w:hyperlink>
    </w:p>
    <w:p>
      <w:pPr>
        <w:pStyle w:val="TOC1"/>
        <w:tabs>
          <w:tab w:val="right" w:leader="dot" w:pos="8306"/>
        </w:tabs>
      </w:pPr>
      <w:hyperlink w:anchor="_Toc15781" w:history="1">
        <w:r>
          <w:rPr>
            <w:rFonts w:ascii="仿宋" w:eastAsia="仿宋" w:hAnsi="仿宋" w:cs="仿宋" w:hint="eastAsia"/>
            <w:lang w:eastAsia="zh-CN"/>
          </w:rPr>
          <w:t>七、投资背景及必要性分析</w:t>
        </w:r>
        <w:r>
          <w:tab/>
        </w:r>
        <w:r>
          <w:fldChar w:fldCharType="begin"/>
        </w:r>
        <w:r>
          <w:instrText xml:space="preserve"> PAGEREF _Toc15781 \h </w:instrText>
        </w:r>
        <w:r>
          <w:fldChar w:fldCharType="separate"/>
        </w:r>
        <w:r>
          <w:t>30</w:t>
        </w:r>
        <w:r>
          <w:fldChar w:fldCharType="end"/>
        </w:r>
      </w:hyperlink>
    </w:p>
    <w:p>
      <w:pPr>
        <w:pStyle w:val="TOC2"/>
        <w:tabs>
          <w:tab w:val="right" w:leader="dot" w:pos="8306"/>
        </w:tabs>
      </w:pPr>
      <w:hyperlink w:anchor="_Toc11184" w:history="1">
        <w:r>
          <w:rPr>
            <w:rFonts w:ascii="仿宋" w:eastAsia="仿宋" w:hAnsi="仿宋" w:cs="仿宋" w:hint="eastAsia"/>
            <w:lang w:eastAsia="zh-CN"/>
          </w:rPr>
          <w:t>(一)、真空助力器项目承办单位背景分析</w:t>
        </w:r>
        <w:r>
          <w:tab/>
        </w:r>
        <w:r>
          <w:fldChar w:fldCharType="begin"/>
        </w:r>
        <w:r>
          <w:instrText xml:space="preserve"> PAGEREF _Toc11184 \h </w:instrText>
        </w:r>
        <w:r>
          <w:fldChar w:fldCharType="separate"/>
        </w:r>
        <w:r>
          <w:t>30</w:t>
        </w:r>
        <w:r>
          <w:fldChar w:fldCharType="end"/>
        </w:r>
      </w:hyperlink>
    </w:p>
    <w:p>
      <w:pPr>
        <w:pStyle w:val="TOC2"/>
        <w:tabs>
          <w:tab w:val="right" w:leader="dot" w:pos="8306"/>
        </w:tabs>
      </w:pPr>
      <w:hyperlink w:anchor="_Toc1308" w:history="1">
        <w:r>
          <w:rPr>
            <w:rFonts w:ascii="仿宋" w:eastAsia="仿宋" w:hAnsi="仿宋" w:cs="仿宋" w:hint="eastAsia"/>
            <w:lang w:eastAsia="zh-CN"/>
          </w:rPr>
          <w:t>(二)、产业政策及发展规划</w:t>
        </w:r>
        <w:r>
          <w:tab/>
        </w:r>
        <w:r>
          <w:fldChar w:fldCharType="begin"/>
        </w:r>
        <w:r>
          <w:instrText xml:space="preserve"> PAGEREF _Toc1308 \h </w:instrText>
        </w:r>
        <w:r>
          <w:fldChar w:fldCharType="separate"/>
        </w:r>
        <w:r>
          <w:t>31</w:t>
        </w:r>
        <w:r>
          <w:fldChar w:fldCharType="end"/>
        </w:r>
      </w:hyperlink>
    </w:p>
    <w:p>
      <w:pPr>
        <w:pStyle w:val="TOC2"/>
        <w:tabs>
          <w:tab w:val="right" w:leader="dot" w:pos="8306"/>
        </w:tabs>
      </w:pPr>
      <w:hyperlink w:anchor="_Toc7261" w:history="1">
        <w:r>
          <w:rPr>
            <w:rFonts w:ascii="仿宋" w:eastAsia="仿宋" w:hAnsi="仿宋" w:cs="仿宋" w:hint="eastAsia"/>
            <w:lang w:eastAsia="zh-CN"/>
          </w:rPr>
          <w:t>(三)、鼓励中小企业发展</w:t>
        </w:r>
        <w:r>
          <w:tab/>
        </w:r>
        <w:r>
          <w:fldChar w:fldCharType="begin"/>
        </w:r>
        <w:r>
          <w:instrText xml:space="preserve"> PAGEREF _Toc7261 \h </w:instrText>
        </w:r>
        <w:r>
          <w:fldChar w:fldCharType="separate"/>
        </w:r>
        <w:r>
          <w:t>33</w:t>
        </w:r>
        <w:r>
          <w:fldChar w:fldCharType="end"/>
        </w:r>
      </w:hyperlink>
    </w:p>
    <w:p>
      <w:pPr>
        <w:pStyle w:val="TOC2"/>
        <w:tabs>
          <w:tab w:val="right" w:leader="dot" w:pos="8306"/>
        </w:tabs>
      </w:pPr>
      <w:hyperlink w:anchor="_Toc375" w:history="1">
        <w:r>
          <w:rPr>
            <w:rFonts w:ascii="仿宋" w:eastAsia="仿宋" w:hAnsi="仿宋" w:cs="仿宋" w:hint="eastAsia"/>
            <w:lang w:eastAsia="zh-CN"/>
          </w:rPr>
          <w:t>(四)、宏观经济形势分析</w:t>
        </w:r>
        <w:r>
          <w:tab/>
        </w:r>
        <w:r>
          <w:fldChar w:fldCharType="begin"/>
        </w:r>
        <w:r>
          <w:instrText xml:space="preserve"> PAGEREF _Toc375 \h </w:instrText>
        </w:r>
        <w:r>
          <w:fldChar w:fldCharType="separate"/>
        </w:r>
        <w:r>
          <w:t>34</w:t>
        </w:r>
        <w:r>
          <w:fldChar w:fldCharType="end"/>
        </w:r>
      </w:hyperlink>
    </w:p>
    <w:p>
      <w:pPr>
        <w:pStyle w:val="TOC2"/>
        <w:tabs>
          <w:tab w:val="right" w:leader="dot" w:pos="8306"/>
        </w:tabs>
      </w:pPr>
      <w:hyperlink w:anchor="_Toc20805" w:history="1">
        <w:r>
          <w:rPr>
            <w:rFonts w:ascii="仿宋" w:eastAsia="仿宋" w:hAnsi="仿宋" w:cs="仿宋" w:hint="eastAsia"/>
            <w:lang w:eastAsia="zh-CN"/>
          </w:rPr>
          <w:t>(五)、区域经济发展概况</w:t>
        </w:r>
        <w:r>
          <w:tab/>
        </w:r>
        <w:r>
          <w:fldChar w:fldCharType="begin"/>
        </w:r>
        <w:r>
          <w:instrText xml:space="preserve"> PAGEREF _Toc20805 \h </w:instrText>
        </w:r>
        <w:r>
          <w:fldChar w:fldCharType="separate"/>
        </w:r>
        <w:r>
          <w:t>35</w:t>
        </w:r>
        <w:r>
          <w:fldChar w:fldCharType="end"/>
        </w:r>
      </w:hyperlink>
    </w:p>
    <w:p>
      <w:pPr>
        <w:pStyle w:val="TOC2"/>
        <w:tabs>
          <w:tab w:val="right" w:leader="dot" w:pos="8306"/>
        </w:tabs>
      </w:pPr>
      <w:hyperlink w:anchor="_Toc9592" w:history="1">
        <w:r>
          <w:rPr>
            <w:rFonts w:ascii="仿宋" w:eastAsia="仿宋" w:hAnsi="仿宋" w:cs="仿宋" w:hint="eastAsia"/>
            <w:lang w:eastAsia="zh-CN"/>
          </w:rPr>
          <w:t>(六)、真空助力器项目必要性分析</w:t>
        </w:r>
        <w:r>
          <w:tab/>
        </w:r>
        <w:r>
          <w:fldChar w:fldCharType="begin"/>
        </w:r>
        <w:r>
          <w:instrText xml:space="preserve"> PAGEREF _Toc9592 \h </w:instrText>
        </w:r>
        <w:r>
          <w:fldChar w:fldCharType="separate"/>
        </w:r>
        <w:r>
          <w:t>37</w:t>
        </w:r>
        <w:r>
          <w:fldChar w:fldCharType="end"/>
        </w:r>
      </w:hyperlink>
    </w:p>
    <w:p>
      <w:pPr>
        <w:pStyle w:val="TOC1"/>
        <w:tabs>
          <w:tab w:val="right" w:leader="dot" w:pos="8306"/>
        </w:tabs>
      </w:pPr>
      <w:hyperlink w:anchor="_Toc23352" w:history="1">
        <w:r>
          <w:rPr>
            <w:rFonts w:ascii="仿宋" w:eastAsia="仿宋" w:hAnsi="仿宋" w:cs="仿宋" w:hint="eastAsia"/>
            <w:lang w:eastAsia="zh-CN"/>
          </w:rPr>
          <w:t>八、真空助力器项目风险评估</w:t>
        </w:r>
        <w:r>
          <w:tab/>
        </w:r>
        <w:r>
          <w:fldChar w:fldCharType="begin"/>
        </w:r>
        <w:r>
          <w:instrText xml:space="preserve"> PAGEREF _Toc23352 \h </w:instrText>
        </w:r>
        <w:r>
          <w:fldChar w:fldCharType="separate"/>
        </w:r>
        <w:r>
          <w:t>38</w:t>
        </w:r>
        <w:r>
          <w:fldChar w:fldCharType="end"/>
        </w:r>
      </w:hyperlink>
    </w:p>
    <w:p>
      <w:pPr>
        <w:pStyle w:val="TOC2"/>
        <w:tabs>
          <w:tab w:val="right" w:leader="dot" w:pos="8306"/>
        </w:tabs>
      </w:pPr>
      <w:hyperlink w:anchor="_Toc27491" w:history="1">
        <w:r>
          <w:rPr>
            <w:rFonts w:ascii="仿宋" w:eastAsia="仿宋" w:hAnsi="仿宋" w:cs="仿宋" w:hint="eastAsia"/>
            <w:lang w:eastAsia="zh-CN"/>
          </w:rPr>
          <w:t>(一)、政策风险分析</w:t>
        </w:r>
        <w:r>
          <w:tab/>
        </w:r>
        <w:r>
          <w:fldChar w:fldCharType="begin"/>
        </w:r>
        <w:r>
          <w:instrText xml:space="preserve"> PAGEREF _Toc27491 \h </w:instrText>
        </w:r>
        <w:r>
          <w:fldChar w:fldCharType="separate"/>
        </w:r>
        <w:r>
          <w:t>38</w:t>
        </w:r>
        <w:r>
          <w:fldChar w:fldCharType="end"/>
        </w:r>
      </w:hyperlink>
    </w:p>
    <w:p>
      <w:pPr>
        <w:pStyle w:val="TOC2"/>
        <w:tabs>
          <w:tab w:val="right" w:leader="dot" w:pos="8306"/>
        </w:tabs>
      </w:pPr>
      <w:hyperlink w:anchor="_Toc3412" w:history="1">
        <w:r>
          <w:rPr>
            <w:rFonts w:ascii="仿宋" w:eastAsia="仿宋" w:hAnsi="仿宋" w:cs="仿宋" w:hint="eastAsia"/>
            <w:lang w:eastAsia="zh-CN"/>
          </w:rPr>
          <w:t>(二)、社会风险分析</w:t>
        </w:r>
        <w:r>
          <w:tab/>
        </w:r>
        <w:r>
          <w:fldChar w:fldCharType="begin"/>
        </w:r>
        <w:r>
          <w:instrText xml:space="preserve"> PAGEREF _Toc3412 \h </w:instrText>
        </w:r>
        <w:r>
          <w:fldChar w:fldCharType="separate"/>
        </w:r>
        <w:r>
          <w:t>40</w:t>
        </w:r>
        <w:r>
          <w:fldChar w:fldCharType="end"/>
        </w:r>
      </w:hyperlink>
    </w:p>
    <w:p>
      <w:pPr>
        <w:pStyle w:val="TOC2"/>
        <w:tabs>
          <w:tab w:val="right" w:leader="dot" w:pos="8306"/>
        </w:tabs>
      </w:pPr>
      <w:hyperlink w:anchor="_Toc15386" w:history="1">
        <w:r>
          <w:rPr>
            <w:rFonts w:ascii="仿宋" w:eastAsia="仿宋" w:hAnsi="仿宋" w:cs="仿宋" w:hint="eastAsia"/>
            <w:lang w:eastAsia="zh-CN"/>
          </w:rPr>
          <w:t>(三)、市场风险分析</w:t>
        </w:r>
        <w:r>
          <w:tab/>
        </w:r>
        <w:r>
          <w:fldChar w:fldCharType="begin"/>
        </w:r>
        <w:r>
          <w:instrText xml:space="preserve"> PAGEREF _Toc15386 \h </w:instrText>
        </w:r>
        <w:r>
          <w:fldChar w:fldCharType="separate"/>
        </w:r>
        <w:r>
          <w:t>42</w:t>
        </w:r>
        <w:r>
          <w:fldChar w:fldCharType="end"/>
        </w:r>
      </w:hyperlink>
    </w:p>
    <w:p>
      <w:pPr>
        <w:pStyle w:val="TOC2"/>
        <w:tabs>
          <w:tab w:val="right" w:leader="dot" w:pos="8306"/>
        </w:tabs>
      </w:pPr>
      <w:hyperlink w:anchor="_Toc3626" w:history="1">
        <w:r>
          <w:rPr>
            <w:rFonts w:ascii="仿宋" w:eastAsia="仿宋" w:hAnsi="仿宋" w:cs="仿宋" w:hint="eastAsia"/>
            <w:lang w:eastAsia="zh-CN"/>
          </w:rPr>
          <w:t>(四)、资金风险分析</w:t>
        </w:r>
        <w:r>
          <w:tab/>
        </w:r>
        <w:r>
          <w:fldChar w:fldCharType="begin"/>
        </w:r>
        <w:r>
          <w:instrText xml:space="preserve"> PAGEREF _Toc3626 \h </w:instrText>
        </w:r>
        <w:r>
          <w:fldChar w:fldCharType="separate"/>
        </w:r>
        <w:r>
          <w:t>44</w:t>
        </w:r>
        <w:r>
          <w:fldChar w:fldCharType="end"/>
        </w:r>
      </w:hyperlink>
    </w:p>
    <w:p>
      <w:pPr>
        <w:pStyle w:val="TOC2"/>
        <w:tabs>
          <w:tab w:val="right" w:leader="dot" w:pos="8306"/>
        </w:tabs>
      </w:pPr>
      <w:hyperlink w:anchor="_Toc26686" w:history="1">
        <w:r>
          <w:rPr>
            <w:rFonts w:ascii="仿宋" w:eastAsia="仿宋" w:hAnsi="仿宋" w:cs="仿宋" w:hint="eastAsia"/>
            <w:lang w:eastAsia="zh-CN"/>
          </w:rPr>
          <w:t>(五)、技术风险分析</w:t>
        </w:r>
        <w:r>
          <w:tab/>
        </w:r>
        <w:r>
          <w:fldChar w:fldCharType="begin"/>
        </w:r>
        <w:r>
          <w:instrText xml:space="preserve"> PAGEREF _Toc26686 \h </w:instrText>
        </w:r>
        <w:r>
          <w:fldChar w:fldCharType="separate"/>
        </w:r>
        <w:r>
          <w:t>45</w:t>
        </w:r>
        <w:r>
          <w:fldChar w:fldCharType="end"/>
        </w:r>
      </w:hyperlink>
    </w:p>
    <w:p>
      <w:pPr>
        <w:pStyle w:val="TOC2"/>
        <w:tabs>
          <w:tab w:val="right" w:leader="dot" w:pos="8306"/>
        </w:tabs>
      </w:pPr>
      <w:hyperlink w:anchor="_Toc26344" w:history="1">
        <w:r>
          <w:rPr>
            <w:rFonts w:ascii="仿宋" w:eastAsia="仿宋" w:hAnsi="仿宋" w:cs="仿宋" w:hint="eastAsia"/>
            <w:lang w:eastAsia="zh-CN"/>
          </w:rPr>
          <w:t>(六)、财务风险分析</w:t>
        </w:r>
        <w:r>
          <w:tab/>
        </w:r>
        <w:r>
          <w:fldChar w:fldCharType="begin"/>
        </w:r>
        <w:r>
          <w:instrText xml:space="preserve"> PAGEREF _Toc26344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9" w:history="1">
        <w:r>
          <w:rPr>
            <w:rFonts w:ascii="仿宋" w:eastAsia="仿宋" w:hAnsi="仿宋" w:cs="仿宋" w:hint="eastAsia"/>
            <w:lang w:eastAsia="zh-CN"/>
          </w:rPr>
          <w:t>(七)、管理风险分析</w:t>
        </w:r>
        <w:r>
          <w:tab/>
        </w:r>
        <w:r>
          <w:fldChar w:fldCharType="begin"/>
        </w:r>
        <w:r>
          <w:instrText xml:space="preserve"> PAGEREF _Toc2859 \h </w:instrText>
        </w:r>
        <w:r>
          <w:fldChar w:fldCharType="separate"/>
        </w:r>
        <w:r>
          <w:t>49</w:t>
        </w:r>
        <w:r>
          <w:fldChar w:fldCharType="end"/>
        </w:r>
      </w:hyperlink>
    </w:p>
    <w:p>
      <w:pPr>
        <w:pStyle w:val="TOC2"/>
        <w:tabs>
          <w:tab w:val="right" w:leader="dot" w:pos="8306"/>
        </w:tabs>
      </w:pPr>
      <w:hyperlink w:anchor="_Toc10448" w:history="1">
        <w:r>
          <w:rPr>
            <w:rFonts w:ascii="仿宋" w:eastAsia="仿宋" w:hAnsi="仿宋" w:cs="仿宋" w:hint="eastAsia"/>
            <w:lang w:eastAsia="zh-CN"/>
          </w:rPr>
          <w:t>(八)、其它风险分析</w:t>
        </w:r>
        <w:r>
          <w:tab/>
        </w:r>
        <w:r>
          <w:fldChar w:fldCharType="begin"/>
        </w:r>
        <w:r>
          <w:instrText xml:space="preserve"> PAGEREF _Toc10448 \h </w:instrText>
        </w:r>
        <w:r>
          <w:fldChar w:fldCharType="separate"/>
        </w:r>
        <w:r>
          <w:t>51</w:t>
        </w:r>
        <w:r>
          <w:fldChar w:fldCharType="end"/>
        </w:r>
      </w:hyperlink>
    </w:p>
    <w:p>
      <w:pPr>
        <w:pStyle w:val="TOC2"/>
        <w:tabs>
          <w:tab w:val="right" w:leader="dot" w:pos="8306"/>
        </w:tabs>
      </w:pPr>
      <w:hyperlink w:anchor="_Toc12042" w:history="1">
        <w:r>
          <w:rPr>
            <w:rFonts w:ascii="仿宋" w:eastAsia="仿宋" w:hAnsi="仿宋" w:cs="仿宋" w:hint="eastAsia"/>
            <w:lang w:eastAsia="zh-CN"/>
          </w:rPr>
          <w:t>(九)、社会影响评估</w:t>
        </w:r>
        <w:r>
          <w:tab/>
        </w:r>
        <w:r>
          <w:fldChar w:fldCharType="begin"/>
        </w:r>
        <w:r>
          <w:instrText xml:space="preserve"> PAGEREF _Toc12042 \h </w:instrText>
        </w:r>
        <w:r>
          <w:fldChar w:fldCharType="separate"/>
        </w:r>
        <w:r>
          <w:t>52</w:t>
        </w:r>
        <w:r>
          <w:fldChar w:fldCharType="end"/>
        </w:r>
      </w:hyperlink>
    </w:p>
    <w:p>
      <w:pPr>
        <w:pStyle w:val="TOC1"/>
        <w:tabs>
          <w:tab w:val="right" w:leader="dot" w:pos="8306"/>
        </w:tabs>
      </w:pPr>
      <w:hyperlink w:anchor="_Toc17295" w:history="1">
        <w:r>
          <w:rPr>
            <w:rFonts w:ascii="仿宋" w:eastAsia="仿宋" w:hAnsi="仿宋" w:cs="仿宋" w:hint="eastAsia"/>
            <w:lang w:eastAsia="zh-CN"/>
          </w:rPr>
          <w:t>九、供应链管理与物流优化</w:t>
        </w:r>
        <w:r>
          <w:tab/>
        </w:r>
        <w:r>
          <w:fldChar w:fldCharType="begin"/>
        </w:r>
        <w:r>
          <w:instrText xml:space="preserve"> PAGEREF _Toc17295 \h </w:instrText>
        </w:r>
        <w:r>
          <w:fldChar w:fldCharType="separate"/>
        </w:r>
        <w:r>
          <w:t>54</w:t>
        </w:r>
        <w:r>
          <w:fldChar w:fldCharType="end"/>
        </w:r>
      </w:hyperlink>
    </w:p>
    <w:p>
      <w:pPr>
        <w:pStyle w:val="TOC2"/>
        <w:tabs>
          <w:tab w:val="right" w:leader="dot" w:pos="8306"/>
        </w:tabs>
      </w:pPr>
      <w:hyperlink w:anchor="_Toc598" w:history="1">
        <w:r>
          <w:rPr>
            <w:rFonts w:ascii="仿宋" w:eastAsia="仿宋" w:hAnsi="仿宋" w:cs="仿宋" w:hint="eastAsia"/>
            <w:lang w:eastAsia="zh-CN"/>
          </w:rPr>
          <w:t>(一)、供应链规划与优化</w:t>
        </w:r>
        <w:r>
          <w:tab/>
        </w:r>
        <w:r>
          <w:fldChar w:fldCharType="begin"/>
        </w:r>
        <w:r>
          <w:instrText xml:space="preserve"> PAGEREF _Toc598 \h </w:instrText>
        </w:r>
        <w:r>
          <w:fldChar w:fldCharType="separate"/>
        </w:r>
        <w:r>
          <w:t>54</w:t>
        </w:r>
        <w:r>
          <w:fldChar w:fldCharType="end"/>
        </w:r>
      </w:hyperlink>
    </w:p>
    <w:p>
      <w:pPr>
        <w:pStyle w:val="TOC2"/>
        <w:tabs>
          <w:tab w:val="right" w:leader="dot" w:pos="8306"/>
        </w:tabs>
      </w:pPr>
      <w:hyperlink w:anchor="_Toc15154" w:history="1">
        <w:r>
          <w:rPr>
            <w:rFonts w:ascii="仿宋" w:eastAsia="仿宋" w:hAnsi="仿宋" w:cs="仿宋" w:hint="eastAsia"/>
            <w:lang w:eastAsia="zh-CN"/>
          </w:rPr>
          <w:t>(二)、供应商选择与评估</w:t>
        </w:r>
        <w:r>
          <w:tab/>
        </w:r>
        <w:r>
          <w:fldChar w:fldCharType="begin"/>
        </w:r>
        <w:r>
          <w:instrText xml:space="preserve"> PAGEREF _Toc15154 \h </w:instrText>
        </w:r>
        <w:r>
          <w:fldChar w:fldCharType="separate"/>
        </w:r>
        <w:r>
          <w:t>56</w:t>
        </w:r>
        <w:r>
          <w:fldChar w:fldCharType="end"/>
        </w:r>
      </w:hyperlink>
    </w:p>
    <w:p>
      <w:pPr>
        <w:pStyle w:val="TOC2"/>
        <w:tabs>
          <w:tab w:val="right" w:leader="dot" w:pos="8306"/>
        </w:tabs>
      </w:pPr>
      <w:hyperlink w:anchor="_Toc12920" w:history="1">
        <w:r>
          <w:rPr>
            <w:rFonts w:ascii="仿宋" w:eastAsia="仿宋" w:hAnsi="仿宋" w:cs="仿宋" w:hint="eastAsia"/>
            <w:lang w:eastAsia="zh-CN"/>
          </w:rPr>
          <w:t>(三)、物流网络设计与管理</w:t>
        </w:r>
        <w:r>
          <w:tab/>
        </w:r>
        <w:r>
          <w:fldChar w:fldCharType="begin"/>
        </w:r>
        <w:r>
          <w:instrText xml:space="preserve"> PAGEREF _Toc12920 \h </w:instrText>
        </w:r>
        <w:r>
          <w:fldChar w:fldCharType="separate"/>
        </w:r>
        <w:r>
          <w:t>58</w:t>
        </w:r>
        <w:r>
          <w:fldChar w:fldCharType="end"/>
        </w:r>
      </w:hyperlink>
    </w:p>
    <w:p>
      <w:pPr>
        <w:pStyle w:val="TOC2"/>
        <w:tabs>
          <w:tab w:val="right" w:leader="dot" w:pos="8306"/>
        </w:tabs>
      </w:pPr>
      <w:hyperlink w:anchor="_Toc8901" w:history="1">
        <w:r>
          <w:rPr>
            <w:rFonts w:ascii="仿宋" w:eastAsia="仿宋" w:hAnsi="仿宋" w:cs="仿宋" w:hint="eastAsia"/>
            <w:lang w:eastAsia="zh-CN"/>
          </w:rPr>
          <w:t>(四)、库存控制与仓储管理</w:t>
        </w:r>
        <w:r>
          <w:tab/>
        </w:r>
        <w:r>
          <w:fldChar w:fldCharType="begin"/>
        </w:r>
        <w:r>
          <w:instrText xml:space="preserve"> PAGEREF _Toc8901 \h </w:instrText>
        </w:r>
        <w:r>
          <w:fldChar w:fldCharType="separate"/>
        </w:r>
        <w:r>
          <w:t>60</w:t>
        </w:r>
        <w:r>
          <w:fldChar w:fldCharType="end"/>
        </w:r>
      </w:hyperlink>
    </w:p>
    <w:p>
      <w:pPr>
        <w:pStyle w:val="TOC1"/>
        <w:tabs>
          <w:tab w:val="right" w:leader="dot" w:pos="8306"/>
        </w:tabs>
      </w:pPr>
      <w:hyperlink w:anchor="_Toc23665" w:history="1">
        <w:r>
          <w:rPr>
            <w:rFonts w:ascii="仿宋" w:eastAsia="仿宋" w:hAnsi="仿宋" w:cs="仿宋" w:hint="eastAsia"/>
            <w:lang w:eastAsia="zh-CN"/>
          </w:rPr>
          <w:t>十、市场趋势与竞争分析</w:t>
        </w:r>
        <w:r>
          <w:tab/>
        </w:r>
        <w:r>
          <w:fldChar w:fldCharType="begin"/>
        </w:r>
        <w:r>
          <w:instrText xml:space="preserve"> PAGEREF _Toc23665 \h </w:instrText>
        </w:r>
        <w:r>
          <w:fldChar w:fldCharType="separate"/>
        </w:r>
        <w:r>
          <w:t>62</w:t>
        </w:r>
        <w:r>
          <w:fldChar w:fldCharType="end"/>
        </w:r>
      </w:hyperlink>
    </w:p>
    <w:p>
      <w:pPr>
        <w:pStyle w:val="TOC2"/>
        <w:tabs>
          <w:tab w:val="right" w:leader="dot" w:pos="8306"/>
        </w:tabs>
      </w:pPr>
      <w:hyperlink w:anchor="_Toc10465" w:history="1">
        <w:r>
          <w:rPr>
            <w:rFonts w:ascii="仿宋" w:eastAsia="仿宋" w:hAnsi="仿宋" w:cs="仿宋" w:hint="eastAsia"/>
            <w:lang w:eastAsia="zh-CN"/>
          </w:rPr>
          <w:t>(一)、行业市场趋势分析</w:t>
        </w:r>
        <w:r>
          <w:tab/>
        </w:r>
        <w:r>
          <w:fldChar w:fldCharType="begin"/>
        </w:r>
        <w:r>
          <w:instrText xml:space="preserve"> PAGEREF _Toc10465 \h </w:instrText>
        </w:r>
        <w:r>
          <w:fldChar w:fldCharType="separate"/>
        </w:r>
        <w:r>
          <w:t>62</w:t>
        </w:r>
        <w:r>
          <w:fldChar w:fldCharType="end"/>
        </w:r>
      </w:hyperlink>
    </w:p>
    <w:p>
      <w:pPr>
        <w:pStyle w:val="TOC2"/>
        <w:tabs>
          <w:tab w:val="right" w:leader="dot" w:pos="8306"/>
        </w:tabs>
      </w:pPr>
      <w:hyperlink w:anchor="_Toc19371" w:history="1">
        <w:r>
          <w:rPr>
            <w:rFonts w:ascii="仿宋" w:eastAsia="仿宋" w:hAnsi="仿宋" w:cs="仿宋" w:hint="eastAsia"/>
            <w:lang w:eastAsia="zh-CN"/>
          </w:rPr>
          <w:t>(二)、竞争对手动态监测</w:t>
        </w:r>
        <w:r>
          <w:tab/>
        </w:r>
        <w:r>
          <w:fldChar w:fldCharType="begin"/>
        </w:r>
        <w:r>
          <w:instrText xml:space="preserve"> PAGEREF _Toc19371 \h </w:instrText>
        </w:r>
        <w:r>
          <w:fldChar w:fldCharType="separate"/>
        </w:r>
        <w:r>
          <w:t>64</w:t>
        </w:r>
        <w:r>
          <w:fldChar w:fldCharType="end"/>
        </w:r>
      </w:hyperlink>
    </w:p>
    <w:p>
      <w:pPr>
        <w:pStyle w:val="TOC2"/>
        <w:tabs>
          <w:tab w:val="right" w:leader="dot" w:pos="8306"/>
        </w:tabs>
      </w:pPr>
      <w:hyperlink w:anchor="_Toc11697" w:history="1">
        <w:r>
          <w:rPr>
            <w:rFonts w:ascii="仿宋" w:eastAsia="仿宋" w:hAnsi="仿宋" w:cs="仿宋" w:hint="eastAsia"/>
            <w:lang w:eastAsia="zh-CN"/>
          </w:rPr>
          <w:t>(三)、新兴技术与创新趋势</w:t>
        </w:r>
        <w:r>
          <w:tab/>
        </w:r>
        <w:r>
          <w:fldChar w:fldCharType="begin"/>
        </w:r>
        <w:r>
          <w:instrText xml:space="preserve"> PAGEREF _Toc11697 \h </w:instrText>
        </w:r>
        <w:r>
          <w:fldChar w:fldCharType="separate"/>
        </w:r>
        <w:r>
          <w:t>66</w:t>
        </w:r>
        <w:r>
          <w:fldChar w:fldCharType="end"/>
        </w:r>
      </w:hyperlink>
    </w:p>
    <w:p>
      <w:pPr>
        <w:pStyle w:val="TOC2"/>
        <w:tabs>
          <w:tab w:val="right" w:leader="dot" w:pos="8306"/>
        </w:tabs>
      </w:pPr>
      <w:hyperlink w:anchor="_Toc16480" w:history="1">
        <w:r>
          <w:rPr>
            <w:rFonts w:ascii="仿宋" w:eastAsia="仿宋" w:hAnsi="仿宋" w:cs="仿宋" w:hint="eastAsia"/>
            <w:lang w:eastAsia="zh-CN"/>
          </w:rPr>
          <w:t>(四)、市场机会与威胁评估</w:t>
        </w:r>
        <w:r>
          <w:tab/>
        </w:r>
        <w:r>
          <w:fldChar w:fldCharType="begin"/>
        </w:r>
        <w:r>
          <w:instrText xml:space="preserve"> PAGEREF _Toc16480 \h </w:instrText>
        </w:r>
        <w:r>
          <w:fldChar w:fldCharType="separate"/>
        </w:r>
        <w:r>
          <w:t>68</w:t>
        </w:r>
        <w:r>
          <w:fldChar w:fldCharType="end"/>
        </w:r>
      </w:hyperlink>
    </w:p>
    <w:p>
      <w:pPr>
        <w:pStyle w:val="TOC1"/>
        <w:tabs>
          <w:tab w:val="right" w:leader="dot" w:pos="8306"/>
        </w:tabs>
      </w:pPr>
      <w:hyperlink w:anchor="_Toc22082" w:history="1">
        <w:r>
          <w:rPr>
            <w:rFonts w:ascii="仿宋" w:eastAsia="仿宋" w:hAnsi="仿宋" w:cs="仿宋" w:hint="eastAsia"/>
            <w:lang w:eastAsia="zh-CN"/>
          </w:rPr>
          <w:t>十一、风险管理与应对策略</w:t>
        </w:r>
        <w:r>
          <w:tab/>
        </w:r>
        <w:r>
          <w:fldChar w:fldCharType="begin"/>
        </w:r>
        <w:r>
          <w:instrText xml:space="preserve"> PAGEREF _Toc22082 \h </w:instrText>
        </w:r>
        <w:r>
          <w:fldChar w:fldCharType="separate"/>
        </w:r>
        <w:r>
          <w:t>70</w:t>
        </w:r>
        <w:r>
          <w:fldChar w:fldCharType="end"/>
        </w:r>
      </w:hyperlink>
    </w:p>
    <w:p>
      <w:pPr>
        <w:pStyle w:val="TOC2"/>
        <w:tabs>
          <w:tab w:val="right" w:leader="dot" w:pos="8306"/>
        </w:tabs>
      </w:pPr>
      <w:hyperlink w:anchor="_Toc575" w:history="1">
        <w:r>
          <w:rPr>
            <w:rFonts w:ascii="仿宋" w:eastAsia="仿宋" w:hAnsi="仿宋" w:cs="仿宋" w:hint="eastAsia"/>
            <w:lang w:eastAsia="zh-CN"/>
          </w:rPr>
          <w:t>(一)、风险管理流程</w:t>
        </w:r>
        <w:r>
          <w:tab/>
        </w:r>
        <w:r>
          <w:fldChar w:fldCharType="begin"/>
        </w:r>
        <w:r>
          <w:instrText xml:space="preserve"> PAGEREF _Toc575 \h </w:instrText>
        </w:r>
        <w:r>
          <w:fldChar w:fldCharType="separate"/>
        </w:r>
        <w:r>
          <w:t>70</w:t>
        </w:r>
        <w:r>
          <w:fldChar w:fldCharType="end"/>
        </w:r>
      </w:hyperlink>
    </w:p>
    <w:p>
      <w:pPr>
        <w:pStyle w:val="TOC2"/>
        <w:tabs>
          <w:tab w:val="right" w:leader="dot" w:pos="8306"/>
        </w:tabs>
      </w:pPr>
      <w:hyperlink w:anchor="_Toc28431" w:history="1">
        <w:r>
          <w:rPr>
            <w:rFonts w:ascii="仿宋" w:eastAsia="仿宋" w:hAnsi="仿宋" w:cs="仿宋" w:hint="eastAsia"/>
            <w:lang w:eastAsia="zh-CN"/>
          </w:rPr>
          <w:t>(二)、风险识别与评估</w:t>
        </w:r>
        <w:r>
          <w:tab/>
        </w:r>
        <w:r>
          <w:fldChar w:fldCharType="begin"/>
        </w:r>
        <w:r>
          <w:instrText xml:space="preserve"> PAGEREF _Toc28431 \h </w:instrText>
        </w:r>
        <w:r>
          <w:fldChar w:fldCharType="separate"/>
        </w:r>
        <w:r>
          <w:t>73</w:t>
        </w:r>
        <w:r>
          <w:fldChar w:fldCharType="end"/>
        </w:r>
      </w:hyperlink>
    </w:p>
    <w:p>
      <w:pPr>
        <w:pStyle w:val="TOC2"/>
        <w:tabs>
          <w:tab w:val="right" w:leader="dot" w:pos="8306"/>
        </w:tabs>
      </w:pPr>
      <w:hyperlink w:anchor="_Toc26934" w:history="1">
        <w:r>
          <w:rPr>
            <w:rFonts w:ascii="仿宋" w:eastAsia="仿宋" w:hAnsi="仿宋" w:cs="仿宋" w:hint="eastAsia"/>
            <w:lang w:eastAsia="zh-CN"/>
          </w:rPr>
          <w:t>(三)、风险控制与应对策略</w:t>
        </w:r>
        <w:r>
          <w:tab/>
        </w:r>
        <w:r>
          <w:fldChar w:fldCharType="begin"/>
        </w:r>
        <w:r>
          <w:instrText xml:space="preserve"> PAGEREF _Toc26934 \h </w:instrText>
        </w:r>
        <w:r>
          <w:fldChar w:fldCharType="separate"/>
        </w:r>
        <w:r>
          <w:t>75</w:t>
        </w:r>
        <w:r>
          <w:fldChar w:fldCharType="end"/>
        </w:r>
      </w:hyperlink>
    </w:p>
    <w:p>
      <w:pPr>
        <w:pStyle w:val="TOC2"/>
        <w:tabs>
          <w:tab w:val="right" w:leader="dot" w:pos="8306"/>
        </w:tabs>
      </w:pPr>
      <w:hyperlink w:anchor="_Toc16425" w:history="1">
        <w:r>
          <w:rPr>
            <w:rFonts w:ascii="仿宋" w:eastAsia="仿宋" w:hAnsi="仿宋" w:cs="仿宋" w:hint="eastAsia"/>
            <w:lang w:eastAsia="zh-CN"/>
          </w:rPr>
          <w:t>(四)、危机管理与应急预案</w:t>
        </w:r>
        <w:r>
          <w:tab/>
        </w:r>
        <w:r>
          <w:fldChar w:fldCharType="begin"/>
        </w:r>
        <w:r>
          <w:instrText xml:space="preserve"> PAGEREF _Toc16425 \h </w:instrText>
        </w:r>
        <w:r>
          <w:fldChar w:fldCharType="separate"/>
        </w:r>
        <w:r>
          <w:t>77</w:t>
        </w:r>
        <w:r>
          <w:fldChar w:fldCharType="end"/>
        </w:r>
      </w:hyperlink>
    </w:p>
    <w:p>
      <w:pPr>
        <w:pStyle w:val="TOC1"/>
        <w:tabs>
          <w:tab w:val="right" w:leader="dot" w:pos="8306"/>
        </w:tabs>
      </w:pPr>
      <w:hyperlink w:anchor="_Toc5514" w:history="1">
        <w:r>
          <w:rPr>
            <w:rFonts w:ascii="仿宋" w:eastAsia="仿宋" w:hAnsi="仿宋" w:cs="仿宋" w:hint="eastAsia"/>
            <w:lang w:eastAsia="zh-CN"/>
          </w:rPr>
          <w:t>十二、市场营销策略</w:t>
        </w:r>
        <w:r>
          <w:tab/>
        </w:r>
        <w:r>
          <w:fldChar w:fldCharType="begin"/>
        </w:r>
        <w:r>
          <w:instrText xml:space="preserve"> PAGEREF _Toc5514 \h </w:instrText>
        </w:r>
        <w:r>
          <w:fldChar w:fldCharType="separate"/>
        </w:r>
        <w:r>
          <w:t>79</w:t>
        </w:r>
        <w:r>
          <w:fldChar w:fldCharType="end"/>
        </w:r>
      </w:hyperlink>
    </w:p>
    <w:p>
      <w:pPr>
        <w:pStyle w:val="TOC2"/>
        <w:tabs>
          <w:tab w:val="right" w:leader="dot" w:pos="8306"/>
        </w:tabs>
      </w:pPr>
      <w:hyperlink w:anchor="_Toc18286" w:history="1">
        <w:r>
          <w:rPr>
            <w:rFonts w:ascii="仿宋" w:eastAsia="仿宋" w:hAnsi="仿宋" w:cs="仿宋" w:hint="eastAsia"/>
            <w:lang w:eastAsia="zh-CN"/>
          </w:rPr>
          <w:t>(一)、市场定位与目标客户群</w:t>
        </w:r>
        <w:r>
          <w:tab/>
        </w:r>
        <w:r>
          <w:fldChar w:fldCharType="begin"/>
        </w:r>
        <w:r>
          <w:instrText xml:space="preserve"> PAGEREF _Toc18286 \h </w:instrText>
        </w:r>
        <w:r>
          <w:fldChar w:fldCharType="separate"/>
        </w:r>
        <w:r>
          <w:t>79</w:t>
        </w:r>
        <w:r>
          <w:fldChar w:fldCharType="end"/>
        </w:r>
      </w:hyperlink>
    </w:p>
    <w:p>
      <w:pPr>
        <w:pStyle w:val="TOC2"/>
        <w:tabs>
          <w:tab w:val="right" w:leader="dot" w:pos="8306"/>
        </w:tabs>
      </w:pPr>
      <w:hyperlink w:anchor="_Toc6558" w:history="1">
        <w:r>
          <w:rPr>
            <w:rFonts w:ascii="仿宋" w:eastAsia="仿宋" w:hAnsi="仿宋" w:cs="仿宋" w:hint="eastAsia"/>
            <w:lang w:eastAsia="zh-CN"/>
          </w:rPr>
          <w:t>(二)、竞争对手分析</w:t>
        </w:r>
        <w:r>
          <w:tab/>
        </w:r>
        <w:r>
          <w:fldChar w:fldCharType="begin"/>
        </w:r>
        <w:r>
          <w:instrText xml:space="preserve"> PAGEREF _Toc6558 \h </w:instrText>
        </w:r>
        <w:r>
          <w:fldChar w:fldCharType="separate"/>
        </w:r>
        <w:r>
          <w:t>81</w:t>
        </w:r>
        <w:r>
          <w:fldChar w:fldCharType="end"/>
        </w:r>
      </w:hyperlink>
    </w:p>
    <w:p>
      <w:pPr>
        <w:pStyle w:val="TOC2"/>
        <w:tabs>
          <w:tab w:val="right" w:leader="dot" w:pos="8306"/>
        </w:tabs>
      </w:pPr>
      <w:hyperlink w:anchor="_Toc12713" w:history="1">
        <w:r>
          <w:rPr>
            <w:rFonts w:ascii="仿宋" w:eastAsia="仿宋" w:hAnsi="仿宋" w:cs="仿宋" w:hint="eastAsia"/>
            <w:lang w:eastAsia="zh-CN"/>
          </w:rPr>
          <w:t>(三)、营销策略与推广计划</w:t>
        </w:r>
        <w:r>
          <w:tab/>
        </w:r>
        <w:r>
          <w:fldChar w:fldCharType="begin"/>
        </w:r>
        <w:r>
          <w:instrText xml:space="preserve"> PAGEREF _Toc12713 \h </w:instrText>
        </w:r>
        <w:r>
          <w:fldChar w:fldCharType="separate"/>
        </w:r>
        <w:r>
          <w:t>83</w:t>
        </w:r>
        <w:r>
          <w:fldChar w:fldCharType="end"/>
        </w:r>
      </w:hyperlink>
    </w:p>
    <w:p>
      <w:pPr>
        <w:pStyle w:val="TOC2"/>
        <w:tabs>
          <w:tab w:val="right" w:leader="dot" w:pos="8306"/>
        </w:tabs>
      </w:pPr>
      <w:hyperlink w:anchor="_Toc11041" w:history="1">
        <w:r>
          <w:rPr>
            <w:rFonts w:ascii="仿宋" w:eastAsia="仿宋" w:hAnsi="仿宋" w:cs="仿宋" w:hint="eastAsia"/>
            <w:lang w:eastAsia="zh-CN"/>
          </w:rPr>
          <w:t>(四)、产品定价与销售渠道</w:t>
        </w:r>
        <w:r>
          <w:tab/>
        </w:r>
        <w:r>
          <w:fldChar w:fldCharType="begin"/>
        </w:r>
        <w:r>
          <w:instrText xml:space="preserve"> PAGEREF _Toc11041 \h </w:instrText>
        </w:r>
        <w:r>
          <w:fldChar w:fldCharType="separate"/>
        </w:r>
        <w:r>
          <w:t>84</w:t>
        </w:r>
        <w:r>
          <w:fldChar w:fldCharType="end"/>
        </w:r>
      </w:hyperlink>
    </w:p>
    <w:p>
      <w:pPr>
        <w:pStyle w:val="TOC2"/>
        <w:tabs>
          <w:tab w:val="right" w:leader="dot" w:pos="8306"/>
        </w:tabs>
      </w:pPr>
      <w:hyperlink w:anchor="_Toc29083" w:history="1">
        <w:r>
          <w:rPr>
            <w:rFonts w:ascii="仿宋" w:eastAsia="仿宋" w:hAnsi="仿宋" w:cs="仿宋" w:hint="eastAsia"/>
            <w:lang w:eastAsia="zh-CN"/>
          </w:rPr>
          <w:t>(五)、售后服务体系</w:t>
        </w:r>
        <w:r>
          <w:tab/>
        </w:r>
        <w:r>
          <w:fldChar w:fldCharType="begin"/>
        </w:r>
        <w:r>
          <w:instrText xml:space="preserve"> PAGEREF _Toc29083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5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真空助力器项目报告按照现代真空助力器项目管理理论及标准流程编写，着重分析了真空助力器项目管理中的系统思维、团队协作、时间成本控制等关键要素，并将理论与实验案例相结合，提出创新性的改进措施。报告的结构设计严谨，内容充实，旨在为相关领域的研究者和实践者提供有价值的参考和指引。特别声明，本报告的所有内容均不可用作商业用途，只供学习交流之用，以期通过共享知识增进真空助力器项目管理实践的深度与广度</w:t>
      </w:r>
    </w:p>
    <w:p>
      <w:pPr>
        <w:pStyle w:val="Heading1"/>
        <w:ind w:firstLine="560" w:firstLineChars="200"/>
        <w:rPr>
          <w:rFonts w:ascii="仿宋" w:eastAsia="仿宋" w:hAnsi="仿宋" w:cs="仿宋" w:hint="eastAsia"/>
          <w:sz w:val="28"/>
          <w:lang w:eastAsia="zh-CN"/>
        </w:rPr>
      </w:pPr>
      <w:bookmarkStart w:id="2" w:name="_Toc25040"/>
      <w:r>
        <w:rPr>
          <w:rFonts w:ascii="仿宋" w:eastAsia="仿宋" w:hAnsi="仿宋" w:cs="仿宋" w:hint="eastAsia"/>
          <w:sz w:val="28"/>
          <w:lang w:eastAsia="zh-CN"/>
        </w:rPr>
        <w:t>一、真空助力器项目选址说明</w:t>
      </w:r>
      <w:bookmarkEnd w:id="2"/>
    </w:p>
    <w:p>
      <w:pPr>
        <w:pStyle w:val="Heading2"/>
        <w:rPr>
          <w:rFonts w:ascii="仿宋" w:eastAsia="仿宋" w:hAnsi="仿宋" w:cs="仿宋" w:hint="eastAsia"/>
          <w:lang w:eastAsia="zh-CN"/>
        </w:rPr>
      </w:pPr>
      <w:bookmarkStart w:id="3" w:name="_Toc5495"/>
      <w:r>
        <w:rPr>
          <w:rFonts w:ascii="仿宋" w:eastAsia="仿宋" w:hAnsi="仿宋" w:cs="仿宋" w:hint="eastAsia"/>
          <w:lang w:eastAsia="zh-CN"/>
        </w:rPr>
        <w:t>(一)、真空助力器项目选址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选址位于XXXX市XXXX区XXXX街道XXXX路，地理位置优越，地势平坦，交通便利。附近有多条主要道路交汇，便于原材料的运输和成品的配送。地理位置的优越性将为真空助力器项目提供便捷的市场接触和良好的物流基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在选址过程中，我们将充分考虑用地控制指标，确保真空助力器项目用地的合规性。经过详细的规划和评估，选址地区的用地性质、容积率、绿化率等指标将被科学确定，以满足真空助力器项目的发展需求并符合相关法规和环保要求。</w:t>
      </w:r>
    </w:p>
    <w:p>
      <w:pPr>
        <w:pStyle w:val="Heading2"/>
        <w:ind w:firstLine="560" w:firstLineChars="200"/>
        <w:rPr>
          <w:rFonts w:ascii="仿宋" w:eastAsia="仿宋" w:hAnsi="仿宋" w:cs="仿宋" w:hint="eastAsia"/>
          <w:sz w:val="28"/>
          <w:lang w:eastAsia="zh-CN"/>
        </w:rPr>
      </w:pPr>
      <w:bookmarkStart w:id="4" w:name="_Toc2785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用地性质： 选址地区的用地性质被确定为工业用地，以支持真空助力器项目的生产和运营。确保用地性质符合地方规划，并满足真空助力器项目的实际需求。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用途： 明确用地用途，包括生产车间、仓储区、办公区等功能分区，以确保用地的合理利用和各功能区的协调运作。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容积率： 根据地区规划和建设标准，设定合理的容积率。容积率的设定要考虑真空助力器项目的建筑需求，确保建筑的布局紧凑，用地高效利用。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绿化率： 确保真空助力器项目选址地区的绿化率符合环保法规的要求。通过科学的绿化设计，提高绿化率，改善周边环境，为员工提供良好的工作生活环境。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建筑高度限制： 根据地区的城市规划和建设标准，设定建筑高度的限制。确保建筑高度符合安全规范，不影响周边环境。</w:t>
      </w:r>
    </w:p>
    <w:p>
      <w:pPr>
        <w:pStyle w:val="Heading2"/>
        <w:ind w:firstLine="560" w:firstLineChars="200"/>
        <w:rPr>
          <w:rFonts w:ascii="仿宋" w:eastAsia="仿宋" w:hAnsi="仿宋" w:cs="仿宋" w:hint="eastAsia"/>
          <w:sz w:val="28"/>
          <w:lang w:eastAsia="zh-CN"/>
        </w:rPr>
      </w:pPr>
      <w:bookmarkStart w:id="5" w:name="_Toc3240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紧凑布局设计： 通过合理的建筑布局，优化空间利用效率，减少废弃空间。将生产车间、仓储区和办公区等功能区域紧密布置，实现空间的高效利用。</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多功能共享： 在规划中将不同功能的区域进行合理的组合，实现多功能区域的共享。例如，共享办公区域，减少办公区的面积，提高使用效率。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垂直建筑设计： 针对真空助力器项目的实际需求，考虑采用垂直建筑设计，提高建筑的层数，减小占地面积。这将有助于在有限的用地内实现更大的建筑容积。</w:t>
      </w:r>
    </w:p>
    <w:p>
      <w:pPr>
        <w:ind w:firstLine="560" w:firstLineChars="200"/>
        <w:rPr>
          <w:rFonts w:ascii="仿宋" w:eastAsia="仿宋" w:hAnsi="仿宋" w:cs="仿宋" w:hint="eastAsia"/>
          <w:sz w:val="28"/>
        </w:rPr>
      </w:pPr>
      <w:r>
        <w:rPr>
          <w:rFonts w:ascii="仿宋" w:eastAsia="仿宋" w:hAnsi="仿宋" w:cs="仿宋" w:hint="eastAsia"/>
          <w:sz w:val="28"/>
          <w:lang w:eastAsia="zh-CN"/>
        </w:rPr>
        <w:t>4. 地下空间利用： 充分利用地下空间，将一部分功能区域或设备安置在地下，减少对地表面积的占用。地下空间的充分利用有助于最大化地面用地。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绿化屋顶设计： 在建筑设计中引入绿化屋顶，通过种植植被覆盖，提高绿化率。绿化屋顶不仅能够降低用地对热岛效应的影响，还有助于改善周边环境。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6. 共享设施： 考虑引入共享设施，如共享停车区域、共享休息区等，以减少单一功能区的用地需求，提高共享效益。</w:t>
      </w:r>
    </w:p>
    <w:p>
      <w:pPr>
        <w:pStyle w:val="Heading2"/>
        <w:ind w:firstLine="560" w:firstLineChars="200"/>
        <w:rPr>
          <w:rFonts w:ascii="仿宋" w:eastAsia="仿宋" w:hAnsi="仿宋" w:cs="仿宋" w:hint="eastAsia"/>
          <w:sz w:val="28"/>
          <w:lang w:eastAsia="zh-CN"/>
        </w:rPr>
      </w:pPr>
      <w:bookmarkStart w:id="6" w:name="_Toc3016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位于城市的交通枢纽，便利的交通条件为总图布置提供了得天独厚的优势。附近主要道路交汇，为真空助力器项目的原材料运输和成品配送提供了便捷的通道。地理位置的优越性将成为总图布置方案的首要考虑因素，确保真空助力器项目能够充分利用地理位置的战略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道路设置与交通流畅性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总图布置方案中，我们将注重道路设置的科学规划。主要道路将贯穿整个真空助力器项目区域，确保各功能区域之间联系紧密，交通流畅。同时，考虑到员工和访客的出行便利性，设置合理的交叉口和交叉桥，提高道路通行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功能区域划分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将明确定义不同功能区域的划分，包括生产车间、仓储区、办公区等。通过科学的划分，保障各功能区域的合理利用，提高整个真空助力器项目的运作效率。生产车间将布置在交通便利的核心区域，仓储区则紧邻生产区域，便于物流运输。办公区域则设于交通相对较宜的区域，为员工提供良好的办公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是总图布置中不可忽视的重要元素。我们将科学设计绿化空间，包括公共绿地、景观区域等。绿化空间不仅提升了整个真空助力器项目的环境质量，还有助于改善员工的工作生活环境。通过合理设置绿化带，提高绿化率，实现生态与经济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建筑布局的合理性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着重考虑建筑布局的合理性。生产车间将按照生产流程和物流需求进行布局，确保生产效率最大化。办公区域则设在相对安静的区域，提供良好的办公环境。同时，建筑的高度和密度将根据地区的规划标准，确保建筑的合理分布，不影响周边环境。</w:t>
      </w:r>
    </w:p>
    <w:p>
      <w:pPr>
        <w:pStyle w:val="Heading2"/>
        <w:ind w:firstLine="560" w:firstLineChars="200"/>
        <w:rPr>
          <w:rFonts w:ascii="仿宋" w:eastAsia="仿宋" w:hAnsi="仿宋" w:cs="仿宋" w:hint="eastAsia"/>
          <w:sz w:val="28"/>
          <w:lang w:eastAsia="zh-CN"/>
        </w:rPr>
      </w:pPr>
      <w:bookmarkStart w:id="7" w:name="_Toc2831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选址综合评价是对所有选址因素进行全面权衡和评估的过程，包括地理位置、交通便利性、用地控制指标等多个方面。通过科学的评价方法，确保最终选址符合真空助力器项目的长期发展需求和可行性要求。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地理位置优势的综合利用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的地理位置是综合评价的首要因素。地理位置的优越性将为真空助力器项目的成功实施提供战略优势。通过全面利用地理位置，确保真空助力器项目在市场接触、原材料供应、成品销售等方面具备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综合评价将充分考虑选址地区的交通便利性。主要道路的交汇、交通流畅性等因素将被纳入考虑范围。通过科学评估交通状况，确保真空助力器项目的运输通道顺畅，为物流和员工的出行提供良好保障。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用地控制指标的科学制定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用地控制指标是综合评价中的重要组成部分。通过科学制定用地控制指标，明确用地性质、用途、容积率等，确保用地的规划与真空助力器项目的实际需求相符。这有助于用地的科学利用和可持续性发展。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节约用地措施的实施效果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综合评价将考察节约用地措施的实施效果。通过紧凑布局设计、多功能共享、垂直建筑设计等措施，实现用地的节约和效益最大化。评估这些措施的实施效果，确保用地的经济性和可持续性。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总图布置方案的协调性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在综合评价中发挥关键作用。通过科学合理的布置，确保真空助力器项目的空间布局合理有序。绿化空间、建筑布局、功能区域划分等因素将在总图布置中得到综合考虑，为真空助力器项目提供良好的空间环境。</w:t>
      </w:r>
    </w:p>
    <w:p>
      <w:pPr>
        <w:pStyle w:val="Heading1"/>
        <w:ind w:firstLine="560" w:firstLineChars="200"/>
        <w:rPr>
          <w:rFonts w:ascii="仿宋" w:eastAsia="仿宋" w:hAnsi="仿宋" w:cs="仿宋" w:hint="eastAsia"/>
          <w:sz w:val="28"/>
          <w:lang w:eastAsia="zh-CN"/>
        </w:rPr>
      </w:pPr>
      <w:bookmarkStart w:id="8" w:name="_Toc31772"/>
      <w:r>
        <w:rPr>
          <w:rFonts w:ascii="仿宋" w:eastAsia="仿宋" w:hAnsi="仿宋" w:cs="仿宋" w:hint="eastAsia"/>
          <w:sz w:val="28"/>
          <w:lang w:eastAsia="zh-CN"/>
        </w:rPr>
        <w:t>二、建设单位基本信息</w:t>
      </w:r>
      <w:bookmarkEnd w:id="8"/>
    </w:p>
    <w:p>
      <w:pPr>
        <w:pStyle w:val="Heading2"/>
        <w:rPr>
          <w:rFonts w:ascii="仿宋" w:eastAsia="仿宋" w:hAnsi="仿宋" w:cs="仿宋" w:hint="eastAsia"/>
          <w:lang w:eastAsia="zh-CN"/>
        </w:rPr>
      </w:pPr>
      <w:bookmarkStart w:id="9" w:name="_Toc29162"/>
      <w:r>
        <w:rPr>
          <w:rFonts w:ascii="仿宋" w:eastAsia="仿宋" w:hAnsi="仿宋" w:cs="仿宋" w:hint="eastAsia"/>
          <w:lang w:eastAsia="zh-CN"/>
        </w:rPr>
        <w:t>(一)、真空助力器项目承办单位基本情况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一、真空助力器项目承办单位基本情况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XXXX有限公司是一家多元化的企业服务提供商，专注于为各类企业提供全方位的支持和解决方案。我们的团队由经验丰富的专业人士组成，致力于帮助企业实现业务目标，提升竞争力。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核心业务领域：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企业管理咨询与规划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组织架构优化与流程改善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营销策略与市场拓展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公司特色：</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XXXX有限公司以灵活的服务模式和客户至上的理念为特色。我们注重深入了解客户需求，为其提供定制化的解决方案，助力企业在不断变化的市场中蓬勃发展。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w:t>
      </w:r>
    </w:p>
    <w:p>
      <w:pPr>
        <w:ind w:firstLine="560" w:firstLineChars="200"/>
        <w:rPr>
          <w:rFonts w:ascii="仿宋" w:eastAsia="仿宋" w:hAnsi="仿宋" w:cs="仿宋" w:hint="eastAsia"/>
          <w:sz w:val="28"/>
        </w:rPr>
      </w:pPr>
      <w:r>
        <w:rPr>
          <w:rFonts w:ascii="仿宋" w:eastAsia="仿宋" w:hAnsi="仿宋" w:cs="仿宋" w:hint="eastAsia"/>
          <w:sz w:val="28"/>
          <w:lang w:eastAsia="zh-CN"/>
        </w:rPr>
        <w:t>2010年：XXXX有限公司成立，专注于企业管理咨询服务。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2014年：逐步拓展服务领域，加强组织优化和团队建设方面的实践。</w:t>
      </w:r>
    </w:p>
    <w:p>
      <w:pPr>
        <w:ind w:firstLine="560" w:firstLineChars="200"/>
        <w:rPr>
          <w:rFonts w:ascii="仿宋" w:eastAsia="仿宋" w:hAnsi="仿宋" w:cs="仿宋" w:hint="eastAsia"/>
          <w:sz w:val="28"/>
        </w:rPr>
      </w:pPr>
      <w:r>
        <w:rPr>
          <w:rFonts w:ascii="仿宋" w:eastAsia="仿宋" w:hAnsi="仿宋" w:cs="仿宋" w:hint="eastAsia"/>
          <w:sz w:val="28"/>
          <w:lang w:eastAsia="zh-CN"/>
        </w:rPr>
        <w:t>2017年：成功协助多家企业实现业务增长，树立了良好的业界口碑。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2021年：与各行各业建立战略伙伴关系，共同推动服务领域的发展。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XXXX有限公司的使命是通过提供高效专业的服务，助力客户在竞争激烈的市场中脱颖而出。我们的愿景是成为企业服务领域的领军者，不断创新，为更多企业创造长期价值。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我们诚挚欢迎各界合作伙伴与我们携手，共同推动企业发展，共创美好的未来。</w:t>
      </w:r>
    </w:p>
    <w:p>
      <w:pPr>
        <w:pStyle w:val="Heading2"/>
        <w:ind w:firstLine="560" w:firstLineChars="200"/>
        <w:rPr>
          <w:rFonts w:ascii="仿宋" w:eastAsia="仿宋" w:hAnsi="仿宋" w:cs="仿宋" w:hint="eastAsia"/>
          <w:sz w:val="28"/>
          <w:lang w:eastAsia="zh-CN"/>
        </w:rPr>
      </w:pPr>
      <w:bookmarkStart w:id="10" w:name="_Toc25683"/>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财务状况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公司的财务状况是评估其经济效益的核心指标之一。关注以下几个方面：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利润状况：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公司近几年的利润状况显示稳健，净利润达到XX万元，毛利润率和净利润率均保持在行业水平之上。</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资产负债表： 公司资产负债表显示资产总额为XX万元，其中流动资产占比较高，负债结构较为健康，具备较强的偿债能力。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市场份额和竞争力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市场份额： 公司在行业内的市场份额为XX%，并且近年来市场份额有所增长，显示出较强的市场竞争力。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客户满意度： 最新的客户满意度调查显示，客户满意度达到XX%，证明公司的产品或服务在市场上受到高度认可。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投资回报率（ROI）： 公司的综合投资回报率为XX%，在真空助力器项目、市场推广和研发等方面的投资取得了良好的回报。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4. 成本结构和效率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成本结构： 公司的成本结构经过优化，生产成本、运营成本和管理成本均得到有效控制，为公司的经济效益提供了有力支持。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 公司的生产效率较高，资源利用率得到有效提升，进一步推动了产能的提高。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环境影响和社会责任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环境和社会责任： 公司积极参与环境友好型和社会责任活动，体现出对可持续发展的关注，为公司形象增色不少。</w:t>
      </w:r>
    </w:p>
    <w:p>
      <w:pPr>
        <w:ind w:firstLine="560" w:firstLineChars="200"/>
        <w:rPr>
          <w:rFonts w:ascii="仿宋" w:eastAsia="仿宋" w:hAnsi="仿宋" w:cs="仿宋" w:hint="eastAsia"/>
          <w:sz w:val="28"/>
        </w:rPr>
      </w:pPr>
      <w:r>
        <w:rPr>
          <w:rFonts w:ascii="仿宋" w:eastAsia="仿宋" w:hAnsi="仿宋" w:cs="仿宋" w:hint="eastAsia"/>
          <w:sz w:val="28"/>
          <w:lang w:eastAsia="zh-CN"/>
        </w:rPr>
        <w:t>6. 行业趋势和风险管理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行业趋势： 公司积极适应行业趋势，关注市场需求和技术变革，有助于提高公司的经济效益。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 公司建立了有效的风险管理体系，对市场、经济和运营风险有明确的防范和控制措施。</w:t>
      </w:r>
    </w:p>
    <w:p>
      <w:pPr>
        <w:pStyle w:val="Heading1"/>
        <w:ind w:firstLine="560" w:firstLineChars="200"/>
        <w:rPr>
          <w:rFonts w:ascii="仿宋" w:eastAsia="仿宋" w:hAnsi="仿宋" w:cs="仿宋" w:hint="eastAsia"/>
          <w:sz w:val="28"/>
          <w:lang w:eastAsia="zh-CN"/>
        </w:rPr>
      </w:pPr>
      <w:bookmarkStart w:id="11" w:name="_Toc17614"/>
      <w:r>
        <w:rPr>
          <w:rFonts w:ascii="仿宋" w:eastAsia="仿宋" w:hAnsi="仿宋" w:cs="仿宋" w:hint="eastAsia"/>
          <w:sz w:val="28"/>
          <w:lang w:eastAsia="zh-CN"/>
        </w:rPr>
        <w:t>三、工艺分析</w:t>
      </w:r>
      <w:bookmarkEnd w:id="11"/>
    </w:p>
    <w:p>
      <w:pPr>
        <w:pStyle w:val="Heading2"/>
        <w:rPr>
          <w:rFonts w:ascii="仿宋" w:eastAsia="仿宋" w:hAnsi="仿宋" w:cs="仿宋" w:hint="eastAsia"/>
          <w:lang w:eastAsia="zh-CN"/>
        </w:rPr>
      </w:pPr>
      <w:bookmarkStart w:id="12" w:name="_Toc8873"/>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真空助力器项目中显现出多层面的复杂性和有机性。其系统性突显在对广泛技术领域的全面规划和整合，要求各技术要素相互协调，以确保真空助力器项目整体协同。这种系统性要求技术管理者在真空助力器项目中全局思考，以适应多元领域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不断变化的环境中具备创新能力，团队需要持续提出独具创意的技术解决方案，作为推动真空助力器项目进步的引擎。这种创新力使技术管理不仅仅是问题应对，更是真空助力器项目发展的推动力，促使团队在技术层面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另一方面，技术管理体现出综合性。它要求在不同领域中进行全面考虑，将各种技术要素有机融合，以实现更高水平和更大范围的效果。技术管理者需要跨领域协调，确保真空助力器项目技术方案的综合有效性。</w:t>
      </w:r>
    </w:p>
    <w:p>
      <w:pPr>
        <w:pStyle w:val="Heading2"/>
        <w:ind w:firstLine="560" w:firstLineChars="200"/>
        <w:rPr>
          <w:rFonts w:ascii="仿宋" w:eastAsia="仿宋" w:hAnsi="仿宋" w:cs="仿宋" w:hint="eastAsia"/>
          <w:sz w:val="28"/>
          <w:lang w:eastAsia="zh-CN"/>
        </w:rPr>
      </w:pPr>
      <w:bookmarkStart w:id="13" w:name="_Toc22500"/>
      <w:r>
        <w:rPr>
          <w:rFonts w:ascii="仿宋" w:eastAsia="仿宋" w:hAnsi="仿宋" w:cs="仿宋" w:hint="eastAsia"/>
          <w:sz w:val="28"/>
          <w:lang w:eastAsia="zh-CN"/>
        </w:rPr>
        <w:t>(二)、真空助力器项目工艺技术设计方案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艺流程设计是真空助力器项目工艺技术设计的核心。在设计中，需要明确每一步骤的操作顺序、所需时间和资源，以确保生产过程的高效性和流畅性。此外，要考虑可能出现的变数，采取灵活的设计以适应实际生产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工艺参数设定：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对关键的工艺参数进行合理设定至关重要。这包括但不限于温度、压力、流速等因素。合理的参数设置有助于提高生产效率，确保产品质量的稳定性，并降低可能的生产风险。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工艺设备选择：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在选择工艺设备时，需要考虑其性能、稳定性和可维护性。设备应符合真空助力器项目的实际需求，并与整个生产流程协同工作，确保设备的使用不成为真空助力器项目的瓶颈。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4. 能源消耗优化：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工艺技术设计应考虑能源消耗的优化。采取先进的节能技术，降低能源浪费，有助于提高生产效益的同时，减少对环境的不良影响。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在工艺技术设计中，环保因素是不可忽视的。采用环保友好型的工艺，减少对环境的污染，符合可持续发展的要求，同时也有助于提升企业的社会形象。</w:t>
      </w:r>
    </w:p>
    <w:p>
      <w:pPr>
        <w:pStyle w:val="Heading2"/>
        <w:ind w:firstLine="560" w:firstLineChars="200"/>
        <w:rPr>
          <w:rFonts w:ascii="仿宋" w:eastAsia="仿宋" w:hAnsi="仿宋" w:cs="仿宋" w:hint="eastAsia"/>
          <w:sz w:val="28"/>
          <w:lang w:eastAsia="zh-CN"/>
        </w:rPr>
      </w:pPr>
      <w:bookmarkStart w:id="14" w:name="_Toc9658"/>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以挑选卓越供应商为导向，确保所选设备能够按时交付，满足工程进度需求。我们注重售后服务的卓越性，以及设备生产厂家能够及时提供备品备件的能力，以降低真空助力器项目投资风险，最大限度地减少总体真空助力器项目成本。在投资真空助力器项目中，主要工艺设备及仪器将优先选择国产设备，并确保所选生产设备厂家具备国内领先的技术水平和符合国际认证标准的科学企业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以“先进、高效、实用、节能、可靠”为准则，特别关注真空助力器项目产品生产设备在效率、质量、物料损耗、自动化程度、劳动强度和噪音水平等方面的特性。计划采购国内领先的关键工艺设备和国内外尖端的检测设备，预计购置并安装主要设备合共XXXX台(套)，设备购置费用为XXX万元。通过这一选取原则，我们旨在确保真空助力器项目的生产设备具备最佳性能和效益，以满足真空助力器项目长期的发展需求。</w:t>
      </w:r>
    </w:p>
    <w:p>
      <w:pPr>
        <w:pStyle w:val="Heading1"/>
        <w:ind w:firstLine="560" w:firstLineChars="200"/>
        <w:rPr>
          <w:rFonts w:ascii="仿宋" w:eastAsia="仿宋" w:hAnsi="仿宋" w:cs="仿宋" w:hint="eastAsia"/>
          <w:sz w:val="28"/>
          <w:lang w:eastAsia="zh-CN"/>
        </w:rPr>
      </w:pPr>
      <w:bookmarkStart w:id="15" w:name="_Toc9686"/>
      <w:r>
        <w:rPr>
          <w:rFonts w:ascii="仿宋" w:eastAsia="仿宋" w:hAnsi="仿宋" w:cs="仿宋" w:hint="eastAsia"/>
          <w:sz w:val="28"/>
          <w:lang w:eastAsia="zh-CN"/>
        </w:rPr>
        <w:t>四、真空助力器项目市场前景分析</w:t>
      </w:r>
      <w:bookmarkEnd w:id="15"/>
    </w:p>
    <w:p>
      <w:pPr>
        <w:pStyle w:val="Heading2"/>
        <w:rPr>
          <w:rFonts w:ascii="仿宋" w:eastAsia="仿宋" w:hAnsi="仿宋" w:cs="仿宋" w:hint="eastAsia"/>
          <w:lang w:eastAsia="zh-CN"/>
        </w:rPr>
      </w:pPr>
      <w:bookmarkStart w:id="16" w:name="_Toc4638"/>
      <w:r>
        <w:rPr>
          <w:rFonts w:ascii="仿宋" w:eastAsia="仿宋" w:hAnsi="仿宋" w:cs="仿宋" w:hint="eastAsia"/>
          <w:lang w:eastAsia="zh-CN"/>
        </w:rPr>
        <w:t>(一)、建设地经济发展概况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经济总体情况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建设地的经济在过去几年呈现出强劲的增长态势。20XX年至20XXX年，该地区的年均GDP增速超过XX%，整体经济规模达到XX亿元。这一持续增长的趋势反映了建设地经济的活力和吸引力。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主要产业结构</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产业结构多元化，制造业、服务业和高科技产业占据主导地位。先进制造业中的电子、汽车等领域蓬勃发展，服务业包括金融、教育和医疗等多个领域都取得了显著进展。高科技企业的崛起为整体产业结构带来了新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一直致力于打造优越的投资环境，吸引了众多国内外企业的投资。政府实施了一系列便利化政策，简化审批程序，降低投资门槛。建设地成为创业者和投资者青睐的热门目的地，各类产业真空助力器项目纷纷落地。</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人口与就业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人口规模逐年增加，形成了多元化的社会结构。城市人口密集区域的就业市场蓬勃发展，同时城乡一体化发展战略也为农村地区提供了更多就业机会。该地区积极推动人才引进和培养，构建了具有创新力的人才队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为适应经济快速发展的需要，建设地加大了对基础设施建设的投入。新建、改建的高速公路、城市轨道交通、现代化港口等真空助力器项目得到了快速推进，提高了城市的综合竞争力。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建设地注重生态环境保护和可持续发展。实施了大规模的环境治理真空助力器项目，提升了空气质量和水质。同时，该地推动绿色产业和清洁能源的发展，致力于打造宜居宜业的城市环境。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7. 区域合作与国际交往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建设地积极参与区域合作和国际交往，拓展了多领域的国际合作真空助力器项目。通过加强国际交流，该地区引进了大量国外优质技术和资金，同时推动了本地产业的对外拓展。</w:t>
      </w:r>
    </w:p>
    <w:p>
      <w:pPr>
        <w:pStyle w:val="Heading2"/>
        <w:ind w:firstLine="560" w:firstLineChars="200"/>
        <w:rPr>
          <w:rFonts w:ascii="仿宋" w:eastAsia="仿宋" w:hAnsi="仿宋" w:cs="仿宋" w:hint="eastAsia"/>
          <w:sz w:val="28"/>
          <w:lang w:eastAsia="zh-CN"/>
        </w:rPr>
      </w:pPr>
      <w:bookmarkStart w:id="17" w:name="_Toc19230"/>
      <w:r>
        <w:rPr>
          <w:rFonts w:ascii="仿宋" w:eastAsia="仿宋" w:hAnsi="仿宋" w:cs="仿宋" w:hint="eastAsia"/>
          <w:sz w:val="28"/>
          <w:lang w:eastAsia="zh-CN"/>
        </w:rPr>
        <w:t>(二)、行业市场分析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行业在全球范围内的市场规模持续扩大，据最新数据显示，年均增长率达到XX%。市场规模预计将在未来数年内继续增长，达到YY亿元。这一趋势表明行业正受到日益增长的市场需求的推动，为各类企业提供了广泛的商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竞争格局相当激烈，主要由几家大型企业主导市场，占据了相当比例的市场份额。然而，新兴企业通过创新和灵活性也逐渐在市场中崭露头角。尽管入口壁垒相对较高，但随着技术的进步和市场的开放，新进入者有望取得更多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消费者行为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客户主要集中在年轻一代，他们更注重产品的创新性、环保性和品牌形象。消费者趋势显示，线上购物和个性化定制服务逐渐成为主流，这对企业提出了更高的要求。了解这些趋势有助于企业调整产品策略，提升市场占有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一直是该行业的推动力，最新的技术趋势涵盖了人工智能、大数据分析以及物联网技术的应用。在全球范围内，多家企业正在加大研发投入，以推动行业的数字化转型。未来趋势显示，智能化产品和服务将成为市场的主导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法规与政策影响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环境对该行业的影响显著，特别是关于环保和消费者权益方面的法规。政府对该行业的监管力度逐渐加强，其中包括新的环保法规和产品标准。同时，政府通过提供税收激励和创新资金，支持企业更好地适应新的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环保要求日益增加，企业在产品制造和供应链管理中不断加强环保措施。社会责任在行业内也占据重要地位，许多企业积极参与社区真空助力器项目和慈善事业，提升了其社会形象。可持续发展计划逐渐成为企业战略的一部分，以确保业务的可持续性和社会责任的履行。</w:t>
      </w:r>
    </w:p>
    <w:p>
      <w:pPr>
        <w:pStyle w:val="Heading1"/>
        <w:ind w:firstLine="560" w:firstLineChars="200"/>
        <w:rPr>
          <w:rFonts w:ascii="仿宋" w:eastAsia="仿宋" w:hAnsi="仿宋" w:cs="仿宋" w:hint="eastAsia"/>
          <w:sz w:val="28"/>
          <w:lang w:eastAsia="zh-CN"/>
        </w:rPr>
      </w:pPr>
      <w:bookmarkStart w:id="18" w:name="_Toc7045"/>
      <w:r>
        <w:rPr>
          <w:rFonts w:ascii="仿宋" w:eastAsia="仿宋" w:hAnsi="仿宋" w:cs="仿宋" w:hint="eastAsia"/>
          <w:sz w:val="28"/>
          <w:lang w:eastAsia="zh-CN"/>
        </w:rPr>
        <w:t>五、员工福利与企业文化</w:t>
      </w:r>
      <w:bookmarkEnd w:id="18"/>
    </w:p>
    <w:p>
      <w:pPr>
        <w:pStyle w:val="Heading2"/>
        <w:rPr>
          <w:rFonts w:ascii="仿宋" w:eastAsia="仿宋" w:hAnsi="仿宋" w:cs="仿宋" w:hint="eastAsia"/>
          <w:lang w:eastAsia="zh-CN"/>
        </w:rPr>
      </w:pPr>
      <w:bookmarkStart w:id="19" w:name="_Toc6475"/>
      <w:r>
        <w:rPr>
          <w:rFonts w:ascii="仿宋" w:eastAsia="仿宋" w:hAnsi="仿宋" w:cs="仿宋" w:hint="eastAsia"/>
          <w:lang w:eastAsia="zh-CN"/>
        </w:rPr>
        <w:t>(一)、员工福利政策</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薪酬福利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薪酬福利是员工关注的核心内容之一，直接关系到员工的生活质量和对工作的认同感。企业可以通过以下手段提供有竞争力的薪酬福利：</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基本工资： 确保员工的基本工资水平能够满足生活需求，并与行业水平相符。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绩效奖金： 建立科学的绩效考核体系，通过绩效奖金激发员工的工作热情和动力。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福利补贴： 提供丰富的福利补贴，如交通补贴、通讯补贴、餐补等，以提升员工的实际收入。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福利待遇： 提供完善的社会保险和商业保险，确保员工在面对风险和困难时有相应的保障。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职业发展与培训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为员工提供职业发展和培训机会是企业关心员工成长的体现，也是激发员工积极性的重要手段。相关政策包括：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 制定全面的培训计划，包括入职培训、职业技能培训、管理能力培训等，以提升员工的综合素质。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晋升机制： 建立公平、透明的晋升机制，鼓励员工通过不断学习和提升能力来获得更高职位。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导师制度： 实施导师制度，为员工提供专业指导和职业规划建议，帮助其更好地适应职场环境。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学习资源： 提供员工可以自主学习的学习资源，如在线课程、图书馆资源等，支持员工的个人发展。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工作生活平衡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工作生活平衡政策是越来越受到关注的员工福利方面，对于提高员工的生活质量和工作效能有着积极的作用：</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弹性工作时间： 提供弹性工作时间，让员工更好地平衡工作和生活，有助于提升工作效率。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远程办公： 支持远程办公，让员工可以更加自由地选择工作地点，提高工作的便捷性和舒适度。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带薪休假： 提供丰富的带薪休假政策，包括年假、病假、特殊假期等，保障员工的休息和健康。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 提供健康管理服务，包括定期体检、心理健康辅导等，关心员工的身体和心理健康。</w:t>
      </w:r>
    </w:p>
    <w:p>
      <w:pPr>
        <w:pStyle w:val="Heading2"/>
        <w:ind w:firstLine="560" w:firstLineChars="200"/>
        <w:rPr>
          <w:rFonts w:ascii="仿宋" w:eastAsia="仿宋" w:hAnsi="仿宋" w:cs="仿宋" w:hint="eastAsia"/>
          <w:sz w:val="28"/>
          <w:lang w:eastAsia="zh-CN"/>
        </w:rPr>
      </w:pPr>
      <w:bookmarkStart w:id="20" w:name="_Toc28532"/>
      <w:r>
        <w:rPr>
          <w:rFonts w:ascii="仿宋" w:eastAsia="仿宋" w:hAnsi="仿宋" w:cs="仿宋" w:hint="eastAsia"/>
          <w:sz w:val="28"/>
          <w:lang w:eastAsia="zh-CN"/>
        </w:rPr>
        <w:t>(二)、团队建设与员工培训</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团队建设旨在增强团队成员之间的合作、沟通和协调能力，以提高整个团队的绩效。具体的团队建设策略包括：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明确团队目标： 将团队目标明确传达给每位成员，确保大家对团队的方向和目标有清晰的认识。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促进沟通： 建立开放、透明的沟通渠道，鼓励成员分享观点、意见和反馈，提高团队内部的信息流通效率。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团队活动： 定期组织团队活动，如团建、培训、座谈等，促进团队成员之间的相互了解和交流。</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设立明确角色： 明确每位成员的职责和角色，避免工作重叠和责任不清，提高团队协同效率。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奖励机制： 建立激励机制，通过团队目标的实现奖励优秀表现，激发成员的团队合作意识。</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2. 员工培训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员工培训是为了提升员工的专业素养、技能水平，使其更好地适应企业的发展需求。有效的员工培训包括以下关键点：</w:t>
      </w:r>
    </w:p>
    <w:p>
      <w:pPr>
        <w:ind w:firstLine="560" w:firstLineChars="200"/>
        <w:rPr>
          <w:rFonts w:ascii="仿宋" w:eastAsia="仿宋" w:hAnsi="仿宋" w:cs="仿宋" w:hint="eastAsia"/>
          <w:sz w:val="28"/>
        </w:rPr>
      </w:pPr>
      <w:r>
        <w:rPr>
          <w:rFonts w:ascii="仿宋" w:eastAsia="仿宋" w:hAnsi="仿宋" w:cs="仿宋" w:hint="eastAsia"/>
          <w:sz w:val="28"/>
          <w:lang w:eastAsia="zh-CN"/>
        </w:rPr>
        <w:t>需求分析： 在进行培训计划前，对员工的实际需求进行调研和分析，确保培训内容切实符合员工的发展需求。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多样化培训方式： 结合不同学习风格和需求，采用多样化的培训方式，包括课堂培训、在线学习、实践操作等。</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专业师资： 邀请具有丰富经验和专业知识的讲师，确保培训内容的专业性和实用性。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持续培训： 实行持续培训机制，不仅关注新员工的培训，也重视老员工的继续教育，保持员工的职业竞争力。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培训效果评估： 在培训结束后进行效果评估，了解培训的实际收益和改进空间，不断提升培训质量。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团队建设和员工培训，企业能够更好地塑造协同高效的团队，提升员工的综合素养，使其具备更强的适应力和创造力。这两方面的工作是企业人力资源管理中的关键环节，直接影响着企业的竞争力和可持续发展。同时，积极的团队建设和员工培训也有助于提高员工的工作满意度和忠诚度，形成更加稳固的组织基石。</w:t>
      </w:r>
    </w:p>
    <w:p>
      <w:pPr>
        <w:pStyle w:val="Heading2"/>
        <w:ind w:firstLine="560" w:firstLineChars="200"/>
        <w:rPr>
          <w:rFonts w:ascii="仿宋" w:eastAsia="仿宋" w:hAnsi="仿宋" w:cs="仿宋" w:hint="eastAsia"/>
          <w:sz w:val="28"/>
          <w:lang w:eastAsia="zh-CN"/>
        </w:rPr>
      </w:pPr>
      <w:bookmarkStart w:id="21" w:name="_Toc26936"/>
      <w:r>
        <w:rPr>
          <w:rFonts w:ascii="仿宋" w:eastAsia="仿宋" w:hAnsi="仿宋" w:cs="仿宋" w:hint="eastAsia"/>
          <w:sz w:val="28"/>
          <w:lang w:eastAsia="zh-CN"/>
        </w:rPr>
        <w:t>(三)、企业文化建设</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明确核心价值观</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企业文化的核心在于明确企业的核心价值观。这是企业文化的灵魂，为员工提供行为准则，塑造企业独特的品牌形象。关键步骤包括：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制定核心价值观： 由企业领导层牵头，与全员共同制定公司的核心价值观，确保其具有共识性和引导性。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传达核心价值观： 将核心价值观融入企业的各个方面，通过内外部培训、宣传推广等方式，确保员工理解和认同。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弘扬核心价值观： 鼓励员工在工作中践行核心价值观，将其内化为行为习惯，从而形成共同的文化认同。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2. 倡导积极工作氛围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良好的工作氛围是企业文化建设的关键组成部分，直接关系到员工的工作积极性和创造力。相关策略包括：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激励机制： 制定并实施激励机制，包括奖励、晋升机会等，鼓励员工更加积极主动地投入工作。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开放沟通： 打破部门壁垒，鼓励员工之间开放、坦诚的沟通，形成良好的团队合作氛围。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关注员工需求： 通过定期调查、员工反馈等方式了解员工需求，及时调整管理政策，提高员工的满意度。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建设共同的企业愿景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企业文化建设的目标之一是建设共同的企业愿景，激发员工对企业未来发展的期许和认同。关键步骤包括：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制定愿景目标： 由企业领导层与全员共同参与，确立具有挑战性和激励性的企业愿景，明确未来的发展方向。</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传递愿景信息： 通过内外部媒体、企业内部宣传等方式，将企业愿景传递给全员，确保员工对愿景的理解和认同。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与员工共建： 鼓励员工提出对企业愿景的建议和期望，形成共建共享的愿景文化。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建立共同价值观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共同的价值观是企业文化中的黏合剂，通过共同的价值观可以在组织内形成一种紧密的凝聚力。相关做法包括：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强调团队协作： 在企业文化中强调团队协作的重要性，倡导共同努力、共享成果的工作理念。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倡导责任意识： 建立员工对企业的责任感，使每个员工都能深刻理解自己的工作对企业的贡献。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共享成功： 强调成功是整个团队共同努力的结果，通过共享成功经验和荣誉，进一步加强团队凝聚力。</w:t>
      </w:r>
    </w:p>
    <w:p>
      <w:pPr>
        <w:pStyle w:val="Heading2"/>
        <w:ind w:firstLine="560" w:firstLineChars="200"/>
        <w:rPr>
          <w:rFonts w:ascii="仿宋" w:eastAsia="仿宋" w:hAnsi="仿宋" w:cs="仿宋" w:hint="eastAsia"/>
          <w:sz w:val="28"/>
          <w:lang w:eastAsia="zh-CN"/>
        </w:rPr>
      </w:pPr>
      <w:bookmarkStart w:id="22" w:name="_Toc1823"/>
      <w:r>
        <w:rPr>
          <w:rFonts w:ascii="仿宋" w:eastAsia="仿宋" w:hAnsi="仿宋" w:cs="仿宋" w:hint="eastAsia"/>
          <w:sz w:val="28"/>
          <w:lang w:eastAsia="zh-CN"/>
        </w:rPr>
        <w:t>(四)、员工健康与工作平衡</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员工的健康和工作平衡是企业人力资源管理中至关重要的两个方面。建立良好的健康环境和工作平衡，有助于提高员工的工作效能、减轻工作压力，同时增强员工的忠诚度和满意度。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健康管理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员工的身体健康是企业稳定运营的基础，也是提高工作效能的前提。建立健康管理制度包括：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定期体检： 提供定期的健康体检，早发现和预防潜在健康问题，保障员工的身体健康。</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健康教育：</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开展健康知识培训，提高员工对健康的认识，鼓励健康生活方式，如合理饮食、适度运动等。</w:t>
      </w:r>
    </w:p>
    <w:p>
      <w:pPr>
        <w:ind w:firstLine="560" w:firstLineChars="200"/>
        <w:rPr>
          <w:rFonts w:ascii="仿宋" w:eastAsia="仿宋" w:hAnsi="仿宋" w:cs="仿宋" w:hint="eastAsia"/>
          <w:sz w:val="28"/>
        </w:rPr>
      </w:pPr>
      <w:r>
        <w:rPr>
          <w:rFonts w:ascii="仿宋" w:eastAsia="仿宋" w:hAnsi="仿宋" w:cs="仿宋" w:hint="eastAsia"/>
          <w:sz w:val="28"/>
          <w:lang w:eastAsia="zh-CN"/>
        </w:rPr>
        <w:t>心理健康支持： 提供心理健康支持服务，包括心理咨询、工作压力管理等，关注员工的心理健康。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职业病防护： 针对特殊行业，建立职业病防护措施，减少员工在工作中可能受到的健康危害。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工作时间与弹性制度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工作平衡是指员工在工作和生活之间能够取得平衡，既能够充分发挥工作潜力，又能够有足够的时间去追求生活中的其他目标。相关做法包括：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弹性工作时间： 提供弹性的工作时间安排，使员工更好地适应个人的作息习惯和生活需求。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远程办公： 鼓励和支持员工在一定条件下进行远程办公，提高工作的灵活性。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带薪休假： 提供充足的带薪休假，让员工有足够的时间休息和放松，减轻工作压力。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加班限制： 设定合理的加班限制，防止员工长时间过度工作，保障员工的身心健康。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健康活动与福利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通过组织健康活动和提供福利，企业可以增强员工的团队合作精神，同时提升员工对企业的认同感。相关做法包括：</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健身活动： 组织定期的健身活动，如羽毛球比赛、健身培训等，促进员工身体锻炼，增强身体素质。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健康餐饮： 提供健康餐饮选择，关注员工的饮食健康，推动员工养成健康的饮食习惯。</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福利政策： 设立完善的员工福利政策，包括健康保险、子女教育支持等，提升员工的生活品质。</w:t>
      </w:r>
    </w:p>
    <w:p>
      <w:pPr>
        <w:ind w:firstLine="560" w:firstLineChars="200"/>
        <w:rPr>
          <w:rFonts w:ascii="仿宋" w:eastAsia="仿宋" w:hAnsi="仿宋" w:cs="仿宋" w:hint="eastAsia"/>
          <w:sz w:val="28"/>
        </w:rPr>
      </w:pPr>
      <w:r>
        <w:rPr>
          <w:rFonts w:ascii="仿宋" w:eastAsia="仿宋" w:hAnsi="仿宋" w:cs="仿宋" w:hint="eastAsia"/>
          <w:sz w:val="28"/>
          <w:lang w:eastAsia="zh-CN"/>
        </w:rPr>
        <w:t>关注员工的健康与工作平衡，企业可以营造出积极向上、关爱员工的文化氛围，从而提高员工的工作满意度和忠诚度，实现共赢。</w:t>
      </w:r>
    </w:p>
    <w:p>
      <w:pPr>
        <w:pStyle w:val="Heading1"/>
        <w:ind w:firstLine="560" w:firstLineChars="200"/>
        <w:rPr>
          <w:rFonts w:ascii="仿宋" w:eastAsia="仿宋" w:hAnsi="仿宋" w:cs="仿宋" w:hint="eastAsia"/>
          <w:sz w:val="28"/>
          <w:lang w:eastAsia="zh-CN"/>
        </w:rPr>
      </w:pPr>
      <w:bookmarkStart w:id="23" w:name="_Toc19459"/>
      <w:r>
        <w:rPr>
          <w:rFonts w:ascii="仿宋" w:eastAsia="仿宋" w:hAnsi="仿宋" w:cs="仿宋" w:hint="eastAsia"/>
          <w:sz w:val="28"/>
          <w:lang w:eastAsia="zh-CN"/>
        </w:rPr>
        <w:t>六、危机管理与应急预案</w:t>
      </w:r>
      <w:bookmarkEnd w:id="23"/>
    </w:p>
    <w:p>
      <w:pPr>
        <w:pStyle w:val="Heading2"/>
        <w:rPr>
          <w:rFonts w:ascii="仿宋" w:eastAsia="仿宋" w:hAnsi="仿宋" w:cs="仿宋" w:hint="eastAsia"/>
          <w:lang w:eastAsia="zh-CN"/>
        </w:rPr>
      </w:pPr>
      <w:bookmarkStart w:id="24" w:name="_Toc8445"/>
      <w:r>
        <w:rPr>
          <w:rFonts w:ascii="仿宋" w:eastAsia="仿宋" w:hAnsi="仿宋" w:cs="仿宋" w:hint="eastAsia"/>
          <w:lang w:eastAsia="zh-CN"/>
        </w:rPr>
        <w:t>(一)、危机预警与监测</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建立监测体系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危机监测体系是有效进行危机预警与监测的首要步骤。这一体系需要全面覆盖外部和内部环境的多个方面，以确保企业能够全面了解潜在的危机因素。外部环境的监测包括政治、经济、社会、技术等方面，而内部环境的监测则需要关注组织内部的运营状况、员工情绪等。</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在建立监测体系时，企业需要采用先进的信息技术和数据分析手段，确保能够实时、准确地收集和分析大量信息。同时，要考虑不同领域的专业监测机构和专业人才的参与，以提高监测体系的专业性和敏感性。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数据收集与分析</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数据收集与分析是危机监测的核心环节。企业需要建立高效的数据收集机制，以确保能够获取与企业相关的各类信息。这可能涉及到社交媒体的监测、新闻报道的跟踪、市场调研数据的收集等多方面工作。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数据收集完成，接下来的关键步骤是对数据进行系统分析。这需要企业拥有一支专业的数据分析团队，能够从海量数据中提炼出有价值的信息。数据分析的目标是发现潜在的危机迹象和异常现象，为危机的及时处理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预警机制建立</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建立灵敏的预警机制是确保企业能够在危机来临之前获得预警信息的关键。预警机制的建立需要考虑到监测体系的反馈、数据分析的结果以及与外部专业机构的合作。关键的步骤包括：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设定预警指标： 根据数据分析的结果和历史危机事件的经验，确定一系列可作为危机预警指标的关键因素。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建立预警信号： 将确定的预警指标与实际监测结果相结合，建立一套能够发出明确信号的预警系统。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制定应急响应计划： 针对不同级别的预警信号，制定相应的应急响应计划，明确责任人和行动方案。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定期演练： 对预警机制进行定期演练，检验其实际效果，及时调整和改进机制。</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预警与监测体系的建立是企业危机管理的基础，它使企业能够在危机爆发前就能够有针对性地采取措施，最大程度地降低潜在风险带来的损失。通过精细化的监测和灵活的应对机制，企业能够更好地应对多变的外部环境，保障组织的稳定和可持续发展。</w:t>
      </w:r>
    </w:p>
    <w:p>
      <w:pPr>
        <w:pStyle w:val="Heading2"/>
        <w:ind w:firstLine="560" w:firstLineChars="200"/>
        <w:rPr>
          <w:rFonts w:ascii="仿宋" w:eastAsia="仿宋" w:hAnsi="仿宋" w:cs="仿宋" w:hint="eastAsia"/>
          <w:sz w:val="28"/>
          <w:lang w:eastAsia="zh-CN"/>
        </w:rPr>
      </w:pPr>
      <w:bookmarkStart w:id="25" w:name="_Toc30928"/>
      <w:r>
        <w:rPr>
          <w:rFonts w:ascii="仿宋" w:eastAsia="仿宋" w:hAnsi="仿宋" w:cs="仿宋" w:hint="eastAsia"/>
          <w:sz w:val="28"/>
          <w:lang w:eastAsia="zh-CN"/>
        </w:rPr>
        <w:t>(二)、应急预案与危机响应</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预案制定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应急预案的制定是为了在危机发生时提供清晰的指导和规范行动。预案需要覆盖各个可能出现危机的领域，确保在面对不同类型的紧急情况时能够迅速做出正确反应。制定应急预案的关键步骤包括：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综合性规划： 制定一份全面而综合的应急预案，覆盖从人员疏散到资源调配、从危机指挥到协同合作等多个方面。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 在制定预案前进行全面的风险评估，明确可能面临的各类威胁，以便有针对性地制定应对方案。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多方参与： 预案的制定需要多方面的参与，包括安全专家、卫生专业人员、法务顾问等，确保综合性和专业性。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定期更新： 预案需要根据组织的变化和外部环境的变动进行定期更新，保持其时效性和适应性。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危机演练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定期组织危机演练是验证应急预案的有效性和可行性的关键手段。通过模拟真实危机情境，组织成员能够更好地理解应对程序，提高危机时的应对能力。危机演练的关键步骤包括：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制定演练计划： 设定演练目标、场景、参与人员和时间表，确保演练的全面性和实效性。</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模拟真实情境：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在演练中模拟真实危机情境，包括人员伤亡、资源不足、信息不准确等各种可能的困难。</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评估演练结果： 对演练过程进行全面评估，发现问题和不足，为后续的改进提供依据。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定期调整： 根据演练的结果，及时对应急预案进行调整和完善，确保其实用性和灵活性。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指挥体系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建立明确的指挥体系是危机发生时能够迅速做出决策、协调资源的关键。指挥体系的构建需要确保信息流通畅，责任分工明确，决策迅速而准确。建立指挥体系的关键步骤包括：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明确层级： 制定清晰的指挥层级，确保在危机发生时能够迅速形成统一的指挥架构。</w:t>
      </w:r>
    </w:p>
    <w:p>
      <w:pPr>
        <w:ind w:firstLine="560" w:firstLineChars="200"/>
        <w:rPr>
          <w:rFonts w:ascii="仿宋" w:eastAsia="仿宋" w:hAnsi="仿宋" w:cs="仿宋" w:hint="eastAsia"/>
          <w:sz w:val="28"/>
        </w:rPr>
      </w:pPr>
      <w:r>
        <w:rPr>
          <w:rFonts w:ascii="仿宋" w:eastAsia="仿宋" w:hAnsi="仿宋" w:cs="仿宋" w:hint="eastAsia"/>
          <w:sz w:val="28"/>
          <w:lang w:eastAsia="zh-CN"/>
        </w:rPr>
        <w:t>角色分工： 确定每个指挥层级的角色和职责，以便在紧急情况下各司其职，协同工作。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信息流动： 建立快速、准确的信息传递机制，确保决策者能够及时获取所需信息。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紧急决策培训： 对指挥层级的成员进行紧急决策的培训，提高其在危机时的决策效率。</w:t>
      </w:r>
    </w:p>
    <w:p>
      <w:pPr>
        <w:pStyle w:val="Heading2"/>
        <w:ind w:firstLine="560" w:firstLineChars="200"/>
        <w:rPr>
          <w:rFonts w:ascii="仿宋" w:eastAsia="仿宋" w:hAnsi="仿宋" w:cs="仿宋" w:hint="eastAsia"/>
          <w:sz w:val="28"/>
          <w:lang w:eastAsia="zh-CN"/>
        </w:rPr>
      </w:pPr>
      <w:bookmarkStart w:id="26" w:name="_Toc26626"/>
      <w:r>
        <w:rPr>
          <w:rFonts w:ascii="仿宋" w:eastAsia="仿宋" w:hAnsi="仿宋" w:cs="仿宋" w:hint="eastAsia"/>
          <w:sz w:val="28"/>
          <w:lang w:eastAsia="zh-CN"/>
        </w:rPr>
        <w:t>(三)、危机沟通与舆情控制</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沟通计划</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制定完善的危机沟通计划是确保在紧急情况下能够迅速、有序地传递信息的前提。沟通计划需要包括明确的沟通渠道、信息发布时机、沟通对象等关键元素。关键步骤包括：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建立沟通团队： 成立专门的危机沟通团队，包括公关专业人士、法务顾问等，确保具备危机时的敏感性和专业性。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危机信息归类： 对危机信息进行分类，确定哪些信息可以及时公开，哪些需要谨慎处理。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选择沟通渠道： 根据危机的性质和影响，选择最合适的沟通渠道，包括媒体发布、社交媒体、公司网站等。</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信息发布时机： 在危机发生后及时发布信息，但确保信息的准确性和完整性，避免过早或过晚发布导致误解。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2. 信息透明</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危机发生时，保持信息的透明度是建立信任和减轻公众焦虑的关键。透明沟通需要展示组织的负责任态度，积极回应公众关切。关键步骤包括：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真实情况公开： 在信息发布中坚持真实、客观的原则，对危机的真实情况进行公开。</w:t>
      </w:r>
    </w:p>
    <w:p>
      <w:pPr>
        <w:ind w:firstLine="560" w:firstLineChars="200"/>
        <w:rPr>
          <w:rFonts w:ascii="仿宋" w:eastAsia="仿宋" w:hAnsi="仿宋" w:cs="仿宋" w:hint="eastAsia"/>
          <w:sz w:val="28"/>
        </w:rPr>
      </w:pPr>
      <w:r>
        <w:rPr>
          <w:rFonts w:ascii="仿宋" w:eastAsia="仿宋" w:hAnsi="仿宋" w:cs="仿宋" w:hint="eastAsia"/>
          <w:sz w:val="28"/>
          <w:lang w:eastAsia="zh-CN"/>
        </w:rPr>
        <w:t>不隐瞒问题： 如有错误或疏忽，勇于承认，并及时采取纠正措施，避免信息隐瞒引发更大危机。</w:t>
      </w:r>
    </w:p>
    <w:p>
      <w:pPr>
        <w:ind w:firstLine="560" w:firstLineChars="200"/>
        <w:rPr>
          <w:rFonts w:ascii="仿宋" w:eastAsia="仿宋" w:hAnsi="仿宋" w:cs="仿宋" w:hint="eastAsia"/>
          <w:sz w:val="28"/>
        </w:rPr>
      </w:pPr>
      <w:r>
        <w:rPr>
          <w:rFonts w:ascii="仿宋" w:eastAsia="仿宋" w:hAnsi="仿宋" w:cs="仿宋" w:hint="eastAsia"/>
          <w:sz w:val="28"/>
          <w:lang w:eastAsia="zh-CN"/>
        </w:rPr>
        <w:t>接受采访和回应： 主动接受媒体采访，回应公众关切，积极参与危机舆论引导。</w:t>
      </w:r>
    </w:p>
    <w:p>
      <w:pPr>
        <w:ind w:firstLine="560" w:firstLineChars="200"/>
        <w:rPr>
          <w:rFonts w:ascii="仿宋" w:eastAsia="仿宋" w:hAnsi="仿宋" w:cs="仿宋" w:hint="eastAsia"/>
          <w:sz w:val="28"/>
        </w:rPr>
      </w:pPr>
      <w:r>
        <w:rPr>
          <w:rFonts w:ascii="仿宋" w:eastAsia="仿宋" w:hAnsi="仿宋" w:cs="仿宋" w:hint="eastAsia"/>
          <w:sz w:val="28"/>
          <w:lang w:eastAsia="zh-CN"/>
        </w:rPr>
        <w:t>3. 舆情监测</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舆情监测是对社会舆论动态的及时了解和调整的关键环节。通过舆情监测，企业可以更好地把握公众的态度和情感，有针对性地调整沟通策略。关键步骤包括：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设立监测机制： 建立舆情监测系统，覆盖主流媒体、社交媒体、网络论坛等多个渠道，全面了解舆情动向。</w:t>
      </w:r>
    </w:p>
    <w:p>
      <w:pPr>
        <w:ind w:firstLine="560" w:firstLineChars="200"/>
        <w:rPr>
          <w:rFonts w:ascii="仿宋" w:eastAsia="仿宋" w:hAnsi="仿宋" w:cs="仿宋" w:hint="eastAsia"/>
          <w:sz w:val="28"/>
        </w:rPr>
      </w:pPr>
      <w:r>
        <w:rPr>
          <w:rFonts w:ascii="仿宋" w:eastAsia="仿宋" w:hAnsi="仿宋" w:cs="仿宋" w:hint="eastAsia"/>
          <w:sz w:val="28"/>
          <w:lang w:eastAsia="zh-CN"/>
        </w:rPr>
        <w:t>情感分析： 对舆情进行情感分析，了解公众的情感倾向，有针对性地调整信息发布策略。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即时回应： 对于涉及企业的谣言或误解，及时进行回应和澄清，防止虚假信息传播。</w:t>
      </w:r>
    </w:p>
    <w:p>
      <w:pPr>
        <w:ind w:firstLine="560" w:firstLineChars="200"/>
        <w:rPr>
          <w:rFonts w:ascii="仿宋" w:eastAsia="仿宋" w:hAnsi="仿宋" w:cs="仿宋" w:hint="eastAsia"/>
          <w:sz w:val="28"/>
        </w:rPr>
      </w:pPr>
      <w:r>
        <w:rPr>
          <w:rFonts w:ascii="仿宋" w:eastAsia="仿宋" w:hAnsi="仿宋" w:cs="仿宋" w:hint="eastAsia"/>
          <w:sz w:val="28"/>
          <w:lang w:eastAsia="zh-CN"/>
        </w:rPr>
        <w:t>4. 危机后教训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危机后教训的总结和改进是危机沟通的闭环。通过反思危机沟通过程，企业可以更好地准备未来可能发生的危机，提升危机沟通的水平。关键步骤包括：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总结经验教训： 对危机沟通过程进行深入总结，明确优点和不足之处。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改进沟通策略： 根据总结的教训，调整和改进危机沟通策略，提高应对危机的能力。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培训沟通团队： 将总结的经验教训纳入危机沟通团队的培训体系，提高团队的专业水平。</w:t>
      </w:r>
    </w:p>
    <w:p>
      <w:pPr>
        <w:pStyle w:val="Heading2"/>
        <w:ind w:firstLine="560" w:firstLineChars="200"/>
        <w:rPr>
          <w:rFonts w:ascii="仿宋" w:eastAsia="仿宋" w:hAnsi="仿宋" w:cs="仿宋" w:hint="eastAsia"/>
          <w:sz w:val="28"/>
          <w:lang w:eastAsia="zh-CN"/>
        </w:rPr>
      </w:pPr>
      <w:bookmarkStart w:id="27" w:name="_Toc1438"/>
      <w:r>
        <w:rPr>
          <w:rFonts w:ascii="仿宋" w:eastAsia="仿宋" w:hAnsi="仿宋" w:cs="仿宋" w:hint="eastAsia"/>
          <w:sz w:val="28"/>
          <w:lang w:eastAsia="zh-CN"/>
        </w:rPr>
        <w:t>(四)、危机后教训与改进</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总结经验教训</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在危机发生后，对整个危机处理过程进行全面、深入的总结是确保企业能够吸取经验教训的首要步骤。关键方面包括：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问题识别： 确定危机处理过程中出现的问题，包括内部失误、外部压力、公众反应等方面。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决策评估： 对危机管理团队的决策进行客观评估，确定哪些决策起到了积极作用，哪些需要调整和改进。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资源利用： 评估危机期间各类资源的利用效率，包括人力、物力、信息等。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改进管理策略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基于总结的经验教训，制定并实施改进危机管理策略是确保企业下次危机能够更好应对的关键一环。关键方面包括：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修订危机预案： 根据危机中暴露的问题和不足，对危机预案进行修订和升级，确保其更具实效性和适应性。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加强团队培训： 针对危机管理团队，开展专业培训，提高成员的应变能力、决策水平和团队协同能力。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升级技术支持： 结合危机处理中出现的技术问题，考虑引入更先进的技术手段，提升信息收集和处理的效率。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提高沟通效果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危机时的沟通效果直接关系到公众对企业的认知和态度。通过改进沟通策略，企业可以更好地引导舆论、维护声誉。关键方面包括：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提升透明度： 加强信息透明度，及时、准确地向公众传递危机信息，减少信息不对称。</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加强社交媒体管理： 提升在社交媒体上的管理水平，积极参与互动，防范谣言传播，维护正面形象。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改进危机沟通团队： 对危机沟通团队进行定期培训，提高团队的危机沟通策略和危机公关技巧。</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定期演练与检验</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为确保改进措施的有效性，企业需要定期组织危机演练，并对演练结果进行检验和评估。关键方面包括：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演练目标明确： 制定明确的演练目标，包括测试预案可行性、团队协同效果等。</w:t>
      </w:r>
    </w:p>
    <w:p>
      <w:pPr>
        <w:ind w:firstLine="560" w:firstLineChars="200"/>
        <w:rPr>
          <w:rFonts w:ascii="仿宋" w:eastAsia="仿宋" w:hAnsi="仿宋" w:cs="仿宋" w:hint="eastAsia"/>
          <w:sz w:val="28"/>
        </w:rPr>
      </w:pPr>
      <w:r>
        <w:rPr>
          <w:rFonts w:ascii="仿宋" w:eastAsia="仿宋" w:hAnsi="仿宋" w:cs="仿宋" w:hint="eastAsia"/>
          <w:sz w:val="28"/>
          <w:lang w:eastAsia="zh-CN"/>
        </w:rPr>
        <w:t>多方参与演练： 邀请外部专业机构参与演练，提供客观的评价和建议。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演练结果反馈： 对演练结果进行深入分析，识别问题和不足，为下一轮改进提供依据。</w:t>
      </w:r>
    </w:p>
    <w:p>
      <w:pPr>
        <w:pStyle w:val="Heading1"/>
        <w:ind w:firstLine="560" w:firstLineChars="200"/>
        <w:rPr>
          <w:rFonts w:ascii="仿宋" w:eastAsia="仿宋" w:hAnsi="仿宋" w:cs="仿宋" w:hint="eastAsia"/>
          <w:sz w:val="28"/>
          <w:lang w:eastAsia="zh-CN"/>
        </w:rPr>
      </w:pPr>
      <w:bookmarkStart w:id="28" w:name="_Toc15781"/>
      <w:r>
        <w:rPr>
          <w:rFonts w:ascii="仿宋" w:eastAsia="仿宋" w:hAnsi="仿宋" w:cs="仿宋" w:hint="eastAsia"/>
          <w:sz w:val="28"/>
          <w:lang w:eastAsia="zh-CN"/>
        </w:rPr>
        <w:t>七、投资背景及必要性分析</w:t>
      </w:r>
      <w:bookmarkEnd w:id="28"/>
    </w:p>
    <w:p>
      <w:pPr>
        <w:pStyle w:val="Heading2"/>
        <w:rPr>
          <w:rFonts w:ascii="仿宋" w:eastAsia="仿宋" w:hAnsi="仿宋" w:cs="仿宋" w:hint="eastAsia"/>
          <w:lang w:eastAsia="zh-CN"/>
        </w:rPr>
      </w:pPr>
      <w:bookmarkStart w:id="29" w:name="_Toc11184"/>
      <w:r>
        <w:rPr>
          <w:rFonts w:ascii="仿宋" w:eastAsia="仿宋" w:hAnsi="仿宋" w:cs="仿宋" w:hint="eastAsia"/>
          <w:lang w:eastAsia="zh-CN"/>
        </w:rPr>
        <w:t>(一)、真空助力器项目承办单位背景分析</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概况：XX有限公司是一家在XX行业具有丰富经验和卓越业绩的企业。成立于XXXX年，公司总部位于XX市，目前拥有一支专业的管理团队和技术团队，致力于提供高质量的产品和服务。公司秉承“创新、质量、服务”的理念，不断推动行业的发展。</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业务范围：公司主要从事XX领域的生产和销售，涵盖了XX、XX、XX等领域。公司产品以其高品质和先进技术在市场上赢得了良好的口碑。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发展历程：公司经过多年的发展，已经建立了稳定的市场地位。先后获得了多项荣誉和认证，是行业内的佼佼者。公司始终秉持着诚信经营、客户至上的原则，与众多客户建立了长期合作关系。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公司经济效益分析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公司经济效益在过去几年取得了显著的成果。公司经济效益的主要亮点：</w:t>
      </w:r>
    </w:p>
    <w:p>
      <w:pPr>
        <w:ind w:firstLine="560" w:firstLineChars="200"/>
        <w:rPr>
          <w:rFonts w:ascii="仿宋" w:eastAsia="仿宋" w:hAnsi="仿宋" w:cs="仿宋" w:hint="eastAsia"/>
          <w:sz w:val="28"/>
        </w:rPr>
      </w:pPr>
      <w:r>
        <w:rPr>
          <w:rFonts w:ascii="仿宋" w:eastAsia="仿宋" w:hAnsi="仿宋" w:cs="仿宋" w:hint="eastAsia"/>
          <w:sz w:val="28"/>
          <w:lang w:eastAsia="zh-CN"/>
        </w:rPr>
        <w:t>1. 营业收入增长： 公司在过去三年中，营业收入呈现稳步增长的趋势，主要得益于产品市场需求的提升和市场份额的扩大。</w:t>
      </w:r>
    </w:p>
    <w:p>
      <w:pPr>
        <w:ind w:firstLine="560" w:firstLineChars="200"/>
        <w:rPr>
          <w:rFonts w:ascii="仿宋" w:eastAsia="仿宋" w:hAnsi="仿宋" w:cs="仿宋" w:hint="eastAsia"/>
          <w:sz w:val="28"/>
        </w:rPr>
      </w:pPr>
      <w:r>
        <w:rPr>
          <w:rFonts w:ascii="仿宋" w:eastAsia="仿宋" w:hAnsi="仿宋" w:cs="仿宋" w:hint="eastAsia"/>
          <w:sz w:val="28"/>
          <w:lang w:eastAsia="zh-CN"/>
        </w:rPr>
        <w:t>2. 盈利能力提升： 公司的盈利能力逐年提升，净利润持续增加。这主要归功于公司在产品研发、生产管理和市场拓展方面的不断优化。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资产稳健： 公司的资产结构健康，资产回报率保持在行业领先水平。这表明公司在资金运作和资产配置方面具备较强的管理水平。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市场份额提升： 公司成功扩大了市场份额，成为行业内的重要参与者。通过提高产品质量和服务水平，公司赢得了客户的信任，增强了市场竞争力。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持续创新： 公司注重技术创新和产品研发，推出了一系列领先行业的产品。这为公司在市场上保持竞争力提供了有力支持。</w:t>
      </w:r>
    </w:p>
    <w:p>
      <w:pPr>
        <w:pStyle w:val="Heading2"/>
        <w:ind w:firstLine="560" w:firstLineChars="200"/>
        <w:rPr>
          <w:rFonts w:ascii="仿宋" w:eastAsia="仿宋" w:hAnsi="仿宋" w:cs="仿宋" w:hint="eastAsia"/>
          <w:sz w:val="28"/>
          <w:lang w:eastAsia="zh-CN"/>
        </w:rPr>
      </w:pPr>
      <w:bookmarkStart w:id="30" w:name="_Toc1308"/>
      <w:r>
        <w:rPr>
          <w:rFonts w:ascii="仿宋" w:eastAsia="仿宋" w:hAnsi="仿宋" w:cs="仿宋" w:hint="eastAsia"/>
          <w:sz w:val="28"/>
          <w:lang w:eastAsia="zh-CN"/>
        </w:rPr>
        <w:t>(二)、产业政策及发展规划</w:t>
      </w:r>
      <w:bookmarkEnd w:id="30"/>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产业政策及发展规划是企业在特定行业运营中必须关注和遵循的重要指导原则。对于XX有限公司而言，制定明晰的产业政策和发展规划至关重要，以适应行业的发展趋势和政府的相关政策。该公司在产业政策和发展规划方面的主要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政府政策关注： 公司将密切关注相关政府部门出台的产业政策。这包括关于技术创新、环保标准、产业发展方向等方面的政策。及时了解并遵循这些政策对公司的长期发展至关重要。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技术创新导向： 公司将注重技术创新，积极采用先进的生产工艺和设备。通过不断提升技术水平，公司可以在行业中保持竞争优势，并满足市场对高质量产品的需求。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环保要求履行： 公司将遵循并超越国家和地方的环保标准。在生产过程中，注重降低能耗、减少排放，实施清洁生产，以确保企业的可持续发展。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市场需求预测： 公司将通过市场调研，准确了解市场需求和趋势。基于市场的变化，灵活调整产品结构和服务，以满足客户不断变化的需求。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合规经营： 公司将始终遵循各项法规和政策，确保经营活动的合法合规性。建立健全的内部管理制度，进行规范的财务和经营报告，保持企业的良好声誉。</w:t>
      </w:r>
    </w:p>
    <w:p>
      <w:pPr>
        <w:ind w:firstLine="560" w:firstLineChars="200"/>
        <w:rPr>
          <w:rFonts w:ascii="仿宋" w:eastAsia="仿宋" w:hAnsi="仿宋" w:cs="仿宋" w:hint="eastAsia"/>
          <w:sz w:val="28"/>
        </w:rPr>
      </w:pPr>
      <w:r>
        <w:rPr>
          <w:rFonts w:ascii="仿宋" w:eastAsia="仿宋" w:hAnsi="仿宋" w:cs="仿宋" w:hint="eastAsia"/>
          <w:sz w:val="28"/>
          <w:lang w:eastAsia="zh-CN"/>
        </w:rPr>
        <w:t>6. 人才培养： 公司将注重人才培养和引进，建立完善的人才梯队。通过培训和激励机制，激发员工的创新潜力，为公司的可持续发展提供人才支持。</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国际市场拓展：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公司将积极响应国家政策，拓展国际市场。通过与国际同行合作、参与国际展会等方式，提升公司在国际市场的竞争力。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通过制定科学合理的产业政策和发展规划，XX有限公司将能够更好地适应外部环境的变化，确保企业在行业中稳健发展，为实施真空助力器项目提供坚实支持。</w:t>
      </w:r>
    </w:p>
    <w:p>
      <w:pPr>
        <w:pStyle w:val="Heading2"/>
        <w:ind w:firstLine="560" w:firstLineChars="200"/>
        <w:rPr>
          <w:rFonts w:ascii="仿宋" w:eastAsia="仿宋" w:hAnsi="仿宋" w:cs="仿宋" w:hint="eastAsia"/>
          <w:sz w:val="28"/>
          <w:lang w:eastAsia="zh-CN"/>
        </w:rPr>
      </w:pPr>
      <w:bookmarkStart w:id="31" w:name="_Toc7261"/>
      <w:r>
        <w:rPr>
          <w:rFonts w:ascii="仿宋" w:eastAsia="仿宋" w:hAnsi="仿宋" w:cs="仿宋" w:hint="eastAsia"/>
          <w:sz w:val="28"/>
          <w:lang w:eastAsia="zh-CN"/>
        </w:rPr>
        <w:t>(三)、鼓励中小企业发展</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1. 融资支持： 通过建立专门的中小企业融资渠道，提供低息贷款、创业担保贷款、风险投资等融资工具，帮助中小企业解决融资难题，推动其良性发展。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技术创新支持： 鼓励中小企业进行技术创新，设立专项资金支持科技研发真空助力器项目。提供创新券、科技补贴等奖励措施，推动中小企业提升技术水平，增强市场竞争力。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税收优惠政策： 制定税收政策，对中小企业给予适当的减免税收优惠，降低其经营成本。例如，减免企业所得税、增值税减免、研发费用税前扣除等政策。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创业培训和咨询服务： 提供免费或低成本的创业培训和咨询服务，帮助中小企业提升管理水平、市场拓展能力，降低创业风险。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市场准入便利化： 简化中小企业市场准入手续，降低市场准入门槛。减少行政审批环节，提高创业和经营的便利性，激发中小企业的创业热情。</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国际合作与对外贸易支持：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鼓励中小企业参与国际市场竞争，提供国际市场开拓的支持政策。为中小企业提供国际合作平台，促进对外贸易合作。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人才引进和培养： 实施人才引进计划，为中小企业引进高层次、高技能的专业人才。同时，通过培训计划提升中小企业员工的综合素质。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8. 绿色可持续发展： 鼓励中小企业采用绿色生产方式，推动可持续发展。制定环保和绿色产业的相关政策，引导中小企业逐步实现绿色转型。</w:t>
      </w:r>
    </w:p>
    <w:p>
      <w:pPr>
        <w:pStyle w:val="Heading2"/>
        <w:ind w:firstLine="560" w:firstLineChars="200"/>
        <w:rPr>
          <w:rFonts w:ascii="仿宋" w:eastAsia="仿宋" w:hAnsi="仿宋" w:cs="仿宋" w:hint="eastAsia"/>
          <w:sz w:val="28"/>
          <w:lang w:eastAsia="zh-CN"/>
        </w:rPr>
      </w:pPr>
      <w:bookmarkStart w:id="32" w:name="_Toc375"/>
      <w:r>
        <w:rPr>
          <w:rFonts w:ascii="仿宋" w:eastAsia="仿宋" w:hAnsi="仿宋" w:cs="仿宋" w:hint="eastAsia"/>
          <w:sz w:val="28"/>
          <w:lang w:eastAsia="zh-CN"/>
        </w:rPr>
        <w:t>(四)、宏观经济形势分析</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首先，我国的GDP增长率表现强劲。根据最新的统计数据，上一季度我国的GDP增速达到了X.X%，显示出经济持续增长的势头。这一增长主要得益于消费升级、科技创新以及政府采取的积极财政政策，为企业提供了更广阔的市场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通货膨胀率保持在合理水平。尽管在全球范围内存在一些通货膨胀的压力，但我国通过有效的宏观调控，成功地保持了通货膨胀率在目标范围内。这有助于维护货币的稳定，为企业提供了更加可控的经营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失业率方面，尽管受到疫情等因素的影响，失业率有所上升，但政府积极采取就业刺激政策，通过扩大内需、促进创业等方式，努力缓解就业压力，为社会提供更多就业机会。</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在财政政策方面，政府加大了对基础设施建设和高技术产业的投入，通过提高政府支出来刺激经济增长。这为相关产业提供了更多的发展机会，也有望带动更多中小企业的壮大。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货币政策上，央行继续实施稳健的货币政策，保持流动性合理充裕。这有助于支持企业的融资需求，降低融资成本，推动实体经济的发展。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国际贸易方面，我国积极参与全球贸易体系，加强与多个国家的合作。同时，我国继续推进贸易便利化和开放政策，为企业提供更广泛的市场和更多的合作机会。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总体而言，我国的宏观经济形势呈现出积极的趋势，为企业提供了丰富的发展机遇。然而，也需要企业密切关注全球经济环境的变化，灵活调整经营策略，以更好地应对不确定性因素，确保稳健发展。</w:t>
      </w:r>
    </w:p>
    <w:p>
      <w:pPr>
        <w:pStyle w:val="Heading2"/>
        <w:ind w:firstLine="560" w:firstLineChars="200"/>
        <w:rPr>
          <w:rFonts w:ascii="仿宋" w:eastAsia="仿宋" w:hAnsi="仿宋" w:cs="仿宋" w:hint="eastAsia"/>
          <w:sz w:val="28"/>
          <w:lang w:eastAsia="zh-CN"/>
        </w:rPr>
      </w:pPr>
      <w:bookmarkStart w:id="33" w:name="_Toc20805"/>
      <w:r>
        <w:rPr>
          <w:rFonts w:ascii="仿宋" w:eastAsia="仿宋" w:hAnsi="仿宋" w:cs="仿宋" w:hint="eastAsia"/>
          <w:sz w:val="28"/>
          <w:lang w:eastAsia="zh-CN"/>
        </w:rPr>
        <w:t>(五)、区域经济发展概况</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一、地理位置及资源优势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该区域位于XXX地区，具有得天独厚的地理位置优势。地理位置的便利性对区域的经济发展起到积极的推动作用，有利于物流、贸易和人员流动。</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该区域拥有丰富的自然资源，如XXX、XXX等，为产业发展提供了坚实的基础。这些资源的合理开发利用是该区域经济可持续发展的重要保障。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二、产业结构及特色产业</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该区域的产业结构呈现出多元化的特点。传统产业与新兴产业相结合，形成了较为完善的产业体系。特别是XXX领域的发展相对较为突出，成为该区域的特色产业之一。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新兴产业方面，科技创新、高端制造等领域逐渐崭露头角，为该区域经济注入了新的活力。政府对新兴产业的扶持政策也进一步促进了这些领域的发展。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三、投资环境及政策支持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该区域的投资环境相对较好。政府通过一系列政策和措施鼓励企业投资兴业，提供税收优惠、用地支持等政策，吸引了一批知名企业在此设立生产基地或研发中心。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政府还积极推动营商环境的改善，简化行政手续，提高服务效率，降低企业运营成本，为投资者提供更便利的发展环境。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四、基础设施建设及城市化水平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该区域的基础设施建设相对完善。交通网络、能源供应、信息技术等基础设施水平较高，为企业提供了便捷的生产和生活条件。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城市化水平逐渐提升，城市规划与建设得到有效推动。新建的城市区域吸引了大量人口流入，形成了人口、产业、文化等多方面的融合效应。</w:t>
      </w:r>
    </w:p>
    <w:p>
      <w:pPr>
        <w:ind w:firstLine="560" w:firstLineChars="200"/>
        <w:rPr>
          <w:rFonts w:ascii="仿宋" w:eastAsia="仿宋" w:hAnsi="仿宋" w:cs="仿宋" w:hint="eastAsia"/>
          <w:sz w:val="28"/>
        </w:rPr>
      </w:pPr>
      <w:r>
        <w:rPr>
          <w:rFonts w:ascii="仿宋" w:eastAsia="仿宋" w:hAnsi="仿宋" w:cs="仿宋" w:hint="eastAsia"/>
          <w:sz w:val="28"/>
          <w:lang w:eastAsia="zh-CN"/>
        </w:rPr>
        <w:t>五、社会服务水平及人才储备</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该区域的社会服务水平相对较高，教育、医疗、文化等领域得到了有效的支持和提升。这为企业提供了更好的人才保障和劳动力素质。</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人才储备方面，该区域培养了一批高素质的专业人才，为企业的技术创新和管理提供了强有力的支持。同时，政府还采取措施吸引外部优秀人才，形成了人才资源的集聚效应。</w:t>
      </w:r>
    </w:p>
    <w:p>
      <w:pPr>
        <w:ind w:firstLine="560" w:firstLineChars="200"/>
        <w:rPr>
          <w:rFonts w:ascii="仿宋" w:eastAsia="仿宋" w:hAnsi="仿宋" w:cs="仿宋" w:hint="eastAsia"/>
          <w:sz w:val="28"/>
        </w:rPr>
      </w:pPr>
      <w:r>
        <w:rPr>
          <w:rFonts w:ascii="仿宋" w:eastAsia="仿宋" w:hAnsi="仿宋" w:cs="仿宋" w:hint="eastAsia"/>
          <w:sz w:val="28"/>
          <w:lang w:eastAsia="zh-CN"/>
        </w:rPr>
        <w:t>六、环境保护与可持续发展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该区域注重环境保护和可持续发展。政府出台了一系列环保政策，推动企业进行清洁生产，加强资源利用效率，努力实现经济增长与环境保护的良性互动。</w:t>
      </w:r>
    </w:p>
    <w:p>
      <w:pPr>
        <w:pStyle w:val="Heading2"/>
        <w:ind w:firstLine="560" w:firstLineChars="200"/>
        <w:rPr>
          <w:rFonts w:ascii="仿宋" w:eastAsia="仿宋" w:hAnsi="仿宋" w:cs="仿宋" w:hint="eastAsia"/>
          <w:sz w:val="28"/>
          <w:lang w:eastAsia="zh-CN"/>
        </w:rPr>
      </w:pPr>
      <w:bookmarkStart w:id="34" w:name="_Toc9592"/>
      <w:r>
        <w:rPr>
          <w:rFonts w:ascii="仿宋" w:eastAsia="仿宋" w:hAnsi="仿宋" w:cs="仿宋" w:hint="eastAsia"/>
          <w:sz w:val="28"/>
          <w:lang w:eastAsia="zh-CN"/>
        </w:rPr>
        <w:t>(六)、真空助力器项目必要性分析</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一、市场需求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该真空助力器项目的实施是否能够满足当前市场的需求是真空助力器项目必要性的首要考量。通过市场调研和需求分析，我们发现目标市场存在对相关产品或服务的需求。真空助力器项目的推动将能够填补市场空白，满足客户的需求，有望取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二、行业发展趋势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考察所处行业的发展趋势对真空助力器项目的必要性评估至关重要。如果行业正处于增长期或具有良好的前景，真空助力器项目实施将更具有前瞻性。相反，如果行业饱和或面临下行趋势，真空助力器项目的必要性可能会受到质疑。</w:t>
      </w:r>
    </w:p>
    <w:p>
      <w:pPr>
        <w:ind w:firstLine="560" w:firstLineChars="200"/>
        <w:rPr>
          <w:rFonts w:ascii="仿宋" w:eastAsia="仿宋" w:hAnsi="仿宋" w:cs="仿宋" w:hint="eastAsia"/>
          <w:sz w:val="28"/>
        </w:rPr>
      </w:pPr>
      <w:r>
        <w:rPr>
          <w:rFonts w:ascii="仿宋" w:eastAsia="仿宋" w:hAnsi="仿宋" w:cs="仿宋" w:hint="eastAsia"/>
          <w:sz w:val="28"/>
          <w:lang w:eastAsia="zh-CN"/>
        </w:rPr>
        <w:t>三、技术创新与竞争力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真空助力器项目是否引入了新的技术或提升了企业的竞争力也是必要性的考量因素。如果真空助力器项目能够带来技术创新，提高产品或服务的质量和效率，将有助于企业在市场竞争中占据优势。</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四、资源优势与战略布局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真空助力器项目实施是否充分发挥了企业的资源优势，并符合其长期战略规划也是必要性分析的一部分。真空助力器项目应该与企业整体战略相契合，使得企业在资源配置上更具效益。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五、政策和法规支持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真空助力器项目是否符合相关政策和法规，是否能够获得政府的支持也是必要性的重要因素。政策和法规的支持能够降低真空助力器项目的经营风险，提高实施的可行性。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六、社会效益和可持续发展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除了经济效益外，真空助力器项目对社会的积极贡献和可持续发展也应该得到关注。真空助力器项目是否能够创造就业机会、改善社会环境、促进可持续发展等，都是必要性的考虑因素。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七、风险管理与回报预期</w:t>
      </w:r>
    </w:p>
    <w:p>
      <w:pPr>
        <w:ind w:firstLine="560" w:firstLineChars="200"/>
        <w:rPr>
          <w:rFonts w:ascii="仿宋" w:eastAsia="仿宋" w:hAnsi="仿宋" w:cs="仿宋" w:hint="eastAsia"/>
          <w:sz w:val="28"/>
        </w:rPr>
      </w:pPr>
      <w:r>
        <w:rPr>
          <w:rFonts w:ascii="仿宋" w:eastAsia="仿宋" w:hAnsi="仿宋" w:cs="仿宋" w:hint="eastAsia"/>
          <w:sz w:val="28"/>
          <w:lang w:eastAsia="zh-CN"/>
        </w:rPr>
        <w:t>对真空助力器项目的风险进行全面评估，并与预期回报相权衡，有助于判断真空助力器项目的必要性。真空助力器项目的风险可控性和回报的可实现性是真空助力器项目决策的关键指标之一。</w:t>
      </w:r>
    </w:p>
    <w:p>
      <w:pPr>
        <w:pStyle w:val="Heading1"/>
        <w:ind w:firstLine="560" w:firstLineChars="200"/>
        <w:rPr>
          <w:rFonts w:ascii="仿宋" w:eastAsia="仿宋" w:hAnsi="仿宋" w:cs="仿宋" w:hint="eastAsia"/>
          <w:sz w:val="28"/>
          <w:lang w:eastAsia="zh-CN"/>
        </w:rPr>
      </w:pPr>
      <w:bookmarkStart w:id="35" w:name="_Toc23352"/>
      <w:r>
        <w:rPr>
          <w:rFonts w:ascii="仿宋" w:eastAsia="仿宋" w:hAnsi="仿宋" w:cs="仿宋" w:hint="eastAsia"/>
          <w:sz w:val="28"/>
          <w:lang w:eastAsia="zh-CN"/>
        </w:rPr>
        <w:t>八、真空助力器项目风险评估</w:t>
      </w:r>
      <w:bookmarkEnd w:id="35"/>
    </w:p>
    <w:p>
      <w:pPr>
        <w:pStyle w:val="Heading2"/>
        <w:rPr>
          <w:rFonts w:ascii="仿宋" w:eastAsia="仿宋" w:hAnsi="仿宋" w:cs="仿宋" w:hint="eastAsia"/>
          <w:lang w:eastAsia="zh-CN"/>
        </w:rPr>
      </w:pPr>
      <w:bookmarkStart w:id="36" w:name="_Toc27491"/>
      <w:r>
        <w:rPr>
          <w:rFonts w:ascii="仿宋" w:eastAsia="仿宋" w:hAnsi="仿宋" w:cs="仿宋" w:hint="eastAsia"/>
          <w:lang w:eastAsia="zh-CN"/>
        </w:rPr>
        <w:t>(一)、政策风险分析</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政策风险分析是在真空助力器项目实施中考虑政府政策变化可能带来的影响和挑战。政策风险分析的一般步骤：</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r>
        <w:rPr>
          <w:rFonts w:ascii="仿宋" w:eastAsia="仿宋" w:hAnsi="仿宋" w:cs="仿宋" w:hint="eastAsia"/>
          <w:sz w:val="28"/>
          <w:lang w:eastAsia="zh-CN"/>
        </w:rPr>
        <w:t>1. 政策环境变化：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首先，分析所处地区的政治和法规环境。政府在不同时间可能会出台新政策、修改法规或者废除旧政策，这可能对真空助力器项目的经营产生重大影响。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行业监管政策：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了解行业监管政策的动态变化。某些行业受到特殊监管，政府可能会频繁调整监管标准。真空助力器项目如果处于受监管行业，需要密切关注相关政策变动。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税收政策：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分析税收政策的可能变化。税收政策的调整可能影响企业的盈利水平。了解企业所在地区的税收政策，包括企业所得税、增值税等，以及是否存在税收优惠政策。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贸易政策：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如果真空助力器项目涉及跨境贸易，需要考虑国际贸易政策的影响。关税、贸易壁垒、出口管制等因素可能对真空助力器项目的进出口产生直接影响。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环保和能源政策：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政府对环保和能源政策的调整可能对某些行业产生深远的影响。了解并评估与真空助力器项目相关的环保法规和能源政策的变化。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6. 劳动力法规：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分析劳动力法规的变动。劳动力法规的改变可能导致劳动力成本的波动，或者对雇佣关系和劳动力管理提出新的要求。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市场准入政策：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2" w:history="1">
        <w:r>
          <w:rPr>
            <w:rFonts w:ascii="SimSun" w:eastAsia="SimSun" w:hAnsi="SimSun" w:cs="SimSun"/>
            <w:b/>
            <w:bCs/>
            <w:color w:val="0000EE"/>
            <w:kern w:val="0"/>
            <w:sz w:val="30"/>
            <w:szCs w:val="30"/>
            <w:u w:val="single" w:color="0000EE"/>
          </w:rPr>
          <w:t>https://d.book118.com/776110043123010101</w:t>
        </w:r>
      </w:hyperlink>
    </w:p>
    <w:p>
      <w:pPr>
        <w:ind w:firstLine="560" w:firstLineChars="200"/>
        <w:rPr>
          <w:rFonts w:ascii="仿宋" w:eastAsia="仿宋" w:hAnsi="仿宋" w:cs="仿宋" w:hint="eastAsia"/>
          <w:sz w:val="28"/>
        </w:rPr>
      </w:pPr>
    </w:p>
    <w:sectPr>
      <w:headerReference w:type="default" r:id="rId83"/>
      <w:footerReference w:type="default" r:id="rId84"/>
      <w:type w:val="nextPage"/>
      <w:pgSz w:w="11906" w:h="16838"/>
      <w:pgMar w:top="1440" w:right="1800" w:bottom="1440" w:left="1800" w:header="851" w:footer="992" w:gutter="0"/>
      <w:pgNumType w:start="4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真空助力器项目概述报告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834F21"/>
    <w:rsid w:val="64834F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yperlink" Target="https://d.book118.com/776110043123010101" TargetMode="External" /><Relationship Id="rId83" Type="http://schemas.openxmlformats.org/officeDocument/2006/relationships/header" Target="header40.xml" /><Relationship Id="rId84" Type="http://schemas.openxmlformats.org/officeDocument/2006/relationships/footer" Target="footer40.xml" /><Relationship Id="rId85" Type="http://schemas.openxmlformats.org/officeDocument/2006/relationships/theme" Target="theme/theme1.xml" /><Relationship Id="rId86" Type="http://schemas.openxmlformats.org/officeDocument/2006/relationships/styles" Target="styles.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2024-01-21T03:14:00Z</dcterms:created>
  <dcterms:modified xsi:type="dcterms:W3CDTF">2024-01-21T03:14:50Z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FBD4F26241614E6E860BFCE7E8CCF153_11</vt:lpwstr>
  </property>
  <property fmtid="{D5CDD505-2E9C-101B-9397-08002B2CF9AE}" pid="3" name="KSOProductBuildVer">
    <vt:lpwstr>2052-12.1.0.16120</vt:lpwstr>
  </property>
</Properties>
</file>