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2024年三甲基氯硅烷行业分析报告及未来五到十年行业发展趋势报告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649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_Toc11649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45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636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901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_Toc24901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33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_Toc6233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73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_Toc10673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9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_Toc23391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5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569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_Toc7569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94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3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3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43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8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_Toc3278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93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_Toc30893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530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_Toc27530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061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_Toc19061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18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_Toc13918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38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1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_Toc27718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2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6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_Toc23067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76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_Toc12176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78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16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84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_Toc9584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40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_Toc7240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7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_Toc31772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9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6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79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_Toc19979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21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_Toc5321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3649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_Toc13649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91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_Toc6691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28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_Toc27228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394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_Toc18394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980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_Toc9809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6836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_Toc16836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95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08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_Toc30089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8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_Toc12580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27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_Toc25327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56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_Toc6056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538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_Toc29538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735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_Toc10735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097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_Toc17097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740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_Toc13740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42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7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_Toc1807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559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_Toc15559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_Toc979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236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_Toc7236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435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_Toc22435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449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行业发展模式分析</w:t>
        </w:r>
        <w:r>
          <w:tab/>
        </w:r>
        <w:r>
          <w:fldChar w:fldCharType="begin"/>
        </w:r>
        <w:r>
          <w:instrText xml:space="preserve"> PAGEREF _Toc28449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行业地域有明显差异</w:t>
        </w:r>
        <w:r>
          <w:tab/>
        </w:r>
        <w:r>
          <w:fldChar w:fldCharType="begin"/>
        </w:r>
        <w:r>
          <w:instrText xml:space="preserve"> PAGEREF _Toc1225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560" w:history="1">
        <w:r>
          <w:rPr>
            <w:rFonts w:eastAsia="微软雅黑" w:hint="eastAsia"/>
            <w:snapToGrid/>
            <w:lang w:val="en-US" w:eastAsia="en-US"/>
          </w:rPr>
          <w:t>十、2024-2029年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2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_Toc842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8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_Toc2948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0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_Toc10709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5" w:history="1">
        <w:r>
          <w:rPr>
            <w:rFonts w:eastAsia="微软雅黑" w:hint="eastAsia"/>
            <w:snapToGrid/>
            <w:lang w:val="en-US" w:eastAsia="zh-CN"/>
          </w:rPr>
          <w:t>(四)、不断提高产品质量，建</w:t>
        </w:r>
        <w:r>
          <w:rPr>
            <w:rFonts w:eastAsia="微软雅黑" w:hint="eastAsia"/>
            <w:snapToGrid/>
            <w:lang w:val="en-US" w:eastAsia="zh-CN"/>
          </w:rPr>
          <w:t>立覆盖完善的服务体系</w:t>
        </w:r>
        <w:r>
          <w:tab/>
        </w:r>
        <w:r>
          <w:fldChar w:fldCharType="begin"/>
        </w:r>
        <w:r>
          <w:instrText xml:space="preserve"> PAGEREF _Toc24085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2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_Toc14126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20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33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三甲基氯硅烷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_Toc18433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8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_Toc11184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8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_Toc9281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4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三甲基氯硅烷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_Toc27745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747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958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_Toc30958 \h </w:instrText>
        </w:r>
        <w:r>
          <w:fldChar w:fldCharType="separate"/>
        </w:r>
        <w:r>
          <w:t>35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https://d.book118.com/776121100111010030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776121100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