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2024年压电晶体行业趋势报</w:t>
      </w:r>
      <w:r>
        <w:rPr>
          <w:rFonts w:ascii="微软雅黑" w:eastAsia="微软雅黑" w:hAnsi="微软雅黑" w:cs="微软雅黑"/>
          <w:b/>
          <w:bCs/>
          <w:color w:val="2D54A0"/>
          <w:spacing w:val="8"/>
          <w:sz w:val="59"/>
          <w:szCs w:val="59"/>
        </w:rPr>
        <w:t>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4618"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_Toc24618 \h </w:instrText>
        </w:r>
        <w:r>
          <w:fldChar w:fldCharType="separate"/>
        </w:r>
        <w:r>
          <w:t>4</w:t>
        </w:r>
        <w:r>
          <w:fldChar w:fldCharType="end"/>
        </w:r>
      </w:hyperlink>
    </w:p>
    <w:p>
      <w:pPr>
        <w:pStyle w:val="TOC1"/>
        <w:tabs>
          <w:tab w:val="right" w:leader="dot" w:pos="8306"/>
        </w:tabs>
      </w:pPr>
      <w:hyperlink w:anchor="_Toc9769" w:history="1">
        <w:r>
          <w:rPr>
            <w:rFonts w:ascii="微软雅黑" w:eastAsia="微软雅黑" w:hAnsi="微软雅黑" w:cs="微软雅黑" w:hint="eastAsia"/>
            <w:color w:val="001CAC" w:themeColor="hyperlink" w:themeShade="BF"/>
            <w:szCs w:val="32"/>
            <w:lang w:eastAsia="zh-CN"/>
          </w:rPr>
          <w:t>一、压电晶体行业财务管理分析</w:t>
        </w:r>
        <w:r>
          <w:tab/>
        </w:r>
        <w:r>
          <w:fldChar w:fldCharType="begin"/>
        </w:r>
        <w:r>
          <w:instrText xml:space="preserve"> PAGEREF _Toc9769 \h </w:instrText>
        </w:r>
        <w:r>
          <w:fldChar w:fldCharType="separate"/>
        </w:r>
        <w:r>
          <w:t>4</w:t>
        </w:r>
        <w:r>
          <w:fldChar w:fldCharType="end"/>
        </w:r>
      </w:hyperlink>
    </w:p>
    <w:p>
      <w:pPr>
        <w:pStyle w:val="TOC2"/>
        <w:tabs>
          <w:tab w:val="right" w:leader="dot" w:pos="8306"/>
        </w:tabs>
      </w:pPr>
      <w:hyperlink w:anchor="_Toc19398" w:history="1">
        <w:r>
          <w:rPr>
            <w:rFonts w:ascii="宋体" w:eastAsia="宋体" w:hAnsi="宋体" w:cs="宋体" w:hint="eastAsia"/>
            <w:bCs w:val="0"/>
            <w:szCs w:val="28"/>
            <w:lang w:eastAsia="zh-CN"/>
          </w:rPr>
          <w:t>(一)、压电晶体行业财务管理制度</w:t>
        </w:r>
        <w:r>
          <w:tab/>
        </w:r>
        <w:r>
          <w:fldChar w:fldCharType="begin"/>
        </w:r>
        <w:r>
          <w:instrText xml:space="preserve"> PAGEREF _Toc19398 \h </w:instrText>
        </w:r>
        <w:r>
          <w:fldChar w:fldCharType="separate"/>
        </w:r>
        <w:r>
          <w:t>4</w:t>
        </w:r>
        <w:r>
          <w:fldChar w:fldCharType="end"/>
        </w:r>
      </w:hyperlink>
    </w:p>
    <w:p>
      <w:pPr>
        <w:pStyle w:val="TOC2"/>
        <w:tabs>
          <w:tab w:val="right" w:leader="dot" w:pos="8306"/>
        </w:tabs>
      </w:pPr>
      <w:hyperlink w:anchor="_Toc20884" w:history="1">
        <w:r>
          <w:rPr>
            <w:rFonts w:ascii="宋体" w:eastAsia="宋体" w:hAnsi="宋体" w:cs="宋体" w:hint="eastAsia"/>
            <w:bCs w:val="0"/>
            <w:szCs w:val="28"/>
            <w:lang w:eastAsia="zh-CN"/>
          </w:rPr>
          <w:t>(二)、压电晶体行业经济效益分析</w:t>
        </w:r>
        <w:r>
          <w:tab/>
        </w:r>
        <w:r>
          <w:fldChar w:fldCharType="begin"/>
        </w:r>
        <w:r>
          <w:instrText xml:space="preserve"> PAGEREF _Toc20884 \h </w:instrText>
        </w:r>
        <w:r>
          <w:fldChar w:fldCharType="separate"/>
        </w:r>
        <w:r>
          <w:t>5</w:t>
        </w:r>
        <w:r>
          <w:fldChar w:fldCharType="end"/>
        </w:r>
      </w:hyperlink>
    </w:p>
    <w:p>
      <w:pPr>
        <w:pStyle w:val="TOC2"/>
        <w:tabs>
          <w:tab w:val="right" w:leader="dot" w:pos="8306"/>
        </w:tabs>
      </w:pPr>
      <w:hyperlink w:anchor="_Toc999" w:history="1">
        <w:r>
          <w:rPr>
            <w:rFonts w:ascii="宋体" w:eastAsia="宋体" w:hAnsi="宋体" w:cs="宋体" w:hint="eastAsia"/>
            <w:bCs w:val="0"/>
            <w:szCs w:val="28"/>
            <w:lang w:eastAsia="zh-CN"/>
          </w:rPr>
          <w:t>(三)、压电晶体行业收入及成本核算</w:t>
        </w:r>
        <w:r>
          <w:tab/>
        </w:r>
        <w:r>
          <w:fldChar w:fldCharType="begin"/>
        </w:r>
        <w:r>
          <w:instrText xml:space="preserve"> PAGEREF _Toc999 \h </w:instrText>
        </w:r>
        <w:r>
          <w:fldChar w:fldCharType="separate"/>
        </w:r>
        <w:r>
          <w:t>7</w:t>
        </w:r>
        <w:r>
          <w:fldChar w:fldCharType="end"/>
        </w:r>
      </w:hyperlink>
    </w:p>
    <w:p>
      <w:pPr>
        <w:pStyle w:val="TOC2"/>
        <w:tabs>
          <w:tab w:val="right" w:leader="dot" w:pos="8306"/>
        </w:tabs>
      </w:pPr>
      <w:hyperlink w:anchor="_Toc27304" w:history="1">
        <w:r>
          <w:rPr>
            <w:rFonts w:ascii="宋体" w:eastAsia="宋体" w:hAnsi="宋体" w:cs="宋体" w:hint="eastAsia"/>
            <w:bCs w:val="0"/>
            <w:szCs w:val="28"/>
            <w:lang w:eastAsia="zh-CN"/>
          </w:rPr>
          <w:t>(四)、压电晶体行业成本管理</w:t>
        </w:r>
        <w:r>
          <w:tab/>
        </w:r>
        <w:r>
          <w:fldChar w:fldCharType="begin"/>
        </w:r>
        <w:r>
          <w:instrText xml:space="preserve"> PAGEREF _Toc27304 \h </w:instrText>
        </w:r>
        <w:r>
          <w:fldChar w:fldCharType="separate"/>
        </w:r>
        <w:r>
          <w:t>8</w:t>
        </w:r>
        <w:r>
          <w:fldChar w:fldCharType="end"/>
        </w:r>
      </w:hyperlink>
    </w:p>
    <w:p>
      <w:pPr>
        <w:pStyle w:val="TOC1"/>
        <w:tabs>
          <w:tab w:val="right" w:leader="dot" w:pos="8306"/>
        </w:tabs>
      </w:pPr>
      <w:hyperlink w:anchor="_Toc8813" w:history="1">
        <w:r>
          <w:rPr>
            <w:rFonts w:ascii="微软雅黑" w:eastAsia="微软雅黑" w:hAnsi="微软雅黑" w:cs="微软雅黑" w:hint="eastAsia"/>
            <w:color w:val="001CAC" w:themeColor="hyperlink" w:themeShade="BF"/>
            <w:szCs w:val="32"/>
            <w:lang w:eastAsia="zh-CN"/>
          </w:rPr>
          <w:t>二、压电晶体行业公司治理与社会责任</w:t>
        </w:r>
        <w:r>
          <w:tab/>
        </w:r>
        <w:r>
          <w:fldChar w:fldCharType="begin"/>
        </w:r>
        <w:r>
          <w:instrText xml:space="preserve"> PAGEREF _Toc8813 \h </w:instrText>
        </w:r>
        <w:r>
          <w:fldChar w:fldCharType="separate"/>
        </w:r>
        <w:r>
          <w:t>12</w:t>
        </w:r>
        <w:r>
          <w:fldChar w:fldCharType="end"/>
        </w:r>
      </w:hyperlink>
    </w:p>
    <w:p>
      <w:pPr>
        <w:pStyle w:val="TOC2"/>
        <w:tabs>
          <w:tab w:val="right" w:leader="dot" w:pos="8306"/>
        </w:tabs>
      </w:pPr>
      <w:hyperlink w:anchor="_Toc18289" w:history="1">
        <w:r>
          <w:rPr>
            <w:rFonts w:ascii="宋体" w:eastAsia="宋体" w:hAnsi="宋体" w:cs="宋体" w:hint="eastAsia"/>
            <w:bCs w:val="0"/>
            <w:szCs w:val="28"/>
            <w:lang w:eastAsia="zh-CN"/>
          </w:rPr>
          <w:t>(一)、公司治理结构</w:t>
        </w:r>
        <w:r>
          <w:tab/>
        </w:r>
        <w:r>
          <w:fldChar w:fldCharType="begin"/>
        </w:r>
        <w:r>
          <w:instrText xml:space="preserve"> PAGEREF _Toc18289 \h </w:instrText>
        </w:r>
        <w:r>
          <w:fldChar w:fldCharType="separate"/>
        </w:r>
        <w:r>
          <w:t>12</w:t>
        </w:r>
        <w:r>
          <w:fldChar w:fldCharType="end"/>
        </w:r>
      </w:hyperlink>
    </w:p>
    <w:p>
      <w:pPr>
        <w:pStyle w:val="TOC2"/>
        <w:tabs>
          <w:tab w:val="right" w:leader="dot" w:pos="8306"/>
        </w:tabs>
      </w:pPr>
      <w:hyperlink w:anchor="_Toc537" w:history="1">
        <w:r>
          <w:rPr>
            <w:rFonts w:ascii="宋体" w:eastAsia="宋体" w:hAnsi="宋体" w:cs="宋体" w:hint="eastAsia"/>
            <w:bCs w:val="0"/>
            <w:szCs w:val="28"/>
            <w:lang w:eastAsia="zh-CN"/>
          </w:rPr>
          <w:t>(二)、董事会运作与决策</w:t>
        </w:r>
        <w:r>
          <w:tab/>
        </w:r>
        <w:r>
          <w:fldChar w:fldCharType="begin"/>
        </w:r>
        <w:r>
          <w:instrText xml:space="preserve"> PAGEREF _Toc537 \h </w:instrText>
        </w:r>
        <w:r>
          <w:fldChar w:fldCharType="separate"/>
        </w:r>
        <w:r>
          <w:t>12</w:t>
        </w:r>
        <w:r>
          <w:fldChar w:fldCharType="end"/>
        </w:r>
      </w:hyperlink>
    </w:p>
    <w:p>
      <w:pPr>
        <w:pStyle w:val="TOC2"/>
        <w:tabs>
          <w:tab w:val="right" w:leader="dot" w:pos="8306"/>
        </w:tabs>
      </w:pPr>
      <w:hyperlink w:anchor="_Toc26868" w:history="1">
        <w:r>
          <w:rPr>
            <w:rFonts w:ascii="宋体" w:eastAsia="宋体" w:hAnsi="宋体" w:cs="宋体" w:hint="eastAsia"/>
            <w:bCs w:val="0"/>
            <w:szCs w:val="28"/>
            <w:lang w:eastAsia="zh-CN"/>
          </w:rPr>
          <w:t>(三)、内部控制与审计</w:t>
        </w:r>
        <w:r>
          <w:tab/>
        </w:r>
        <w:r>
          <w:fldChar w:fldCharType="begin"/>
        </w:r>
        <w:r>
          <w:instrText xml:space="preserve"> PAGEREF _Toc26868 \h </w:instrText>
        </w:r>
        <w:r>
          <w:fldChar w:fldCharType="separate"/>
        </w:r>
        <w:r>
          <w:t>13</w:t>
        </w:r>
        <w:r>
          <w:fldChar w:fldCharType="end"/>
        </w:r>
      </w:hyperlink>
    </w:p>
    <w:p>
      <w:pPr>
        <w:pStyle w:val="TOC2"/>
        <w:tabs>
          <w:tab w:val="right" w:leader="dot" w:pos="8306"/>
        </w:tabs>
      </w:pPr>
      <w:hyperlink w:anchor="_Toc29722" w:history="1">
        <w:r>
          <w:rPr>
            <w:rFonts w:ascii="宋体" w:eastAsia="宋体" w:hAnsi="宋体" w:cs="宋体" w:hint="eastAsia"/>
            <w:bCs w:val="0"/>
            <w:szCs w:val="28"/>
            <w:lang w:eastAsia="zh-CN"/>
          </w:rPr>
          <w:t>(四)、法律法规合规体系</w:t>
        </w:r>
        <w:r>
          <w:tab/>
        </w:r>
        <w:r>
          <w:fldChar w:fldCharType="begin"/>
        </w:r>
        <w:r>
          <w:instrText xml:space="preserve"> PAGEREF _Toc29722 \h </w:instrText>
        </w:r>
        <w:r>
          <w:fldChar w:fldCharType="separate"/>
        </w:r>
        <w:r>
          <w:t>14</w:t>
        </w:r>
        <w:r>
          <w:fldChar w:fldCharType="end"/>
        </w:r>
      </w:hyperlink>
    </w:p>
    <w:p>
      <w:pPr>
        <w:pStyle w:val="TOC2"/>
        <w:tabs>
          <w:tab w:val="right" w:leader="dot" w:pos="8306"/>
        </w:tabs>
      </w:pPr>
      <w:hyperlink w:anchor="_Toc18167" w:history="1">
        <w:r>
          <w:rPr>
            <w:rFonts w:ascii="宋体" w:eastAsia="宋体" w:hAnsi="宋体" w:cs="宋体" w:hint="eastAsia"/>
            <w:bCs w:val="0"/>
            <w:szCs w:val="28"/>
            <w:lang w:eastAsia="zh-CN"/>
          </w:rPr>
          <w:t>(五)、企业社会责任与道德经营</w:t>
        </w:r>
        <w:r>
          <w:tab/>
        </w:r>
        <w:r>
          <w:fldChar w:fldCharType="begin"/>
        </w:r>
        <w:r>
          <w:instrText xml:space="preserve"> PAGEREF _Toc18167 \h </w:instrText>
        </w:r>
        <w:r>
          <w:fldChar w:fldCharType="separate"/>
        </w:r>
        <w:r>
          <w:t>14</w:t>
        </w:r>
        <w:r>
          <w:fldChar w:fldCharType="end"/>
        </w:r>
      </w:hyperlink>
    </w:p>
    <w:p>
      <w:pPr>
        <w:pStyle w:val="TOC1"/>
        <w:tabs>
          <w:tab w:val="right" w:leader="dot" w:pos="8306"/>
        </w:tabs>
      </w:pPr>
      <w:hyperlink w:anchor="_Toc5926" w:history="1">
        <w:r>
          <w:rPr>
            <w:rFonts w:ascii="微软雅黑" w:eastAsia="微软雅黑" w:hAnsi="微软雅黑" w:cs="微软雅黑" w:hint="eastAsia"/>
            <w:color w:val="001CAC" w:themeColor="hyperlink" w:themeShade="BF"/>
            <w:szCs w:val="32"/>
            <w:lang w:eastAsia="zh-CN"/>
          </w:rPr>
          <w:t>三、压电晶体行业运营管理及商业模式分析</w:t>
        </w:r>
        <w:r>
          <w:tab/>
        </w:r>
        <w:r>
          <w:fldChar w:fldCharType="begin"/>
        </w:r>
        <w:r>
          <w:instrText xml:space="preserve"> PAGEREF _Toc5926 \h </w:instrText>
        </w:r>
        <w:r>
          <w:fldChar w:fldCharType="separate"/>
        </w:r>
        <w:r>
          <w:t>15</w:t>
        </w:r>
        <w:r>
          <w:fldChar w:fldCharType="end"/>
        </w:r>
      </w:hyperlink>
    </w:p>
    <w:p>
      <w:pPr>
        <w:pStyle w:val="TOC2"/>
        <w:tabs>
          <w:tab w:val="right" w:leader="dot" w:pos="8306"/>
        </w:tabs>
      </w:pPr>
      <w:hyperlink w:anchor="_Toc6963" w:history="1">
        <w:r>
          <w:rPr>
            <w:rFonts w:ascii="宋体" w:eastAsia="宋体" w:hAnsi="宋体" w:cs="宋体" w:hint="eastAsia"/>
            <w:bCs w:val="0"/>
            <w:szCs w:val="28"/>
            <w:lang w:eastAsia="zh-CN"/>
          </w:rPr>
          <w:t>(一)、压电晶体行业数字化发展方案</w:t>
        </w:r>
        <w:r>
          <w:tab/>
        </w:r>
        <w:r>
          <w:fldChar w:fldCharType="begin"/>
        </w:r>
        <w:r>
          <w:instrText xml:space="preserve"> PAGEREF _Toc6963 \h </w:instrText>
        </w:r>
        <w:r>
          <w:fldChar w:fldCharType="separate"/>
        </w:r>
        <w:r>
          <w:t>15</w:t>
        </w:r>
        <w:r>
          <w:fldChar w:fldCharType="end"/>
        </w:r>
      </w:hyperlink>
    </w:p>
    <w:p>
      <w:pPr>
        <w:pStyle w:val="TOC2"/>
        <w:tabs>
          <w:tab w:val="right" w:leader="dot" w:pos="8306"/>
        </w:tabs>
      </w:pPr>
      <w:hyperlink w:anchor="_Toc1132" w:history="1">
        <w:r>
          <w:rPr>
            <w:rFonts w:ascii="宋体" w:eastAsia="宋体" w:hAnsi="宋体" w:cs="宋体" w:hint="eastAsia"/>
            <w:bCs w:val="0"/>
            <w:szCs w:val="28"/>
            <w:lang w:eastAsia="zh-CN"/>
          </w:rPr>
          <w:t>(二)、压电晶体行业新型运营方式</w:t>
        </w:r>
        <w:r>
          <w:tab/>
        </w:r>
        <w:r>
          <w:fldChar w:fldCharType="begin"/>
        </w:r>
        <w:r>
          <w:instrText xml:space="preserve"> PAGEREF _Toc1132 \h </w:instrText>
        </w:r>
        <w:r>
          <w:fldChar w:fldCharType="separate"/>
        </w:r>
        <w:r>
          <w:t>18</w:t>
        </w:r>
        <w:r>
          <w:fldChar w:fldCharType="end"/>
        </w:r>
      </w:hyperlink>
    </w:p>
    <w:p>
      <w:pPr>
        <w:pStyle w:val="TOC2"/>
        <w:tabs>
          <w:tab w:val="right" w:leader="dot" w:pos="8306"/>
        </w:tabs>
      </w:pPr>
      <w:hyperlink w:anchor="_Toc12053" w:history="1">
        <w:r>
          <w:rPr>
            <w:rFonts w:ascii="宋体" w:eastAsia="宋体" w:hAnsi="宋体" w:cs="宋体" w:hint="eastAsia"/>
            <w:bCs w:val="0"/>
            <w:szCs w:val="28"/>
            <w:lang w:eastAsia="zh-CN"/>
          </w:rPr>
          <w:t>(三)、压电晶体行业风险管理</w:t>
        </w:r>
        <w:r>
          <w:tab/>
        </w:r>
        <w:r>
          <w:fldChar w:fldCharType="begin"/>
        </w:r>
        <w:r>
          <w:instrText xml:space="preserve"> PAGEREF _Toc12053 \h </w:instrText>
        </w:r>
        <w:r>
          <w:fldChar w:fldCharType="separate"/>
        </w:r>
        <w:r>
          <w:t>21</w:t>
        </w:r>
        <w:r>
          <w:fldChar w:fldCharType="end"/>
        </w:r>
      </w:hyperlink>
    </w:p>
    <w:p>
      <w:pPr>
        <w:pStyle w:val="TOC1"/>
        <w:tabs>
          <w:tab w:val="right" w:leader="dot" w:pos="8306"/>
        </w:tabs>
      </w:pPr>
      <w:hyperlink w:anchor="_Toc26831" w:history="1">
        <w:r>
          <w:rPr>
            <w:rFonts w:ascii="微软雅黑" w:eastAsia="微软雅黑" w:hAnsi="微软雅黑" w:cs="微软雅黑" w:hint="eastAsia"/>
            <w:color w:val="001CAC" w:themeColor="hyperlink" w:themeShade="BF"/>
            <w:szCs w:val="32"/>
            <w:lang w:eastAsia="zh-CN"/>
          </w:rPr>
          <w:t>四、制度运行与优化</w:t>
        </w:r>
        <w:r>
          <w:tab/>
        </w:r>
        <w:r>
          <w:fldChar w:fldCharType="begin"/>
        </w:r>
        <w:r>
          <w:instrText xml:space="preserve"> PAGEREF _Toc26831 \h </w:instrText>
        </w:r>
        <w:r>
          <w:fldChar w:fldCharType="separate"/>
        </w:r>
        <w:r>
          <w:t>25</w:t>
        </w:r>
        <w:r>
          <w:fldChar w:fldCharType="end"/>
        </w:r>
      </w:hyperlink>
    </w:p>
    <w:p>
      <w:pPr>
        <w:pStyle w:val="TOC2"/>
        <w:tabs>
          <w:tab w:val="right" w:leader="dot" w:pos="8306"/>
        </w:tabs>
      </w:pPr>
      <w:hyperlink w:anchor="_Toc2159" w:history="1">
        <w:r>
          <w:rPr>
            <w:rFonts w:ascii="宋体" w:eastAsia="宋体" w:hAnsi="宋体" w:cs="宋体" w:hint="eastAsia"/>
            <w:bCs w:val="0"/>
            <w:szCs w:val="28"/>
            <w:lang w:eastAsia="zh-CN"/>
          </w:rPr>
          <w:t>(一)、制度执行与监督</w:t>
        </w:r>
        <w:r>
          <w:tab/>
        </w:r>
        <w:r>
          <w:fldChar w:fldCharType="begin"/>
        </w:r>
        <w:r>
          <w:instrText xml:space="preserve"> PAGEREF _Toc2159 \h </w:instrText>
        </w:r>
        <w:r>
          <w:fldChar w:fldCharType="separate"/>
        </w:r>
        <w:r>
          <w:t>25</w:t>
        </w:r>
        <w:r>
          <w:fldChar w:fldCharType="end"/>
        </w:r>
      </w:hyperlink>
    </w:p>
    <w:p>
      <w:pPr>
        <w:pStyle w:val="TOC2"/>
        <w:tabs>
          <w:tab w:val="right" w:leader="dot" w:pos="8306"/>
        </w:tabs>
      </w:pPr>
      <w:hyperlink w:anchor="_Toc5460" w:history="1">
        <w:r>
          <w:rPr>
            <w:rFonts w:ascii="宋体" w:eastAsia="宋体" w:hAnsi="宋体" w:cs="宋体" w:hint="eastAsia"/>
            <w:bCs w:val="0"/>
            <w:szCs w:val="28"/>
            <w:lang w:eastAsia="zh-CN"/>
          </w:rPr>
          <w:t>(二)、制度优化与更新</w:t>
        </w:r>
        <w:r>
          <w:tab/>
        </w:r>
        <w:r>
          <w:fldChar w:fldCharType="begin"/>
        </w:r>
        <w:r>
          <w:instrText xml:space="preserve"> PAGEREF _Toc5460 \h </w:instrText>
        </w:r>
        <w:r>
          <w:fldChar w:fldCharType="separate"/>
        </w:r>
        <w:r>
          <w:t>26</w:t>
        </w:r>
        <w:r>
          <w:fldChar w:fldCharType="end"/>
        </w:r>
      </w:hyperlink>
    </w:p>
    <w:p>
      <w:pPr>
        <w:pStyle w:val="TOC1"/>
        <w:tabs>
          <w:tab w:val="right" w:leader="dot" w:pos="8306"/>
        </w:tabs>
      </w:pPr>
      <w:hyperlink w:anchor="_Toc29898" w:history="1">
        <w:r>
          <w:rPr>
            <w:rFonts w:ascii="微软雅黑" w:eastAsia="微软雅黑" w:hAnsi="微软雅黑" w:cs="微软雅黑" w:hint="eastAsia"/>
            <w:color w:val="001CAC" w:themeColor="hyperlink" w:themeShade="BF"/>
            <w:szCs w:val="32"/>
            <w:lang w:eastAsia="zh-CN"/>
          </w:rPr>
          <w:t>五、压电晶体行业选址方案分析</w:t>
        </w:r>
        <w:r>
          <w:tab/>
        </w:r>
        <w:r>
          <w:fldChar w:fldCharType="begin"/>
        </w:r>
        <w:r>
          <w:instrText xml:space="preserve"> PAGEREF _Toc29898 \h </w:instrText>
        </w:r>
        <w:r>
          <w:fldChar w:fldCharType="separate"/>
        </w:r>
        <w:r>
          <w:t>27</w:t>
        </w:r>
        <w:r>
          <w:fldChar w:fldCharType="end"/>
        </w:r>
      </w:hyperlink>
    </w:p>
    <w:p>
      <w:pPr>
        <w:pStyle w:val="TOC2"/>
        <w:tabs>
          <w:tab w:val="right" w:leader="dot" w:pos="8306"/>
        </w:tabs>
      </w:pPr>
      <w:hyperlink w:anchor="_Toc10152" w:history="1">
        <w:r>
          <w:rPr>
            <w:rFonts w:ascii="宋体" w:eastAsia="宋体" w:hAnsi="宋体" w:cs="宋体" w:hint="eastAsia"/>
            <w:bCs w:val="0"/>
            <w:szCs w:val="28"/>
            <w:lang w:eastAsia="zh-CN"/>
          </w:rPr>
          <w:t>(一)、压电晶体行业选址影响因素</w:t>
        </w:r>
        <w:r>
          <w:tab/>
        </w:r>
        <w:r>
          <w:fldChar w:fldCharType="begin"/>
        </w:r>
        <w:r>
          <w:instrText xml:space="preserve"> PAGEREF _Toc10152 \h </w:instrText>
        </w:r>
        <w:r>
          <w:fldChar w:fldCharType="separate"/>
        </w:r>
        <w:r>
          <w:t>27</w:t>
        </w:r>
        <w:r>
          <w:fldChar w:fldCharType="end"/>
        </w:r>
      </w:hyperlink>
    </w:p>
    <w:p>
      <w:pPr>
        <w:pStyle w:val="TOC2"/>
        <w:tabs>
          <w:tab w:val="right" w:leader="dot" w:pos="8306"/>
        </w:tabs>
      </w:pPr>
      <w:hyperlink w:anchor="_Toc12347" w:history="1">
        <w:r>
          <w:rPr>
            <w:rFonts w:ascii="宋体" w:eastAsia="宋体" w:hAnsi="宋体" w:cs="宋体" w:hint="eastAsia"/>
            <w:bCs w:val="0"/>
            <w:szCs w:val="28"/>
            <w:lang w:eastAsia="zh-CN"/>
          </w:rPr>
          <w:t>(二)、压电晶体行业选址原则</w:t>
        </w:r>
        <w:r>
          <w:tab/>
        </w:r>
        <w:r>
          <w:fldChar w:fldCharType="begin"/>
        </w:r>
        <w:r>
          <w:instrText xml:space="preserve"> PAGEREF _Toc12347 \h </w:instrText>
        </w:r>
        <w:r>
          <w:fldChar w:fldCharType="separate"/>
        </w:r>
        <w:r>
          <w:t>29</w:t>
        </w:r>
        <w:r>
          <w:fldChar w:fldCharType="end"/>
        </w:r>
      </w:hyperlink>
    </w:p>
    <w:p>
      <w:pPr>
        <w:pStyle w:val="TOC2"/>
        <w:tabs>
          <w:tab w:val="right" w:leader="dot" w:pos="8306"/>
        </w:tabs>
      </w:pPr>
      <w:hyperlink w:anchor="_Toc13351" w:history="1">
        <w:r>
          <w:rPr>
            <w:rFonts w:ascii="宋体" w:eastAsia="宋体" w:hAnsi="宋体" w:cs="宋体" w:hint="eastAsia"/>
            <w:bCs w:val="0"/>
            <w:szCs w:val="28"/>
            <w:lang w:eastAsia="zh-CN"/>
          </w:rPr>
          <w:t>(三)、消费习惯对压电晶体行业选址的影响</w:t>
        </w:r>
        <w:r>
          <w:tab/>
        </w:r>
        <w:r>
          <w:fldChar w:fldCharType="begin"/>
        </w:r>
        <w:r>
          <w:instrText xml:space="preserve"> PAGEREF _Toc13351 \h </w:instrText>
        </w:r>
        <w:r>
          <w:fldChar w:fldCharType="separate"/>
        </w:r>
        <w:r>
          <w:t>30</w:t>
        </w:r>
        <w:r>
          <w:fldChar w:fldCharType="end"/>
        </w:r>
      </w:hyperlink>
    </w:p>
    <w:p>
      <w:pPr>
        <w:pStyle w:val="TOC2"/>
        <w:tabs>
          <w:tab w:val="right" w:leader="dot" w:pos="8306"/>
        </w:tabs>
      </w:pPr>
      <w:hyperlink w:anchor="_Toc3048" w:history="1">
        <w:r>
          <w:rPr>
            <w:rFonts w:ascii="宋体" w:eastAsia="宋体" w:hAnsi="宋体" w:cs="宋体" w:hint="eastAsia"/>
            <w:bCs w:val="0"/>
            <w:szCs w:val="28"/>
            <w:lang w:eastAsia="zh-CN"/>
          </w:rPr>
          <w:t>(四)、消费能力对压电晶体行业选址的影响</w:t>
        </w:r>
        <w:r>
          <w:tab/>
        </w:r>
        <w:r>
          <w:fldChar w:fldCharType="begin"/>
        </w:r>
        <w:r>
          <w:instrText xml:space="preserve"> PAGEREF _Toc3048 \h </w:instrText>
        </w:r>
        <w:r>
          <w:fldChar w:fldCharType="separate"/>
        </w:r>
        <w:r>
          <w:t>31</w:t>
        </w:r>
        <w:r>
          <w:fldChar w:fldCharType="end"/>
        </w:r>
      </w:hyperlink>
    </w:p>
    <w:p>
      <w:pPr>
        <w:pStyle w:val="TOC2"/>
        <w:tabs>
          <w:tab w:val="right" w:leader="dot" w:pos="8306"/>
        </w:tabs>
      </w:pPr>
      <w:hyperlink w:anchor="_Toc25804" w:history="1">
        <w:r>
          <w:rPr>
            <w:rFonts w:ascii="宋体" w:eastAsia="宋体" w:hAnsi="宋体" w:cs="宋体" w:hint="eastAsia"/>
            <w:bCs w:val="0"/>
            <w:szCs w:val="28"/>
            <w:lang w:eastAsia="zh-CN"/>
          </w:rPr>
          <w:t>(五)、经营成本对压电晶体行业选址的影响</w:t>
        </w:r>
        <w:r>
          <w:tab/>
        </w:r>
        <w:r>
          <w:fldChar w:fldCharType="begin"/>
        </w:r>
        <w:r>
          <w:instrText xml:space="preserve"> PAGEREF _Toc25804 \h </w:instrText>
        </w:r>
        <w:r>
          <w:fldChar w:fldCharType="separate"/>
        </w:r>
        <w:r>
          <w:t>33</w:t>
        </w:r>
        <w:r>
          <w:fldChar w:fldCharType="end"/>
        </w:r>
      </w:hyperlink>
    </w:p>
    <w:p>
      <w:pPr>
        <w:pStyle w:val="TOC2"/>
        <w:tabs>
          <w:tab w:val="right" w:leader="dot" w:pos="8306"/>
        </w:tabs>
      </w:pPr>
      <w:hyperlink w:anchor="_Toc22938" w:history="1">
        <w:r>
          <w:rPr>
            <w:rFonts w:ascii="宋体" w:eastAsia="宋体" w:hAnsi="宋体" w:cs="宋体" w:hint="eastAsia"/>
            <w:bCs w:val="0"/>
            <w:szCs w:val="28"/>
            <w:lang w:eastAsia="zh-CN"/>
          </w:rPr>
          <w:t>(六)、交通条件对压电晶体行业选址的影响</w:t>
        </w:r>
        <w:r>
          <w:tab/>
        </w:r>
        <w:r>
          <w:fldChar w:fldCharType="begin"/>
        </w:r>
        <w:r>
          <w:instrText xml:space="preserve"> PAGEREF _Toc22938 \h </w:instrText>
        </w:r>
        <w:r>
          <w:fldChar w:fldCharType="separate"/>
        </w:r>
        <w:r>
          <w:t>35</w:t>
        </w:r>
        <w:r>
          <w:fldChar w:fldCharType="end"/>
        </w:r>
      </w:hyperlink>
    </w:p>
    <w:p>
      <w:pPr>
        <w:pStyle w:val="TOC1"/>
        <w:tabs>
          <w:tab w:val="right" w:leader="dot" w:pos="8306"/>
        </w:tabs>
      </w:pPr>
      <w:hyperlink w:anchor="_Toc23793" w:history="1">
        <w:r>
          <w:rPr>
            <w:rFonts w:ascii="微软雅黑" w:eastAsia="微软雅黑" w:hAnsi="微软雅黑" w:cs="微软雅黑" w:hint="eastAsia"/>
            <w:color w:val="001CAC" w:themeColor="hyperlink" w:themeShade="BF"/>
            <w:szCs w:val="32"/>
            <w:lang w:eastAsia="zh-CN"/>
          </w:rPr>
          <w:t>六、质量与技术管理</w:t>
        </w:r>
        <w:r>
          <w:tab/>
        </w:r>
        <w:r>
          <w:fldChar w:fldCharType="begin"/>
        </w:r>
        <w:r>
          <w:instrText xml:space="preserve"> PAGEREF _Toc23793 \h </w:instrText>
        </w:r>
        <w:r>
          <w:fldChar w:fldCharType="separate"/>
        </w:r>
        <w:r>
          <w:t>36</w:t>
        </w:r>
        <w:r>
          <w:fldChar w:fldCharType="end"/>
        </w:r>
      </w:hyperlink>
    </w:p>
    <w:p>
      <w:pPr>
        <w:pStyle w:val="TOC2"/>
        <w:tabs>
          <w:tab w:val="right" w:leader="dot" w:pos="8306"/>
        </w:tabs>
      </w:pPr>
      <w:hyperlink w:anchor="_Toc19736" w:history="1">
        <w:r>
          <w:rPr>
            <w:rFonts w:ascii="宋体" w:eastAsia="宋体" w:hAnsi="宋体" w:cs="宋体" w:hint="eastAsia"/>
            <w:bCs w:val="0"/>
            <w:szCs w:val="28"/>
            <w:lang w:eastAsia="zh-CN"/>
          </w:rPr>
          <w:t>(一)、质量管理体系建设</w:t>
        </w:r>
        <w:r>
          <w:tab/>
        </w:r>
        <w:r>
          <w:fldChar w:fldCharType="begin"/>
        </w:r>
        <w:r>
          <w:instrText xml:space="preserve"> PAGEREF _Toc19736 \h </w:instrText>
        </w:r>
        <w:r>
          <w:fldChar w:fldCharType="separate"/>
        </w:r>
        <w:r>
          <w:t>36</w:t>
        </w:r>
        <w:r>
          <w:fldChar w:fldCharType="end"/>
        </w:r>
      </w:hyperlink>
    </w:p>
    <w:p>
      <w:pPr>
        <w:pStyle w:val="TOC2"/>
        <w:tabs>
          <w:tab w:val="right" w:leader="dot" w:pos="8306"/>
        </w:tabs>
      </w:pPr>
      <w:hyperlink w:anchor="_Toc28622" w:history="1">
        <w:r>
          <w:rPr>
            <w:rFonts w:ascii="宋体" w:eastAsia="宋体" w:hAnsi="宋体" w:cs="宋体" w:hint="eastAsia"/>
            <w:bCs w:val="0"/>
            <w:szCs w:val="28"/>
            <w:lang w:eastAsia="zh-CN"/>
          </w:rPr>
          <w:t>(二)、技术标准与创新</w:t>
        </w:r>
        <w:r>
          <w:tab/>
        </w:r>
        <w:r>
          <w:fldChar w:fldCharType="begin"/>
        </w:r>
        <w:r>
          <w:instrText xml:space="preserve"> PAGEREF _Toc28622 \h </w:instrText>
        </w:r>
        <w:r>
          <w:fldChar w:fldCharType="separate"/>
        </w:r>
        <w:r>
          <w:t>37</w:t>
        </w:r>
        <w:r>
          <w:fldChar w:fldCharType="end"/>
        </w:r>
      </w:hyperlink>
    </w:p>
    <w:p>
      <w:pPr>
        <w:pStyle w:val="TOC1"/>
        <w:tabs>
          <w:tab w:val="right" w:leader="dot" w:pos="8306"/>
        </w:tabs>
      </w:pPr>
      <w:hyperlink w:anchor="_Toc18716" w:history="1">
        <w:r>
          <w:rPr>
            <w:rFonts w:ascii="微软雅黑" w:eastAsia="微软雅黑" w:hAnsi="微软雅黑" w:cs="微软雅黑" w:hint="eastAsia"/>
            <w:color w:val="001CAC" w:themeColor="hyperlink" w:themeShade="BF"/>
            <w:szCs w:val="32"/>
            <w:lang w:eastAsia="zh-CN"/>
          </w:rPr>
          <w:t>七、压电晶体行业制度建设与执行</w:t>
        </w:r>
        <w:r>
          <w:tab/>
        </w:r>
        <w:r>
          <w:fldChar w:fldCharType="begin"/>
        </w:r>
        <w:r>
          <w:instrText xml:space="preserve"> PAGEREF _Toc18716 \h </w:instrText>
        </w:r>
        <w:r>
          <w:fldChar w:fldCharType="separate"/>
        </w:r>
        <w:r>
          <w:t>38</w:t>
        </w:r>
        <w:r>
          <w:fldChar w:fldCharType="end"/>
        </w:r>
      </w:hyperlink>
    </w:p>
    <w:p>
      <w:pPr>
        <w:pStyle w:val="TOC2"/>
        <w:tabs>
          <w:tab w:val="right" w:leader="dot" w:pos="8306"/>
        </w:tabs>
      </w:pPr>
      <w:hyperlink w:anchor="_Toc26637" w:history="1">
        <w:r>
          <w:rPr>
            <w:rFonts w:ascii="宋体" w:eastAsia="宋体" w:hAnsi="宋体" w:cs="宋体" w:hint="eastAsia"/>
            <w:bCs w:val="0"/>
            <w:szCs w:val="28"/>
            <w:lang w:eastAsia="zh-CN"/>
          </w:rPr>
          <w:t>(一)、公司制度体系规划</w:t>
        </w:r>
        <w:r>
          <w:tab/>
        </w:r>
        <w:r>
          <w:fldChar w:fldCharType="begin"/>
        </w:r>
        <w:r>
          <w:instrText xml:space="preserve"> PAGEREF _Toc26637 \h </w:instrText>
        </w:r>
        <w:r>
          <w:fldChar w:fldCharType="separate"/>
        </w:r>
        <w:r>
          <w:t>38</w:t>
        </w:r>
        <w:r>
          <w:fldChar w:fldCharType="end"/>
        </w:r>
      </w:hyperlink>
    </w:p>
    <w:p>
      <w:pPr>
        <w:pStyle w:val="TOC2"/>
        <w:tabs>
          <w:tab w:val="right" w:leader="dot" w:pos="8306"/>
        </w:tabs>
      </w:pPr>
      <w:hyperlink w:anchor="_Toc32030" w:history="1">
        <w:r>
          <w:rPr>
            <w:rFonts w:ascii="宋体" w:eastAsia="宋体" w:hAnsi="宋体" w:cs="宋体" w:hint="eastAsia"/>
            <w:bCs w:val="0"/>
            <w:szCs w:val="28"/>
            <w:lang w:eastAsia="zh-CN"/>
          </w:rPr>
          <w:t>(二)、员工手册编制与更新</w:t>
        </w:r>
        <w:r>
          <w:tab/>
        </w:r>
        <w:r>
          <w:fldChar w:fldCharType="begin"/>
        </w:r>
        <w:r>
          <w:instrText xml:space="preserve"> PAGEREF _Toc32030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23" w:history="1">
        <w:r>
          <w:rPr>
            <w:rFonts w:ascii="宋体" w:eastAsia="宋体" w:hAnsi="宋体" w:cs="宋体" w:hint="eastAsia"/>
            <w:bCs w:val="0"/>
            <w:szCs w:val="28"/>
            <w:lang w:eastAsia="zh-CN"/>
          </w:rPr>
          <w:t>(三)、制度宣导与培训</w:t>
        </w:r>
        <w:r>
          <w:tab/>
        </w:r>
        <w:r>
          <w:fldChar w:fldCharType="begin"/>
        </w:r>
        <w:r>
          <w:instrText xml:space="preserve"> PAGEREF _Toc20723 \h </w:instrText>
        </w:r>
        <w:r>
          <w:fldChar w:fldCharType="separate"/>
        </w:r>
        <w:r>
          <w:t>41</w:t>
        </w:r>
        <w:r>
          <w:fldChar w:fldCharType="end"/>
        </w:r>
      </w:hyperlink>
    </w:p>
    <w:p>
      <w:pPr>
        <w:pStyle w:val="TOC2"/>
        <w:tabs>
          <w:tab w:val="right" w:leader="dot" w:pos="8306"/>
        </w:tabs>
      </w:pPr>
      <w:hyperlink w:anchor="_Toc8778" w:history="1">
        <w:r>
          <w:rPr>
            <w:rFonts w:ascii="宋体" w:eastAsia="宋体" w:hAnsi="宋体" w:cs="宋体" w:hint="eastAsia"/>
            <w:bCs w:val="0"/>
            <w:szCs w:val="28"/>
            <w:lang w:eastAsia="zh-CN"/>
          </w:rPr>
          <w:t>(四)、主要防范措施</w:t>
        </w:r>
        <w:r>
          <w:tab/>
        </w:r>
        <w:r>
          <w:fldChar w:fldCharType="begin"/>
        </w:r>
        <w:r>
          <w:instrText xml:space="preserve"> PAGEREF _Toc8778 \h </w:instrText>
        </w:r>
        <w:r>
          <w:fldChar w:fldCharType="separate"/>
        </w:r>
        <w:r>
          <w:t>42</w:t>
        </w:r>
        <w:r>
          <w:fldChar w:fldCharType="end"/>
        </w:r>
      </w:hyperlink>
    </w:p>
    <w:p>
      <w:pPr>
        <w:pStyle w:val="TOC2"/>
        <w:tabs>
          <w:tab w:val="right" w:leader="dot" w:pos="8306"/>
        </w:tabs>
      </w:pPr>
      <w:hyperlink w:anchor="_Toc30194" w:history="1">
        <w:r>
          <w:rPr>
            <w:rFonts w:ascii="宋体" w:eastAsia="宋体" w:hAnsi="宋体" w:cs="宋体" w:hint="eastAsia"/>
            <w:bCs w:val="0"/>
            <w:szCs w:val="28"/>
            <w:lang w:eastAsia="zh-CN"/>
          </w:rPr>
          <w:t>(五)、制度优化与更新</w:t>
        </w:r>
        <w:r>
          <w:tab/>
        </w:r>
        <w:r>
          <w:fldChar w:fldCharType="begin"/>
        </w:r>
        <w:r>
          <w:instrText xml:space="preserve"> PAGEREF _Toc30194 \h </w:instrText>
        </w:r>
        <w:r>
          <w:fldChar w:fldCharType="separate"/>
        </w:r>
        <w:r>
          <w:t>43</w:t>
        </w:r>
        <w:r>
          <w:fldChar w:fldCharType="end"/>
        </w:r>
      </w:hyperlink>
    </w:p>
    <w:p>
      <w:pPr>
        <w:pStyle w:val="TOC1"/>
        <w:tabs>
          <w:tab w:val="right" w:leader="dot" w:pos="8306"/>
        </w:tabs>
      </w:pPr>
      <w:hyperlink w:anchor="_Toc22878" w:history="1">
        <w:r>
          <w:rPr>
            <w:rFonts w:ascii="微软雅黑" w:eastAsia="微软雅黑" w:hAnsi="微软雅黑" w:cs="微软雅黑" w:hint="eastAsia"/>
            <w:color w:val="001CAC" w:themeColor="hyperlink" w:themeShade="BF"/>
            <w:szCs w:val="32"/>
            <w:lang w:eastAsia="zh-CN"/>
          </w:rPr>
          <w:t>八、公司文化与社会责任</w:t>
        </w:r>
        <w:r>
          <w:tab/>
        </w:r>
        <w:r>
          <w:fldChar w:fldCharType="begin"/>
        </w:r>
        <w:r>
          <w:instrText xml:space="preserve"> PAGEREF _Toc22878 \h </w:instrText>
        </w:r>
        <w:r>
          <w:fldChar w:fldCharType="separate"/>
        </w:r>
        <w:r>
          <w:t>43</w:t>
        </w:r>
        <w:r>
          <w:fldChar w:fldCharType="end"/>
        </w:r>
      </w:hyperlink>
    </w:p>
    <w:p>
      <w:pPr>
        <w:pStyle w:val="TOC2"/>
        <w:tabs>
          <w:tab w:val="right" w:leader="dot" w:pos="8306"/>
        </w:tabs>
      </w:pPr>
      <w:hyperlink w:anchor="_Toc13214" w:history="1">
        <w:r>
          <w:rPr>
            <w:rFonts w:ascii="宋体" w:eastAsia="宋体" w:hAnsi="宋体" w:cs="宋体" w:hint="eastAsia"/>
            <w:bCs w:val="0"/>
            <w:szCs w:val="28"/>
            <w:lang w:eastAsia="zh-CN"/>
          </w:rPr>
          <w:t>(一)、公司文化建设</w:t>
        </w:r>
        <w:r>
          <w:tab/>
        </w:r>
        <w:r>
          <w:fldChar w:fldCharType="begin"/>
        </w:r>
        <w:r>
          <w:instrText xml:space="preserve"> PAGEREF _Toc13214 \h </w:instrText>
        </w:r>
        <w:r>
          <w:fldChar w:fldCharType="separate"/>
        </w:r>
        <w:r>
          <w:t>43</w:t>
        </w:r>
        <w:r>
          <w:fldChar w:fldCharType="end"/>
        </w:r>
      </w:hyperlink>
    </w:p>
    <w:p>
      <w:pPr>
        <w:pStyle w:val="TOC2"/>
        <w:tabs>
          <w:tab w:val="right" w:leader="dot" w:pos="8306"/>
        </w:tabs>
      </w:pPr>
      <w:hyperlink w:anchor="_Toc30788" w:history="1">
        <w:r>
          <w:rPr>
            <w:rFonts w:ascii="宋体" w:eastAsia="宋体" w:hAnsi="宋体" w:cs="宋体" w:hint="eastAsia"/>
            <w:bCs w:val="0"/>
            <w:szCs w:val="28"/>
            <w:lang w:eastAsia="zh-CN"/>
          </w:rPr>
          <w:t>(二)、企业社会责任与可持续发展</w:t>
        </w:r>
        <w:r>
          <w:tab/>
        </w:r>
        <w:r>
          <w:fldChar w:fldCharType="begin"/>
        </w:r>
        <w:r>
          <w:instrText xml:space="preserve"> PAGEREF _Toc30788 \h </w:instrText>
        </w:r>
        <w:r>
          <w:fldChar w:fldCharType="separate"/>
        </w:r>
        <w:r>
          <w:t>44</w:t>
        </w:r>
        <w:r>
          <w:fldChar w:fldCharType="end"/>
        </w:r>
      </w:hyperlink>
    </w:p>
    <w:p>
      <w:pPr>
        <w:pStyle w:val="TOC1"/>
        <w:tabs>
          <w:tab w:val="right" w:leader="dot" w:pos="8306"/>
        </w:tabs>
      </w:pPr>
      <w:hyperlink w:anchor="_Toc19792" w:history="1">
        <w:r>
          <w:rPr>
            <w:rFonts w:ascii="微软雅黑" w:eastAsia="微软雅黑" w:hAnsi="微软雅黑" w:cs="微软雅黑" w:hint="eastAsia"/>
            <w:color w:val="001CAC" w:themeColor="hyperlink" w:themeShade="BF"/>
            <w:szCs w:val="32"/>
            <w:lang w:eastAsia="zh-CN"/>
          </w:rPr>
          <w:t>九、压电晶体行业投资管理策略</w:t>
        </w:r>
        <w:r>
          <w:tab/>
        </w:r>
        <w:r>
          <w:fldChar w:fldCharType="begin"/>
        </w:r>
        <w:r>
          <w:instrText xml:space="preserve"> PAGEREF _Toc19792 \h </w:instrText>
        </w:r>
        <w:r>
          <w:fldChar w:fldCharType="separate"/>
        </w:r>
        <w:r>
          <w:t>45</w:t>
        </w:r>
        <w:r>
          <w:fldChar w:fldCharType="end"/>
        </w:r>
      </w:hyperlink>
    </w:p>
    <w:p>
      <w:pPr>
        <w:pStyle w:val="TOC2"/>
        <w:tabs>
          <w:tab w:val="right" w:leader="dot" w:pos="8306"/>
        </w:tabs>
      </w:pPr>
      <w:hyperlink w:anchor="_Toc19871" w:history="1">
        <w:r>
          <w:rPr>
            <w:rFonts w:ascii="宋体" w:eastAsia="宋体" w:hAnsi="宋体" w:cs="宋体" w:hint="eastAsia"/>
            <w:bCs w:val="0"/>
            <w:szCs w:val="28"/>
            <w:lang w:eastAsia="zh-CN"/>
          </w:rPr>
          <w:t>(一)、压电晶体行业投资估算主要内容</w:t>
        </w:r>
        <w:r>
          <w:tab/>
        </w:r>
        <w:r>
          <w:fldChar w:fldCharType="begin"/>
        </w:r>
        <w:r>
          <w:instrText xml:space="preserve"> PAGEREF _Toc19871 \h </w:instrText>
        </w:r>
        <w:r>
          <w:fldChar w:fldCharType="separate"/>
        </w:r>
        <w:r>
          <w:t>45</w:t>
        </w:r>
        <w:r>
          <w:fldChar w:fldCharType="end"/>
        </w:r>
      </w:hyperlink>
    </w:p>
    <w:p>
      <w:pPr>
        <w:pStyle w:val="TOC2"/>
        <w:tabs>
          <w:tab w:val="right" w:leader="dot" w:pos="8306"/>
        </w:tabs>
      </w:pPr>
      <w:hyperlink w:anchor="_Toc21771" w:history="1">
        <w:r>
          <w:rPr>
            <w:rFonts w:ascii="宋体" w:eastAsia="宋体" w:hAnsi="宋体" w:cs="宋体" w:hint="eastAsia"/>
            <w:bCs w:val="0"/>
            <w:szCs w:val="28"/>
            <w:lang w:eastAsia="zh-CN"/>
          </w:rPr>
          <w:t>(二)、压电晶体行业设备购置投资费用管理</w:t>
        </w:r>
        <w:r>
          <w:tab/>
        </w:r>
        <w:r>
          <w:fldChar w:fldCharType="begin"/>
        </w:r>
        <w:r>
          <w:instrText xml:space="preserve"> PAGEREF _Toc21771 \h </w:instrText>
        </w:r>
        <w:r>
          <w:fldChar w:fldCharType="separate"/>
        </w:r>
        <w:r>
          <w:t>47</w:t>
        </w:r>
        <w:r>
          <w:fldChar w:fldCharType="end"/>
        </w:r>
      </w:hyperlink>
    </w:p>
    <w:p>
      <w:pPr>
        <w:pStyle w:val="TOC2"/>
        <w:tabs>
          <w:tab w:val="right" w:leader="dot" w:pos="8306"/>
        </w:tabs>
      </w:pPr>
      <w:hyperlink w:anchor="_Toc20905" w:history="1">
        <w:r>
          <w:rPr>
            <w:rFonts w:ascii="宋体" w:eastAsia="宋体" w:hAnsi="宋体" w:cs="宋体" w:hint="eastAsia"/>
            <w:bCs w:val="0"/>
            <w:szCs w:val="28"/>
            <w:lang w:eastAsia="zh-CN"/>
          </w:rPr>
          <w:t>(三)、压电晶体行业装修施工投资费用管理</w:t>
        </w:r>
        <w:r>
          <w:tab/>
        </w:r>
        <w:r>
          <w:fldChar w:fldCharType="begin"/>
        </w:r>
        <w:r>
          <w:instrText xml:space="preserve"> PAGEREF _Toc20905 \h </w:instrText>
        </w:r>
        <w:r>
          <w:fldChar w:fldCharType="separate"/>
        </w:r>
        <w:r>
          <w:t>51</w:t>
        </w:r>
        <w:r>
          <w:fldChar w:fldCharType="end"/>
        </w:r>
      </w:hyperlink>
    </w:p>
    <w:p>
      <w:pPr>
        <w:pStyle w:val="TOC2"/>
        <w:tabs>
          <w:tab w:val="right" w:leader="dot" w:pos="8306"/>
        </w:tabs>
      </w:pPr>
      <w:hyperlink w:anchor="_Toc24412" w:history="1">
        <w:r>
          <w:rPr>
            <w:rFonts w:ascii="宋体" w:eastAsia="宋体" w:hAnsi="宋体" w:cs="宋体" w:hint="eastAsia"/>
            <w:bCs w:val="0"/>
            <w:szCs w:val="28"/>
            <w:lang w:eastAsia="zh-CN"/>
          </w:rPr>
          <w:t>(四)、压电晶体行业流动资金管理</w:t>
        </w:r>
        <w:r>
          <w:tab/>
        </w:r>
        <w:r>
          <w:fldChar w:fldCharType="begin"/>
        </w:r>
        <w:r>
          <w:instrText xml:space="preserve"> PAGEREF _Toc24412 \h </w:instrText>
        </w:r>
        <w:r>
          <w:fldChar w:fldCharType="separate"/>
        </w:r>
        <w:r>
          <w:t>53</w:t>
        </w:r>
        <w:r>
          <w:fldChar w:fldCharType="end"/>
        </w:r>
      </w:hyperlink>
    </w:p>
    <w:p>
      <w:pPr>
        <w:pStyle w:val="TOC1"/>
        <w:tabs>
          <w:tab w:val="right" w:leader="dot" w:pos="8306"/>
        </w:tabs>
      </w:pPr>
      <w:hyperlink w:anchor="_Toc14096" w:history="1">
        <w:r>
          <w:rPr>
            <w:rFonts w:ascii="微软雅黑" w:eastAsia="微软雅黑" w:hAnsi="微软雅黑" w:cs="微软雅黑" w:hint="eastAsia"/>
            <w:color w:val="001CAC" w:themeColor="hyperlink" w:themeShade="BF"/>
            <w:szCs w:val="32"/>
            <w:lang w:eastAsia="zh-CN"/>
          </w:rPr>
          <w:t>十、项目技术流程</w:t>
        </w:r>
        <w:r>
          <w:tab/>
        </w:r>
        <w:r>
          <w:fldChar w:fldCharType="begin"/>
        </w:r>
        <w:r>
          <w:instrText xml:space="preserve"> PAGEREF _Toc14096 \h </w:instrText>
        </w:r>
        <w:r>
          <w:fldChar w:fldCharType="separate"/>
        </w:r>
        <w:r>
          <w:t>55</w:t>
        </w:r>
        <w:r>
          <w:fldChar w:fldCharType="end"/>
        </w:r>
      </w:hyperlink>
    </w:p>
    <w:p>
      <w:pPr>
        <w:pStyle w:val="TOC2"/>
        <w:tabs>
          <w:tab w:val="right" w:leader="dot" w:pos="8306"/>
        </w:tabs>
      </w:pPr>
      <w:hyperlink w:anchor="_Toc19264" w:history="1">
        <w:r>
          <w:rPr>
            <w:rFonts w:ascii="宋体" w:eastAsia="宋体" w:hAnsi="宋体" w:cs="宋体" w:hint="eastAsia"/>
            <w:bCs w:val="0"/>
            <w:szCs w:val="28"/>
            <w:lang w:eastAsia="zh-CN"/>
          </w:rPr>
          <w:t>(一)、技术方案选择</w:t>
        </w:r>
        <w:r>
          <w:tab/>
        </w:r>
        <w:r>
          <w:fldChar w:fldCharType="begin"/>
        </w:r>
        <w:r>
          <w:instrText xml:space="preserve"> PAGEREF _Toc19264 \h </w:instrText>
        </w:r>
        <w:r>
          <w:fldChar w:fldCharType="separate"/>
        </w:r>
        <w:r>
          <w:t>55</w:t>
        </w:r>
        <w:r>
          <w:fldChar w:fldCharType="end"/>
        </w:r>
      </w:hyperlink>
    </w:p>
    <w:p>
      <w:pPr>
        <w:pStyle w:val="TOC2"/>
        <w:tabs>
          <w:tab w:val="right" w:leader="dot" w:pos="8306"/>
        </w:tabs>
      </w:pPr>
      <w:hyperlink w:anchor="_Toc9143" w:history="1">
        <w:r>
          <w:rPr>
            <w:rFonts w:ascii="宋体" w:eastAsia="宋体" w:hAnsi="宋体" w:cs="宋体" w:hint="eastAsia"/>
            <w:bCs w:val="0"/>
            <w:szCs w:val="28"/>
            <w:lang w:eastAsia="zh-CN"/>
          </w:rPr>
          <w:t>(二)、设备选型方案</w:t>
        </w:r>
        <w:r>
          <w:tab/>
        </w:r>
        <w:r>
          <w:fldChar w:fldCharType="begin"/>
        </w:r>
        <w:r>
          <w:instrText xml:space="preserve"> PAGEREF _Toc9143 \h </w:instrText>
        </w:r>
        <w:r>
          <w:fldChar w:fldCharType="separate"/>
        </w:r>
        <w:r>
          <w:t>56</w:t>
        </w:r>
        <w:r>
          <w:fldChar w:fldCharType="end"/>
        </w:r>
      </w:hyperlink>
    </w:p>
    <w:p>
      <w:pPr>
        <w:pStyle w:val="TOC2"/>
        <w:tabs>
          <w:tab w:val="right" w:leader="dot" w:pos="8306"/>
        </w:tabs>
      </w:pPr>
      <w:hyperlink w:anchor="_Toc26215" w:history="1">
        <w:r>
          <w:rPr>
            <w:rFonts w:ascii="宋体" w:eastAsia="宋体" w:hAnsi="宋体" w:cs="宋体" w:hint="eastAsia"/>
            <w:bCs w:val="0"/>
            <w:szCs w:val="28"/>
            <w:lang w:eastAsia="zh-CN"/>
          </w:rPr>
          <w:t>(三)、技术流程与工艺设计</w:t>
        </w:r>
        <w:r>
          <w:tab/>
        </w:r>
        <w:r>
          <w:fldChar w:fldCharType="begin"/>
        </w:r>
        <w:r>
          <w:instrText xml:space="preserve"> PAGEREF _Toc26215 \h </w:instrText>
        </w:r>
        <w:r>
          <w:fldChar w:fldCharType="separate"/>
        </w:r>
        <w:r>
          <w:t>57</w:t>
        </w:r>
        <w:r>
          <w:fldChar w:fldCharType="end"/>
        </w:r>
      </w:hyperlink>
    </w:p>
    <w:p>
      <w:pPr>
        <w:pStyle w:val="TOC1"/>
        <w:tabs>
          <w:tab w:val="right" w:leader="dot" w:pos="8306"/>
        </w:tabs>
      </w:pPr>
      <w:hyperlink w:anchor="_Toc22664" w:history="1">
        <w:r>
          <w:rPr>
            <w:rFonts w:ascii="微软雅黑" w:eastAsia="微软雅黑" w:hAnsi="微软雅黑" w:cs="微软雅黑" w:hint="eastAsia"/>
            <w:color w:val="001CAC" w:themeColor="hyperlink" w:themeShade="BF"/>
            <w:szCs w:val="32"/>
            <w:lang w:eastAsia="zh-CN"/>
          </w:rPr>
          <w:t>十一、项目管理与团队协作</w:t>
        </w:r>
        <w:r>
          <w:tab/>
        </w:r>
        <w:r>
          <w:fldChar w:fldCharType="begin"/>
        </w:r>
        <w:r>
          <w:instrText xml:space="preserve"> PAGEREF _Toc22664 \h </w:instrText>
        </w:r>
        <w:r>
          <w:fldChar w:fldCharType="separate"/>
        </w:r>
        <w:r>
          <w:t>58</w:t>
        </w:r>
        <w:r>
          <w:fldChar w:fldCharType="end"/>
        </w:r>
      </w:hyperlink>
    </w:p>
    <w:p>
      <w:pPr>
        <w:pStyle w:val="TOC2"/>
        <w:tabs>
          <w:tab w:val="right" w:leader="dot" w:pos="8306"/>
        </w:tabs>
      </w:pPr>
      <w:hyperlink w:anchor="_Toc14401" w:history="1">
        <w:r>
          <w:rPr>
            <w:rFonts w:ascii="宋体" w:eastAsia="宋体" w:hAnsi="宋体" w:cs="宋体" w:hint="eastAsia"/>
            <w:bCs w:val="0"/>
            <w:szCs w:val="28"/>
            <w:lang w:eastAsia="zh-CN"/>
          </w:rPr>
          <w:t>(一)、项目管理方法论</w:t>
        </w:r>
        <w:r>
          <w:tab/>
        </w:r>
        <w:r>
          <w:fldChar w:fldCharType="begin"/>
        </w:r>
        <w:r>
          <w:instrText xml:space="preserve"> PAGEREF _Toc14401 \h </w:instrText>
        </w:r>
        <w:r>
          <w:fldChar w:fldCharType="separate"/>
        </w:r>
        <w:r>
          <w:t>58</w:t>
        </w:r>
        <w:r>
          <w:fldChar w:fldCharType="end"/>
        </w:r>
      </w:hyperlink>
    </w:p>
    <w:p>
      <w:pPr>
        <w:pStyle w:val="TOC2"/>
        <w:tabs>
          <w:tab w:val="right" w:leader="dot" w:pos="8306"/>
        </w:tabs>
      </w:pPr>
      <w:hyperlink w:anchor="_Toc2228" w:history="1">
        <w:r>
          <w:rPr>
            <w:rFonts w:ascii="宋体" w:eastAsia="宋体" w:hAnsi="宋体" w:cs="宋体" w:hint="eastAsia"/>
            <w:bCs w:val="0"/>
            <w:szCs w:val="28"/>
            <w:lang w:eastAsia="zh-CN"/>
          </w:rPr>
          <w:t>(二)、团队组建与角色分工</w:t>
        </w:r>
        <w:r>
          <w:tab/>
        </w:r>
        <w:r>
          <w:fldChar w:fldCharType="begin"/>
        </w:r>
        <w:r>
          <w:instrText xml:space="preserve"> PAGEREF _Toc2228 \h </w:instrText>
        </w:r>
        <w:r>
          <w:fldChar w:fldCharType="separate"/>
        </w:r>
        <w:r>
          <w:t>58</w:t>
        </w:r>
        <w:r>
          <w:fldChar w:fldCharType="end"/>
        </w:r>
      </w:hyperlink>
    </w:p>
    <w:p>
      <w:pPr>
        <w:pStyle w:val="TOC2"/>
        <w:tabs>
          <w:tab w:val="right" w:leader="dot" w:pos="8306"/>
        </w:tabs>
      </w:pPr>
      <w:hyperlink w:anchor="_Toc21174" w:history="1">
        <w:r>
          <w:rPr>
            <w:rFonts w:ascii="宋体" w:eastAsia="宋体" w:hAnsi="宋体" w:cs="宋体" w:hint="eastAsia"/>
            <w:bCs w:val="0"/>
            <w:szCs w:val="28"/>
            <w:lang w:eastAsia="zh-CN"/>
          </w:rPr>
          <w:t>(三)、团队沟通与协作机制</w:t>
        </w:r>
        <w:r>
          <w:tab/>
        </w:r>
        <w:r>
          <w:fldChar w:fldCharType="begin"/>
        </w:r>
        <w:r>
          <w:instrText xml:space="preserve"> PAGEREF _Toc21174 \h </w:instrText>
        </w:r>
        <w:r>
          <w:fldChar w:fldCharType="separate"/>
        </w:r>
        <w:r>
          <w:t>59</w:t>
        </w:r>
        <w:r>
          <w:fldChar w:fldCharType="end"/>
        </w:r>
      </w:hyperlink>
    </w:p>
    <w:p>
      <w:pPr>
        <w:pStyle w:val="TOC2"/>
        <w:tabs>
          <w:tab w:val="right" w:leader="dot" w:pos="8306"/>
        </w:tabs>
      </w:pPr>
      <w:hyperlink w:anchor="_Toc25618" w:history="1">
        <w:r>
          <w:rPr>
            <w:rFonts w:ascii="宋体" w:eastAsia="宋体" w:hAnsi="宋体" w:cs="宋体" w:hint="eastAsia"/>
            <w:bCs w:val="0"/>
            <w:szCs w:val="28"/>
            <w:lang w:eastAsia="zh-CN"/>
          </w:rPr>
          <w:t>(四)、项目风险管理与应对</w:t>
        </w:r>
        <w:r>
          <w:tab/>
        </w:r>
        <w:r>
          <w:fldChar w:fldCharType="begin"/>
        </w:r>
        <w:r>
          <w:instrText xml:space="preserve"> PAGEREF _Toc25618 \h </w:instrText>
        </w:r>
        <w:r>
          <w:fldChar w:fldCharType="separate"/>
        </w:r>
        <w:r>
          <w:t>60</w:t>
        </w:r>
        <w:r>
          <w:fldChar w:fldCharType="end"/>
        </w:r>
      </w:hyperlink>
    </w:p>
    <w:p>
      <w:pPr>
        <w:pStyle w:val="TOC1"/>
        <w:tabs>
          <w:tab w:val="right" w:leader="dot" w:pos="8306"/>
        </w:tabs>
      </w:pPr>
      <w:hyperlink w:anchor="_Toc15748" w:history="1">
        <w:r>
          <w:rPr>
            <w:rFonts w:ascii="微软雅黑" w:eastAsia="微软雅黑" w:hAnsi="微软雅黑" w:cs="微软雅黑" w:hint="eastAsia"/>
            <w:color w:val="001CAC" w:themeColor="hyperlink" w:themeShade="BF"/>
            <w:szCs w:val="32"/>
            <w:lang w:eastAsia="zh-CN"/>
          </w:rPr>
          <w:t>十二、可持续发展与绿色经营</w:t>
        </w:r>
        <w:r>
          <w:tab/>
        </w:r>
        <w:r>
          <w:fldChar w:fldCharType="begin"/>
        </w:r>
        <w:r>
          <w:instrText xml:space="preserve"> PAGEREF _Toc15748 \h </w:instrText>
        </w:r>
        <w:r>
          <w:fldChar w:fldCharType="separate"/>
        </w:r>
        <w:r>
          <w:t>62</w:t>
        </w:r>
        <w:r>
          <w:fldChar w:fldCharType="end"/>
        </w:r>
      </w:hyperlink>
    </w:p>
    <w:p>
      <w:pPr>
        <w:pStyle w:val="TOC2"/>
        <w:tabs>
          <w:tab w:val="right" w:leader="dot" w:pos="8306"/>
        </w:tabs>
      </w:pPr>
      <w:hyperlink w:anchor="_Toc13708" w:history="1">
        <w:r>
          <w:rPr>
            <w:rFonts w:ascii="宋体" w:eastAsia="宋体" w:hAnsi="宋体" w:cs="宋体" w:hint="eastAsia"/>
            <w:bCs w:val="0"/>
            <w:szCs w:val="28"/>
            <w:lang w:eastAsia="zh-CN"/>
          </w:rPr>
          <w:t>(一)、可持续发展战略与目标</w:t>
        </w:r>
        <w:r>
          <w:tab/>
        </w:r>
        <w:r>
          <w:fldChar w:fldCharType="begin"/>
        </w:r>
        <w:r>
          <w:instrText xml:space="preserve"> PAGEREF _Toc13708 \h </w:instrText>
        </w:r>
        <w:r>
          <w:fldChar w:fldCharType="separate"/>
        </w:r>
        <w:r>
          <w:t>62</w:t>
        </w:r>
        <w:r>
          <w:fldChar w:fldCharType="end"/>
        </w:r>
      </w:hyperlink>
    </w:p>
    <w:p>
      <w:pPr>
        <w:pStyle w:val="TOC2"/>
        <w:tabs>
          <w:tab w:val="right" w:leader="dot" w:pos="8306"/>
        </w:tabs>
      </w:pPr>
      <w:hyperlink w:anchor="_Toc31118" w:history="1">
        <w:r>
          <w:rPr>
            <w:rFonts w:ascii="宋体" w:eastAsia="宋体" w:hAnsi="宋体" w:cs="宋体" w:hint="eastAsia"/>
            <w:bCs w:val="0"/>
            <w:szCs w:val="28"/>
            <w:lang w:eastAsia="zh-CN"/>
          </w:rPr>
          <w:t>(二)、环保政策与实践</w:t>
        </w:r>
        <w:r>
          <w:tab/>
        </w:r>
        <w:r>
          <w:fldChar w:fldCharType="begin"/>
        </w:r>
        <w:r>
          <w:instrText xml:space="preserve"> PAGEREF _Toc31118 \h </w:instrText>
        </w:r>
        <w:r>
          <w:fldChar w:fldCharType="separate"/>
        </w:r>
        <w:r>
          <w:t>64</w:t>
        </w:r>
        <w:r>
          <w:fldChar w:fldCharType="end"/>
        </w:r>
      </w:hyperlink>
    </w:p>
    <w:p>
      <w:pPr>
        <w:pStyle w:val="TOC2"/>
        <w:tabs>
          <w:tab w:val="right" w:leader="dot" w:pos="8306"/>
        </w:tabs>
      </w:pPr>
      <w:hyperlink w:anchor="_Toc15785" w:history="1">
        <w:r>
          <w:rPr>
            <w:rFonts w:ascii="宋体" w:eastAsia="宋体" w:hAnsi="宋体" w:cs="宋体" w:hint="eastAsia"/>
            <w:bCs w:val="0"/>
            <w:szCs w:val="28"/>
            <w:lang w:eastAsia="zh-CN"/>
          </w:rPr>
          <w:t>(三)、资源利用与循环经济</w:t>
        </w:r>
        <w:r>
          <w:tab/>
        </w:r>
        <w:r>
          <w:fldChar w:fldCharType="begin"/>
        </w:r>
        <w:r>
          <w:instrText xml:space="preserve"> PAGEREF _Toc15785 \h </w:instrText>
        </w:r>
        <w:r>
          <w:fldChar w:fldCharType="separate"/>
        </w:r>
        <w:r>
          <w:t>66</w:t>
        </w:r>
        <w:r>
          <w:fldChar w:fldCharType="end"/>
        </w:r>
      </w:hyperlink>
    </w:p>
    <w:p>
      <w:pPr>
        <w:pStyle w:val="TOC2"/>
        <w:tabs>
          <w:tab w:val="right" w:leader="dot" w:pos="8306"/>
        </w:tabs>
      </w:pPr>
      <w:hyperlink w:anchor="_Toc17316" w:history="1">
        <w:r>
          <w:rPr>
            <w:rFonts w:ascii="宋体" w:eastAsia="宋体" w:hAnsi="宋体" w:cs="宋体" w:hint="eastAsia"/>
            <w:bCs w:val="0"/>
            <w:szCs w:val="28"/>
            <w:lang w:eastAsia="zh-CN"/>
          </w:rPr>
          <w:t>(四)、碳中和与生态足迹</w:t>
        </w:r>
        <w:r>
          <w:tab/>
        </w:r>
        <w:r>
          <w:fldChar w:fldCharType="begin"/>
        </w:r>
        <w:r>
          <w:instrText xml:space="preserve"> PAGEREF _Toc17316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4618"/>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压电晶体行业研究报告致力于对压电晶体行业进行详尽研究和分析，旨在为压电晶体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9769"/>
      <w:r>
        <w:rPr>
          <w:rFonts w:ascii="微软雅黑" w:eastAsia="微软雅黑" w:hAnsi="微软雅黑" w:cs="微软雅黑" w:hint="eastAsia"/>
          <w:color w:val="2E54A1" w:themeColor="accent1" w:themeShade="BF"/>
          <w:sz w:val="32"/>
          <w:szCs w:val="32"/>
          <w:lang w:eastAsia="zh-CN"/>
        </w:rPr>
        <w:t>一、压电晶体行业财务管理分析</w:t>
      </w:r>
      <w:bookmarkEnd w:id="2"/>
    </w:p>
    <w:p>
      <w:pPr>
        <w:pStyle w:val="Heading2"/>
        <w:spacing w:line="480" w:lineRule="auto"/>
        <w:rPr>
          <w:rFonts w:ascii="宋体" w:eastAsia="宋体" w:hAnsi="宋体" w:cs="宋体" w:hint="eastAsia"/>
          <w:bCs w:val="0"/>
          <w:sz w:val="28"/>
          <w:szCs w:val="28"/>
          <w:lang w:eastAsia="zh-CN"/>
        </w:rPr>
      </w:pPr>
      <w:bookmarkStart w:id="3" w:name="_Toc19398"/>
      <w:r>
        <w:rPr>
          <w:rFonts w:ascii="宋体" w:eastAsia="宋体" w:hAnsi="宋体" w:cs="宋体" w:hint="eastAsia"/>
          <w:b/>
          <w:bCs w:val="0"/>
          <w:sz w:val="28"/>
          <w:szCs w:val="28"/>
          <w:lang w:eastAsia="zh-CN"/>
        </w:rPr>
        <w:t>(一)、压电晶体行业财务管理制度</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1.会计制度设计：确保财务记录准确无误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会计制度是整个财务管理体系的基础。压电晶体行业将精心设计并实施一套适应企业实际情况的会计制度，以确保财务记录的准确性和可靠性。这包括明确的账务分类、科目设置，遵循相关法规和会计准则的会计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2.预算管理体系：实现资源优化配置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管理体系是企业实现资源优化配置、有效控制开支的关键。压电晶体行业将制定详尽的预算计划，全面涵盖各个部门和项目，以确保资源的最大化利用。明确的预算指标将帮助实时监控财务状况，实现合理的资源配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3.内部控制机制：规范流程，防范潜在风险</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为规范财务流程、防范潜在风险，压电晶体行业将建立健全的内部控制机制。明确的财务流程和程序，设立内部审计体系，旨在确保资源正确使用，降低财务失误和不当行为的风险,提高内部管理的有效性。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4.资产管理政策：科学配置，全方位保护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资产是企业价值的核心，压电晶体行业将制定细致的资产管理政策。这包括对固定资产的管理和维护，定期的清查和评估，以确保资产得到合理配置和全方位的保护，提高资产的使用效益。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5.财务报告与透明度：提供及时、准确的信息建立及时、准确的财务报告体系对于企业决策和信誉至关重要。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压电晶体行业将确保财务报告符合相关法规和准则，向利益相关方提供透明度。规范的报表生成和审核流程将提高报表的可靠性，增强与利益相关方的沟通。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6.税务合规管理：降低潜在税务风险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在税务方面，压电晶体行业将建立严格的税务合规管理制度，确保企业严格遵守相关税收法规。及时、准确的报税和合法的税收优惠使用将降低潜在的税务风险，确保企业在税收方面的合法权益。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7.成本控制策略：提高运营效益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成本控制是财务管理的一项重要任务。压电晶体行业将制定成本控制策略，包括合理的成本核算体系和成本控制流程，以提高运营效益，确保企业在竞争激烈的市场中保持竞争力。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压电晶体行业将能够建立一个有序、高效、合规的财务管理体系，为企业的可持续发展提供坚实的财务支持。这将有助于企业更好地适应市场变化，把握商机，实现经济效益和社会责任的双丰收。</w:t>
      </w:r>
    </w:p>
    <w:p>
      <w:pPr>
        <w:pStyle w:val="Heading2"/>
        <w:spacing w:line="480" w:lineRule="auto"/>
        <w:rPr>
          <w:rFonts w:ascii="宋体" w:eastAsia="宋体" w:hAnsi="宋体" w:cs="宋体" w:hint="eastAsia"/>
          <w:bCs w:val="0"/>
          <w:sz w:val="28"/>
          <w:szCs w:val="28"/>
          <w:lang w:eastAsia="zh-CN"/>
        </w:rPr>
      </w:pPr>
      <w:bookmarkStart w:id="4" w:name="_Toc20884"/>
      <w:r>
        <w:rPr>
          <w:rFonts w:ascii="宋体" w:eastAsia="宋体" w:hAnsi="宋体" w:cs="宋体" w:hint="eastAsia"/>
          <w:b/>
          <w:bCs w:val="0"/>
          <w:sz w:val="28"/>
          <w:szCs w:val="28"/>
          <w:lang w:eastAsia="zh-CN"/>
        </w:rPr>
        <w:t>(二)、压电晶体行业经济效益分析</w:t>
      </w:r>
      <w:bookmarkEnd w:id="4"/>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在压电晶体行业的战略运作中,各项策略和实践均为企业带来了显著的经济效益。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(一)客户需求稳定增长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深入了解客户的需求，并不断提升产品或服务的质量，成功地实现了客户需求的稳定增长。这种客户导向的战略不仅提高了市场份额，还增强了客户忠诚度。稳定的客户增长为公司创造了可观的经济效益，包括重复购买和口碑传播所带来的潜在市场扩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(二)多元化服务增加收入来源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引入多元化服务，压电晶体行业成功地扩大了收入来源。不仅仅依赖于单一产品或服务，公司通过提供多样化的选择，满足了不同客户群体的需求。这种战略性的多元化不仅提高了客户满意度，还降低了市场风险，为公司创造了更为稳健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(三)专业技能提升收益水平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对员工的专业技能进行持续投资，提升了服务水平和压电晶体行业竞争力。高水平的专业技能不仅吸引了更多高端客户，还使公司能够提供更高附加值的服务。这不仅提高了客户的满意度，还直接反映在公司的收益水平上,为企业创造了更为显著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(四)市场竞争激烈但仍有发展空间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所处市场竞争激烈，压电晶体行业通过持续创新和高效的市场定位找到了发展的空间。公司不仅在现有市场保持了竞争力，还通过拓展新市场实现了增长。这种灵活的战略让公司在激烈竞争中立于不败之地，创造了可观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(五)运营管理效率提升盈利能力</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通过引入高效的运营管理体系，降低了成本、提高了资源利用效率。这种高效率的运营不仅提高了产品或服务的生产能力，还降低了运营风险。高效的运营管理直接带动了盈利水平的提升，为企业创造了持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(六)市场推广提升知名度与影响力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功的市场推广战略使压电晶体行业在市场上建立了卓越的知名度与影响力。通过巧妙的品牌建设和广告活动，公司吸引了更多的目标客户，加强了市场份额。这种广泛认知直接转化为企业的销售业绩，为公司创造了强大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综合来看，通过不断创新和战略调整，压电晶体行业在多个方面实现了卓越的经济效益。这不仅为公司在竞争激烈的市场中立于不败之地，还为未来的可持续发展翼定了坚实的基础。</w:t>
      </w:r>
    </w:p>
    <w:p>
      <w:pPr>
        <w:pStyle w:val="Heading2"/>
        <w:spacing w:line="480" w:lineRule="auto"/>
        <w:rPr>
          <w:rFonts w:ascii="宋体" w:eastAsia="宋体" w:hAnsi="宋体" w:cs="宋体" w:hint="eastAsia"/>
          <w:bCs w:val="0"/>
          <w:sz w:val="28"/>
          <w:szCs w:val="28"/>
          <w:lang w:eastAsia="zh-CN"/>
        </w:rPr>
      </w:pPr>
      <w:bookmarkStart w:id="5" w:name="_Toc999"/>
      <w:r>
        <w:rPr>
          <w:rFonts w:ascii="宋体" w:eastAsia="宋体" w:hAnsi="宋体" w:cs="宋体" w:hint="eastAsia"/>
          <w:b/>
          <w:bCs w:val="0"/>
          <w:sz w:val="28"/>
          <w:szCs w:val="28"/>
          <w:lang w:eastAsia="zh-CN"/>
        </w:rPr>
        <w:t>(三)、压电晶体行业收入及成本核算</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收入核算：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销售渠道多元化：压电晶体行业通过多元化的销售渠道，包括线上平台、实体店铺和合作伙伴，实现了销售收入的多元来源。这种多元化策略不仅降低了市场风险，还有效扩大了潜在客户群体，为企业带来了更为稳健的收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2.定价策略：公司通过精密的定价策略，根据市场需求、产品附加值和竞争情况灵活调整价格。这种巧妙的定价策略既能够满足客户的支付能力,又能够最大化产品的市场价值,确保了收入的最大化。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3.客户关系管理：通过建立健全的客户关系管理系统,PCABS成功维护了大量忠诚客户。忠实客户不仅带来了持续的重复购买，还通过口碑传播为公司吸引了新客户，进一步增加了收入。</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4.新产品推广：公司通过不断推出新产品，不仅满足了市场的新需求,也创造了额外的销售收入。有效的新产品推广策略使PCABS始终处于市场关注的中心，为企业带来了更多的商机。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成本核算：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1.供应链优化：通过与供应商建立紧密的合作关系，压电晶体行业实现了供应链的优化。合理的库存管理、生产计划和物流流程的优化，有效降低了采购成本，提高了生产效率。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2.生产技术升级：公司持续投资于生产技术的升级，提高了生产线的自动化程度和效率。这不仅降低了人力成本，还减少了生产过程中的误差，为公司带来了更高的生产效益。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3.成本控制策略：通过建立严格的成本控制策略，公司对各项费用进行了有效的管控。审慎的预算和费用审批流程，确保了成本的合理分配，从而有效提升了公司的盈利能力。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技术人才培养：为确保公司的技术水平处于业界领先地位，压电晶体行业注重技术人才的培养和引进。高水平的技术团队不仅提高了产品研发的效率，还降低了外包成本，为公司带来了技术创新和成本控制的双重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通过精细的收入及成本核算压电晶体行业有效地实现了盈利的管理。这一管理实践不仅使公司在市场竞争中保持了竞争力,还为未来的可持续发展翼定了坚实的财务基础。</w:t>
      </w:r>
    </w:p>
    <w:p>
      <w:pPr>
        <w:pStyle w:val="Heading2"/>
        <w:spacing w:line="480" w:lineRule="auto"/>
        <w:rPr>
          <w:rFonts w:ascii="宋体" w:eastAsia="宋体" w:hAnsi="宋体" w:cs="宋体" w:hint="eastAsia"/>
          <w:bCs w:val="0"/>
          <w:sz w:val="28"/>
          <w:szCs w:val="28"/>
          <w:lang w:eastAsia="zh-CN"/>
        </w:rPr>
      </w:pPr>
      <w:bookmarkStart w:id="6" w:name="_Toc27304"/>
      <w:r>
        <w:rPr>
          <w:rFonts w:ascii="宋体" w:eastAsia="宋体" w:hAnsi="宋体" w:cs="宋体" w:hint="eastAsia"/>
          <w:b/>
          <w:bCs w:val="0"/>
          <w:sz w:val="28"/>
          <w:szCs w:val="28"/>
          <w:lang w:eastAsia="zh-CN"/>
        </w:rPr>
        <w:t>(四)、压电晶体行业成本管理</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(一)租金成本管理：</w:t>
      </w:r>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在租金成本管理方面，压电晶体行业采用了一系列有效的措施来降低租金支出：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1.谈判优惠租金：公司与房东保持密切关系，通过谈判和签订长期租赁协议，争取到更有竞争力的租金优惠，从而有效降低了固定租金支出。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2.灵活的租赁方案：压电晶体行业灵活运用租赁方案，根据业务季节性或需求变化,选择短期或长期租赁,以最大程度地满足业务需求，并在租金支出方面实现更好的成本控制。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3.空间优化：公司进行空间利用的优化，确保租用的空间充分满足业务需求，避免浪费。通过评估不同部门的实际需求，避免租赁过多或过大的场地，降低了租金成本。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(二)原材料成本管理：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压电晶体行业在原材料成本管理上采用了一系列有效的策略来提高采购的经济效益：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1.供应链优化：通过与供应商建立战略性合作关系，实施供应链的优化，确保原材料的高质量和有竞争力的价格。这不仅降低了采购成本，还提高了原材料的可用性和稳定性。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2.多元化供应商：压电晶体行业采用多元化的供应商战略，避免对单一供应商过度依赖，减少了潜在的供应风险，并通过竞争性谈判获得更有利的价格和条款。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3.实时库存管理：公司实施了实时库存管理系统，通过对原材料库存的及时监控和调整，减少了库存积压，避免了资金的长时间占用，从而优化了原材料成本。</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(三)人工成本管理：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在人工成本管理方面，压电晶体行业通过以下方式实现了有效的人力资源成本管理：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1.培训与发展：公司注重员工的培训与发展，提高员工的综合素质，使其在岗位上更加熟练和高效，从而提高人工投入的产出比，实现了人力资源的最大化利用。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2.绩效激励制度：引入科学合理的绩效激励制度，根据员工的表现和贡献程度进行薪酬激励，激发员工的积极性和创造力，同时控制了人工成本的增长。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3.灵活用工：针对业务波动性较大的情况，公司采用灵活用工的方式，如临时工、兼职工等，以更好地满足生产需求，同时有效控制了人工成本。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(四)折旧成本管理：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在固定资产折旧成本管理方面，压电晶体行业采取了以下策略：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1.合理折旧政策：公司采用合理的折旧政策，根据资产的使用寿命和价值变化，选择直线法或加速折旧法，确保折旧成本与资产的实际价值变化相匹配。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2.定期维护与更新：定期对固定资产进行维护和更新，确保其正常运作和延长使用寿命。通过及时的维护，可以有效减少由于设备故障而引起的额外维修费用，同时保持设备在高效状态下运行，降低了折旧成本。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3.资产管理系统：公司建立了高效的资产管理系统，对固定资产进行精准的跟踪和管理。通过对资产的详细记录，能够准确计算折旧费用，并及时更新资产状况，确保了折旧成本的准确计量。</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sz w:val="24"/>
          <w:szCs w:val="24"/>
          <w:lang w:eastAsia="zh-CN"/>
        </w:rPr>
        <w:t>4.技术创新与替代：压电晶体行业注重技术创新，不断寻求新的设备和技术，以提高生产效率和降低维护成本。在设备老化时，及时进行替代，避免了由于老旧设备引起的高额折旧成本。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(五)营销推广成本管理：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在营销推广成本管理方面，压电晶体行业采取了一系列策略来确保有效的市场推广同时控制成本：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1.数字化营销：公司通过数字化营销手段，如社交媒体广告、搜索引擎优化等，实现了更精准的定位和更低的推广成本。数字化营销不仅提高了广告投入的效益，还提升了市场覆盖面。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2.合作伙伴关系：与合作伙伴建立战略伙伴关系，共享市场推广成本。合作伙伴可以是压电晶体行业内的相关企业、社交媒体平台或其他有共同目标的品牌，通过合作，降低了广告宣传的成本。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3.数据分析与效果评估：公司通过数据分析工具对营销活动的效果进行实时监测和评估。这有助于识别高效的推广渠道和策略，使市场推广活动更具成本效益。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4.活动策划与执行：精心策划和执行各类营销活动，以确保推广活动能够吸引目标受众。通过合理的活动预算和成本管控，公司在推广过程中有效降低了相关费用。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5.品牌合作与赞助：与其他品牌进行合作与赞助，通过共同推广活动，实现成本共担，同时提升品牌知名度。这种联合推广不仅降低了单独推广的成本，还扩大了市场影响。</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sz w:val="24"/>
          <w:szCs w:val="24"/>
          <w:lang w:eastAsia="zh-CN"/>
        </w:rPr>
        <w:t>通过以上成本管理实践，压电晶体行业在租金、原材料、人工、折旧以及营销推广等方面取得了良好的平衡，有效降低了不必要的开支，为企业的可持续发展提供了强有力的支持。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8813"/>
      <w:r>
        <w:rPr>
          <w:rFonts w:ascii="微软雅黑" w:eastAsia="微软雅黑" w:hAnsi="微软雅黑" w:cs="微软雅黑" w:hint="eastAsia"/>
          <w:color w:val="2E54A1" w:themeColor="accent1" w:themeShade="BF"/>
          <w:sz w:val="32"/>
          <w:szCs w:val="32"/>
          <w:lang w:eastAsia="zh-CN"/>
        </w:rPr>
        <w:t>二、压电晶体行业公司治理与社会责任</w:t>
      </w:r>
      <w:bookmarkEnd w:id="7"/>
    </w:p>
    <w:p>
      <w:pPr>
        <w:pStyle w:val="Heading2"/>
        <w:spacing w:line="480" w:lineRule="auto"/>
        <w:rPr>
          <w:rFonts w:ascii="宋体" w:eastAsia="宋体" w:hAnsi="宋体" w:cs="宋体" w:hint="eastAsia"/>
          <w:bCs w:val="0"/>
          <w:sz w:val="28"/>
          <w:szCs w:val="28"/>
          <w:lang w:eastAsia="zh-CN"/>
        </w:rPr>
      </w:pPr>
      <w:bookmarkStart w:id="8" w:name="_Toc18289"/>
      <w:r>
        <w:rPr>
          <w:rFonts w:ascii="宋体" w:eastAsia="宋体" w:hAnsi="宋体" w:cs="宋体" w:hint="eastAsia"/>
          <w:b/>
          <w:bCs w:val="0"/>
          <w:sz w:val="28"/>
          <w:szCs w:val="28"/>
          <w:lang w:eastAsia="zh-CN"/>
        </w:rPr>
        <w:t>(一)、公司治理结构</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电晶体行业,我们积极致力于建立健全的公司治理结构，以确保公司各项业务能够在高效、透明的环境中运作。我们深知治理结构的关键性，因此明确了权责分工，并建立了包括董事会、监事会等在内的多个机构,以实现各方面利益的平衡。这一严密的治理结构不仅降低了公司运营的风险，还提高了决策的效率，为公司的长期健康发展翼定了坚实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特别注重治理结构的灵活性,充分认识到公司发展阶段和市场环境的不断变化。因此，我们随时准备进行相应的结构调整，以确保公司的治理机制能够紧跟外部变化，灵活应对各种挑战，从而保持竞争力。这种动态而富有适应性的治理机制使我们能够更好地适应不断变化的商业环境，为公司的可持续成功提供坚实支持。</w:t>
      </w:r>
    </w:p>
    <w:p>
      <w:pPr>
        <w:pStyle w:val="Heading2"/>
        <w:spacing w:line="480" w:lineRule="auto"/>
        <w:rPr>
          <w:rFonts w:ascii="宋体" w:eastAsia="宋体" w:hAnsi="宋体" w:cs="宋体" w:hint="eastAsia"/>
          <w:bCs w:val="0"/>
          <w:sz w:val="28"/>
          <w:szCs w:val="28"/>
          <w:lang w:eastAsia="zh-CN"/>
        </w:rPr>
      </w:pPr>
      <w:bookmarkStart w:id="9" w:name="_Toc537"/>
      <w:r>
        <w:rPr>
          <w:rFonts w:ascii="宋体" w:eastAsia="宋体" w:hAnsi="宋体" w:cs="宋体" w:hint="eastAsia"/>
          <w:b/>
          <w:bCs w:val="0"/>
          <w:sz w:val="28"/>
          <w:szCs w:val="28"/>
          <w:lang w:eastAsia="zh-CN"/>
        </w:rPr>
        <w:t>(二)、董事会运作与决策</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的董事会被视为公司治理的核心机构,对于公司战略的制定和执行具有至关重要的作用。为了确保董事会的高效运作和决策的迅速执行，我们建立了严密而高效的董事会运作机制。董事会会议被定期召开，以确保信息的及时传递和决策的高效执行。为了保证董事会成员能够对公司的全局有全面把握，他们不仅具备业务专业知识，还具备跨领域的经验。</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董事会决策的透明度是我们公司治理的一个重要原则。我们鼓励董事之间的积极互动，倡导充分的讨论和多元化的观点交流，以确保每个决策都是基于深思熟虑的。这种开放和透明的讨论氛围有助于挖掘问题的多个层面，为制定明智的战略提供了坚实的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同时，为了保持公司治理的公正性和透明度，我们注重建立信息公开制度。这包括向股东和其他利益相关者提供充分的决策信息，使他们能够深入了解董事会的决策过程和思考路径。通过这一公正透明的治理机制，我们旨在建立信任，促进公司的长期稳健发展。</w:t>
      </w:r>
    </w:p>
    <w:p>
      <w:pPr>
        <w:pStyle w:val="Heading2"/>
        <w:spacing w:line="480" w:lineRule="auto"/>
        <w:rPr>
          <w:rFonts w:ascii="宋体" w:eastAsia="宋体" w:hAnsi="宋体" w:cs="宋体" w:hint="eastAsia"/>
          <w:bCs w:val="0"/>
          <w:sz w:val="28"/>
          <w:szCs w:val="28"/>
          <w:lang w:eastAsia="zh-CN"/>
        </w:rPr>
      </w:pPr>
      <w:bookmarkStart w:id="10" w:name="_Toc26868"/>
      <w:r>
        <w:rPr>
          <w:rFonts w:ascii="宋体" w:eastAsia="宋体" w:hAnsi="宋体" w:cs="宋体" w:hint="eastAsia"/>
          <w:b/>
          <w:bCs w:val="0"/>
          <w:sz w:val="28"/>
          <w:szCs w:val="28"/>
          <w:lang w:eastAsia="zh-CN"/>
        </w:rPr>
        <w:t>(三)、内部控制与审计</w:t>
      </w:r>
      <w:bookmarkEnd w:id="1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压电晶体行业公司运作的合法性和规范性，我们坚持实施严格的内部控制与审计制度，旨在覆盖公司各个方面，包括财务管理、风险管理、信息技术安全等。通过建立这一全面的内部控制体系，我们能够更有效地监督和管理公司的内部运作，降低潜在风险，提高公司治理的稳健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内部审计机制是我们确保内部控制有效性的关键环节。我们建立了专业的内部审计团队,负责对公司各个方面的运营进行定期和不定期的审计。通过审计过程，我们能够及时发现潜在问题和风险，并采取必要的纠正措施。这不仅有助于保障公司资产的安全，还能够为公司的战略决策提供全面、可靠的数据支持。</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内部审计不仅仅是对公司内部运作的监督,更是公司管理层了解公司经营状况、评估管理效果、提升管理水平的重要手段。我们鼓励内部审计团队与公司各部门保持紧密合作，共同制定审计计划，确保审计的全面性和深入性。通过这一协同工作，我们能够全面了解公司各个层面的运营情况，为公司的长远发展提供有力的支持。</w:t>
      </w:r>
    </w:p>
    <w:p>
      <w:pPr>
        <w:pStyle w:val="Heading2"/>
        <w:spacing w:line="480" w:lineRule="auto"/>
        <w:rPr>
          <w:rFonts w:ascii="宋体" w:eastAsia="宋体" w:hAnsi="宋体" w:cs="宋体" w:hint="eastAsia"/>
          <w:bCs w:val="0"/>
          <w:sz w:val="28"/>
          <w:szCs w:val="28"/>
          <w:lang w:eastAsia="zh-CN"/>
        </w:rPr>
      </w:pPr>
      <w:bookmarkStart w:id="11" w:name="_Toc29722"/>
      <w:r>
        <w:rPr>
          <w:rFonts w:ascii="宋体" w:eastAsia="宋体" w:hAnsi="宋体" w:cs="宋体" w:hint="eastAsia"/>
          <w:b/>
          <w:bCs w:val="0"/>
          <w:sz w:val="28"/>
          <w:szCs w:val="28"/>
          <w:lang w:eastAsia="zh-CN"/>
        </w:rPr>
        <w:t>(四)、法律法规合规体系</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治社会中，压电晶体行业视法律法规合规为企业运营的基本准则，建立了全面的法律法规合规体系以确保公司的经营活动合法、规范、透明。为此，我们聘请了专业的法务团队，负责进行法律咨询和合规审核，以及及时更新和维护公司合规手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提高员工对法规的认识水平，我们鼓励员工参与法律培训，使他们了解并遵守相关法规，充分认识到合规对企业和个人的重要性。这种法律教育不仅有助于降低法律风险,还有助于建立员工的法治意识，形成良好的企业文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及时应对法律法规的变化和风险,我们定期进行法律合规风险评估，全面审查公司的经营活动，以确保公司在市场竞争中保持合法合规的竞争地位。在面对新的法规变化时，我们将迅速调整合规策略，以确保业务的持续性和健康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压电晶体行业的法规合规文化中，我们强调零容忍的原则，坚决反对任何形式的腐败行为。我们鼓励员工通过举报渠道报告任何可能涉及违法违规行为的情况，以便及时采取纠正措施。通过这一法律法规合规体系，压电晶体行业致力于在法治框架下展开经营活动,保持公司的声誉，履行社会责任。</w:t>
      </w:r>
    </w:p>
    <w:p>
      <w:pPr>
        <w:pStyle w:val="Heading2"/>
        <w:spacing w:line="480" w:lineRule="auto"/>
        <w:rPr>
          <w:rFonts w:ascii="宋体" w:eastAsia="宋体" w:hAnsi="宋体" w:cs="宋体" w:hint="eastAsia"/>
          <w:bCs w:val="0"/>
          <w:sz w:val="28"/>
          <w:szCs w:val="28"/>
          <w:lang w:eastAsia="zh-CN"/>
        </w:rPr>
      </w:pPr>
      <w:bookmarkStart w:id="12" w:name="_Toc18167"/>
      <w:r>
        <w:rPr>
          <w:rFonts w:ascii="宋体" w:eastAsia="宋体" w:hAnsi="宋体" w:cs="宋体" w:hint="eastAsia"/>
          <w:b/>
          <w:bCs w:val="0"/>
          <w:sz w:val="28"/>
          <w:szCs w:val="28"/>
          <w:lang w:eastAsia="zh-CN"/>
        </w:rPr>
        <w:t>(五)、企业社会责任与道德经营</w:t>
      </w:r>
      <w:bookmarkEnd w:id="12"/>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sz w:val="24"/>
          <w:szCs w:val="24"/>
          <w:lang w:eastAsia="zh-CN"/>
        </w:rPr>
        <w:t>在秉持企业社会责任的核心价值下,压电晶体行业将社会责任视为不可或缺的经营理念。我们积极参与各项公益事业，致力于为社会创造积极的影响。通过与慈善组织和社区合作，我们推动教育、医疗、扶贫等领域的发展，致力于改善社会福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区建设是我们关注的重要方面。我们支持当地社区的基础设施建设、文化活动和青少年培训计划，努力提升社区居民的生活质量。通过与社区密切互动，我们建立了长期稳定的合作关系，实现了企业与社会的双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环保实践方面，压电晶体行业致力于减少对环境的负面影响。我们制定并执行环保政策，通过提升生产工艺、降低能源消耗和推广可再生能源的使用，努力降低碳足迹。此外，我们积极参与植树造林、废品回收等环保活动，践行绿色发展理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除了关注环境和社区，我们还强调在供应链中推动可持续发展。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与供应商建立合作伙伴关系，要求其遵守环保和社会责任标准，共同推动产业链的可持续性发展。我们鼓励供应商采取环保友好的生产方式，共同建立更加绿色、可持续的供应链体系。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在员工关系方面，我们致力于提供公平、公正的工作环境。我们严格遵循劳动法规，确保员工的权益得到尊重和保护。通过建立健全的员工培训和发展计划，我们鼓励员工实现个人职业目标，提升整体素质。</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3" w:name="_Toc5926"/>
      <w:r>
        <w:rPr>
          <w:rFonts w:ascii="微软雅黑" w:eastAsia="微软雅黑" w:hAnsi="微软雅黑" w:cs="微软雅黑" w:hint="eastAsia"/>
          <w:color w:val="2E54A1" w:themeColor="accent1" w:themeShade="BF"/>
          <w:sz w:val="32"/>
          <w:szCs w:val="32"/>
          <w:lang w:eastAsia="zh-CN"/>
        </w:rPr>
        <w:t>三、压电晶体行业运营管理及商业模式分析</w:t>
      </w:r>
      <w:bookmarkEnd w:id="13"/>
    </w:p>
    <w:p>
      <w:pPr>
        <w:pStyle w:val="Heading2"/>
        <w:spacing w:line="480" w:lineRule="auto"/>
        <w:rPr>
          <w:rFonts w:ascii="宋体" w:eastAsia="宋体" w:hAnsi="宋体" w:cs="宋体" w:hint="eastAsia"/>
          <w:bCs w:val="0"/>
          <w:sz w:val="28"/>
          <w:szCs w:val="28"/>
          <w:lang w:eastAsia="zh-CN"/>
        </w:rPr>
      </w:pPr>
      <w:bookmarkStart w:id="14" w:name="_Toc6963"/>
      <w:r>
        <w:rPr>
          <w:rFonts w:ascii="宋体" w:eastAsia="宋体" w:hAnsi="宋体" w:cs="宋体" w:hint="eastAsia"/>
          <w:b/>
          <w:bCs w:val="0"/>
          <w:sz w:val="28"/>
          <w:szCs w:val="28"/>
          <w:lang w:eastAsia="zh-CN"/>
        </w:rPr>
        <w:t>(一)、压电晶体行业数字化发展方案</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(一)线上销售平台构建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伴随着互联网的高速蓬勃发展，压电晶体行业计划构建一体化的线上销售平台，以拓展销售渠道，为消费者提供更为便捷的购物体验。此平台的关键特点包括：</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1.产品展示：在该平台上展示压电晶体行业多款式、多颜色和不同材质的产品，以迎合各类消费者的个性需求。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2.在线购买：消费者可直接在平台上选择并购买产品，提供多样支付方式，并提供可靠的物流服务。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3.个性化定制：压电晶体行业将提供个性化定制服务，使消费者可以根据需求选择产品的尺寸、颜色和款式，满足其独特的装饰要求。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4.用户评价和推荐：平台将开放用户对购买产品的评价和推荐功能，为其他消费者提供可信的购物建议。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5.促销活动：通过平台进行促销活动，吸引消费者关注，提高销售额，例如限时特惠、打折促销等。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(二)数据分析技术在运营中的应用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压电晶体行业将充分运用数据分析技术,深入了解消费者的购物习惯、偏好和需求，以更有效地管理和运营业务。核心的数据分析技术应用有：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1.人工智能和机器学习：运用人工智能和机器学习算法，分析消费者的购物历史和行为模式，预测未来购买倾向，为消费者提供个性化的推荐和服务。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2.用户数据收集：压电晶体行业将收集并分析消费者在平台上的浏览、购买和评价等数据，深入了解产品受欢迎度和需求，以优化产品策略和市场定位。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3.运营效率提升：通过分析供应链和物流数据，压电晶体行业将优化库存管理和订单处理流程，提升运营效率和客户满意度。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4.市场趋势分析：敏锐分析市场趋势和竞争对手动态，及时调整产品策略和定价，以保持市场的高度敏感性。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(三)线上线下体验的整合</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尽管数字化发展为压电晶体行业带来更多销售机会,但由于产品的独特性，线上线下体验的有机整合仍然至关重要：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1.实体店展示：在实体店内设置样品展示区，呈现出不同风格和材质的产品，使消费者亲身感受产品的品质和设计。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2.虚拟试装：发展虚拟试装应用程序，让消费者通过上传个人照片，在应用程序中试穿不同款式的产品，更好地了解搭配效果，辅助购物决策。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3.线上预约与线下服务：提供线上预约服务，使消费者在实体店内享受更个性化的服务,例如专业的装饰建议和对定制需求的深入沟通。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4.活动整合：将线上线下活动有机结合，如线上促销活动与实体店联动，提升品牌曝光度，加深消费者对压电晶体行业的认知。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(四)提升用户互动体验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为了进一步增强与消费者之间的互动和黏性，压电晶体行业将采取以下措施：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1.社交媒体整合：将线上销售平台与主要社交媒体整合，通过分享、评论和点赞等社交功能，扩大品牌影响力，增加用户互动。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2.品牌故事传播：通过生动有趣的品牌故事，向用户传达压电晶体行业的核心价值和文化，激发用户对品牌的情感认同，提升用户黏性。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3.虚拟活动举办：在线上平台定期举办虚拟活动，如线上时装秀、明星见面会等，吸引用户参与，拉近品牌与用户之间的距离。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(五)持续优化用户体验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压电晶体行业将不断优化用户体验，提高用户满意度，为此将进行以下方面的改进：</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1.界面设计升级：不断升级线上销售平台的界面设计，使其更加直观、易用，提高用户在平台上的浏览和购物体验。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2.客户服务完善：建立全方位的客户服务体系，包括在线咨询、投诉处理等，确保用户在购物过程中能够获得及时、有效的帮助。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3.物流配送优化：与可靠的物流公司合作，优化配送流程，提高配送速度，确保产品及时送达，增强用户对压电晶体行业的信赖度。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(六)品牌社会责任推动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为深化品牌影响力，压电晶体行业将积极履行社会责任，推动可持续发展：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1.环保倡导：强调产品的环保特性，积极推动环保理念，关注原材料的可持续性，减少对环境的不良影响。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2.慈善合作：与慈善机构合作，进行公益活动，履行企业社会责任，为社会做出积极贡献。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3.员工培训：通过为员工提供培训，提高其社会责任意识，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通过以上持续优化的措施，压电晶体行业旨在建立一个全方位、可持续发展的数字化体验，提升用户的购物满意度，巩固并扩大品牌的市场份额。</w:t>
      </w:r>
    </w:p>
    <w:p>
      <w:pPr>
        <w:pStyle w:val="Heading2"/>
        <w:spacing w:line="480" w:lineRule="auto"/>
        <w:rPr>
          <w:rFonts w:ascii="宋体" w:eastAsia="宋体" w:hAnsi="宋体" w:cs="宋体" w:hint="eastAsia"/>
          <w:bCs w:val="0"/>
          <w:sz w:val="28"/>
          <w:szCs w:val="28"/>
          <w:lang w:eastAsia="zh-CN"/>
        </w:rPr>
      </w:pPr>
      <w:bookmarkStart w:id="15" w:name="_Toc1132"/>
      <w:r>
        <w:rPr>
          <w:rFonts w:ascii="宋体" w:eastAsia="宋体" w:hAnsi="宋体" w:cs="宋体" w:hint="eastAsia"/>
          <w:b/>
          <w:bCs w:val="0"/>
          <w:sz w:val="28"/>
          <w:szCs w:val="28"/>
          <w:lang w:eastAsia="zh-CN"/>
        </w:rPr>
        <w:t>(二)、压电晶体行业新型运营方式</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(一)智能化产品推广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为适应市场趋势，压电晶体行业致力于采用智能化的产品推广方式，通过创新手段提升产品曝光和推广效果：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1.精准广告策略：运用先进的人工智能技术，制定精准的广告投放策略，确保广告更精准地触达目标受众，提高点击率和转化率。</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2.虚拟购物助手升级：深化虚拟购物助手应用，引入更先进的对话系统和推荐算法，使其成为用户在购物过程中的智能伙伴，提供个性化推荐和定制建议。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3.沉浸式体验技术：进一步整合增强现实(AR)和虚拟现实(VR)技术，为消费者创造沉浸式的产品展示体验，使其更全面地了解产品特色与优势。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4.社交媒体创新宣传：在社交媒体平台上探索创新宣传形式，如短视频、互动内容等，增加用户参与度，形成有趣且引人注目的品牌形象。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(二)线上线下结合销售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压电晶体行业将深化线上线下融合，通过巧妙结合实现销售渠道的多元化和销售效果的互补：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1.全渠道互动体验：搭建全渠道互动平台，通过线上引流，线下店铺体验,实现全方位的产品展示与销售，提升用户购物的多样性体验。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2.智能化购物引导：利用智能化技术，在线上平台为消费者提供个性化的购物引导,同时引导线下店铺的销售人员更好地满足顾客需求。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3.数据共享与互通：优化线上线下数据管理系统，实现销售数据的实时共享，确保库存、订单等信息的及时互通，提升供应链效率。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(三)增值服务和个性定制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为满足不断升级的消费者需求，压电晶体行业将不断升级增值服务和个性定制方案：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1.全方位个性化定制：拓展个性化定制服务，提供更多元化的选择，如个性化包装、刻字定制等，满足不同层次的个性需求。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2.Al驱动的增值体验：引入人工智能技术，通过对消费者行为的深度分析，提供更具针对性的增值服务，如个性化推荐、定期产品更新等。</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sz w:val="24"/>
          <w:szCs w:val="24"/>
          <w:lang w:eastAsia="zh-CN"/>
        </w:rPr>
        <w:t>3.增值服务会员计划：推出更完善的增值服务会员计划，为会员提供独特的福利和服务，提高会员忠诚度。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(四)绿色环保理念倡导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作为社会责任的践行者，压电晶体行业将进一步倡导绿色环保理念，通过以下方式积极实践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1.可持续包装创新：不断创新绿色包装设计，采用可降解、可回收的材料，降低对环境的影响。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2.供应链绿色标准：要求供应商符合绿色生产标准，选择环保材料，推动整个供应链的绿色化。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3.员工环保培训：通过培训员工环保理念，提高员工对环保问题的认识，使其成为绿色生产的积极推动者。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(五)品牌联合和跨界合作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为扩大品牌影响力，压电晶体行业将积极寻求品牌联合和跨界合作的机会：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1.全球设计师合作：寻求与国际知名设计师的合作，共同推出独特的设计系列产品，提升品牌设计水平。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2.压电晶体行业创新合作：与其他压电晶体行业进行更深度的创新合作，如科技、艺术等，推出更具前瞻性的产品。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3.社交媒体平台深度合作：与社交媒体平台展开深度合作，通过社交媒体渠道推动品牌传播，提高品牌知名度和用户黏性。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(六)新型运营方式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为推动压电晶体行业的全面发展,新型运营方式将进一步塑造品牌形象和提升市场竞争力：</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1.智能化产品推广：强化智能化产品推广，通过人工智能技术提高广告的个性化和用户体验。引入语音搜索技术，使消费者可以更便捷地搜索和了解产品信息。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2.线上线下结合销售：深入挖掘线上线下结合的潜力，通过大数据分析，调整产品在不同渠道的定位，实现更精准的销售策略。引入虚拟现实(VR)和实际体验相结合的线下展示，营造独特购物氛围。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3.增值服务和个性定制：拓展增值服务范围，包括定期更新的增值服务包，为消费者提供更多专属福利。推出更多Al智能建议，根据用户的购物历史和喜好，提供个性化产品推荐。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4.绿色环保理念倡导：深化绿色环保理念，建立全球环保倡议，与其他企业合作推动产业的绿色升级。积极参与环保公益活动，提高品牌的社会责任感。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5.品牌联合和跨界合作：不断寻求创新性的品牌联合和跨界合作，与环保组织、艺术家和科技公司等展开深度合作，推动品牌更多元化的发展。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压电晶体行业将巩固其在市场上的地位，实现品牌的可持续增长和全球化发展。这不仅有助于满足消费者多元化的需求，同时也将促使企业在压电晶体行业中更具领导力和创新力。</w:t>
      </w:r>
    </w:p>
    <w:p>
      <w:pPr>
        <w:pStyle w:val="Heading2"/>
        <w:spacing w:line="480" w:lineRule="auto"/>
        <w:rPr>
          <w:rFonts w:ascii="宋体" w:eastAsia="宋体" w:hAnsi="宋体" w:cs="宋体" w:hint="eastAsia"/>
          <w:bCs w:val="0"/>
          <w:sz w:val="28"/>
          <w:szCs w:val="28"/>
          <w:lang w:eastAsia="zh-CN"/>
        </w:rPr>
      </w:pPr>
      <w:bookmarkStart w:id="16" w:name="_Toc12053"/>
      <w:r>
        <w:rPr>
          <w:rFonts w:ascii="宋体" w:eastAsia="宋体" w:hAnsi="宋体" w:cs="宋体" w:hint="eastAsia"/>
          <w:b/>
          <w:bCs w:val="0"/>
          <w:sz w:val="28"/>
          <w:szCs w:val="28"/>
          <w:lang w:eastAsia="zh-CN"/>
        </w:rPr>
        <w:t>(三)、压电晶体行业风险管理</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1.市场风险管理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市场的不确定性对压电晶体行业构成了潜在威胁。为了降低市场风险，公司将采用以下策略：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市场调研与趋势分析：定期进行全面的市场调研，深入了解客户需求和竞争态势，及时调整产品策略以适应市场变化。</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多元化产品线：提供多样化的产品线，以迎合不同客户群体的需求，减轻单一产品或市场的风险。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快速响应机制：设立灵活的生产和供应链体系，使公司能够迅速应对市场变化，保持竞争力。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2.供应链风险管理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压电晶体行业的制品涉及复杂的供应链，因此对供应链的风险进行全面管理至关重要：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供应商多元化：建立多个供应商合作关系，减少对单一供应商的依赖，降低由供应链中断引起的潜在风险。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紧急计划和备货：制定完善的紧急计划，确保公司在面临供应链问题时能够及时调整，并保持足够的备货水平。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3.技术风险管理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随着科技的快速发展，压电晶体行业需要不断创新以维持竞争优势。技术风险管理措施包括：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技术团队建设：拥有高效的技术团队，持续跟踪压电晶体行业技术发展，确保产品技术水平和生产工艺的先进性。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技术创新投资：将资金投入研发和创新，引入最新技术，提高产品的技术含量，以适应市场的技术需求。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4.品牌声誉风险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管理品牌声誉是压电晶体行业最为珍贵的资产之一。为保护品牌声誉，公司将采取以下手段：</w:t>
      </w:r>
    </w:p>
    <w:p>
      <w:pPr>
        <w:spacing w:line="480" w:lineRule="auto"/>
        <w:ind w:firstLine="420" w:firstLineChars="0"/>
        <w:rPr>
          <w:rFonts w:ascii="宋体" w:eastAsia="宋体" w:hAnsi="宋体" w:cs="宋体" w:hint="eastAsia"/>
          <w:sz w:val="24"/>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sz w:val="24"/>
          <w:szCs w:val="24"/>
          <w:lang w:eastAsia="zh-CN"/>
        </w:rPr>
        <w:t>危机管理团队：建立专业的危机管理团队，制定详尽的危机管理计划，能够在危机发生时迅速做出反应。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透明沟通机制：建立透明的沟通渠道，及时向客户和合作伙伴传递准确信息，减少虚假信息传播对品牌声誉的负面影响。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5.法律合规风险管理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压电晶体行业在国际市场运营，因此法律合规风险管理尤为关键：</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全球法务团队：组建专业的全球法务团队，及时了解并遵守各地法规，确保企业运营合法性。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合规培训：为员工提供法律合规培训，确保其在工作中能够识别和遵守相关法规。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法律风险评估：定期进行法律风险评估，以便及时应对潜在法律风险，确保公司的经营活动不受到不必要的法律纠纷。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6.金融风险管理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由于金融市场的波动，压电晶体行业可能面临着多种金融风险。为了有效管理这些风险，公司将采取以下措施：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财务管理团队：组建专业的财务管理团队，密切关注汇率、利率等金融市场变化，及时制定应对方案。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风险对冲：使用金融工具进行风险对冲，降低由于外汇波动和利率变化带来的财务风险。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灵活财务计划：制定灵活的财务计划，根据市场环境变化，调整资金结构，确保公司的资金链畅通。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7.环境和社会责任风险管理</w:t>
      </w:r>
    </w:p>
    <w:p>
      <w:pPr>
        <w:spacing w:line="480" w:lineRule="auto"/>
        <w:ind w:firstLine="420" w:firstLineChars="0"/>
        <w:rPr>
          <w:rFonts w:ascii="宋体" w:eastAsia="宋体" w:hAnsi="宋体" w:cs="宋体" w:hint="eastAsia"/>
          <w:sz w:val="24"/>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sz w:val="24"/>
          <w:szCs w:val="24"/>
          <w:lang w:eastAsia="zh-CN"/>
        </w:rPr>
        <w:t>随着社会对环境和社会责任的关注不断提高，压电晶体行业将积极管理相关风险：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环保生产实践：推行环保生产政策，选择环保材料，减少生产过程中的环境污染。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社会责任项目：推动社会责任项目，参与公益活动,回馈社会，树立积极的企业形象。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员工培训：通过员工培训，提高员工对环境保护和社会责任的认识，促进全员参与公司的环保实践。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8.人才管理风险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压电晶体行业在业务运营中依赖于高素质的人才。为了有效管理人才风险，公司将采取以下策略：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人才招聘与培训：确保拥有招聘渠道多元化，同时注重培训和发展内部人才，以满足业务的不断发展需求。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员工福利与激励：提供有竞争力的员工福利和激励计划，以留住关键人才，确保业务的连续性和稳健性。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绩效评估与晋升机制：建立科学的绩效评估和晋升机制，激发员工的潜力，提高整体团队的执行力和竞争力。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9.数据安全与隐私风险管理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随着数字化的推进，压电晶体行业在业务中处理大量敏感数据。为了保护数据安全与隐私，公司将采用以下措施：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信息安全政策：制定和实施严格的信息安全政策，确保数据在采集、传输和存储的过程中得到充分的保护。</w:t>
      </w:r>
    </w:p>
    <w:p>
      <w:pPr>
        <w:spacing w:line="480" w:lineRule="auto"/>
        <w:ind w:firstLine="420" w:firstLineChars="0"/>
        <w:rPr>
          <w:rFonts w:ascii="宋体" w:eastAsia="宋体" w:hAnsi="宋体" w:cs="宋体" w:hint="eastAsia"/>
          <w:sz w:val="24"/>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sz w:val="24"/>
          <w:szCs w:val="24"/>
          <w:lang w:eastAsia="zh-CN"/>
        </w:rPr>
        <w:t>员工培训与意识提升：向员工提供关于数据安全和隐私的培训，提高其对安全风险的认识，降低因人为因素引起的潜在风险。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技术防护措施：部署先进的技术防护手段，如加密技术和安全审计系统，以防范外部攻击和数据泄漏。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10.全球政治与地缘风险管理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压电晶体行业在国际市场运营，因此全球政治和地缘风险可能对业务产生影响。为了应对这些风险，公司将采取以下举措：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政治风险评估：定期评估全球各地的政治形势，了解可能对业务造成的政治风险，并制定相应的因应计划。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多元化市场布局：分散业务在不同地区的依赖，以降低因特定地区政治不稳定性而带来的潜在风险。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国际合作与关系建设：积极参与国际合作，建立良好的国际关系，以提高在不同地区的稳定性和可持续性。</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7" w:name="_Toc26831"/>
      <w:r>
        <w:rPr>
          <w:rFonts w:ascii="微软雅黑" w:eastAsia="微软雅黑" w:hAnsi="微软雅黑" w:cs="微软雅黑" w:hint="eastAsia"/>
          <w:color w:val="2E54A1" w:themeColor="accent1" w:themeShade="BF"/>
          <w:sz w:val="32"/>
          <w:szCs w:val="32"/>
          <w:lang w:eastAsia="zh-CN"/>
        </w:rPr>
        <w:t>四、制度运行与优化</w:t>
      </w:r>
      <w:bookmarkEnd w:id="17"/>
    </w:p>
    <w:p>
      <w:pPr>
        <w:pStyle w:val="Heading2"/>
        <w:spacing w:line="480" w:lineRule="auto"/>
        <w:rPr>
          <w:rFonts w:ascii="宋体" w:eastAsia="宋体" w:hAnsi="宋体" w:cs="宋体" w:hint="eastAsia"/>
          <w:bCs w:val="0"/>
          <w:sz w:val="28"/>
          <w:szCs w:val="28"/>
          <w:lang w:eastAsia="zh-CN"/>
        </w:rPr>
      </w:pPr>
      <w:bookmarkStart w:id="18" w:name="_Toc2159"/>
      <w:r>
        <w:rPr>
          <w:rFonts w:ascii="宋体" w:eastAsia="宋体" w:hAnsi="宋体" w:cs="宋体" w:hint="eastAsia"/>
          <w:b/>
          <w:bCs w:val="0"/>
          <w:sz w:val="28"/>
          <w:szCs w:val="28"/>
          <w:lang w:eastAsia="zh-CN"/>
        </w:rPr>
        <w:t>(一)、制度执行与监督</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翼定坚实基础。</w:t>
      </w:r>
    </w:p>
    <w:p>
      <w:pPr>
        <w:pStyle w:val="Heading2"/>
        <w:spacing w:line="480" w:lineRule="auto"/>
        <w:rPr>
          <w:rFonts w:ascii="宋体" w:eastAsia="宋体" w:hAnsi="宋体" w:cs="宋体" w:hint="eastAsia"/>
          <w:bCs w:val="0"/>
          <w:sz w:val="28"/>
          <w:szCs w:val="28"/>
          <w:lang w:eastAsia="zh-CN"/>
        </w:rPr>
      </w:pPr>
      <w:bookmarkStart w:id="19" w:name="_Toc5460"/>
      <w:r>
        <w:rPr>
          <w:rFonts w:ascii="宋体" w:eastAsia="宋体" w:hAnsi="宋体" w:cs="宋体" w:hint="eastAsia"/>
          <w:b/>
          <w:bCs w:val="0"/>
          <w:sz w:val="28"/>
          <w:szCs w:val="28"/>
          <w:lang w:eastAsia="zh-CN"/>
        </w:rPr>
        <w:t>(二)、制度优化与更新</w:t>
      </w:r>
      <w:bookmarkEnd w:id="1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压电晶体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0" w:name="_Toc29898"/>
      <w:r>
        <w:rPr>
          <w:rFonts w:ascii="微软雅黑" w:eastAsia="微软雅黑" w:hAnsi="微软雅黑" w:cs="微软雅黑" w:hint="eastAsia"/>
          <w:color w:val="2E54A1" w:themeColor="accent1" w:themeShade="BF"/>
          <w:sz w:val="32"/>
          <w:szCs w:val="32"/>
          <w:lang w:eastAsia="zh-CN"/>
        </w:rPr>
        <w:t>五、压电晶体行业选址方案分析</w:t>
      </w:r>
      <w:bookmarkEnd w:id="20"/>
    </w:p>
    <w:p>
      <w:pPr>
        <w:pStyle w:val="Heading2"/>
        <w:spacing w:line="480" w:lineRule="auto"/>
        <w:rPr>
          <w:rFonts w:ascii="宋体" w:eastAsia="宋体" w:hAnsi="宋体" w:cs="宋体" w:hint="eastAsia"/>
          <w:bCs w:val="0"/>
          <w:sz w:val="28"/>
          <w:szCs w:val="28"/>
          <w:lang w:eastAsia="zh-CN"/>
        </w:rPr>
      </w:pPr>
      <w:bookmarkStart w:id="21" w:name="_Toc10152"/>
      <w:r>
        <w:rPr>
          <w:rFonts w:ascii="宋体" w:eastAsia="宋体" w:hAnsi="宋体" w:cs="宋体" w:hint="eastAsia"/>
          <w:b/>
          <w:bCs w:val="0"/>
          <w:sz w:val="28"/>
          <w:szCs w:val="28"/>
          <w:lang w:eastAsia="zh-CN"/>
        </w:rPr>
        <w:t>(一)、压电晶体行业选址影响因素</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(一)市场需求与目标客户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首要因素之一是市场需求和目标客户的分析。了解目标客户群体的特征、消费习惯以及对产品或服务的需求，有助于确定最适合的选址地点。市场需求的研究可通过调查、市场分析和消费者行为研究等手段进行，为选址提供有力的数据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(二)交通便利度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交通便利度是影响选址的重要因素之一。选址应考虑附近交通网络的完善程度，包括道路、公共交通和停车设施等。一个交通便利的地点有助于吸引更多的顾客，提高企业的可达性，从而增加潜在客户的流量。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(三)周边竞争格局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是选址决策的关键考量之一。了解附近竞争对手的数量、类型、规模和定位，有助于评估市场的竞争强度。避免过于密集的竞争，同时找到有利于自身业务发展的市场空白区域，是选择合适选址的重要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(四)租金和成本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租金和成本是企业运营不可忽视的成本因素。在选址过程中，需要综合考虑租金水平、人工成本、税费等因素，确保选址地点的运营成本能够与预期收益相匹配。通过合理的成本控制，提高企业的盈利能力。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(五)商业环境和消费氛围</w:t>
      </w:r>
    </w:p>
    <w:p>
      <w:pPr>
        <w:spacing w:line="480" w:lineRule="auto"/>
        <w:ind w:firstLine="420" w:firstLineChars="0"/>
        <w:rPr>
          <w:rFonts w:ascii="宋体" w:eastAsia="宋体" w:hAnsi="宋体" w:cs="宋体" w:hint="eastAsia"/>
          <w:sz w:val="24"/>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商业环境和消费氛围直接影响到企业的形象和吸引力。选择位于商业繁华区域或具有良好商业氛围的地段，有助于提升品牌知名度，并吸引更多目标客户。良好的商业环境有助于形成良好的口碑和顾客忠诚度。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(六)安全与便利设施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安全性和周边便利设施也是重要的考虑因素。安全的选址有助于提高员工和顾客的安全感，同时便利设施如医疗机构、银行、公共服务设施等的存在，可提升周边环境的整体品质，对企业形象产生积极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(七)未来发展潜力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考虑选址地点的未来发展潜力是长远规划的重要组成部分。通过分析城市规划、土地利用政策、经济发展趋势等因素，选择具有未来潜力的地区，有助于确保企业在未来市场中仍然具有竞争力。综合考虑这些因素，企业能够选择更符合自身战略发展的选址地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(八)人才资源与劳动力市场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人才资源的可及性对企业的成功至关重要。选址时需要考虑周边地区的人才储备和劳动力市场情况。选择位于人才辐射区域或临近教育机构的地点，有助于吸引高素质的员工，提升企业的核心竞争力。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(九)政策环境与法规要求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了解选址地区的政策环境和法规要求是确保企业合规运营的关键。不同地区可能有不同的税收政策、压电晶体行业准入规定等，选择符合企业经营需求且政策环境较为稳定的地方,有助于降低经营风险。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(十)社会文化因素</w:t>
      </w:r>
    </w:p>
    <w:p>
      <w:pPr>
        <w:spacing w:line="480" w:lineRule="auto"/>
        <w:ind w:firstLine="420" w:firstLineChars="0"/>
        <w:rPr>
          <w:rFonts w:ascii="宋体" w:eastAsia="宋体" w:hAnsi="宋体" w:cs="宋体" w:hint="eastAsia"/>
          <w:sz w:val="24"/>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社会文化因素也是选址考虑的一部分。企业需要适应当地社会文化，确保产品或服务与当地居民的文化背景相契合，避免因文化差异而引发的经营问题。了解当地的文化氛围有助于更好地进行市场定位和推广。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(十一)环境可持续性与社会责任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越来越多的企业注重环境可持续性和社会责任,选址时也要考虑到企业的社会形象。选择符合环保标准、推崇可持续发展理念的地方，有助于提升企业的社会责任感，赢得消费者的认可和支持。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(十二)数字化基础设施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在数字化时代，充足的数字化基础设施对企业的运营至关重要。选址时需要考虑当地的网络覆盖、电子支付设施等数字化基础设施，以确保企业能够顺利进行在线业务、数据管理等方面的运营。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(十三)自然灾害和气候因素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对自然灾害和气候因素的考虑是确保企业安全稳定运营的一项重要任务。选择地理位置相对安全、不容易受到自然灾害影响的地方，有助于降低企业的经营风险。</w:t>
      </w:r>
    </w:p>
    <w:p>
      <w:pPr>
        <w:pStyle w:val="Heading2"/>
        <w:spacing w:line="480" w:lineRule="auto"/>
        <w:rPr>
          <w:rFonts w:ascii="宋体" w:eastAsia="宋体" w:hAnsi="宋体" w:cs="宋体" w:hint="eastAsia"/>
          <w:bCs w:val="0"/>
          <w:sz w:val="28"/>
          <w:szCs w:val="28"/>
          <w:lang w:eastAsia="zh-CN"/>
        </w:rPr>
      </w:pPr>
      <w:bookmarkStart w:id="22" w:name="_Toc12347"/>
      <w:r>
        <w:rPr>
          <w:rFonts w:ascii="宋体" w:eastAsia="宋体" w:hAnsi="宋体" w:cs="宋体" w:hint="eastAsia"/>
          <w:b/>
          <w:bCs w:val="0"/>
          <w:sz w:val="28"/>
          <w:szCs w:val="28"/>
          <w:lang w:eastAsia="zh-CN"/>
        </w:rPr>
        <w:t>(二)、压电晶体行业选址原则</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市场需求与目标客户分布：选址时首先要分析市场需求，确保选址地点符合目标客户的分布。选择靠近目标客户密集区域的位置，有助于提高客流量和市场份额。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交通便利度：选址地点的交通便利度直接影响客户的到访和物流的畅通。选择交通枢纽附近或交通便利的地段，有助于提高企业的可达性和运营效率。</w:t>
      </w:r>
    </w:p>
    <w:p>
      <w:pPr>
        <w:spacing w:line="480" w:lineRule="auto"/>
        <w:ind w:firstLine="420" w:firstLineChars="0"/>
        <w:rPr>
          <w:rFonts w:ascii="宋体" w:eastAsia="宋体" w:hAnsi="宋体" w:cs="宋体" w:hint="eastAsia"/>
          <w:sz w:val="24"/>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宋体" w:eastAsia="宋体" w:hAnsi="宋体" w:cs="宋体" w:hint="eastAsia"/>
          <w:sz w:val="24"/>
          <w:szCs w:val="24"/>
          <w:lang w:eastAsia="zh-CN"/>
        </w:rPr>
        <w:t>周边竞争格局：要考虑周边竞争格局，避免选择过于竞争激烈的地区，同时也要确保有一定的同业竞争，以形成良性市场竞争和相互促进的局面。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租金和成本：要合理评估租金和其他成本，确保选址地点的租金水平在企业财务承受范围内，并能够实现成本控制和盈利最大化。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商业环境和消费氛围：考虑选址地点的商业环境和消费氛围，选择适合企业业态和文化的地区，以吸引更多目标客户，并提升品牌形象。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安全与便利设施：考虑选址地点的安全性，选择相对安全的地段，有助于提高员工和客户的安全感。同时，周边设施的完善也是一个考虑因素，例如医疗、教育、购物等。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未来发展潜力：评估选址地点的未来发展潜力，选择具有良好发展前景的地区，以确保企业在长期内能够持续发展。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人才资源与劳动力市场：考虑周边地区的人才资源和劳动力市场情况，选择有利于吸引和保留高素质员工的地点，以提升企业的竞争力。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政策环境与法规要求：了解选址地区的政策环境和法规要求，选择符合企业经营需求且政策环境较为稳定的地方,有助于降低经营风险。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社会文化因素：适应当地社会文化，确保产品或服务与当地居民的文化背景相契合，避免因文化差异而引发的经营问题。</w:t>
      </w:r>
    </w:p>
    <w:p>
      <w:pPr>
        <w:pStyle w:val="Heading2"/>
        <w:spacing w:line="480" w:lineRule="auto"/>
        <w:rPr>
          <w:rFonts w:ascii="宋体" w:eastAsia="宋体" w:hAnsi="宋体" w:cs="宋体" w:hint="eastAsia"/>
          <w:bCs w:val="0"/>
          <w:sz w:val="28"/>
          <w:szCs w:val="28"/>
          <w:lang w:eastAsia="zh-CN"/>
        </w:rPr>
      </w:pPr>
      <w:bookmarkStart w:id="23" w:name="_Toc13351"/>
      <w:r>
        <w:rPr>
          <w:rFonts w:ascii="宋体" w:eastAsia="宋体" w:hAnsi="宋体" w:cs="宋体" w:hint="eastAsia"/>
          <w:b/>
          <w:bCs w:val="0"/>
          <w:sz w:val="28"/>
          <w:szCs w:val="28"/>
          <w:lang w:eastAsia="zh-CN"/>
        </w:rPr>
        <w:t>(三)、消费习惯对压电晶体行业选址的影响</w:t>
      </w:r>
      <w:bookmarkEnd w:id="2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消费习惯是影响企业选址决策的重要因素之一。了解并考虑当地居民的消费习惯，可以帮助企业更好地满足目标客户的需求，提高业绩。下面是消费习惯对压电晶体行业选址的影响的具体方面：</w:t>
      </w:r>
    </w:p>
    <w:p>
      <w:pPr>
        <w:spacing w:line="480" w:lineRule="auto"/>
        <w:ind w:firstLine="420" w:firstLineChars="0"/>
        <w:rPr>
          <w:rFonts w:ascii="宋体" w:eastAsia="宋体" w:hAnsi="宋体" w:cs="宋体" w:hint="eastAsia"/>
          <w:sz w:val="24"/>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购物频率和时间：考虑居民的购物频率和时间，选择在他们习惯购物的时间段和地点设立压电晶体行业，以提高客流量。例如，在繁忙的商业区或购物中心附近设立，以吸引白天或周末购物的居民。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消费水平：消费水平直接关系到企业在该地区的价格定位和产品策略。在高消费水平地区，可以考虑提供高端产品或服务；而在中低消费水平地区，可以选择更亲民的价格和产品。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消费偏好：了解居民的消费偏好，包括对品牌、风格、口味的偏好等，有助于企业更精准地定位自己的产品或服务，满足潜在客户的需求。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线上线下购物倾向：随着电商的兴起，考虑居民的线上线下购物倾向。在线上购物偏好的区域，可以通过线上渠道拓展销售；在线下购物习惯较为浓厚的区域，则更适合实体店面。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社交消费习惯：了解当地居民的社交消费习惯，包括是否喜欢与他人一起购物或参与社交活动。选择能够满足社交需求的位置，有助于提高店铺的吸引力。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特殊节假日消费：考虑当地居民在特殊节假日或重要传统节庆期间的消费特点。在这些时段推出相关促销或活动,有助于提高店铺的知名度和销售额。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健康与环保意识：若当地居民注重健康和环保，可以考虑提供符合这些价值观的产品或服务，以迎合他们的消费趋势。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文化消费需求：考虑当地居民对文化活动和体验式消费的兴趣，选择在文化氛围浓厚的地区设立压电晶体行业,以吸引相关文化活动的参与者。</w:t>
      </w:r>
    </w:p>
    <w:p>
      <w:pPr>
        <w:pStyle w:val="Heading2"/>
        <w:spacing w:line="480" w:lineRule="auto"/>
        <w:rPr>
          <w:rFonts w:ascii="宋体" w:eastAsia="宋体" w:hAnsi="宋体" w:cs="宋体" w:hint="eastAsia"/>
          <w:bCs w:val="0"/>
          <w:sz w:val="28"/>
          <w:szCs w:val="28"/>
          <w:lang w:eastAsia="zh-CN"/>
        </w:rPr>
      </w:pPr>
      <w:bookmarkStart w:id="24" w:name="_Toc3048"/>
      <w:r>
        <w:rPr>
          <w:rFonts w:ascii="宋体" w:eastAsia="宋体" w:hAnsi="宋体" w:cs="宋体" w:hint="eastAsia"/>
          <w:b/>
          <w:bCs w:val="0"/>
          <w:sz w:val="28"/>
          <w:szCs w:val="28"/>
          <w:lang w:eastAsia="zh-CN"/>
        </w:rPr>
        <w:t>(四)、消费能力对压电晶体行业选址的影响</w:t>
      </w:r>
      <w:bookmarkEnd w:id="2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https://d.book118.com/776223233011010034</w:t>
        </w:r>
      </w:hyperlink>
    </w:p>
    <w:p>
      <w:pPr>
        <w:spacing w:line="480" w:lineRule="auto"/>
        <w:ind w:firstLine="420" w:firstLineChars="0"/>
        <w:rPr>
          <w:rFonts w:ascii="宋体" w:eastAsia="宋体" w:hAnsi="宋体" w:cs="宋体" w:hint="eastAsia"/>
          <w:sz w:val="24"/>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6FA62E3F"/>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7622323301101003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2024-01-13T11:46:48Z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