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  <w:sz w:val="24"/>
        </w:rPr>
      </w:pPr>
    </w:p>
    <w:p>
      <w:pPr>
        <w:spacing w:before="60"/>
        <w:ind w:left="0" w:right="8333" w:firstLine="0"/>
        <w:jc w:val="right"/>
        <w:rPr>
          <w:rFonts w:ascii="黑体" w:eastAsia="黑体" w:hint="eastAsia"/>
          <w:b/>
          <w:sz w:val="29"/>
        </w:rPr>
      </w:pPr>
      <w:r>
        <w:rPr>
          <w:rFonts w:ascii="黑体" w:eastAsia="黑体" w:hint="eastAsia"/>
          <w:b/>
          <w:w w:val="95"/>
          <w:sz w:val="29"/>
        </w:rPr>
        <w:t>菜籽油工程</w:t>
      </w: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spacing w:before="10"/>
        <w:rPr>
          <w:rFonts w:ascii="黑体"/>
          <w:b/>
          <w:sz w:val="36"/>
        </w:rPr>
      </w:pPr>
    </w:p>
    <w:p>
      <w:pPr>
        <w:spacing w:before="1"/>
        <w:ind w:left="0" w:right="8382" w:firstLine="0"/>
        <w:jc w:val="right"/>
        <w:rPr>
          <w:rFonts w:ascii="黑体" w:eastAsia="黑体" w:hint="eastAsia"/>
          <w:b/>
          <w:sz w:val="29"/>
        </w:rPr>
      </w:pPr>
      <w:r>
        <w:rPr>
          <w:rFonts w:ascii="黑体" w:eastAsia="黑体" w:hint="eastAsia"/>
          <w:b/>
          <w:w w:val="95"/>
          <w:sz w:val="29"/>
        </w:rPr>
        <w:t>筹划方案</w:t>
      </w: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spacing w:before="9"/>
        <w:rPr>
          <w:rFonts w:ascii="黑体"/>
          <w:b/>
          <w:sz w:val="22"/>
        </w:rPr>
      </w:pPr>
    </w:p>
    <w:p>
      <w:pPr>
        <w:pStyle w:val="Heading2"/>
        <w:ind w:left="4286" w:right="4607"/>
        <w:jc w:val="center"/>
        <w:rPr>
          <w:rFonts w:ascii="黑体" w:eastAsia="黑体" w:hint="eastAsia"/>
        </w:rPr>
      </w:pPr>
      <w:r>
        <w:rPr>
          <w:rFonts w:ascii="黑体" w:eastAsia="黑体" w:hint="eastAsia"/>
          <w:spacing w:val="2"/>
          <w:w w:val="95"/>
        </w:rPr>
        <w:t>规划设计</w:t>
      </w:r>
      <w:r>
        <w:rPr>
          <w:rFonts w:ascii="黑体" w:eastAsia="黑体" w:hint="eastAsia"/>
          <w:w w:val="95"/>
        </w:rPr>
        <w:t>/投资方案/产业运营</w:t>
      </w:r>
    </w:p>
    <w:p>
      <w:pPr>
        <w:spacing w:after="0"/>
        <w:jc w:val="center"/>
        <w:rPr>
          <w:rFonts w:ascii="黑体" w:eastAsia="黑体" w:hint="eastAsia"/>
        </w:rPr>
        <w:sectPr>
          <w:type w:val="continuous"/>
          <w:pgSz w:w="18360" w:h="23760"/>
          <w:pgMar w:top="2300" w:right="1200" w:bottom="280" w:left="1520" w:header="708" w:footer="708"/>
          <w:cols w:space="708"/>
        </w:sectPr>
      </w:pPr>
    </w:p>
    <w:p>
      <w:pPr>
        <w:pStyle w:val="BodyText"/>
        <w:spacing w:before="17"/>
        <w:ind w:left="4286" w:right="4600"/>
        <w:jc w:val="center"/>
        <w:rPr>
          <w:rFonts w:ascii="幼圆" w:eastAsia="幼圆" w:hint="eastAsia"/>
        </w:rPr>
      </w:pPr>
      <w:r>
        <w:rPr>
          <w:rFonts w:ascii="幼圆" w:eastAsia="幼圆" w:hint="eastAsia"/>
        </w:rPr>
        <w:t>摘要</w:t>
      </w:r>
    </w:p>
    <w:p>
      <w:pPr>
        <w:pStyle w:val="BodyText"/>
        <w:spacing w:before="11"/>
        <w:rPr>
          <w:rFonts w:ascii="幼圆"/>
          <w:sz w:val="30"/>
        </w:rPr>
      </w:pPr>
    </w:p>
    <w:p>
      <w:pPr>
        <w:pStyle w:val="BodyText"/>
        <w:spacing w:line="405" w:lineRule="auto"/>
        <w:ind w:left="280" w:right="614" w:firstLine="900"/>
      </w:pPr>
      <w:r>
        <w:rPr>
          <w:spacing w:val="-11"/>
        </w:rPr>
        <w:t xml:space="preserve">该菜籽油工程打算总投资 </w:t>
      </w:r>
      <w:r>
        <w:rPr>
          <w:spacing w:val="-1"/>
        </w:rPr>
        <w:t>3768.73</w:t>
      </w:r>
      <w:r>
        <w:rPr>
          <w:spacing w:val="-19"/>
        </w:rPr>
        <w:t xml:space="preserve"> 万元，其中：固定资产投资 </w:t>
      </w:r>
      <w:r>
        <w:t>2848.08</w:t>
      </w:r>
      <w:r>
        <w:rPr>
          <w:spacing w:val="-222"/>
        </w:rPr>
        <w:t xml:space="preserve"> </w:t>
      </w:r>
      <w:r>
        <w:rPr>
          <w:spacing w:val="-11"/>
        </w:rPr>
        <w:t xml:space="preserve">万元，占工程总投资的 </w:t>
      </w:r>
      <w:r>
        <w:t>75.57</w:t>
      </w:r>
      <w:r>
        <w:rPr>
          <w:spacing w:val="-16"/>
        </w:rPr>
        <w:t xml:space="preserve">%；流淌资金 </w:t>
      </w:r>
      <w:r>
        <w:t>920.65</w:t>
      </w:r>
      <w:r>
        <w:rPr>
          <w:spacing w:val="-13"/>
        </w:rPr>
        <w:t xml:space="preserve"> 万元，占工程总投资的</w:t>
      </w:r>
      <w:r>
        <w:t>24.43%。</w:t>
      </w:r>
    </w:p>
    <w:p>
      <w:pPr>
        <w:pStyle w:val="BodyText"/>
        <w:spacing w:line="405" w:lineRule="auto"/>
        <w:ind w:left="280" w:right="957" w:firstLine="900"/>
      </w:pPr>
      <w:r>
        <w:rPr>
          <w:spacing w:val="-15"/>
        </w:rPr>
        <w:t xml:space="preserve">达产年营业收入 </w:t>
      </w:r>
      <w:r>
        <w:rPr>
          <w:spacing w:val="-1"/>
        </w:rPr>
        <w:t>7126.00</w:t>
      </w:r>
      <w:r>
        <w:rPr>
          <w:spacing w:val="-25"/>
        </w:rPr>
        <w:t xml:space="preserve"> 万元，总本钱费用 </w:t>
      </w:r>
      <w:r>
        <w:t>5660.72</w:t>
      </w:r>
      <w:r>
        <w:rPr>
          <w:spacing w:val="-16"/>
        </w:rPr>
        <w:t xml:space="preserve"> 万元，税金及附</w:t>
      </w:r>
      <w:r>
        <w:rPr>
          <w:spacing w:val="6"/>
          <w:w w:val="95"/>
        </w:rPr>
        <w:t xml:space="preserve">加 </w:t>
      </w:r>
      <w:r>
        <w:rPr>
          <w:w w:val="95"/>
        </w:rPr>
        <w:t>64.46</w:t>
      </w:r>
      <w:r>
        <w:rPr>
          <w:spacing w:val="1"/>
          <w:w w:val="95"/>
        </w:rPr>
        <w:t xml:space="preserve"> 万元，利润总额 </w:t>
      </w:r>
      <w:r>
        <w:rPr>
          <w:w w:val="95"/>
        </w:rPr>
        <w:t>1465.28</w:t>
      </w:r>
      <w:r>
        <w:rPr>
          <w:spacing w:val="1"/>
          <w:w w:val="95"/>
        </w:rPr>
        <w:t xml:space="preserve"> 万元，利税总额 </w:t>
      </w:r>
      <w:r>
        <w:rPr>
          <w:w w:val="95"/>
        </w:rPr>
        <w:t>1731.85 万元，税后净</w:t>
      </w:r>
      <w:r>
        <w:rPr>
          <w:spacing w:val="-37"/>
        </w:rPr>
        <w:t xml:space="preserve">利润 </w:t>
      </w:r>
      <w:r>
        <w:t>1098.96</w:t>
      </w:r>
      <w:r>
        <w:rPr>
          <w:spacing w:val="-21"/>
        </w:rPr>
        <w:t xml:space="preserve"> 万元，达产年纳税总额 </w:t>
      </w:r>
      <w:r>
        <w:t>632.89</w:t>
      </w:r>
      <w:r>
        <w:rPr>
          <w:spacing w:val="-12"/>
        </w:rPr>
        <w:t xml:space="preserve"> 万元；达产年投资利润率</w:t>
      </w:r>
      <w:r>
        <w:rPr>
          <w:spacing w:val="-1"/>
        </w:rPr>
        <w:t>38.88%，</w:t>
      </w:r>
      <w:r>
        <w:rPr>
          <w:spacing w:val="-19"/>
        </w:rPr>
        <w:t xml:space="preserve">投资利税率 </w:t>
      </w:r>
      <w:r>
        <w:t>45.95</w:t>
      </w:r>
      <w:r>
        <w:rPr>
          <w:spacing w:val="-14"/>
        </w:rPr>
        <w:t xml:space="preserve">%，投资回报率 </w:t>
      </w:r>
      <w:r>
        <w:t>29.16%，全部投资回收期 4.93</w:t>
      </w:r>
      <w:r>
        <w:rPr>
          <w:spacing w:val="-222"/>
        </w:rPr>
        <w:t xml:space="preserve"> </w:t>
      </w:r>
      <w:r>
        <w:rPr>
          <w:spacing w:val="-13"/>
        </w:rPr>
        <w:t xml:space="preserve">年，供给就业职位 </w:t>
      </w:r>
      <w:r>
        <w:t>100</w:t>
      </w:r>
      <w:r>
        <w:rPr>
          <w:spacing w:val="-39"/>
        </w:rPr>
        <w:t xml:space="preserve"> 个。</w:t>
      </w:r>
    </w:p>
    <w:p>
      <w:pPr>
        <w:pStyle w:val="BodyText"/>
        <w:spacing w:line="405" w:lineRule="auto"/>
        <w:ind w:left="280" w:right="957" w:firstLine="900"/>
        <w:jc w:val="both"/>
      </w:pPr>
      <w:r>
        <w:rPr>
          <w:spacing w:val="-1"/>
        </w:rPr>
        <w:t>努力做到合理布局的原则：力求做到功能分区明确、生产流程顺畅、交通组织合理，环境保护良好，空间处理协调，厂容厂貌干净，有利于生</w:t>
      </w:r>
      <w:r>
        <w:t>产治理和工程分区建设。</w:t>
      </w:r>
    </w:p>
    <w:p>
      <w:pPr>
        <w:pStyle w:val="BodyText"/>
        <w:spacing w:line="405" w:lineRule="auto"/>
        <w:ind w:left="280" w:right="509" w:firstLine="900"/>
      </w:pPr>
      <w:r>
        <w:t>菜籽油俗称菜油，又叫油菜籽油、香菜油、芸苔油、香油、芥花油，</w:t>
      </w:r>
      <w:r>
        <w:rPr>
          <w:spacing w:val="1"/>
        </w:rPr>
        <w:t xml:space="preserve"> </w:t>
      </w:r>
      <w:r>
        <w:rPr>
          <w:spacing w:val="-1"/>
        </w:rPr>
        <w:t>是用油菜籽榨出来的一种食用油。近年来，全球菜籽油产量保持平稳进展。2023</w:t>
      </w:r>
      <w:r>
        <w:rPr>
          <w:spacing w:val="-23"/>
        </w:rPr>
        <w:t xml:space="preserve"> 年全球菜籽油产量为 </w:t>
      </w:r>
      <w:r>
        <w:t>2786</w:t>
      </w:r>
      <w:r>
        <w:rPr>
          <w:spacing w:val="-27"/>
        </w:rPr>
        <w:t xml:space="preserve"> 万吨，同比增长 </w:t>
      </w:r>
      <w:r>
        <w:t>1.16%，增速到达近五年来最大值。2023</w:t>
      </w:r>
      <w:r>
        <w:rPr>
          <w:spacing w:val="-12"/>
        </w:rPr>
        <w:t xml:space="preserve"> 年全球菜籽油产量略有增长，增速放缓。据推测，</w:t>
      </w:r>
      <w:r>
        <w:t>2023</w:t>
      </w:r>
      <w:r>
        <w:rPr>
          <w:spacing w:val="-39"/>
        </w:rPr>
        <w:t xml:space="preserve"> 年全</w:t>
      </w:r>
      <w:r>
        <w:rPr>
          <w:spacing w:val="-12"/>
        </w:rPr>
        <w:t xml:space="preserve">球菜籽油产量将突破 </w:t>
      </w:r>
      <w:r>
        <w:t>2800</w:t>
      </w:r>
      <w:r>
        <w:rPr>
          <w:spacing w:val="-27"/>
        </w:rPr>
        <w:t xml:space="preserve"> 万吨，增速约为 </w:t>
      </w:r>
      <w:r>
        <w:t>0.2%。</w:t>
      </w:r>
    </w:p>
    <w:p>
      <w:pPr>
        <w:pStyle w:val="BodyText"/>
        <w:spacing w:line="405" w:lineRule="auto"/>
        <w:ind w:left="280" w:right="957" w:firstLine="900"/>
      </w:pPr>
      <w:r>
        <w:rPr>
          <w:spacing w:val="-1"/>
        </w:rPr>
        <w:t>报告主要内容：概况、投资背景和必要性分析、工程市场空间分析、工程方案分析、选址方案评估、土建工程设计、工程工艺说明、工程环保</w:t>
      </w:r>
    </w:p>
    <w:p>
      <w:pPr>
        <w:spacing w:after="0" w:line="405" w:lineRule="auto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https://d.book118.com/777006152123006025</w:t>
        </w:r>
      </w:hyperlink>
    </w:p>
    <w:p>
      <w:pPr>
        <w:spacing w:after="0" w:line="405" w:lineRule="auto"/>
      </w:pPr>
    </w:p>
    <w:sectPr>
      <w:pgSz w:w="18360" w:h="23760"/>
      <w:pgMar w:top="2300" w:right="1200" w:bottom="280" w:left="1520" w:header="708" w:footer="708"/>
      <w:pgNumType w:start="2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  <w:font w:name="黑体">
    <w:altName w:val="黑体"/>
    <w:charset w:val="86"/>
    <w:family w:val="modern"/>
    <w:pitch w:val="fixed"/>
    <w:sig w:usb0="00000000" w:usb1="00000000" w:usb2="00000000" w:usb3="00000000" w:csb0="0004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仿宋" w:eastAsia="仿宋" w:hAnsi="仿宋" w:cs="仿宋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仿宋" w:eastAsia="仿宋" w:hAnsi="仿宋" w:cs="仿宋"/>
      <w:sz w:val="45"/>
      <w:szCs w:val="45"/>
    </w:rPr>
  </w:style>
  <w:style w:type="paragraph" w:customStyle="1" w:styleId="Heading1">
    <w:name w:val="Heading 1"/>
    <w:basedOn w:val="Normal"/>
    <w:uiPriority w:val="1"/>
    <w:qFormat/>
    <w:pPr>
      <w:ind w:left="1180"/>
      <w:outlineLvl w:val="1"/>
    </w:pPr>
    <w:rPr>
      <w:rFonts w:ascii="黑体" w:eastAsia="黑体" w:hAnsi="黑体" w:cs="黑体"/>
      <w:b/>
      <w:bCs/>
      <w:sz w:val="48"/>
      <w:szCs w:val="48"/>
    </w:rPr>
  </w:style>
  <w:style w:type="paragraph" w:customStyle="1" w:styleId="Heading2">
    <w:name w:val="Heading 2"/>
    <w:basedOn w:val="Normal"/>
    <w:uiPriority w:val="1"/>
    <w:qFormat/>
    <w:pPr>
      <w:ind w:left="1180"/>
      <w:outlineLvl w:val="2"/>
    </w:pPr>
    <w:rPr>
      <w:rFonts w:ascii="仿宋" w:eastAsia="仿宋" w:hAnsi="仿宋" w:cs="仿宋"/>
      <w:b/>
      <w:bCs/>
      <w:sz w:val="45"/>
      <w:szCs w:val="4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50"/>
    </w:pPr>
    <w:rPr>
      <w:rFonts w:ascii="仿宋" w:eastAsia="仿宋" w:hAnsi="仿宋" w:cs="仿宋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777006152123006025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2023-10-17T12:25:09Z</dcterms:created>
  <dcterms:modified xsi:type="dcterms:W3CDTF">2023-10-17T12:25:09Z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2023-01-06T00:00:00Z</vt:filetime>
  </property>
  <property fmtid="{D5CDD505-2E9C-101B-9397-08002B2CF9AE}" pid="3" name="LastSaved">
    <vt:filetime>2023-10-17T00:00:00Z</vt:filetime>
  </property>
</Properties>
</file>