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55"/>
        <w:ind w:left="1074" w:right="1096" w:firstLine="0"/>
        <w:jc w:val="center"/>
        <w:rPr>
          <w:rFonts w:ascii="微软雅黑" w:eastAsia="微软雅黑" w:hint="eastAsia"/>
          <w:sz w:val="72"/>
        </w:rPr>
      </w:pPr>
      <w:bookmarkStart w:id="0" w:name="建设项目环境影响报告表"/>
      <w:bookmarkEnd w:id="0"/>
      <w:r>
        <w:rPr>
          <w:rFonts w:ascii="微软雅黑" w:eastAsia="微软雅黑" w:hint="eastAsia"/>
          <w:sz w:val="72"/>
        </w:rPr>
        <w:t>建设项目环境影响报告表</w:t>
      </w:r>
    </w:p>
    <w:p>
      <w:pPr>
        <w:spacing w:before="149"/>
        <w:ind w:left="1074" w:right="1096" w:firstLine="0"/>
        <w:jc w:val="center"/>
        <w:rPr>
          <w:rFonts w:ascii="楷体" w:eastAsia="楷体" w:hint="eastAsia"/>
          <w:sz w:val="48"/>
        </w:rPr>
      </w:pPr>
      <w:r>
        <w:rPr>
          <w:rFonts w:ascii="楷体" w:eastAsia="楷体" w:hint="eastAsia"/>
          <w:sz w:val="48"/>
        </w:rPr>
        <w:t>（污染影响类）</w:t>
      </w:r>
    </w:p>
    <w:p>
      <w:pPr>
        <w:pStyle w:val="BodyText"/>
        <w:rPr>
          <w:rFonts w:ascii="楷体"/>
          <w:sz w:val="48"/>
        </w:rPr>
      </w:pPr>
    </w:p>
    <w:p>
      <w:pPr>
        <w:pStyle w:val="BodyText"/>
        <w:rPr>
          <w:rFonts w:ascii="楷体"/>
          <w:sz w:val="48"/>
        </w:rPr>
      </w:pPr>
    </w:p>
    <w:p>
      <w:pPr>
        <w:pStyle w:val="BodyText"/>
        <w:rPr>
          <w:rFonts w:ascii="楷体"/>
          <w:sz w:val="48"/>
        </w:rPr>
      </w:pPr>
    </w:p>
    <w:p>
      <w:pPr>
        <w:pStyle w:val="BodyText"/>
        <w:rPr>
          <w:rFonts w:ascii="楷体"/>
          <w:sz w:val="48"/>
        </w:rPr>
      </w:pPr>
    </w:p>
    <w:p>
      <w:pPr>
        <w:pStyle w:val="BodyText"/>
        <w:spacing w:before="6"/>
        <w:rPr>
          <w:rFonts w:ascii="楷体"/>
          <w:sz w:val="53"/>
        </w:rPr>
      </w:pPr>
    </w:p>
    <w:p>
      <w:pPr>
        <w:pStyle w:val="Heading2"/>
        <w:tabs>
          <w:tab w:val="left" w:pos="3748"/>
          <w:tab w:val="left" w:pos="4951"/>
          <w:tab w:val="left" w:pos="8228"/>
        </w:tabs>
        <w:spacing w:line="364" w:lineRule="auto"/>
        <w:ind w:left="1271" w:right="855" w:firstLine="76"/>
      </w:pPr>
      <w:r>
        <w:pict>
          <v:line id="_x0000_s1026" o:spid="_x0000_s1025" style="mso-height-relative:page;mso-position-horizontal-relative:page;mso-width-relative:page;position:absolute;z-index:-251658240" from="188.5pt,80.35pt" to="496.55pt,80.35pt" coordsize="21600,21600" stroked="t" strokecolor="black"/>
        </w:pict>
      </w:r>
      <w:r>
        <w:t>项目名称：</w:t>
      </w:r>
      <w:r>
        <w:rPr>
          <w:u w:val="single"/>
        </w:rPr>
        <w:t xml:space="preserve"> </w:t>
      </w:r>
      <w:r>
        <w:rPr>
          <w:u w:val="single"/>
        </w:rPr>
        <w:tab/>
      </w:r>
      <w:r>
        <w:rPr>
          <w:u w:val="single"/>
        </w:rPr>
        <w:t>年处理</w:t>
      </w:r>
      <w:r>
        <w:rPr>
          <w:spacing w:val="-83"/>
          <w:u w:val="single"/>
        </w:rPr>
        <w:t xml:space="preserve"> </w:t>
      </w:r>
      <w:r>
        <w:rPr>
          <w:rFonts w:ascii="Times New Roman" w:eastAsia="Times New Roman"/>
          <w:u w:val="single"/>
        </w:rPr>
        <w:t>10</w:t>
      </w:r>
      <w:r>
        <w:rPr>
          <w:rFonts w:ascii="Times New Roman" w:eastAsia="Times New Roman"/>
          <w:spacing w:val="-2"/>
          <w:u w:val="single"/>
        </w:rPr>
        <w:t xml:space="preserve"> </w:t>
      </w:r>
      <w:r>
        <w:rPr>
          <w:u w:val="single"/>
        </w:rPr>
        <w:t>万吨金属件项目</w:t>
      </w:r>
      <w:r>
        <w:rPr>
          <w:u w:val="single"/>
        </w:rPr>
        <w:tab/>
      </w:r>
      <w:r>
        <w:rPr>
          <w:w w:val="99"/>
        </w:rPr>
        <w:t xml:space="preserve">     </w:t>
      </w:r>
      <w:r>
        <w:t>建设单位（盖章）：</w:t>
      </w:r>
      <w:r>
        <w:rPr>
          <w:spacing w:val="-6"/>
          <w:u w:val="single"/>
        </w:rPr>
        <w:t xml:space="preserve"> </w:t>
      </w:r>
      <w:r>
        <w:rPr>
          <w:u w:val="single"/>
        </w:rPr>
        <w:t>宁津县光影金属表面处理有限公司</w:t>
      </w:r>
      <w:r>
        <w:t>编制日期：</w:t>
      </w:r>
      <w:r>
        <w:tab/>
      </w:r>
      <w:r>
        <w:tab/>
      </w:r>
      <w:r>
        <w:rPr>
          <w:rFonts w:ascii="Times New Roman" w:eastAsia="Times New Roman"/>
        </w:rPr>
        <w:t xml:space="preserve">2023 </w:t>
      </w:r>
      <w:r>
        <w:t>年</w:t>
      </w:r>
      <w:r>
        <w:rPr>
          <w:spacing w:val="-82"/>
        </w:rPr>
        <w:t xml:space="preserve"> </w:t>
      </w:r>
      <w:r>
        <w:rPr>
          <w:rFonts w:ascii="Times New Roman" w:eastAsia="Times New Roman"/>
        </w:rPr>
        <w:t xml:space="preserve">12 </w:t>
      </w:r>
      <w:r>
        <w:t>月</w:t>
      </w: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spacing w:before="189"/>
        <w:ind w:left="1074" w:right="1096" w:firstLine="0"/>
        <w:jc w:val="center"/>
        <w:rPr>
          <w:rFonts w:ascii="楷体"/>
          <w:sz w:val="20"/>
        </w:rPr>
      </w:pPr>
      <w:r>
        <w:rPr>
          <w:rFonts w:ascii="楷体" w:eastAsia="楷体" w:hint="eastAsia"/>
          <w:sz w:val="36"/>
        </w:rPr>
        <w:t>中华人民共和国生态环境部制</w:t>
      </w: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spacing w:before="233"/>
        <w:ind w:left="0" w:right="649" w:firstLine="0"/>
        <w:jc w:val="right"/>
        <w:rPr>
          <w:sz w:val="28"/>
        </w:rPr>
      </w:pPr>
      <w:r>
        <w:rPr>
          <w:sz w:val="28"/>
        </w:rPr>
        <w:t xml:space="preserve">— </w:t>
      </w:r>
      <w:r>
        <w:rPr>
          <w:sz w:val="26"/>
        </w:rPr>
        <w:t xml:space="preserve">1 </w:t>
      </w:r>
      <w:r>
        <w:rPr>
          <w:sz w:val="28"/>
        </w:rPr>
        <w:t>—</w:t>
      </w:r>
    </w:p>
    <w:p>
      <w:pPr>
        <w:spacing w:after="0"/>
        <w:jc w:val="right"/>
        <w:rPr>
          <w:sz w:val="28"/>
        </w:rPr>
        <w:sectPr>
          <w:type w:val="continuous"/>
          <w:pgSz w:w="11910" w:h="16840"/>
          <w:pgMar w:top="1580" w:right="879" w:bottom="280" w:left="900" w:header="720" w:footer="720" w:gutter="0"/>
          <w:cols w:num="1" w:space="720"/>
        </w:sectPr>
      </w:pPr>
    </w:p>
    <w:p>
      <w:pPr>
        <w:pStyle w:val="BodyText"/>
        <w:rPr>
          <w:sz w:val="20"/>
        </w:rPr>
      </w:pPr>
    </w:p>
    <w:p>
      <w:pPr>
        <w:pStyle w:val="BodyText"/>
        <w:rPr>
          <w:sz w:val="20"/>
        </w:rPr>
      </w:pPr>
    </w:p>
    <w:p>
      <w:pPr>
        <w:pStyle w:val="Heading3"/>
      </w:pPr>
      <w:r>
        <w:t>一、建设项目基本情况</w:t>
      </w:r>
    </w:p>
    <w:p>
      <w:pPr>
        <w:pStyle w:val="BodyText"/>
        <w:spacing w:before="1"/>
        <w:rPr>
          <w:rFonts w:ascii="黑体"/>
          <w:sz w:val="6"/>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885"/>
        <w:gridCol w:w="2466"/>
        <w:gridCol w:w="2194"/>
        <w:gridCol w:w="2769"/>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75"/>
        </w:trPr>
        <w:tc>
          <w:tcPr>
            <w:tcW w:w="1885" w:type="dxa"/>
            <w:tcBorders>
              <w:bottom w:val="single" w:sz="4" w:space="0" w:color="000000"/>
              <w:right w:val="single" w:sz="4" w:space="0" w:color="000000"/>
            </w:tcBorders>
          </w:tcPr>
          <w:p>
            <w:pPr>
              <w:pStyle w:val="TableParagraph"/>
              <w:spacing w:before="141"/>
              <w:ind w:left="80" w:right="70"/>
              <w:jc w:val="center"/>
              <w:rPr>
                <w:sz w:val="24"/>
              </w:rPr>
            </w:pPr>
            <w:r>
              <w:rPr>
                <w:sz w:val="24"/>
              </w:rPr>
              <w:t>建设项目名称</w:t>
            </w:r>
          </w:p>
        </w:tc>
        <w:tc>
          <w:tcPr>
            <w:tcW w:w="7429" w:type="dxa"/>
            <w:gridSpan w:val="3"/>
            <w:tcBorders>
              <w:left w:val="single" w:sz="4" w:space="0" w:color="000000"/>
              <w:bottom w:val="single" w:sz="4" w:space="0" w:color="000000"/>
            </w:tcBorders>
          </w:tcPr>
          <w:p>
            <w:pPr>
              <w:pStyle w:val="TableParagraph"/>
              <w:spacing w:before="141"/>
              <w:ind w:left="996" w:right="978"/>
              <w:jc w:val="center"/>
              <w:rPr>
                <w:sz w:val="24"/>
              </w:rPr>
            </w:pPr>
            <w:r>
              <w:rPr>
                <w:sz w:val="24"/>
              </w:rPr>
              <w:t xml:space="preserve">年处理 </w:t>
            </w:r>
            <w:r>
              <w:rPr>
                <w:rFonts w:ascii="Times New Roman" w:eastAsia="Times New Roman"/>
                <w:sz w:val="24"/>
              </w:rPr>
              <w:t xml:space="preserve">10 </w:t>
            </w:r>
            <w:r>
              <w:rPr>
                <w:sz w:val="24"/>
              </w:rPr>
              <w:t>万吨金属件项目</w:t>
            </w:r>
          </w:p>
        </w:tc>
      </w:tr>
      <w:tr>
        <w:tblPrEx>
          <w:tblW w:w="0" w:type="auto"/>
          <w:tblInd w:w="406" w:type="dxa"/>
          <w:tblLayout w:type="fixed"/>
          <w:tblCellMar>
            <w:top w:w="0" w:type="dxa"/>
            <w:left w:w="0" w:type="dxa"/>
            <w:bottom w:w="0" w:type="dxa"/>
            <w:right w:w="0" w:type="dxa"/>
          </w:tblCellMar>
        </w:tblPrEx>
        <w:trPr>
          <w:trHeight w:val="600"/>
        </w:trPr>
        <w:tc>
          <w:tcPr>
            <w:tcW w:w="1885" w:type="dxa"/>
            <w:tcBorders>
              <w:top w:val="single" w:sz="4" w:space="0" w:color="000000"/>
              <w:bottom w:val="single" w:sz="4" w:space="0" w:color="000000"/>
              <w:right w:val="single" w:sz="4" w:space="0" w:color="000000"/>
            </w:tcBorders>
          </w:tcPr>
          <w:p>
            <w:pPr>
              <w:pStyle w:val="TableParagraph"/>
              <w:spacing w:before="153"/>
              <w:ind w:left="80" w:right="70"/>
              <w:jc w:val="center"/>
              <w:rPr>
                <w:sz w:val="24"/>
              </w:rPr>
            </w:pPr>
            <w:r>
              <w:rPr>
                <w:sz w:val="24"/>
              </w:rPr>
              <w:t>项目代码</w:t>
            </w:r>
          </w:p>
        </w:tc>
        <w:tc>
          <w:tcPr>
            <w:tcW w:w="7429" w:type="dxa"/>
            <w:gridSpan w:val="3"/>
            <w:tcBorders>
              <w:top w:val="single" w:sz="4" w:space="0" w:color="000000"/>
              <w:left w:val="single" w:sz="4" w:space="0" w:color="000000"/>
              <w:bottom w:val="single" w:sz="4" w:space="0" w:color="000000"/>
            </w:tcBorders>
          </w:tcPr>
          <w:p>
            <w:pPr>
              <w:pStyle w:val="TableParagraph"/>
              <w:spacing w:before="169"/>
              <w:ind w:left="994" w:right="978"/>
              <w:jc w:val="center"/>
              <w:rPr>
                <w:rFonts w:ascii="Times New Roman"/>
                <w:sz w:val="24"/>
              </w:rPr>
            </w:pPr>
            <w:r>
              <w:rPr>
                <w:rFonts w:ascii="Times New Roman"/>
                <w:sz w:val="24"/>
              </w:rPr>
              <w:t>2312-371422-89-01-306541</w:t>
            </w:r>
          </w:p>
        </w:tc>
      </w:tr>
      <w:tr>
        <w:tblPrEx>
          <w:tblW w:w="0" w:type="auto"/>
          <w:tblInd w:w="406" w:type="dxa"/>
          <w:tblLayout w:type="fixed"/>
          <w:tblCellMar>
            <w:top w:w="0" w:type="dxa"/>
            <w:left w:w="0" w:type="dxa"/>
            <w:bottom w:w="0" w:type="dxa"/>
            <w:right w:w="0" w:type="dxa"/>
          </w:tblCellMar>
        </w:tblPrEx>
        <w:trPr>
          <w:trHeight w:val="583"/>
        </w:trPr>
        <w:tc>
          <w:tcPr>
            <w:tcW w:w="1885" w:type="dxa"/>
            <w:tcBorders>
              <w:top w:val="single" w:sz="4" w:space="0" w:color="000000"/>
              <w:bottom w:val="single" w:sz="4" w:space="0" w:color="000000"/>
              <w:right w:val="single" w:sz="4" w:space="0" w:color="000000"/>
            </w:tcBorders>
          </w:tcPr>
          <w:p>
            <w:pPr>
              <w:pStyle w:val="TableParagraph"/>
              <w:spacing w:before="145"/>
              <w:ind w:left="80" w:right="70"/>
              <w:jc w:val="center"/>
              <w:rPr>
                <w:sz w:val="24"/>
              </w:rPr>
            </w:pPr>
            <w:r>
              <w:rPr>
                <w:sz w:val="24"/>
              </w:rPr>
              <w:t>建设单位联系人</w:t>
            </w:r>
          </w:p>
        </w:tc>
        <w:tc>
          <w:tcPr>
            <w:tcW w:w="2466" w:type="dxa"/>
            <w:tcBorders>
              <w:top w:val="single" w:sz="4" w:space="0" w:color="000000"/>
              <w:left w:val="single" w:sz="4" w:space="0" w:color="000000"/>
              <w:bottom w:val="single" w:sz="4" w:space="0" w:color="000000"/>
              <w:right w:val="single" w:sz="4" w:space="0" w:color="000000"/>
            </w:tcBorders>
          </w:tcPr>
          <w:p>
            <w:pPr>
              <w:pStyle w:val="TableParagraph"/>
              <w:spacing w:before="145"/>
              <w:ind w:left="977" w:right="959"/>
              <w:jc w:val="center"/>
              <w:rPr>
                <w:sz w:val="24"/>
              </w:rPr>
            </w:pPr>
          </w:p>
        </w:tc>
        <w:tc>
          <w:tcPr>
            <w:tcW w:w="2194" w:type="dxa"/>
            <w:tcBorders>
              <w:top w:val="single" w:sz="4" w:space="0" w:color="000000"/>
              <w:left w:val="single" w:sz="4" w:space="0" w:color="000000"/>
              <w:bottom w:val="single" w:sz="4" w:space="0" w:color="000000"/>
              <w:right w:val="single" w:sz="4" w:space="0" w:color="000000"/>
            </w:tcBorders>
          </w:tcPr>
          <w:p>
            <w:pPr>
              <w:pStyle w:val="TableParagraph"/>
              <w:spacing w:before="145"/>
              <w:ind w:left="121" w:right="102"/>
              <w:jc w:val="center"/>
              <w:rPr>
                <w:sz w:val="24"/>
              </w:rPr>
            </w:pPr>
            <w:r>
              <w:rPr>
                <w:sz w:val="24"/>
              </w:rPr>
              <w:t>联系方式</w:t>
            </w:r>
          </w:p>
        </w:tc>
        <w:tc>
          <w:tcPr>
            <w:tcW w:w="2769" w:type="dxa"/>
            <w:tcBorders>
              <w:top w:val="single" w:sz="4" w:space="0" w:color="000000"/>
              <w:left w:val="single" w:sz="4" w:space="0" w:color="000000"/>
              <w:bottom w:val="single" w:sz="4" w:space="0" w:color="000000"/>
            </w:tcBorders>
          </w:tcPr>
          <w:p>
            <w:pPr>
              <w:pStyle w:val="TableParagraph"/>
              <w:spacing w:before="161"/>
              <w:ind w:left="19"/>
              <w:jc w:val="center"/>
              <w:rPr>
                <w:rFonts w:ascii="Times New Roman"/>
                <w:sz w:val="24"/>
              </w:rPr>
            </w:pPr>
          </w:p>
        </w:tc>
      </w:tr>
      <w:tr>
        <w:tblPrEx>
          <w:tblW w:w="0" w:type="auto"/>
          <w:tblInd w:w="406" w:type="dxa"/>
          <w:tblLayout w:type="fixed"/>
          <w:tblCellMar>
            <w:top w:w="0" w:type="dxa"/>
            <w:left w:w="0" w:type="dxa"/>
            <w:bottom w:w="0" w:type="dxa"/>
            <w:right w:w="0" w:type="dxa"/>
          </w:tblCellMar>
        </w:tblPrEx>
        <w:trPr>
          <w:trHeight w:val="582"/>
        </w:trPr>
        <w:tc>
          <w:tcPr>
            <w:tcW w:w="1885" w:type="dxa"/>
            <w:tcBorders>
              <w:top w:val="single" w:sz="4" w:space="0" w:color="000000"/>
              <w:bottom w:val="single" w:sz="4" w:space="0" w:color="000000"/>
              <w:right w:val="single" w:sz="4" w:space="0" w:color="000000"/>
            </w:tcBorders>
          </w:tcPr>
          <w:p>
            <w:pPr>
              <w:pStyle w:val="TableParagraph"/>
              <w:spacing w:before="145"/>
              <w:ind w:left="80" w:right="70"/>
              <w:jc w:val="center"/>
              <w:rPr>
                <w:sz w:val="24"/>
              </w:rPr>
            </w:pPr>
            <w:r>
              <w:rPr>
                <w:sz w:val="24"/>
              </w:rPr>
              <w:t>建设地点</w:t>
            </w:r>
          </w:p>
        </w:tc>
        <w:tc>
          <w:tcPr>
            <w:tcW w:w="7429" w:type="dxa"/>
            <w:gridSpan w:val="3"/>
            <w:tcBorders>
              <w:top w:val="single" w:sz="4" w:space="0" w:color="000000"/>
              <w:left w:val="single" w:sz="4" w:space="0" w:color="000000"/>
              <w:bottom w:val="single" w:sz="4" w:space="0" w:color="000000"/>
            </w:tcBorders>
          </w:tcPr>
          <w:p>
            <w:pPr>
              <w:pStyle w:val="TableParagraph"/>
              <w:spacing w:before="145"/>
              <w:ind w:left="996" w:right="555"/>
              <w:jc w:val="center"/>
              <w:rPr>
                <w:sz w:val="24"/>
              </w:rPr>
            </w:pPr>
            <w:r>
              <w:rPr>
                <w:sz w:val="24"/>
              </w:rPr>
              <w:t>宁津县三岭大街与宏图路交叉口东南角</w:t>
            </w:r>
          </w:p>
        </w:tc>
      </w:tr>
      <w:tr>
        <w:tblPrEx>
          <w:tblW w:w="0" w:type="auto"/>
          <w:tblInd w:w="406" w:type="dxa"/>
          <w:tblLayout w:type="fixed"/>
          <w:tblCellMar>
            <w:top w:w="0" w:type="dxa"/>
            <w:left w:w="0" w:type="dxa"/>
            <w:bottom w:w="0" w:type="dxa"/>
            <w:right w:w="0" w:type="dxa"/>
          </w:tblCellMar>
        </w:tblPrEx>
        <w:trPr>
          <w:trHeight w:val="582"/>
        </w:trPr>
        <w:tc>
          <w:tcPr>
            <w:tcW w:w="1885" w:type="dxa"/>
            <w:tcBorders>
              <w:top w:val="single" w:sz="4" w:space="0" w:color="000000"/>
              <w:bottom w:val="single" w:sz="4" w:space="0" w:color="000000"/>
              <w:right w:val="single" w:sz="4" w:space="0" w:color="000000"/>
            </w:tcBorders>
          </w:tcPr>
          <w:p>
            <w:pPr>
              <w:pStyle w:val="TableParagraph"/>
              <w:spacing w:before="145"/>
              <w:ind w:left="80" w:right="70"/>
              <w:jc w:val="center"/>
              <w:rPr>
                <w:sz w:val="24"/>
              </w:rPr>
            </w:pPr>
            <w:r>
              <w:rPr>
                <w:sz w:val="24"/>
              </w:rPr>
              <w:t>地理坐标</w:t>
            </w:r>
          </w:p>
        </w:tc>
        <w:tc>
          <w:tcPr>
            <w:tcW w:w="7429" w:type="dxa"/>
            <w:gridSpan w:val="3"/>
            <w:tcBorders>
              <w:top w:val="single" w:sz="4" w:space="0" w:color="000000"/>
              <w:left w:val="single" w:sz="4" w:space="0" w:color="000000"/>
              <w:bottom w:val="single" w:sz="4" w:space="0" w:color="000000"/>
            </w:tcBorders>
          </w:tcPr>
          <w:p>
            <w:pPr>
              <w:pStyle w:val="TableParagraph"/>
              <w:spacing w:before="145"/>
              <w:ind w:left="996" w:right="978"/>
              <w:jc w:val="center"/>
              <w:rPr>
                <w:sz w:val="24"/>
              </w:rPr>
            </w:pPr>
            <w:r>
              <w:rPr>
                <w:sz w:val="24"/>
                <w:u w:val="single"/>
              </w:rPr>
              <w:t>（</w:t>
            </w:r>
            <w:r>
              <w:rPr>
                <w:rFonts w:ascii="Times New Roman" w:eastAsia="Times New Roman"/>
                <w:sz w:val="24"/>
                <w:u w:val="single"/>
              </w:rPr>
              <w:t xml:space="preserve">116 </w:t>
            </w:r>
            <w:r>
              <w:rPr>
                <w:sz w:val="24"/>
                <w:u w:val="single"/>
              </w:rPr>
              <w:t xml:space="preserve">度 </w:t>
            </w:r>
            <w:r>
              <w:rPr>
                <w:rFonts w:ascii="Times New Roman" w:eastAsia="Times New Roman"/>
                <w:sz w:val="24"/>
                <w:u w:val="single"/>
              </w:rPr>
              <w:t xml:space="preserve">49 </w:t>
            </w:r>
            <w:r>
              <w:rPr>
                <w:sz w:val="24"/>
                <w:u w:val="single"/>
              </w:rPr>
              <w:t xml:space="preserve">分 </w:t>
            </w:r>
            <w:r>
              <w:rPr>
                <w:rFonts w:ascii="Times New Roman" w:eastAsia="Times New Roman"/>
                <w:sz w:val="24"/>
                <w:u w:val="single"/>
              </w:rPr>
              <w:t xml:space="preserve">19.200 </w:t>
            </w:r>
            <w:r>
              <w:rPr>
                <w:sz w:val="24"/>
                <w:u w:val="single"/>
              </w:rPr>
              <w:t>秒，</w:t>
            </w:r>
            <w:r>
              <w:rPr>
                <w:rFonts w:ascii="Times New Roman" w:eastAsia="Times New Roman"/>
                <w:sz w:val="24"/>
                <w:u w:val="single"/>
              </w:rPr>
              <w:t xml:space="preserve">37 </w:t>
            </w:r>
            <w:r>
              <w:rPr>
                <w:sz w:val="24"/>
                <w:u w:val="single"/>
              </w:rPr>
              <w:t xml:space="preserve">度 </w:t>
            </w:r>
            <w:r>
              <w:rPr>
                <w:rFonts w:ascii="Times New Roman" w:eastAsia="Times New Roman"/>
                <w:sz w:val="24"/>
                <w:u w:val="single"/>
              </w:rPr>
              <w:t xml:space="preserve">36 </w:t>
            </w:r>
            <w:r>
              <w:rPr>
                <w:sz w:val="24"/>
                <w:u w:val="single"/>
              </w:rPr>
              <w:t xml:space="preserve">分 </w:t>
            </w:r>
            <w:r>
              <w:rPr>
                <w:rFonts w:ascii="Times New Roman" w:eastAsia="Times New Roman"/>
                <w:sz w:val="24"/>
                <w:u w:val="single"/>
              </w:rPr>
              <w:t xml:space="preserve">50.399 </w:t>
            </w:r>
            <w:r>
              <w:rPr>
                <w:sz w:val="24"/>
                <w:u w:val="single"/>
              </w:rPr>
              <w:t>秒）</w:t>
            </w:r>
          </w:p>
        </w:tc>
      </w:tr>
      <w:tr>
        <w:tblPrEx>
          <w:tblW w:w="0" w:type="auto"/>
          <w:tblInd w:w="406" w:type="dxa"/>
          <w:tblLayout w:type="fixed"/>
          <w:tblCellMar>
            <w:top w:w="0" w:type="dxa"/>
            <w:left w:w="0" w:type="dxa"/>
            <w:bottom w:w="0" w:type="dxa"/>
            <w:right w:w="0" w:type="dxa"/>
          </w:tblCellMar>
        </w:tblPrEx>
        <w:trPr>
          <w:trHeight w:val="884"/>
        </w:trPr>
        <w:tc>
          <w:tcPr>
            <w:tcW w:w="1885" w:type="dxa"/>
            <w:tcBorders>
              <w:top w:val="single" w:sz="4" w:space="0" w:color="000000"/>
              <w:bottom w:val="single" w:sz="4" w:space="0" w:color="000000"/>
              <w:right w:val="single" w:sz="4" w:space="0" w:color="000000"/>
            </w:tcBorders>
          </w:tcPr>
          <w:p>
            <w:pPr>
              <w:pStyle w:val="TableParagraph"/>
              <w:spacing w:before="139" w:line="242" w:lineRule="auto"/>
              <w:ind w:left="460" w:right="447"/>
              <w:rPr>
                <w:sz w:val="24"/>
              </w:rPr>
            </w:pPr>
            <w:r>
              <w:rPr>
                <w:sz w:val="24"/>
              </w:rPr>
              <w:t>国民经济行业类别</w:t>
            </w:r>
          </w:p>
        </w:tc>
        <w:tc>
          <w:tcPr>
            <w:tcW w:w="2466" w:type="dxa"/>
            <w:tcBorders>
              <w:top w:val="single" w:sz="4" w:space="0" w:color="000000"/>
              <w:left w:val="single" w:sz="4" w:space="0" w:color="000000"/>
              <w:bottom w:val="single" w:sz="4" w:space="0" w:color="000000"/>
              <w:right w:val="single" w:sz="4" w:space="0" w:color="000000"/>
            </w:tcBorders>
          </w:tcPr>
          <w:p>
            <w:pPr>
              <w:pStyle w:val="TableParagraph"/>
              <w:spacing w:before="139" w:line="242" w:lineRule="auto"/>
              <w:ind w:left="637" w:right="26" w:hanging="591"/>
              <w:rPr>
                <w:sz w:val="24"/>
              </w:rPr>
            </w:pPr>
            <w:r>
              <w:rPr>
                <w:rFonts w:ascii="Times New Roman" w:eastAsia="Times New Roman"/>
                <w:sz w:val="24"/>
              </w:rPr>
              <w:t xml:space="preserve">C3360 </w:t>
            </w:r>
            <w:r>
              <w:rPr>
                <w:sz w:val="24"/>
              </w:rPr>
              <w:t>金属表面处理及热处理加工</w:t>
            </w:r>
          </w:p>
        </w:tc>
        <w:tc>
          <w:tcPr>
            <w:tcW w:w="2194" w:type="dxa"/>
            <w:tcBorders>
              <w:top w:val="single" w:sz="4" w:space="0" w:color="000000"/>
              <w:left w:val="single" w:sz="4" w:space="0" w:color="000000"/>
              <w:bottom w:val="single" w:sz="4" w:space="0" w:color="000000"/>
              <w:right w:val="single" w:sz="4" w:space="0" w:color="000000"/>
            </w:tcBorders>
          </w:tcPr>
          <w:p>
            <w:pPr>
              <w:pStyle w:val="TableParagraph"/>
              <w:spacing w:before="139" w:line="242" w:lineRule="auto"/>
              <w:ind w:left="621" w:right="600"/>
              <w:rPr>
                <w:sz w:val="24"/>
              </w:rPr>
            </w:pPr>
            <w:r>
              <w:rPr>
                <w:sz w:val="24"/>
              </w:rPr>
              <w:t>建设项目行业类别</w:t>
            </w:r>
          </w:p>
        </w:tc>
        <w:tc>
          <w:tcPr>
            <w:tcW w:w="2769" w:type="dxa"/>
            <w:tcBorders>
              <w:top w:val="single" w:sz="4" w:space="0" w:color="000000"/>
              <w:left w:val="single" w:sz="4" w:space="0" w:color="000000"/>
              <w:bottom w:val="single" w:sz="4" w:space="0" w:color="000000"/>
            </w:tcBorders>
          </w:tcPr>
          <w:p>
            <w:pPr>
              <w:pStyle w:val="TableParagraph"/>
              <w:spacing w:before="139" w:line="242" w:lineRule="auto"/>
              <w:ind w:left="9" w:right="-15"/>
              <w:rPr>
                <w:sz w:val="24"/>
              </w:rPr>
            </w:pPr>
            <w:r>
              <w:rPr>
                <w:spacing w:val="6"/>
                <w:sz w:val="24"/>
              </w:rPr>
              <w:t>三十、金属制品业、金属</w:t>
            </w:r>
            <w:r>
              <w:rPr>
                <w:sz w:val="24"/>
              </w:rPr>
              <w:t>表面处理及热处理加工</w:t>
            </w:r>
          </w:p>
        </w:tc>
      </w:tr>
      <w:tr>
        <w:tblPrEx>
          <w:tblW w:w="0" w:type="auto"/>
          <w:tblInd w:w="406" w:type="dxa"/>
          <w:tblLayout w:type="fixed"/>
          <w:tblCellMar>
            <w:top w:w="0" w:type="dxa"/>
            <w:left w:w="0" w:type="dxa"/>
            <w:bottom w:w="0" w:type="dxa"/>
            <w:right w:w="0" w:type="dxa"/>
          </w:tblCellMar>
        </w:tblPrEx>
        <w:trPr>
          <w:trHeight w:val="1738"/>
        </w:trPr>
        <w:tc>
          <w:tcPr>
            <w:tcW w:w="1885" w:type="dxa"/>
            <w:tcBorders>
              <w:top w:val="single" w:sz="4" w:space="0" w:color="000000"/>
              <w:bottom w:val="single" w:sz="4" w:space="0" w:color="000000"/>
              <w:right w:val="single" w:sz="4" w:space="0" w:color="000000"/>
            </w:tcBorders>
          </w:tcPr>
          <w:p>
            <w:pPr>
              <w:pStyle w:val="TableParagraph"/>
              <w:rPr>
                <w:rFonts w:ascii="黑体"/>
                <w:sz w:val="24"/>
              </w:rPr>
            </w:pPr>
          </w:p>
          <w:p>
            <w:pPr>
              <w:pStyle w:val="TableParagraph"/>
              <w:spacing w:before="4"/>
              <w:rPr>
                <w:rFonts w:ascii="黑体"/>
                <w:sz w:val="32"/>
              </w:rPr>
            </w:pPr>
          </w:p>
          <w:p>
            <w:pPr>
              <w:pStyle w:val="TableParagraph"/>
              <w:ind w:left="80" w:right="70"/>
              <w:jc w:val="center"/>
              <w:rPr>
                <w:sz w:val="24"/>
              </w:rPr>
            </w:pPr>
            <w:r>
              <w:rPr>
                <w:sz w:val="24"/>
              </w:rPr>
              <w:t>建设性质</w:t>
            </w:r>
          </w:p>
        </w:tc>
        <w:tc>
          <w:tcPr>
            <w:tcW w:w="2466" w:type="dxa"/>
            <w:tcBorders>
              <w:top w:val="single" w:sz="4" w:space="0" w:color="000000"/>
              <w:left w:val="single" w:sz="4" w:space="0" w:color="000000"/>
              <w:bottom w:val="single" w:sz="4" w:space="0" w:color="000000"/>
              <w:right w:val="single" w:sz="4" w:space="0" w:color="000000"/>
            </w:tcBorders>
          </w:tcPr>
          <w:p>
            <w:pPr>
              <w:pStyle w:val="TableParagraph"/>
              <w:spacing w:before="12"/>
              <w:rPr>
                <w:rFonts w:ascii="黑体"/>
                <w:sz w:val="19"/>
              </w:rPr>
            </w:pPr>
          </w:p>
          <w:p>
            <w:pPr>
              <w:pStyle w:val="TableParagraph"/>
              <w:ind w:left="8"/>
              <w:rPr>
                <w:sz w:val="24"/>
              </w:rPr>
            </w:pPr>
            <w:r>
              <w:rPr>
                <w:rFonts w:ascii="MS UI Gothic" w:eastAsia="MS UI Gothic" w:hAnsi="MS UI Gothic" w:hint="eastAsia"/>
                <w:sz w:val="24"/>
              </w:rPr>
              <w:t>☑</w:t>
            </w:r>
            <w:r>
              <w:rPr>
                <w:sz w:val="24"/>
              </w:rPr>
              <w:t>新建（迁建）</w:t>
            </w:r>
          </w:p>
          <w:p>
            <w:pPr>
              <w:pStyle w:val="TableParagraph"/>
              <w:spacing w:before="5"/>
              <w:ind w:left="8"/>
              <w:rPr>
                <w:sz w:val="24"/>
              </w:rPr>
            </w:pPr>
            <w:r>
              <w:rPr>
                <w:sz w:val="24"/>
              </w:rPr>
              <w:t>□改建</w:t>
            </w:r>
          </w:p>
          <w:p>
            <w:pPr>
              <w:pStyle w:val="TableParagraph"/>
              <w:spacing w:before="2"/>
              <w:ind w:left="8"/>
              <w:rPr>
                <w:sz w:val="24"/>
              </w:rPr>
            </w:pPr>
            <w:r>
              <w:rPr>
                <w:sz w:val="24"/>
              </w:rPr>
              <w:t>□扩建</w:t>
            </w:r>
          </w:p>
          <w:p>
            <w:pPr>
              <w:pStyle w:val="TableParagraph"/>
              <w:spacing w:before="5"/>
              <w:ind w:left="8"/>
              <w:rPr>
                <w:sz w:val="24"/>
              </w:rPr>
            </w:pPr>
            <w:r>
              <w:rPr>
                <w:sz w:val="24"/>
              </w:rPr>
              <w:t>□技术改造</w:t>
            </w:r>
          </w:p>
        </w:tc>
        <w:tc>
          <w:tcPr>
            <w:tcW w:w="2194"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24"/>
              </w:rPr>
            </w:pPr>
          </w:p>
          <w:p>
            <w:pPr>
              <w:pStyle w:val="TableParagraph"/>
              <w:spacing w:before="4"/>
              <w:rPr>
                <w:rFonts w:ascii="黑体"/>
                <w:sz w:val="32"/>
              </w:rPr>
            </w:pPr>
          </w:p>
          <w:p>
            <w:pPr>
              <w:pStyle w:val="TableParagraph"/>
              <w:ind w:left="121" w:right="102"/>
              <w:jc w:val="center"/>
              <w:rPr>
                <w:sz w:val="24"/>
              </w:rPr>
            </w:pPr>
            <w:r>
              <w:rPr>
                <w:sz w:val="24"/>
              </w:rPr>
              <w:t>建设项目申报情形</w:t>
            </w:r>
          </w:p>
        </w:tc>
        <w:tc>
          <w:tcPr>
            <w:tcW w:w="2769" w:type="dxa"/>
            <w:tcBorders>
              <w:top w:val="single" w:sz="4" w:space="0" w:color="000000"/>
              <w:left w:val="single" w:sz="4" w:space="0" w:color="000000"/>
              <w:bottom w:val="single" w:sz="4" w:space="0" w:color="000000"/>
            </w:tcBorders>
          </w:tcPr>
          <w:p>
            <w:pPr>
              <w:pStyle w:val="TableParagraph"/>
              <w:spacing w:before="100"/>
              <w:ind w:left="9"/>
              <w:rPr>
                <w:sz w:val="24"/>
              </w:rPr>
            </w:pPr>
            <w:r>
              <w:rPr>
                <w:rFonts w:ascii="MS UI Gothic" w:eastAsia="MS UI Gothic" w:hAnsi="MS UI Gothic" w:hint="eastAsia"/>
                <w:sz w:val="24"/>
              </w:rPr>
              <w:t>☑</w:t>
            </w:r>
            <w:r>
              <w:rPr>
                <w:sz w:val="24"/>
              </w:rPr>
              <w:t>首次申报项目</w:t>
            </w:r>
          </w:p>
          <w:p>
            <w:pPr>
              <w:pStyle w:val="TableParagraph"/>
              <w:spacing w:before="4" w:line="242" w:lineRule="auto"/>
              <w:ind w:left="9" w:right="102"/>
              <w:rPr>
                <w:sz w:val="24"/>
              </w:rPr>
            </w:pPr>
            <w:r>
              <w:rPr>
                <w:sz w:val="24"/>
              </w:rPr>
              <w:t>□不予批准后再次申报项目</w:t>
            </w:r>
          </w:p>
          <w:p>
            <w:pPr>
              <w:pStyle w:val="TableParagraph"/>
              <w:spacing w:before="1"/>
              <w:ind w:left="9"/>
              <w:rPr>
                <w:sz w:val="24"/>
              </w:rPr>
            </w:pPr>
            <w:r>
              <w:rPr>
                <w:sz w:val="24"/>
              </w:rPr>
              <w:t>□超五年重新审核项目</w:t>
            </w:r>
          </w:p>
          <w:p>
            <w:pPr>
              <w:pStyle w:val="TableParagraph"/>
              <w:spacing w:before="4"/>
              <w:ind w:left="9"/>
              <w:rPr>
                <w:sz w:val="24"/>
              </w:rPr>
            </w:pPr>
            <w:r>
              <w:rPr>
                <w:sz w:val="24"/>
              </w:rPr>
              <w:t>□重大变动重新报批项目</w:t>
            </w:r>
          </w:p>
        </w:tc>
      </w:tr>
      <w:tr>
        <w:tblPrEx>
          <w:tblW w:w="0" w:type="auto"/>
          <w:tblInd w:w="406" w:type="dxa"/>
          <w:tblLayout w:type="fixed"/>
          <w:tblCellMar>
            <w:top w:w="0" w:type="dxa"/>
            <w:left w:w="0" w:type="dxa"/>
            <w:bottom w:w="0" w:type="dxa"/>
            <w:right w:w="0" w:type="dxa"/>
          </w:tblCellMar>
        </w:tblPrEx>
        <w:trPr>
          <w:trHeight w:val="637"/>
        </w:trPr>
        <w:tc>
          <w:tcPr>
            <w:tcW w:w="1885" w:type="dxa"/>
            <w:tcBorders>
              <w:top w:val="single" w:sz="4" w:space="0" w:color="000000"/>
              <w:bottom w:val="single" w:sz="4" w:space="0" w:color="000000"/>
              <w:right w:val="single" w:sz="4" w:space="0" w:color="000000"/>
            </w:tcBorders>
          </w:tcPr>
          <w:p>
            <w:pPr>
              <w:pStyle w:val="TableParagraph"/>
              <w:spacing w:before="14" w:line="310" w:lineRule="atLeast"/>
              <w:ind w:left="16" w:right="52" w:firstLine="52"/>
              <w:rPr>
                <w:sz w:val="24"/>
              </w:rPr>
            </w:pPr>
            <w:r>
              <w:rPr>
                <w:sz w:val="24"/>
              </w:rPr>
              <w:t>项目审批（核准</w:t>
            </w:r>
            <w:r>
              <w:rPr>
                <w:rFonts w:ascii="Times New Roman" w:eastAsia="Times New Roman"/>
                <w:spacing w:val="-17"/>
                <w:sz w:val="24"/>
              </w:rPr>
              <w:t xml:space="preserve">/ </w:t>
            </w:r>
            <w:r>
              <w:rPr>
                <w:sz w:val="24"/>
              </w:rPr>
              <w:t>备案</w:t>
            </w:r>
            <w:r>
              <w:rPr>
                <w:spacing w:val="-96"/>
                <w:sz w:val="24"/>
              </w:rPr>
              <w:t>）</w:t>
            </w:r>
            <w:r>
              <w:rPr>
                <w:spacing w:val="-46"/>
                <w:sz w:val="24"/>
              </w:rPr>
              <w:t>部门</w:t>
            </w:r>
            <w:r>
              <w:rPr>
                <w:sz w:val="24"/>
              </w:rPr>
              <w:t>（选填</w:t>
            </w:r>
          </w:p>
        </w:tc>
        <w:tc>
          <w:tcPr>
            <w:tcW w:w="2466"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25"/>
              </w:rPr>
            </w:pPr>
          </w:p>
          <w:p>
            <w:pPr>
              <w:pStyle w:val="TableParagraph"/>
              <w:spacing w:line="289" w:lineRule="exact"/>
              <w:ind w:left="-131"/>
              <w:rPr>
                <w:sz w:val="24"/>
              </w:rPr>
            </w:pPr>
            <w:r>
              <w:rPr>
                <w:sz w:val="24"/>
              </w:rPr>
              <w:t>）</w:t>
            </w:r>
          </w:p>
        </w:tc>
        <w:tc>
          <w:tcPr>
            <w:tcW w:w="2194" w:type="dxa"/>
            <w:tcBorders>
              <w:top w:val="single" w:sz="4" w:space="0" w:color="000000"/>
              <w:left w:val="single" w:sz="4" w:space="0" w:color="000000"/>
              <w:bottom w:val="single" w:sz="4" w:space="0" w:color="000000"/>
              <w:right w:val="single" w:sz="4" w:space="0" w:color="000000"/>
            </w:tcBorders>
          </w:tcPr>
          <w:p>
            <w:pPr>
              <w:pStyle w:val="TableParagraph"/>
              <w:spacing w:before="14" w:line="310" w:lineRule="atLeast"/>
              <w:ind w:left="21" w:firstLine="206"/>
              <w:rPr>
                <w:sz w:val="24"/>
              </w:rPr>
            </w:pPr>
            <w:r>
              <w:rPr>
                <w:sz w:val="24"/>
              </w:rPr>
              <w:t>项目审批（核准</w:t>
            </w:r>
            <w:r>
              <w:rPr>
                <w:rFonts w:ascii="Times New Roman" w:eastAsia="Times New Roman"/>
                <w:sz w:val="24"/>
              </w:rPr>
              <w:t xml:space="preserve">/ </w:t>
            </w:r>
            <w:r>
              <w:rPr>
                <w:sz w:val="24"/>
              </w:rPr>
              <w:t>备案）文号（选填）</w:t>
            </w:r>
          </w:p>
        </w:tc>
        <w:tc>
          <w:tcPr>
            <w:tcW w:w="2769" w:type="dxa"/>
            <w:tcBorders>
              <w:top w:val="single" w:sz="4" w:space="0" w:color="000000"/>
              <w:left w:val="single" w:sz="4" w:space="0" w:color="000000"/>
              <w:bottom w:val="single" w:sz="4" w:space="0" w:color="000000"/>
            </w:tcBorders>
          </w:tcPr>
          <w:p>
            <w:pPr>
              <w:pStyle w:val="TableParagraph"/>
              <w:spacing w:before="188"/>
              <w:ind w:left="17"/>
              <w:jc w:val="center"/>
              <w:rPr>
                <w:rFonts w:ascii="Times New Roman"/>
                <w:sz w:val="24"/>
              </w:rPr>
            </w:pPr>
            <w:r>
              <w:rPr>
                <w:rFonts w:ascii="Times New Roman"/>
                <w:sz w:val="24"/>
              </w:rPr>
              <w:t>2312-371422-89-01-306541</w:t>
            </w:r>
          </w:p>
        </w:tc>
      </w:tr>
      <w:tr>
        <w:tblPrEx>
          <w:tblW w:w="0" w:type="auto"/>
          <w:tblInd w:w="406" w:type="dxa"/>
          <w:tblLayout w:type="fixed"/>
          <w:tblCellMar>
            <w:top w:w="0" w:type="dxa"/>
            <w:left w:w="0" w:type="dxa"/>
            <w:bottom w:w="0" w:type="dxa"/>
            <w:right w:w="0" w:type="dxa"/>
          </w:tblCellMar>
        </w:tblPrEx>
        <w:trPr>
          <w:trHeight w:val="753"/>
        </w:trPr>
        <w:tc>
          <w:tcPr>
            <w:tcW w:w="1885" w:type="dxa"/>
            <w:tcBorders>
              <w:top w:val="single" w:sz="4" w:space="0" w:color="000000"/>
              <w:bottom w:val="single" w:sz="4" w:space="0" w:color="000000"/>
              <w:right w:val="single" w:sz="4" w:space="0" w:color="000000"/>
            </w:tcBorders>
          </w:tcPr>
          <w:p>
            <w:pPr>
              <w:pStyle w:val="TableParagraph"/>
              <w:spacing w:before="12"/>
              <w:rPr>
                <w:rFonts w:ascii="黑体"/>
                <w:sz w:val="17"/>
              </w:rPr>
            </w:pPr>
          </w:p>
          <w:p>
            <w:pPr>
              <w:pStyle w:val="TableParagraph"/>
              <w:ind w:left="80" w:right="70"/>
              <w:jc w:val="center"/>
              <w:rPr>
                <w:sz w:val="24"/>
              </w:rPr>
            </w:pPr>
            <w:r>
              <w:rPr>
                <w:sz w:val="24"/>
              </w:rPr>
              <w:t>总投资（万元）</w:t>
            </w:r>
          </w:p>
        </w:tc>
        <w:tc>
          <w:tcPr>
            <w:tcW w:w="246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sz w:val="19"/>
              </w:rPr>
            </w:pPr>
          </w:p>
          <w:p>
            <w:pPr>
              <w:pStyle w:val="TableParagraph"/>
              <w:spacing w:before="1"/>
              <w:ind w:left="977" w:right="959"/>
              <w:jc w:val="center"/>
              <w:rPr>
                <w:rFonts w:ascii="Times New Roman"/>
                <w:sz w:val="24"/>
              </w:rPr>
            </w:pPr>
            <w:r>
              <w:rPr>
                <w:rFonts w:ascii="Times New Roman"/>
                <w:sz w:val="24"/>
              </w:rPr>
              <w:t>200</w:t>
            </w:r>
          </w:p>
        </w:tc>
        <w:tc>
          <w:tcPr>
            <w:tcW w:w="2194" w:type="dxa"/>
            <w:tcBorders>
              <w:top w:val="single" w:sz="4" w:space="0" w:color="000000"/>
              <w:left w:val="single" w:sz="4" w:space="0" w:color="000000"/>
              <w:bottom w:val="single" w:sz="4" w:space="0" w:color="000000"/>
              <w:right w:val="single" w:sz="4" w:space="0" w:color="000000"/>
            </w:tcBorders>
          </w:tcPr>
          <w:p>
            <w:pPr>
              <w:pStyle w:val="TableParagraph"/>
              <w:spacing w:before="12"/>
              <w:rPr>
                <w:rFonts w:ascii="黑体"/>
                <w:sz w:val="17"/>
              </w:rPr>
            </w:pPr>
          </w:p>
          <w:p>
            <w:pPr>
              <w:pStyle w:val="TableParagraph"/>
              <w:ind w:left="121" w:right="102"/>
              <w:jc w:val="center"/>
              <w:rPr>
                <w:sz w:val="24"/>
              </w:rPr>
            </w:pPr>
            <w:r>
              <w:rPr>
                <w:sz w:val="24"/>
              </w:rPr>
              <w:t>环保投资（万元）</w:t>
            </w:r>
          </w:p>
        </w:tc>
        <w:tc>
          <w:tcPr>
            <w:tcW w:w="2769" w:type="dxa"/>
            <w:tcBorders>
              <w:top w:val="single" w:sz="4" w:space="0" w:color="000000"/>
              <w:left w:val="single" w:sz="4" w:space="0" w:color="000000"/>
              <w:bottom w:val="single" w:sz="4" w:space="0" w:color="000000"/>
            </w:tcBorders>
          </w:tcPr>
          <w:p>
            <w:pPr>
              <w:pStyle w:val="TableParagraph"/>
              <w:spacing w:before="2"/>
              <w:rPr>
                <w:rFonts w:ascii="黑体"/>
                <w:sz w:val="19"/>
              </w:rPr>
            </w:pPr>
          </w:p>
          <w:p>
            <w:pPr>
              <w:pStyle w:val="TableParagraph"/>
              <w:spacing w:before="1"/>
              <w:ind w:left="19"/>
              <w:jc w:val="center"/>
              <w:rPr>
                <w:rFonts w:ascii="Times New Roman"/>
                <w:sz w:val="24"/>
              </w:rPr>
            </w:pPr>
            <w:r>
              <w:rPr>
                <w:rFonts w:ascii="Times New Roman"/>
                <w:sz w:val="24"/>
              </w:rPr>
              <w:t>60</w:t>
            </w:r>
          </w:p>
        </w:tc>
      </w:tr>
      <w:tr>
        <w:tblPrEx>
          <w:tblW w:w="0" w:type="auto"/>
          <w:tblInd w:w="406" w:type="dxa"/>
          <w:tblLayout w:type="fixed"/>
          <w:tblCellMar>
            <w:top w:w="0" w:type="dxa"/>
            <w:left w:w="0" w:type="dxa"/>
            <w:bottom w:w="0" w:type="dxa"/>
            <w:right w:w="0" w:type="dxa"/>
          </w:tblCellMar>
        </w:tblPrEx>
        <w:trPr>
          <w:trHeight w:val="638"/>
        </w:trPr>
        <w:tc>
          <w:tcPr>
            <w:tcW w:w="1885" w:type="dxa"/>
            <w:tcBorders>
              <w:top w:val="single" w:sz="4" w:space="0" w:color="000000"/>
              <w:bottom w:val="single" w:sz="4" w:space="0" w:color="000000"/>
              <w:right w:val="single" w:sz="4" w:space="0" w:color="000000"/>
            </w:tcBorders>
          </w:tcPr>
          <w:p>
            <w:pPr>
              <w:pStyle w:val="TableParagraph"/>
              <w:spacing w:before="18"/>
              <w:ind w:left="80" w:right="70"/>
              <w:jc w:val="center"/>
              <w:rPr>
                <w:sz w:val="24"/>
              </w:rPr>
            </w:pPr>
            <w:r>
              <w:rPr>
                <w:sz w:val="24"/>
              </w:rPr>
              <w:t>环保投资占比</w:t>
            </w:r>
          </w:p>
          <w:p>
            <w:pPr>
              <w:pStyle w:val="TableParagraph"/>
              <w:spacing w:before="2" w:line="291" w:lineRule="exact"/>
              <w:ind w:left="80" w:right="67"/>
              <w:jc w:val="center"/>
              <w:rPr>
                <w:sz w:val="24"/>
              </w:rPr>
            </w:pPr>
            <w:r>
              <w:rPr>
                <w:sz w:val="24"/>
              </w:rPr>
              <w:t>（</w:t>
            </w:r>
            <w:r>
              <w:rPr>
                <w:rFonts w:ascii="Times New Roman" w:eastAsia="Times New Roman"/>
                <w:sz w:val="24"/>
              </w:rPr>
              <w:t>%</w:t>
            </w:r>
            <w:r>
              <w:rPr>
                <w:sz w:val="24"/>
              </w:rPr>
              <w:t>）</w:t>
            </w:r>
          </w:p>
        </w:tc>
        <w:tc>
          <w:tcPr>
            <w:tcW w:w="2466" w:type="dxa"/>
            <w:tcBorders>
              <w:top w:val="single" w:sz="4" w:space="0" w:color="000000"/>
              <w:left w:val="single" w:sz="4" w:space="0" w:color="000000"/>
              <w:bottom w:val="single" w:sz="4" w:space="0" w:color="000000"/>
              <w:right w:val="single" w:sz="4" w:space="0" w:color="000000"/>
            </w:tcBorders>
          </w:tcPr>
          <w:p>
            <w:pPr>
              <w:pStyle w:val="TableParagraph"/>
              <w:spacing w:before="188"/>
              <w:ind w:left="977" w:right="959"/>
              <w:jc w:val="center"/>
              <w:rPr>
                <w:rFonts w:ascii="Times New Roman"/>
                <w:sz w:val="24"/>
              </w:rPr>
            </w:pPr>
            <w:r>
              <w:rPr>
                <w:rFonts w:ascii="Times New Roman"/>
                <w:sz w:val="24"/>
              </w:rPr>
              <w:t>30</w:t>
            </w:r>
          </w:p>
        </w:tc>
        <w:tc>
          <w:tcPr>
            <w:tcW w:w="2194" w:type="dxa"/>
            <w:tcBorders>
              <w:top w:val="single" w:sz="4" w:space="0" w:color="000000"/>
              <w:left w:val="single" w:sz="4" w:space="0" w:color="000000"/>
              <w:bottom w:val="single" w:sz="4" w:space="0" w:color="000000"/>
              <w:right w:val="single" w:sz="4" w:space="0" w:color="000000"/>
            </w:tcBorders>
          </w:tcPr>
          <w:p>
            <w:pPr>
              <w:pStyle w:val="TableParagraph"/>
              <w:spacing w:before="172"/>
              <w:ind w:left="121" w:right="102"/>
              <w:jc w:val="center"/>
              <w:rPr>
                <w:sz w:val="24"/>
              </w:rPr>
            </w:pPr>
            <w:r>
              <w:rPr>
                <w:sz w:val="24"/>
              </w:rPr>
              <w:t>施工工期</w:t>
            </w:r>
          </w:p>
        </w:tc>
        <w:tc>
          <w:tcPr>
            <w:tcW w:w="2769" w:type="dxa"/>
            <w:tcBorders>
              <w:top w:val="single" w:sz="4" w:space="0" w:color="000000"/>
              <w:left w:val="single" w:sz="4" w:space="0" w:color="000000"/>
              <w:bottom w:val="single" w:sz="4" w:space="0" w:color="000000"/>
            </w:tcBorders>
          </w:tcPr>
          <w:p>
            <w:pPr>
              <w:pStyle w:val="TableParagraph"/>
              <w:spacing w:before="172"/>
              <w:ind w:left="17"/>
              <w:jc w:val="center"/>
              <w:rPr>
                <w:sz w:val="24"/>
              </w:rPr>
            </w:pPr>
            <w:r>
              <w:rPr>
                <w:rFonts w:ascii="Times New Roman" w:eastAsia="Times New Roman"/>
                <w:sz w:val="24"/>
              </w:rPr>
              <w:t xml:space="preserve">3 </w:t>
            </w:r>
            <w:r>
              <w:rPr>
                <w:sz w:val="24"/>
              </w:rPr>
              <w:t>个月</w:t>
            </w:r>
          </w:p>
        </w:tc>
      </w:tr>
      <w:tr>
        <w:tblPrEx>
          <w:tblW w:w="0" w:type="auto"/>
          <w:tblInd w:w="406" w:type="dxa"/>
          <w:tblLayout w:type="fixed"/>
          <w:tblCellMar>
            <w:top w:w="0" w:type="dxa"/>
            <w:left w:w="0" w:type="dxa"/>
            <w:bottom w:w="0" w:type="dxa"/>
            <w:right w:w="0" w:type="dxa"/>
          </w:tblCellMar>
        </w:tblPrEx>
        <w:trPr>
          <w:trHeight w:val="808"/>
        </w:trPr>
        <w:tc>
          <w:tcPr>
            <w:tcW w:w="1885" w:type="dxa"/>
            <w:tcBorders>
              <w:top w:val="single" w:sz="4" w:space="0" w:color="000000"/>
              <w:bottom w:val="single" w:sz="4" w:space="0" w:color="000000"/>
              <w:right w:val="single" w:sz="4" w:space="0" w:color="000000"/>
            </w:tcBorders>
          </w:tcPr>
          <w:p>
            <w:pPr>
              <w:pStyle w:val="TableParagraph"/>
              <w:spacing w:before="1"/>
              <w:rPr>
                <w:rFonts w:ascii="黑体"/>
                <w:sz w:val="20"/>
              </w:rPr>
            </w:pPr>
          </w:p>
          <w:p>
            <w:pPr>
              <w:pStyle w:val="TableParagraph"/>
              <w:ind w:left="80" w:right="70"/>
              <w:jc w:val="center"/>
              <w:rPr>
                <w:sz w:val="24"/>
              </w:rPr>
            </w:pPr>
            <w:r>
              <w:rPr>
                <w:sz w:val="24"/>
              </w:rPr>
              <w:t>是否开工建设</w:t>
            </w:r>
          </w:p>
        </w:tc>
        <w:tc>
          <w:tcPr>
            <w:tcW w:w="2466" w:type="dxa"/>
            <w:tcBorders>
              <w:top w:val="single" w:sz="4" w:space="0" w:color="000000"/>
              <w:left w:val="single" w:sz="4" w:space="0" w:color="000000"/>
              <w:bottom w:val="single" w:sz="4" w:space="0" w:color="000000"/>
              <w:right w:val="single" w:sz="4" w:space="0" w:color="000000"/>
            </w:tcBorders>
          </w:tcPr>
          <w:p>
            <w:pPr>
              <w:pStyle w:val="TableParagraph"/>
              <w:spacing w:before="101"/>
              <w:ind w:left="8"/>
              <w:rPr>
                <w:sz w:val="24"/>
              </w:rPr>
            </w:pPr>
            <w:r>
              <w:rPr>
                <w:rFonts w:ascii="MS UI Gothic" w:eastAsia="MS UI Gothic" w:hAnsi="MS UI Gothic" w:hint="eastAsia"/>
                <w:sz w:val="24"/>
              </w:rPr>
              <w:t>☑</w:t>
            </w:r>
            <w:r>
              <w:rPr>
                <w:sz w:val="24"/>
              </w:rPr>
              <w:t>否</w:t>
            </w:r>
          </w:p>
          <w:p>
            <w:pPr>
              <w:pStyle w:val="TableParagraph"/>
              <w:spacing w:before="5"/>
              <w:ind w:left="8"/>
              <w:rPr>
                <w:sz w:val="24"/>
              </w:rPr>
            </w:pPr>
            <w:r>
              <w:rPr>
                <w:sz w:val="24"/>
              </w:rPr>
              <w:t>□是</w:t>
            </w:r>
          </w:p>
        </w:tc>
        <w:tc>
          <w:tcPr>
            <w:tcW w:w="2194" w:type="dxa"/>
            <w:tcBorders>
              <w:top w:val="single" w:sz="4" w:space="0" w:color="000000"/>
              <w:left w:val="single" w:sz="4" w:space="0" w:color="000000"/>
              <w:bottom w:val="single" w:sz="4" w:space="0" w:color="000000"/>
              <w:right w:val="single" w:sz="4" w:space="0" w:color="000000"/>
            </w:tcBorders>
          </w:tcPr>
          <w:p>
            <w:pPr>
              <w:pStyle w:val="TableParagraph"/>
              <w:spacing w:before="101" w:line="242" w:lineRule="auto"/>
              <w:ind w:left="489" w:right="360" w:hanging="108"/>
              <w:rPr>
                <w:sz w:val="24"/>
              </w:rPr>
            </w:pPr>
            <w:r>
              <w:rPr>
                <w:sz w:val="24"/>
              </w:rPr>
              <w:t>用地（用海） 面积（</w:t>
            </w:r>
            <w:r>
              <w:rPr>
                <w:rFonts w:ascii="Times New Roman" w:eastAsia="Times New Roman"/>
                <w:sz w:val="24"/>
              </w:rPr>
              <w:t>m</w:t>
            </w:r>
            <w:r>
              <w:rPr>
                <w:rFonts w:ascii="Times New Roman" w:eastAsia="Times New Roman"/>
                <w:position w:val="8"/>
                <w:sz w:val="15"/>
              </w:rPr>
              <w:t>2</w:t>
            </w:r>
            <w:r>
              <w:rPr>
                <w:sz w:val="24"/>
              </w:rPr>
              <w:t>）</w:t>
            </w:r>
          </w:p>
        </w:tc>
        <w:tc>
          <w:tcPr>
            <w:tcW w:w="2769" w:type="dxa"/>
            <w:tcBorders>
              <w:top w:val="single" w:sz="4" w:space="0" w:color="000000"/>
              <w:left w:val="single" w:sz="4" w:space="0" w:color="000000"/>
              <w:bottom w:val="single" w:sz="4" w:space="0" w:color="000000"/>
            </w:tcBorders>
          </w:tcPr>
          <w:p>
            <w:pPr>
              <w:pStyle w:val="TableParagraph"/>
              <w:spacing w:before="4"/>
              <w:rPr>
                <w:rFonts w:ascii="黑体"/>
                <w:sz w:val="21"/>
              </w:rPr>
            </w:pPr>
          </w:p>
          <w:p>
            <w:pPr>
              <w:pStyle w:val="TableParagraph"/>
              <w:ind w:left="19"/>
              <w:jc w:val="center"/>
              <w:rPr>
                <w:rFonts w:ascii="Times New Roman"/>
                <w:sz w:val="24"/>
              </w:rPr>
            </w:pPr>
            <w:r>
              <w:rPr>
                <w:rFonts w:ascii="Times New Roman"/>
                <w:sz w:val="24"/>
              </w:rPr>
              <w:t>10000</w:t>
            </w:r>
          </w:p>
        </w:tc>
      </w:tr>
      <w:tr>
        <w:tblPrEx>
          <w:tblW w:w="0" w:type="auto"/>
          <w:tblInd w:w="406" w:type="dxa"/>
          <w:tblLayout w:type="fixed"/>
          <w:tblCellMar>
            <w:top w:w="0" w:type="dxa"/>
            <w:left w:w="0" w:type="dxa"/>
            <w:bottom w:w="0" w:type="dxa"/>
            <w:right w:w="0" w:type="dxa"/>
          </w:tblCellMar>
        </w:tblPrEx>
        <w:trPr>
          <w:trHeight w:val="1112"/>
        </w:trPr>
        <w:tc>
          <w:tcPr>
            <w:tcW w:w="1885" w:type="dxa"/>
            <w:tcBorders>
              <w:top w:val="single" w:sz="4" w:space="0" w:color="000000"/>
              <w:bottom w:val="single" w:sz="4" w:space="0" w:color="000000"/>
              <w:right w:val="single" w:sz="4" w:space="0" w:color="000000"/>
            </w:tcBorders>
          </w:tcPr>
          <w:p>
            <w:pPr>
              <w:pStyle w:val="TableParagraph"/>
              <w:spacing w:before="1"/>
              <w:rPr>
                <w:rFonts w:ascii="黑体"/>
                <w:sz w:val="19"/>
              </w:rPr>
            </w:pPr>
          </w:p>
          <w:p>
            <w:pPr>
              <w:pStyle w:val="TableParagraph"/>
              <w:spacing w:line="242" w:lineRule="auto"/>
              <w:ind w:left="700" w:right="207" w:hanging="480"/>
              <w:rPr>
                <w:sz w:val="24"/>
              </w:rPr>
            </w:pPr>
            <w:r>
              <w:rPr>
                <w:sz w:val="24"/>
              </w:rPr>
              <w:t>专项评价设置情况</w:t>
            </w:r>
          </w:p>
        </w:tc>
        <w:tc>
          <w:tcPr>
            <w:tcW w:w="7429" w:type="dxa"/>
            <w:gridSpan w:val="3"/>
            <w:tcBorders>
              <w:top w:val="single" w:sz="4" w:space="0" w:color="000000"/>
              <w:left w:val="single" w:sz="4" w:space="0" w:color="000000"/>
              <w:bottom w:val="single" w:sz="4" w:space="0" w:color="000000"/>
            </w:tcBorders>
          </w:tcPr>
          <w:p>
            <w:pPr>
              <w:pStyle w:val="TableParagraph"/>
              <w:spacing w:before="3"/>
              <w:rPr>
                <w:rFonts w:ascii="黑体"/>
                <w:sz w:val="31"/>
              </w:rPr>
            </w:pPr>
          </w:p>
          <w:p>
            <w:pPr>
              <w:pStyle w:val="TableParagraph"/>
              <w:ind w:left="23"/>
              <w:jc w:val="center"/>
              <w:rPr>
                <w:sz w:val="24"/>
              </w:rPr>
            </w:pPr>
            <w:r>
              <w:rPr>
                <w:sz w:val="24"/>
              </w:rPr>
              <w:t>无</w:t>
            </w:r>
          </w:p>
        </w:tc>
      </w:tr>
      <w:tr>
        <w:tblPrEx>
          <w:tblW w:w="0" w:type="auto"/>
          <w:tblInd w:w="406" w:type="dxa"/>
          <w:tblLayout w:type="fixed"/>
          <w:tblCellMar>
            <w:top w:w="0" w:type="dxa"/>
            <w:left w:w="0" w:type="dxa"/>
            <w:bottom w:w="0" w:type="dxa"/>
            <w:right w:w="0" w:type="dxa"/>
          </w:tblCellMar>
        </w:tblPrEx>
        <w:trPr>
          <w:trHeight w:val="1362"/>
        </w:trPr>
        <w:tc>
          <w:tcPr>
            <w:tcW w:w="1885" w:type="dxa"/>
            <w:tcBorders>
              <w:top w:val="single" w:sz="4" w:space="0" w:color="000000"/>
              <w:bottom w:val="single" w:sz="4" w:space="0" w:color="000000"/>
              <w:right w:val="single" w:sz="4" w:space="0" w:color="000000"/>
            </w:tcBorders>
          </w:tcPr>
          <w:p>
            <w:pPr>
              <w:pStyle w:val="TableParagraph"/>
              <w:rPr>
                <w:rFonts w:ascii="黑体"/>
                <w:sz w:val="24"/>
              </w:rPr>
            </w:pPr>
          </w:p>
          <w:p>
            <w:pPr>
              <w:pStyle w:val="TableParagraph"/>
              <w:spacing w:before="1"/>
              <w:rPr>
                <w:rFonts w:ascii="黑体"/>
                <w:sz w:val="17"/>
              </w:rPr>
            </w:pPr>
          </w:p>
          <w:p>
            <w:pPr>
              <w:pStyle w:val="TableParagraph"/>
              <w:ind w:left="80" w:right="70"/>
              <w:jc w:val="center"/>
              <w:rPr>
                <w:sz w:val="24"/>
              </w:rPr>
            </w:pPr>
            <w:r>
              <w:rPr>
                <w:sz w:val="24"/>
              </w:rPr>
              <w:t>规划情况</w:t>
            </w:r>
          </w:p>
        </w:tc>
        <w:tc>
          <w:tcPr>
            <w:tcW w:w="7429" w:type="dxa"/>
            <w:gridSpan w:val="3"/>
            <w:tcBorders>
              <w:top w:val="single" w:sz="4" w:space="0" w:color="000000"/>
              <w:left w:val="single" w:sz="4" w:space="0" w:color="000000"/>
              <w:bottom w:val="single" w:sz="4" w:space="0" w:color="000000"/>
            </w:tcBorders>
          </w:tcPr>
          <w:p>
            <w:pPr>
              <w:pStyle w:val="TableParagraph"/>
              <w:spacing w:before="214" w:line="362" w:lineRule="auto"/>
              <w:ind w:left="111" w:right="981"/>
              <w:rPr>
                <w:sz w:val="24"/>
              </w:rPr>
            </w:pPr>
            <w:r>
              <w:rPr>
                <w:sz w:val="24"/>
              </w:rPr>
              <w:t>规划文件名称：《宁津东部产业区规划设计（</w:t>
            </w:r>
            <w:r>
              <w:rPr>
                <w:rFonts w:ascii="Times New Roman" w:eastAsia="Times New Roman"/>
                <w:sz w:val="24"/>
              </w:rPr>
              <w:t>2018-2030</w:t>
            </w:r>
            <w:r>
              <w:rPr>
                <w:sz w:val="24"/>
              </w:rPr>
              <w:t>）》审批机关：宁津县人民政府。</w:t>
            </w:r>
          </w:p>
        </w:tc>
      </w:tr>
      <w:tr>
        <w:tblPrEx>
          <w:tblW w:w="0" w:type="auto"/>
          <w:tblInd w:w="406" w:type="dxa"/>
          <w:tblLayout w:type="fixed"/>
          <w:tblCellMar>
            <w:top w:w="0" w:type="dxa"/>
            <w:left w:w="0" w:type="dxa"/>
            <w:bottom w:w="0" w:type="dxa"/>
            <w:right w:w="0" w:type="dxa"/>
          </w:tblCellMar>
        </w:tblPrEx>
        <w:trPr>
          <w:trHeight w:val="1777"/>
        </w:trPr>
        <w:tc>
          <w:tcPr>
            <w:tcW w:w="1885" w:type="dxa"/>
            <w:tcBorders>
              <w:top w:val="single" w:sz="4" w:space="0" w:color="000000"/>
              <w:right w:val="single" w:sz="4" w:space="0" w:color="000000"/>
            </w:tcBorders>
          </w:tcPr>
          <w:p>
            <w:pPr>
              <w:pStyle w:val="TableParagraph"/>
              <w:rPr>
                <w:rFonts w:ascii="黑体"/>
                <w:sz w:val="24"/>
              </w:rPr>
            </w:pPr>
          </w:p>
          <w:p>
            <w:pPr>
              <w:pStyle w:val="TableParagraph"/>
              <w:spacing w:before="1"/>
              <w:rPr>
                <w:rFonts w:ascii="黑体"/>
                <w:sz w:val="21"/>
              </w:rPr>
            </w:pPr>
          </w:p>
          <w:p>
            <w:pPr>
              <w:pStyle w:val="TableParagraph"/>
              <w:spacing w:line="242" w:lineRule="auto"/>
              <w:ind w:left="460" w:right="207" w:hanging="240"/>
              <w:rPr>
                <w:sz w:val="24"/>
              </w:rPr>
            </w:pPr>
            <w:r>
              <w:rPr>
                <w:sz w:val="24"/>
              </w:rPr>
              <w:t>规划环境影响评价情况</w:t>
            </w:r>
          </w:p>
        </w:tc>
        <w:tc>
          <w:tcPr>
            <w:tcW w:w="7429" w:type="dxa"/>
            <w:gridSpan w:val="3"/>
            <w:tcBorders>
              <w:top w:val="single" w:sz="4" w:space="0" w:color="000000"/>
              <w:left w:val="single" w:sz="4" w:space="0" w:color="000000"/>
            </w:tcBorders>
          </w:tcPr>
          <w:p>
            <w:pPr>
              <w:pStyle w:val="TableParagraph"/>
              <w:spacing w:before="189" w:line="364" w:lineRule="auto"/>
              <w:ind w:left="111" w:right="-44"/>
              <w:rPr>
                <w:sz w:val="24"/>
              </w:rPr>
            </w:pPr>
            <w:r>
              <w:rPr>
                <w:spacing w:val="-9"/>
                <w:sz w:val="24"/>
              </w:rPr>
              <w:t>德州市生态环境局宁津分局对《宁津东部产业区规划环境影响报告书》进行审查，审查文件名称及文号为《宁津东部产业区规划环境影响报告书》审查意见的通知（宁环函〔</w:t>
            </w:r>
            <w:r>
              <w:rPr>
                <w:rFonts w:ascii="Times New Roman" w:eastAsia="Times New Roman"/>
                <w:spacing w:val="-9"/>
                <w:sz w:val="24"/>
              </w:rPr>
              <w:t>2020</w:t>
            </w:r>
            <w:r>
              <w:rPr>
                <w:spacing w:val="-9"/>
                <w:sz w:val="24"/>
              </w:rPr>
              <w:t>〕</w:t>
            </w:r>
            <w:r>
              <w:rPr>
                <w:rFonts w:ascii="Times New Roman" w:eastAsia="Times New Roman"/>
                <w:spacing w:val="-9"/>
                <w:sz w:val="24"/>
              </w:rPr>
              <w:t xml:space="preserve">3 </w:t>
            </w:r>
            <w:r>
              <w:rPr>
                <w:spacing w:val="-9"/>
                <w:sz w:val="24"/>
              </w:rPr>
              <w:t>号）。</w:t>
            </w:r>
          </w:p>
        </w:tc>
      </w:tr>
    </w:tbl>
    <w:p>
      <w:pPr>
        <w:pStyle w:val="BodyText"/>
        <w:rPr>
          <w:rFonts w:ascii="黑体"/>
          <w:sz w:val="30"/>
        </w:rPr>
      </w:pPr>
    </w:p>
    <w:p>
      <w:pPr>
        <w:spacing w:before="195"/>
        <w:ind w:left="0" w:right="649" w:firstLine="0"/>
        <w:jc w:val="right"/>
        <w:rPr>
          <w:sz w:val="28"/>
        </w:rPr>
      </w:pPr>
      <w:r>
        <w:rPr>
          <w:sz w:val="28"/>
        </w:rPr>
        <w:t xml:space="preserve">— </w:t>
      </w:r>
      <w:r>
        <w:rPr>
          <w:sz w:val="26"/>
        </w:rPr>
        <w:t xml:space="preserve">1 </w:t>
      </w:r>
      <w:r>
        <w:rPr>
          <w:sz w:val="28"/>
        </w:rPr>
        <w:t>—</w:t>
      </w:r>
    </w:p>
    <w:p>
      <w:pPr>
        <w:spacing w:after="0"/>
        <w:jc w:val="right"/>
        <w:rPr>
          <w:sz w:val="28"/>
        </w:rPr>
        <w:sectPr>
          <w:pgSz w:w="11910" w:h="16840"/>
          <w:pgMar w:top="1580" w:right="879" w:bottom="280" w:left="900" w:header="720" w:footer="720" w:gutter="0"/>
          <w:pgNumType w:start="2"/>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26"/>
        <w:gridCol w:w="544"/>
        <w:gridCol w:w="4811"/>
        <w:gridCol w:w="2250"/>
        <w:gridCol w:w="863"/>
        <w:gridCol w:w="126"/>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88"/>
        </w:trPr>
        <w:tc>
          <w:tcPr>
            <w:tcW w:w="594" w:type="dxa"/>
            <w:vMerge w:val="restart"/>
            <w:tcBorders>
              <w:right w:val="single" w:sz="4" w:space="0" w:color="000000"/>
            </w:tcBorders>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4"/>
              <w:rPr>
                <w:sz w:val="30"/>
              </w:rPr>
            </w:pPr>
          </w:p>
          <w:p>
            <w:pPr>
              <w:pStyle w:val="TableParagraph"/>
              <w:spacing w:line="242" w:lineRule="auto"/>
              <w:ind w:left="177" w:right="159"/>
              <w:jc w:val="both"/>
              <w:rPr>
                <w:sz w:val="24"/>
              </w:rPr>
            </w:pPr>
            <w:r>
              <w:rPr>
                <w:sz w:val="24"/>
              </w:rPr>
              <w:t>规划及规划环境影响评价符合性分析</w:t>
            </w:r>
          </w:p>
        </w:tc>
        <w:tc>
          <w:tcPr>
            <w:tcW w:w="8720" w:type="dxa"/>
            <w:gridSpan w:val="6"/>
            <w:tcBorders>
              <w:left w:val="single" w:sz="4" w:space="0" w:color="000000"/>
              <w:bottom w:val="nil"/>
            </w:tcBorders>
          </w:tcPr>
          <w:p>
            <w:pPr>
              <w:pStyle w:val="TableParagraph"/>
              <w:spacing w:before="1"/>
              <w:ind w:left="591"/>
              <w:rPr>
                <w:sz w:val="24"/>
              </w:rPr>
            </w:pPr>
            <w:r>
              <w:rPr>
                <w:rFonts w:ascii="Times New Roman" w:eastAsia="Times New Roman"/>
                <w:sz w:val="24"/>
              </w:rPr>
              <w:t>1</w:t>
            </w:r>
            <w:r>
              <w:rPr>
                <w:sz w:val="24"/>
              </w:rPr>
              <w:t>、与园区规划相符性分析</w:t>
            </w:r>
          </w:p>
        </w:tc>
      </w:tr>
      <w:tr>
        <w:tblPrEx>
          <w:tblW w:w="0" w:type="auto"/>
          <w:tblInd w:w="406" w:type="dxa"/>
          <w:tblLayout w:type="fixed"/>
          <w:tblCellMar>
            <w:top w:w="0" w:type="dxa"/>
            <w:left w:w="0" w:type="dxa"/>
            <w:bottom w:w="0" w:type="dxa"/>
            <w:right w:w="0" w:type="dxa"/>
          </w:tblCellMar>
        </w:tblPrEx>
        <w:trPr>
          <w:trHeight w:val="437"/>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61"/>
              <w:ind w:left="591"/>
              <w:rPr>
                <w:sz w:val="24"/>
              </w:rPr>
            </w:pPr>
            <w:r>
              <w:rPr>
                <w:sz w:val="24"/>
              </w:rPr>
              <w:t>拟建项目建设地点位于宁津东部产业区内，租赁现有生产车间三座，公司厂</w:t>
            </w:r>
          </w:p>
        </w:tc>
      </w:tr>
      <w:tr>
        <w:tblPrEx>
          <w:tblW w:w="0" w:type="auto"/>
          <w:tblInd w:w="406" w:type="dxa"/>
          <w:tblLayout w:type="fixed"/>
          <w:tblCellMar>
            <w:top w:w="0" w:type="dxa"/>
            <w:left w:w="0" w:type="dxa"/>
            <w:bottom w:w="0" w:type="dxa"/>
            <w:right w:w="0" w:type="dxa"/>
          </w:tblCellMar>
        </w:tblPrEx>
        <w:trPr>
          <w:trHeight w:val="441"/>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69"/>
              <w:ind w:left="111"/>
              <w:rPr>
                <w:sz w:val="24"/>
              </w:rPr>
            </w:pPr>
            <w:r>
              <w:rPr>
                <w:sz w:val="24"/>
              </w:rPr>
              <w:t>区内四周均为企业，厂区南侧与西侧为空地。</w:t>
            </w:r>
          </w:p>
        </w:tc>
      </w:tr>
      <w:tr>
        <w:tblPrEx>
          <w:tblW w:w="0" w:type="auto"/>
          <w:tblInd w:w="406" w:type="dxa"/>
          <w:tblLayout w:type="fixed"/>
          <w:tblCellMar>
            <w:top w:w="0" w:type="dxa"/>
            <w:left w:w="0" w:type="dxa"/>
            <w:bottom w:w="0" w:type="dxa"/>
            <w:right w:w="0" w:type="dxa"/>
          </w:tblCellMar>
        </w:tblPrEx>
        <w:trPr>
          <w:trHeight w:val="455"/>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75"/>
              <w:ind w:left="591"/>
              <w:rPr>
                <w:sz w:val="24"/>
              </w:rPr>
            </w:pPr>
            <w:r>
              <w:rPr>
                <w:sz w:val="24"/>
              </w:rPr>
              <w:t>项目所属区域为宁津东部产业区，根据土地证（鲁（</w:t>
            </w:r>
            <w:r>
              <w:rPr>
                <w:rFonts w:ascii="Times New Roman" w:eastAsia="Times New Roman"/>
                <w:sz w:val="24"/>
              </w:rPr>
              <w:t>2021</w:t>
            </w:r>
            <w:r>
              <w:rPr>
                <w:sz w:val="24"/>
              </w:rPr>
              <w:t>）宁津县不动产权</w:t>
            </w:r>
          </w:p>
        </w:tc>
      </w:tr>
      <w:tr>
        <w:tblPrEx>
          <w:tblW w:w="0" w:type="auto"/>
          <w:tblInd w:w="406" w:type="dxa"/>
          <w:tblLayout w:type="fixed"/>
          <w:tblCellMar>
            <w:top w:w="0" w:type="dxa"/>
            <w:left w:w="0" w:type="dxa"/>
            <w:bottom w:w="0" w:type="dxa"/>
            <w:right w:w="0" w:type="dxa"/>
          </w:tblCellMar>
        </w:tblPrEx>
        <w:trPr>
          <w:trHeight w:val="451"/>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65"/>
              <w:ind w:left="111"/>
              <w:rPr>
                <w:sz w:val="24"/>
              </w:rPr>
            </w:pPr>
            <w:r>
              <w:rPr>
                <w:sz w:val="24"/>
              </w:rPr>
              <w:t xml:space="preserve">第 </w:t>
            </w:r>
            <w:r>
              <w:rPr>
                <w:rFonts w:ascii="Times New Roman" w:eastAsia="Times New Roman"/>
                <w:sz w:val="24"/>
              </w:rPr>
              <w:t xml:space="preserve">0007586 </w:t>
            </w:r>
            <w:r>
              <w:rPr>
                <w:sz w:val="24"/>
              </w:rPr>
              <w:t>号）、宁津东部产业区土地利用规划图，拟建项目占地为工业用地，</w:t>
            </w:r>
          </w:p>
        </w:tc>
      </w:tr>
      <w:tr>
        <w:tblPrEx>
          <w:tblW w:w="0" w:type="auto"/>
          <w:tblInd w:w="406" w:type="dxa"/>
          <w:tblLayout w:type="fixed"/>
          <w:tblCellMar>
            <w:top w:w="0" w:type="dxa"/>
            <w:left w:w="0" w:type="dxa"/>
            <w:bottom w:w="0" w:type="dxa"/>
            <w:right w:w="0" w:type="dxa"/>
          </w:tblCellMar>
        </w:tblPrEx>
        <w:trPr>
          <w:trHeight w:val="438"/>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61"/>
              <w:ind w:left="111"/>
              <w:rPr>
                <w:sz w:val="24"/>
              </w:rPr>
            </w:pPr>
            <w:r>
              <w:rPr>
                <w:sz w:val="24"/>
              </w:rPr>
              <w:t>符合宁津县土地利用总体规划。根据《宁津东部产业区规划环境影响报告书》及</w:t>
            </w:r>
          </w:p>
        </w:tc>
      </w:tr>
      <w:tr>
        <w:tblPrEx>
          <w:tblW w:w="0" w:type="auto"/>
          <w:tblInd w:w="406" w:type="dxa"/>
          <w:tblLayout w:type="fixed"/>
          <w:tblCellMar>
            <w:top w:w="0" w:type="dxa"/>
            <w:left w:w="0" w:type="dxa"/>
            <w:bottom w:w="0" w:type="dxa"/>
            <w:right w:w="0" w:type="dxa"/>
          </w:tblCellMar>
        </w:tblPrEx>
        <w:trPr>
          <w:trHeight w:val="442"/>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70"/>
              <w:ind w:left="111"/>
              <w:rPr>
                <w:sz w:val="24"/>
              </w:rPr>
            </w:pPr>
            <w:r>
              <w:rPr>
                <w:sz w:val="24"/>
              </w:rPr>
              <w:t>德州市生态环境局宁津分局《宁津东部产业区规划环境影响报告书》审查意见的</w:t>
            </w:r>
          </w:p>
        </w:tc>
      </w:tr>
      <w:tr>
        <w:tblPrEx>
          <w:tblW w:w="0" w:type="auto"/>
          <w:tblInd w:w="406" w:type="dxa"/>
          <w:tblLayout w:type="fixed"/>
          <w:tblCellMar>
            <w:top w:w="0" w:type="dxa"/>
            <w:left w:w="0" w:type="dxa"/>
            <w:bottom w:w="0" w:type="dxa"/>
            <w:right w:w="0" w:type="dxa"/>
          </w:tblCellMar>
        </w:tblPrEx>
        <w:trPr>
          <w:trHeight w:val="490"/>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73"/>
              <w:ind w:left="111"/>
              <w:rPr>
                <w:sz w:val="24"/>
              </w:rPr>
            </w:pPr>
            <w:r>
              <w:rPr>
                <w:sz w:val="24"/>
              </w:rPr>
              <w:t>通知（宁环函〔</w:t>
            </w:r>
            <w:r>
              <w:rPr>
                <w:rFonts w:ascii="Times New Roman" w:eastAsia="Times New Roman"/>
                <w:sz w:val="24"/>
              </w:rPr>
              <w:t>2020</w:t>
            </w:r>
            <w:r>
              <w:rPr>
                <w:sz w:val="24"/>
              </w:rPr>
              <w:t>〕</w:t>
            </w:r>
            <w:r>
              <w:rPr>
                <w:rFonts w:ascii="Times New Roman" w:eastAsia="Times New Roman"/>
                <w:sz w:val="24"/>
              </w:rPr>
              <w:t xml:space="preserve">3 </w:t>
            </w:r>
            <w:r>
              <w:rPr>
                <w:sz w:val="24"/>
              </w:rPr>
              <w:t>号），项目与其符合性分析见下表。</w:t>
            </w:r>
          </w:p>
        </w:tc>
      </w:tr>
      <w:tr>
        <w:tblPrEx>
          <w:tblW w:w="0" w:type="auto"/>
          <w:tblInd w:w="406" w:type="dxa"/>
          <w:tblLayout w:type="fixed"/>
          <w:tblCellMar>
            <w:top w:w="0" w:type="dxa"/>
            <w:left w:w="0" w:type="dxa"/>
            <w:bottom w:w="0" w:type="dxa"/>
            <w:right w:w="0" w:type="dxa"/>
          </w:tblCellMar>
        </w:tblPrEx>
        <w:trPr>
          <w:trHeight w:val="479"/>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single" w:sz="6" w:space="0" w:color="000000"/>
            </w:tcBorders>
          </w:tcPr>
          <w:p>
            <w:pPr>
              <w:pStyle w:val="TableParagraph"/>
              <w:tabs>
                <w:tab w:val="left" w:pos="860"/>
              </w:tabs>
              <w:spacing w:before="102"/>
              <w:ind w:left="20"/>
              <w:jc w:val="center"/>
              <w:rPr>
                <w:b/>
                <w:sz w:val="24"/>
              </w:rPr>
            </w:pPr>
            <w:r>
              <w:rPr>
                <w:b/>
                <w:sz w:val="24"/>
              </w:rPr>
              <w:t>表</w:t>
            </w:r>
            <w:r>
              <w:rPr>
                <w:b/>
                <w:spacing w:val="-62"/>
                <w:sz w:val="24"/>
              </w:rPr>
              <w:t xml:space="preserve"> </w:t>
            </w:r>
            <w:r>
              <w:rPr>
                <w:rFonts w:ascii="Times New Roman" w:eastAsia="Times New Roman"/>
                <w:b/>
                <w:sz w:val="24"/>
              </w:rPr>
              <w:t>1.</w:t>
            </w:r>
            <w:r>
              <w:rPr>
                <w:rFonts w:ascii="Times New Roman" w:eastAsia="Times New Roman"/>
                <w:b/>
                <w:sz w:val="24"/>
              </w:rPr>
              <w:tab/>
            </w:r>
            <w:r>
              <w:rPr>
                <w:b/>
                <w:sz w:val="24"/>
              </w:rPr>
              <w:t>与园区规划环评及审查意见的符合性</w:t>
            </w:r>
          </w:p>
        </w:tc>
      </w:tr>
      <w:tr>
        <w:tblPrEx>
          <w:tblW w:w="0" w:type="auto"/>
          <w:tblInd w:w="406" w:type="dxa"/>
          <w:tblLayout w:type="fixed"/>
          <w:tblCellMar>
            <w:top w:w="0" w:type="dxa"/>
            <w:left w:w="0" w:type="dxa"/>
            <w:bottom w:w="0" w:type="dxa"/>
            <w:right w:w="0" w:type="dxa"/>
          </w:tblCellMar>
        </w:tblPrEx>
        <w:trPr>
          <w:trHeight w:val="630"/>
        </w:trPr>
        <w:tc>
          <w:tcPr>
            <w:tcW w:w="594" w:type="dxa"/>
            <w:vMerge/>
            <w:tcBorders>
              <w:top w:val="nil"/>
              <w:right w:val="single" w:sz="4" w:space="0" w:color="000000"/>
            </w:tcBorders>
          </w:tcPr>
          <w:p>
            <w:pPr>
              <w:rPr>
                <w:sz w:val="2"/>
                <w:szCs w:val="2"/>
              </w:rPr>
            </w:pPr>
          </w:p>
        </w:tc>
        <w:tc>
          <w:tcPr>
            <w:tcW w:w="126" w:type="dxa"/>
            <w:vMerge w:val="restart"/>
            <w:tcBorders>
              <w:top w:val="nil"/>
              <w:left w:val="single" w:sz="4" w:space="0" w:color="000000"/>
              <w:right w:val="single" w:sz="6" w:space="0" w:color="000000"/>
            </w:tcBorders>
          </w:tcPr>
          <w:p>
            <w:pPr>
              <w:pStyle w:val="TableParagraph"/>
              <w:rPr>
                <w:rFonts w:ascii="Times New Roman"/>
                <w:sz w:val="20"/>
              </w:rPr>
            </w:pPr>
          </w:p>
        </w:tc>
        <w:tc>
          <w:tcPr>
            <w:tcW w:w="544" w:type="dxa"/>
            <w:tcBorders>
              <w:top w:val="single" w:sz="6" w:space="0" w:color="000000"/>
              <w:left w:val="single" w:sz="6" w:space="0" w:color="000000"/>
              <w:bottom w:val="single" w:sz="6" w:space="0" w:color="000000"/>
              <w:right w:val="single" w:sz="6" w:space="0" w:color="000000"/>
            </w:tcBorders>
          </w:tcPr>
          <w:p>
            <w:pPr>
              <w:pStyle w:val="TableParagraph"/>
              <w:spacing w:before="23" w:line="261" w:lineRule="auto"/>
              <w:ind w:left="167" w:right="150"/>
              <w:rPr>
                <w:b/>
                <w:sz w:val="21"/>
              </w:rPr>
            </w:pPr>
            <w:r>
              <w:rPr>
                <w:b/>
                <w:sz w:val="21"/>
              </w:rPr>
              <w:t>项目</w:t>
            </w:r>
          </w:p>
        </w:tc>
        <w:tc>
          <w:tcPr>
            <w:tcW w:w="4811" w:type="dxa"/>
            <w:tcBorders>
              <w:top w:val="single" w:sz="6" w:space="0" w:color="000000"/>
              <w:left w:val="single" w:sz="6" w:space="0" w:color="000000"/>
              <w:bottom w:val="single" w:sz="6" w:space="0" w:color="000000"/>
              <w:right w:val="single" w:sz="6" w:space="0" w:color="000000"/>
            </w:tcBorders>
          </w:tcPr>
          <w:p>
            <w:pPr>
              <w:pStyle w:val="TableParagraph"/>
              <w:spacing w:before="167"/>
              <w:ind w:left="35" w:right="18"/>
              <w:jc w:val="center"/>
              <w:rPr>
                <w:b/>
                <w:sz w:val="21"/>
              </w:rPr>
            </w:pPr>
            <w:r>
              <w:rPr>
                <w:b/>
                <w:sz w:val="21"/>
              </w:rPr>
              <w:t>文件要求</w:t>
            </w:r>
          </w:p>
        </w:tc>
        <w:tc>
          <w:tcPr>
            <w:tcW w:w="2250" w:type="dxa"/>
            <w:tcBorders>
              <w:top w:val="single" w:sz="6" w:space="0" w:color="000000"/>
              <w:left w:val="single" w:sz="6" w:space="0" w:color="000000"/>
              <w:bottom w:val="single" w:sz="6" w:space="0" w:color="000000"/>
              <w:right w:val="single" w:sz="6" w:space="0" w:color="000000"/>
            </w:tcBorders>
          </w:tcPr>
          <w:p>
            <w:pPr>
              <w:pStyle w:val="TableParagraph"/>
              <w:spacing w:before="153"/>
              <w:ind w:left="599"/>
              <w:rPr>
                <w:b/>
                <w:sz w:val="21"/>
              </w:rPr>
            </w:pPr>
            <w:r>
              <w:rPr>
                <w:b/>
                <w:sz w:val="21"/>
              </w:rPr>
              <w:t>本项目情况</w:t>
            </w:r>
          </w:p>
        </w:tc>
        <w:tc>
          <w:tcPr>
            <w:tcW w:w="863" w:type="dxa"/>
            <w:tcBorders>
              <w:top w:val="single" w:sz="6" w:space="0" w:color="000000"/>
              <w:left w:val="single" w:sz="6" w:space="0" w:color="000000"/>
              <w:bottom w:val="single" w:sz="6" w:space="0" w:color="000000"/>
              <w:right w:val="single" w:sz="6" w:space="0" w:color="000000"/>
            </w:tcBorders>
          </w:tcPr>
          <w:p>
            <w:pPr>
              <w:pStyle w:val="TableParagraph"/>
              <w:spacing w:before="153"/>
              <w:ind w:left="97" w:right="78"/>
              <w:jc w:val="center"/>
              <w:rPr>
                <w:b/>
                <w:sz w:val="21"/>
              </w:rPr>
            </w:pPr>
            <w:r>
              <w:rPr>
                <w:b/>
                <w:sz w:val="21"/>
              </w:rPr>
              <w:t>符合性</w:t>
            </w:r>
          </w:p>
        </w:tc>
        <w:tc>
          <w:tcPr>
            <w:tcW w:w="126" w:type="dxa"/>
            <w:tcBorders>
              <w:top w:val="nil"/>
              <w:left w:val="single" w:sz="6"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94"/>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val="restart"/>
            <w:tcBorders>
              <w:top w:val="single" w:sz="6" w:space="0" w:color="000000"/>
              <w:left w:val="single" w:sz="6" w:space="0" w:color="000000"/>
              <w:right w:val="single" w:sz="6"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8"/>
              <w:rPr>
                <w:sz w:val="19"/>
              </w:rPr>
            </w:pPr>
          </w:p>
          <w:p>
            <w:pPr>
              <w:pStyle w:val="TableParagraph"/>
              <w:spacing w:line="261" w:lineRule="auto"/>
              <w:ind w:left="170" w:right="147"/>
              <w:jc w:val="both"/>
              <w:rPr>
                <w:sz w:val="21"/>
              </w:rPr>
            </w:pPr>
            <w:r>
              <w:rPr>
                <w:sz w:val="21"/>
              </w:rPr>
              <w:t>园区规划及开发情况</w:t>
            </w:r>
          </w:p>
        </w:tc>
        <w:tc>
          <w:tcPr>
            <w:tcW w:w="4811" w:type="dxa"/>
            <w:tcBorders>
              <w:top w:val="single" w:sz="6" w:space="0" w:color="000000"/>
              <w:left w:val="single" w:sz="6" w:space="0" w:color="000000"/>
              <w:bottom w:val="nil"/>
              <w:right w:val="single" w:sz="6" w:space="0" w:color="000000"/>
            </w:tcBorders>
          </w:tcPr>
          <w:p>
            <w:pPr>
              <w:pStyle w:val="TableParagraph"/>
              <w:spacing w:before="23" w:line="251" w:lineRule="exact"/>
              <w:ind w:left="35" w:right="18"/>
              <w:jc w:val="center"/>
              <w:rPr>
                <w:sz w:val="21"/>
              </w:rPr>
            </w:pPr>
            <w:r>
              <w:rPr>
                <w:sz w:val="21"/>
              </w:rPr>
              <w:t>宁津东部产业区位于宁津县城东部。东部产业区规</w:t>
            </w:r>
          </w:p>
        </w:tc>
        <w:tc>
          <w:tcPr>
            <w:tcW w:w="2250"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69" w:line="261" w:lineRule="auto"/>
              <w:ind w:left="109" w:right="90" w:hanging="1"/>
              <w:jc w:val="center"/>
              <w:rPr>
                <w:sz w:val="21"/>
              </w:rPr>
            </w:pPr>
            <w:r>
              <w:rPr>
                <w:sz w:val="21"/>
              </w:rPr>
              <w:t>拟建项目位于宁津东</w:t>
            </w:r>
            <w:r>
              <w:rPr>
                <w:spacing w:val="-9"/>
                <w:sz w:val="21"/>
              </w:rPr>
              <w:t>部产业区内。拟建项目</w:t>
            </w:r>
            <w:r>
              <w:rPr>
                <w:sz w:val="21"/>
              </w:rPr>
              <w:t>为金属表面处理及热处理加工</w:t>
            </w:r>
          </w:p>
        </w:tc>
        <w:tc>
          <w:tcPr>
            <w:tcW w:w="863" w:type="dxa"/>
            <w:tcBorders>
              <w:top w:val="single" w:sz="6" w:space="0" w:color="000000"/>
              <w:left w:val="single" w:sz="6" w:space="0" w:color="000000"/>
              <w:bottom w:val="nil"/>
              <w:right w:val="single" w:sz="6" w:space="0" w:color="000000"/>
            </w:tcBorders>
          </w:tcPr>
          <w:p>
            <w:pPr>
              <w:pStyle w:val="TableParagraph"/>
              <w:rPr>
                <w:rFonts w:ascii="Times New Roman"/>
                <w:sz w:val="20"/>
              </w:rPr>
            </w:pPr>
          </w:p>
        </w:tc>
        <w:tc>
          <w:tcPr>
            <w:tcW w:w="126" w:type="dxa"/>
            <w:vMerge w:val="restart"/>
            <w:tcBorders>
              <w:top w:val="nil"/>
              <w:left w:val="single" w:sz="6"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7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tcBorders>
              <w:top w:val="nil"/>
              <w:left w:val="single" w:sz="6" w:space="0" w:color="000000"/>
              <w:bottom w:val="nil"/>
              <w:right w:val="single" w:sz="6" w:space="0" w:color="000000"/>
            </w:tcBorders>
          </w:tcPr>
          <w:p>
            <w:pPr>
              <w:pStyle w:val="TableParagraph"/>
              <w:spacing w:before="1" w:line="251" w:lineRule="exact"/>
              <w:ind w:left="37" w:right="18"/>
              <w:jc w:val="center"/>
              <w:rPr>
                <w:sz w:val="21"/>
              </w:rPr>
            </w:pPr>
            <w:r>
              <w:rPr>
                <w:sz w:val="21"/>
              </w:rPr>
              <w:t>划范围：东至工业四路，南至陵城区边界，西至省</w:t>
            </w:r>
          </w:p>
        </w:tc>
        <w:tc>
          <w:tcPr>
            <w:tcW w:w="2250" w:type="dxa"/>
            <w:vMerge/>
            <w:tcBorders>
              <w:top w:val="nil"/>
              <w:left w:val="single" w:sz="6" w:space="0" w:color="000000"/>
              <w:bottom w:val="single" w:sz="6" w:space="0" w:color="000000"/>
              <w:right w:val="single" w:sz="6" w:space="0" w:color="000000"/>
            </w:tcBorders>
          </w:tcPr>
          <w:p>
            <w:pPr>
              <w:rPr>
                <w:sz w:val="2"/>
                <w:szCs w:val="2"/>
              </w:rPr>
            </w:pPr>
          </w:p>
        </w:tc>
        <w:tc>
          <w:tcPr>
            <w:tcW w:w="863" w:type="dxa"/>
            <w:tcBorders>
              <w:top w:val="nil"/>
              <w:left w:val="single" w:sz="6" w:space="0" w:color="000000"/>
              <w:bottom w:val="nil"/>
              <w:right w:val="single" w:sz="6" w:space="0" w:color="000000"/>
            </w:tcBorders>
          </w:tcPr>
          <w:p>
            <w:pPr>
              <w:pStyle w:val="TableParagraph"/>
              <w:rPr>
                <w:rFonts w:ascii="Times New Roman"/>
                <w:sz w:val="20"/>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73"/>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tcBorders>
              <w:top w:val="nil"/>
              <w:left w:val="single" w:sz="6" w:space="0" w:color="000000"/>
              <w:bottom w:val="nil"/>
              <w:right w:val="single" w:sz="6" w:space="0" w:color="000000"/>
            </w:tcBorders>
          </w:tcPr>
          <w:p>
            <w:pPr>
              <w:pStyle w:val="TableParagraph"/>
              <w:spacing w:before="1" w:line="252" w:lineRule="exact"/>
              <w:ind w:left="12" w:right="18"/>
              <w:jc w:val="center"/>
              <w:rPr>
                <w:sz w:val="21"/>
              </w:rPr>
            </w:pPr>
            <w:r>
              <w:rPr>
                <w:sz w:val="21"/>
              </w:rPr>
              <w:t>道 249 线，北至宁津新河；规划用地面积约 14.20</w:t>
            </w:r>
          </w:p>
        </w:tc>
        <w:tc>
          <w:tcPr>
            <w:tcW w:w="2250" w:type="dxa"/>
            <w:vMerge/>
            <w:tcBorders>
              <w:top w:val="nil"/>
              <w:left w:val="single" w:sz="6" w:space="0" w:color="000000"/>
              <w:bottom w:val="single" w:sz="6" w:space="0" w:color="000000"/>
              <w:right w:val="single" w:sz="6" w:space="0" w:color="000000"/>
            </w:tcBorders>
          </w:tcPr>
          <w:p>
            <w:pPr>
              <w:rPr>
                <w:sz w:val="2"/>
                <w:szCs w:val="2"/>
              </w:rPr>
            </w:pPr>
          </w:p>
        </w:tc>
        <w:tc>
          <w:tcPr>
            <w:tcW w:w="863" w:type="dxa"/>
            <w:tcBorders>
              <w:top w:val="nil"/>
              <w:left w:val="single" w:sz="6" w:space="0" w:color="000000"/>
              <w:bottom w:val="nil"/>
              <w:right w:val="single" w:sz="6" w:space="0" w:color="000000"/>
            </w:tcBorders>
          </w:tcPr>
          <w:p>
            <w:pPr>
              <w:pStyle w:val="TableParagraph"/>
              <w:spacing w:before="1" w:line="252" w:lineRule="exact"/>
              <w:ind w:left="94" w:right="78"/>
              <w:jc w:val="center"/>
              <w:rPr>
                <w:sz w:val="21"/>
              </w:rPr>
            </w:pPr>
            <w:r>
              <w:rPr>
                <w:sz w:val="21"/>
              </w:rPr>
              <w:t>符合</w:t>
            </w: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74"/>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tcBorders>
              <w:top w:val="nil"/>
              <w:left w:val="single" w:sz="6" w:space="0" w:color="000000"/>
              <w:bottom w:val="nil"/>
              <w:right w:val="single" w:sz="6" w:space="0" w:color="000000"/>
            </w:tcBorders>
          </w:tcPr>
          <w:p>
            <w:pPr>
              <w:pStyle w:val="TableParagraph"/>
              <w:spacing w:before="2" w:line="251" w:lineRule="exact"/>
              <w:ind w:left="35" w:right="18"/>
              <w:jc w:val="center"/>
              <w:rPr>
                <w:sz w:val="21"/>
              </w:rPr>
            </w:pPr>
            <w:r>
              <w:rPr>
                <w:sz w:val="21"/>
              </w:rPr>
              <w:t>平方公里。主导产业：电梯制造、健身器材、家具</w:t>
            </w:r>
          </w:p>
        </w:tc>
        <w:tc>
          <w:tcPr>
            <w:tcW w:w="2250" w:type="dxa"/>
            <w:vMerge/>
            <w:tcBorders>
              <w:top w:val="nil"/>
              <w:left w:val="single" w:sz="6" w:space="0" w:color="000000"/>
              <w:bottom w:val="single" w:sz="6" w:space="0" w:color="000000"/>
              <w:right w:val="single" w:sz="6" w:space="0" w:color="000000"/>
            </w:tcBorders>
          </w:tcPr>
          <w:p>
            <w:pPr>
              <w:rPr>
                <w:sz w:val="2"/>
                <w:szCs w:val="2"/>
              </w:rPr>
            </w:pPr>
          </w:p>
        </w:tc>
        <w:tc>
          <w:tcPr>
            <w:tcW w:w="863" w:type="dxa"/>
            <w:tcBorders>
              <w:top w:val="nil"/>
              <w:left w:val="single" w:sz="6" w:space="0" w:color="000000"/>
              <w:bottom w:val="nil"/>
              <w:right w:val="single" w:sz="6" w:space="0" w:color="000000"/>
            </w:tcBorders>
          </w:tcPr>
          <w:p>
            <w:pPr>
              <w:pStyle w:val="TableParagraph"/>
              <w:rPr>
                <w:rFonts w:ascii="Times New Roman"/>
                <w:sz w:val="20"/>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17"/>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tcBorders>
              <w:top w:val="nil"/>
              <w:left w:val="single" w:sz="6" w:space="0" w:color="000000"/>
              <w:bottom w:val="single" w:sz="6" w:space="0" w:color="000000"/>
              <w:right w:val="single" w:sz="6" w:space="0" w:color="000000"/>
            </w:tcBorders>
          </w:tcPr>
          <w:p>
            <w:pPr>
              <w:pStyle w:val="TableParagraph"/>
              <w:spacing w:before="1"/>
              <w:ind w:left="37" w:right="18"/>
              <w:jc w:val="center"/>
              <w:rPr>
                <w:sz w:val="21"/>
              </w:rPr>
            </w:pPr>
            <w:r>
              <w:rPr>
                <w:sz w:val="21"/>
              </w:rPr>
              <w:t>制造、新能源新材料、智能装备制造、物流仓储等</w:t>
            </w:r>
          </w:p>
        </w:tc>
        <w:tc>
          <w:tcPr>
            <w:tcW w:w="2250" w:type="dxa"/>
            <w:vMerge/>
            <w:tcBorders>
              <w:top w:val="nil"/>
              <w:left w:val="single" w:sz="6" w:space="0" w:color="000000"/>
              <w:bottom w:val="single" w:sz="6" w:space="0" w:color="000000"/>
              <w:right w:val="single" w:sz="6" w:space="0" w:color="000000"/>
            </w:tcBorders>
          </w:tcPr>
          <w:p>
            <w:pPr>
              <w:rPr>
                <w:sz w:val="2"/>
                <w:szCs w:val="2"/>
              </w:rPr>
            </w:pPr>
          </w:p>
        </w:tc>
        <w:tc>
          <w:tcPr>
            <w:tcW w:w="863" w:type="dxa"/>
            <w:tcBorders>
              <w:top w:val="nil"/>
              <w:left w:val="single" w:sz="6" w:space="0" w:color="000000"/>
              <w:bottom w:val="single" w:sz="6" w:space="0" w:color="000000"/>
              <w:right w:val="single" w:sz="6" w:space="0" w:color="000000"/>
            </w:tcBorders>
          </w:tcPr>
          <w:p>
            <w:pPr>
              <w:pStyle w:val="TableParagraph"/>
              <w:rPr>
                <w:rFonts w:ascii="Times New Roman"/>
                <w:sz w:val="20"/>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8"/>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31" w:line="242" w:lineRule="auto"/>
              <w:ind w:left="110" w:right="89" w:hanging="1"/>
              <w:jc w:val="center"/>
              <w:rPr>
                <w:sz w:val="21"/>
              </w:rPr>
            </w:pPr>
            <w:r>
              <w:rPr>
                <w:spacing w:val="-5"/>
                <w:w w:val="95"/>
                <w:sz w:val="21"/>
              </w:rPr>
              <w:t xml:space="preserve">给水规划：规划用水由宁津水厂和大柳水厂联合供 </w:t>
            </w:r>
            <w:r>
              <w:rPr>
                <w:spacing w:val="-6"/>
                <w:w w:val="95"/>
                <w:sz w:val="21"/>
              </w:rPr>
              <w:t xml:space="preserve">给；排水规划：规划近期在宁津县第二污水处理厂 </w:t>
            </w:r>
            <w:r>
              <w:rPr>
                <w:spacing w:val="-7"/>
                <w:w w:val="95"/>
                <w:sz w:val="21"/>
              </w:rPr>
              <w:t xml:space="preserve">建成前，污水经预处理达到《污水排入城镇下水道 </w:t>
            </w:r>
            <w:r>
              <w:rPr>
                <w:spacing w:val="-7"/>
                <w:sz w:val="21"/>
              </w:rPr>
              <w:t>水质标准》（</w:t>
            </w:r>
            <w:r>
              <w:rPr>
                <w:rFonts w:ascii="Times New Roman" w:eastAsia="Times New Roman"/>
                <w:spacing w:val="-7"/>
                <w:sz w:val="21"/>
              </w:rPr>
              <w:t>GB/T31962-2015</w:t>
            </w:r>
            <w:r>
              <w:rPr>
                <w:spacing w:val="-7"/>
                <w:sz w:val="21"/>
              </w:rPr>
              <w:t>）及污水处</w:t>
            </w:r>
          </w:p>
          <w:p>
            <w:pPr>
              <w:pStyle w:val="TableParagraph"/>
              <w:spacing w:before="3" w:line="242" w:lineRule="auto"/>
              <w:ind w:left="110" w:right="-15" w:hanging="104"/>
              <w:jc w:val="center"/>
              <w:rPr>
                <w:sz w:val="21"/>
              </w:rPr>
            </w:pPr>
            <w:r>
              <w:rPr>
                <w:spacing w:val="-3"/>
                <w:sz w:val="21"/>
              </w:rPr>
              <w:t>理厂进水水质要求后，排入宁津县污水处理厂</w:t>
            </w:r>
            <w:r>
              <w:rPr>
                <w:sz w:val="21"/>
              </w:rPr>
              <w:t>（二期工程</w:t>
            </w:r>
            <w:r>
              <w:rPr>
                <w:spacing w:val="-8"/>
                <w:sz w:val="21"/>
              </w:rPr>
              <w:t>）</w:t>
            </w:r>
            <w:r>
              <w:rPr>
                <w:spacing w:val="-5"/>
                <w:sz w:val="21"/>
              </w:rPr>
              <w:t xml:space="preserve">处理，经宁津县污水处理厂 </w:t>
            </w:r>
            <w:r>
              <w:rPr>
                <w:sz w:val="21"/>
              </w:rPr>
              <w:t xml:space="preserve">（二期工程） 处理后出水达到《城镇污水处理厂污染物排放标  </w:t>
            </w:r>
            <w:r>
              <w:rPr>
                <w:spacing w:val="-32"/>
                <w:sz w:val="21"/>
              </w:rPr>
              <w:t>准》</w:t>
            </w:r>
            <w:r>
              <w:rPr>
                <w:sz w:val="21"/>
              </w:rPr>
              <w:t>（</w:t>
            </w:r>
            <w:r>
              <w:rPr>
                <w:rFonts w:ascii="Times New Roman" w:eastAsia="Times New Roman"/>
                <w:sz w:val="21"/>
              </w:rPr>
              <w:t>GB18918-2002</w:t>
            </w:r>
            <w:r>
              <w:rPr>
                <w:sz w:val="21"/>
              </w:rPr>
              <w:t>）</w:t>
            </w:r>
            <w:r>
              <w:rPr>
                <w:spacing w:val="-9"/>
                <w:sz w:val="21"/>
              </w:rPr>
              <w:t xml:space="preserve">中一级 </w:t>
            </w:r>
            <w:r>
              <w:rPr>
                <w:rFonts w:ascii="Times New Roman" w:eastAsia="Times New Roman"/>
                <w:sz w:val="21"/>
              </w:rPr>
              <w:t>A</w:t>
            </w:r>
            <w:r>
              <w:rPr>
                <w:rFonts w:ascii="Times New Roman" w:eastAsia="Times New Roman"/>
                <w:spacing w:val="20"/>
                <w:sz w:val="21"/>
              </w:rPr>
              <w:t xml:space="preserve"> </w:t>
            </w:r>
            <w:r>
              <w:rPr>
                <w:sz w:val="21"/>
              </w:rPr>
              <w:t xml:space="preserve">标准后达标排放； </w:t>
            </w:r>
            <w:r>
              <w:rPr>
                <w:spacing w:val="-5"/>
                <w:sz w:val="21"/>
              </w:rPr>
              <w:t>规划新建宁津县第二污水处理厂建成后</w:t>
            </w:r>
            <w:r>
              <w:rPr>
                <w:sz w:val="21"/>
              </w:rPr>
              <w:t>（</w:t>
            </w:r>
            <w:r>
              <w:rPr>
                <w:spacing w:val="-19"/>
                <w:sz w:val="21"/>
              </w:rPr>
              <w:t xml:space="preserve">预计 </w:t>
            </w:r>
            <w:r>
              <w:rPr>
                <w:rFonts w:ascii="Times New Roman" w:eastAsia="Times New Roman"/>
                <w:sz w:val="21"/>
              </w:rPr>
              <w:t xml:space="preserve">2025 </w:t>
            </w:r>
            <w:r>
              <w:rPr>
                <w:sz w:val="21"/>
              </w:rPr>
              <w:t>年前建成并运营</w:t>
            </w:r>
            <w:r>
              <w:rPr>
                <w:spacing w:val="-12"/>
                <w:sz w:val="21"/>
              </w:rPr>
              <w:t>）</w:t>
            </w:r>
            <w:r>
              <w:rPr>
                <w:spacing w:val="-3"/>
                <w:sz w:val="21"/>
              </w:rPr>
              <w:t>，宁津东部产业区产生的污水经预处理达到《污水排入城镇下水道水质标准》</w:t>
            </w:r>
          </w:p>
          <w:p>
            <w:pPr>
              <w:pStyle w:val="TableParagraph"/>
              <w:spacing w:before="3" w:line="242" w:lineRule="auto"/>
              <w:ind w:left="110" w:right="89" w:hanging="3"/>
              <w:jc w:val="center"/>
              <w:rPr>
                <w:sz w:val="21"/>
              </w:rPr>
            </w:pPr>
            <w:r>
              <w:rPr>
                <w:sz w:val="21"/>
              </w:rPr>
              <w:t>（</w:t>
            </w:r>
            <w:r>
              <w:rPr>
                <w:rFonts w:ascii="Times New Roman" w:eastAsia="Times New Roman"/>
                <w:sz w:val="21"/>
              </w:rPr>
              <w:t>GB/T31962-2015</w:t>
            </w:r>
            <w:r>
              <w:rPr>
                <w:sz w:val="21"/>
              </w:rPr>
              <w:t>）及污水处理厂进水水质要求</w:t>
            </w:r>
            <w:r>
              <w:rPr>
                <w:spacing w:val="-5"/>
                <w:w w:val="95"/>
                <w:sz w:val="21"/>
              </w:rPr>
              <w:t xml:space="preserve">后，通过污水管网排入新建宁津县第二污水处理厂 </w:t>
            </w:r>
            <w:r>
              <w:rPr>
                <w:spacing w:val="-6"/>
                <w:w w:val="95"/>
                <w:sz w:val="21"/>
              </w:rPr>
              <w:t xml:space="preserve">处理，经宁津县第二污水处理厂处理后出水指标满 </w:t>
            </w:r>
            <w:r>
              <w:rPr>
                <w:spacing w:val="-6"/>
                <w:sz w:val="21"/>
              </w:rPr>
              <w:t>足《城镇污水处理厂污染物排放标准》</w:t>
            </w:r>
          </w:p>
          <w:p>
            <w:pPr>
              <w:pStyle w:val="TableParagraph"/>
              <w:spacing w:before="5"/>
              <w:ind w:left="35" w:right="18"/>
              <w:jc w:val="center"/>
              <w:rPr>
                <w:sz w:val="21"/>
              </w:rPr>
            </w:pPr>
            <w:r>
              <w:rPr>
                <w:sz w:val="21"/>
              </w:rPr>
              <w:t>（</w:t>
            </w:r>
            <w:r>
              <w:rPr>
                <w:rFonts w:ascii="Times New Roman" w:eastAsia="Times New Roman"/>
                <w:sz w:val="21"/>
              </w:rPr>
              <w:t>GB18918-2002</w:t>
            </w:r>
            <w:r>
              <w:rPr>
                <w:sz w:val="21"/>
              </w:rPr>
              <w:t xml:space="preserve">）一级 </w:t>
            </w:r>
            <w:r>
              <w:rPr>
                <w:rFonts w:ascii="Times New Roman" w:eastAsia="Times New Roman"/>
                <w:sz w:val="21"/>
              </w:rPr>
              <w:t xml:space="preserve">A </w:t>
            </w:r>
            <w:r>
              <w:rPr>
                <w:sz w:val="21"/>
              </w:rPr>
              <w:t>标准要求后排入宁南河</w:t>
            </w:r>
          </w:p>
        </w:tc>
        <w:tc>
          <w:tcPr>
            <w:tcW w:w="2250" w:type="dxa"/>
            <w:tcBorders>
              <w:top w:val="single" w:sz="6" w:space="0" w:color="000000"/>
              <w:left w:val="single" w:sz="6" w:space="0" w:color="000000"/>
              <w:bottom w:val="nil"/>
              <w:right w:val="single" w:sz="6" w:space="0" w:color="000000"/>
            </w:tcBorders>
          </w:tcPr>
          <w:p>
            <w:pPr>
              <w:pStyle w:val="TableParagraph"/>
              <w:spacing w:line="239" w:lineRule="exact"/>
              <w:ind w:left="181"/>
              <w:rPr>
                <w:sz w:val="21"/>
              </w:rPr>
            </w:pPr>
            <w:r>
              <w:rPr>
                <w:sz w:val="21"/>
              </w:rPr>
              <w:t>项目用水由宁津县供</w:t>
            </w:r>
          </w:p>
        </w:tc>
        <w:tc>
          <w:tcPr>
            <w:tcW w:w="863" w:type="dxa"/>
            <w:tcBorders>
              <w:top w:val="single" w:sz="6" w:space="0" w:color="000000"/>
              <w:left w:val="single" w:sz="6" w:space="0" w:color="000000"/>
              <w:bottom w:val="nil"/>
              <w:right w:val="single" w:sz="6" w:space="0" w:color="000000"/>
            </w:tcBorders>
          </w:tcPr>
          <w:p>
            <w:pPr>
              <w:pStyle w:val="TableParagraph"/>
              <w:rPr>
                <w:rFonts w:ascii="Times New Roman"/>
                <w:sz w:val="18"/>
              </w:rPr>
            </w:pPr>
          </w:p>
        </w:tc>
        <w:tc>
          <w:tcPr>
            <w:tcW w:w="126" w:type="dxa"/>
            <w:vMerge w:val="restart"/>
            <w:tcBorders>
              <w:top w:val="nil"/>
              <w:left w:val="single" w:sz="6"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09"/>
              <w:rPr>
                <w:sz w:val="21"/>
              </w:rPr>
            </w:pPr>
            <w:r>
              <w:rPr>
                <w:sz w:val="21"/>
              </w:rPr>
              <w:t>水管网提供；生产废水</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09"/>
              <w:rPr>
                <w:sz w:val="21"/>
              </w:rPr>
            </w:pPr>
            <w:r>
              <w:rPr>
                <w:sz w:val="21"/>
              </w:rPr>
              <w:t>（预清洗废水、电泳后</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09"/>
              <w:rPr>
                <w:sz w:val="21"/>
              </w:rPr>
            </w:pPr>
            <w:r>
              <w:rPr>
                <w:sz w:val="21"/>
              </w:rPr>
              <w:t>清洗废水、酸洗废水、</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1"/>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1" w:lineRule="exact"/>
              <w:ind w:left="109"/>
              <w:rPr>
                <w:sz w:val="21"/>
              </w:rPr>
            </w:pPr>
            <w:r>
              <w:rPr>
                <w:sz w:val="21"/>
              </w:rPr>
              <w:t>电磁抛光废水</w:t>
            </w:r>
            <w:r>
              <w:rPr>
                <w:spacing w:val="-65"/>
                <w:sz w:val="21"/>
              </w:rPr>
              <w:t>）</w:t>
            </w:r>
            <w:r>
              <w:rPr>
                <w:sz w:val="21"/>
              </w:rPr>
              <w:t>进入厂</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81"/>
              <w:rPr>
                <w:sz w:val="21"/>
              </w:rPr>
            </w:pPr>
            <w:r>
              <w:rPr>
                <w:sz w:val="21"/>
              </w:rPr>
              <w:t>区自建污水处理设施</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81"/>
              <w:rPr>
                <w:sz w:val="21"/>
              </w:rPr>
            </w:pPr>
            <w:r>
              <w:rPr>
                <w:sz w:val="21"/>
              </w:rPr>
              <w:t>预处理后排入宁津县</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81"/>
              <w:rPr>
                <w:sz w:val="21"/>
              </w:rPr>
            </w:pPr>
            <w:r>
              <w:rPr>
                <w:sz w:val="21"/>
              </w:rPr>
              <w:t>嘉诚水质净化有限公</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09"/>
              <w:rPr>
                <w:sz w:val="21"/>
              </w:rPr>
            </w:pPr>
            <w:r>
              <w:rPr>
                <w:sz w:val="21"/>
              </w:rPr>
              <w:t>司深度处理。纯水装置</w:t>
            </w:r>
          </w:p>
        </w:tc>
        <w:tc>
          <w:tcPr>
            <w:tcW w:w="863" w:type="dxa"/>
            <w:tcBorders>
              <w:top w:val="nil"/>
              <w:left w:val="single" w:sz="6" w:space="0" w:color="000000"/>
              <w:bottom w:val="nil"/>
              <w:right w:val="single" w:sz="6" w:space="0" w:color="000000"/>
            </w:tcBorders>
          </w:tcPr>
          <w:p>
            <w:pPr>
              <w:pStyle w:val="TableParagraph"/>
              <w:spacing w:line="232" w:lineRule="exact"/>
              <w:ind w:left="94" w:right="78"/>
              <w:jc w:val="center"/>
              <w:rPr>
                <w:sz w:val="21"/>
              </w:rPr>
            </w:pPr>
            <w:r>
              <w:rPr>
                <w:sz w:val="21"/>
              </w:rPr>
              <w:t>符合</w:t>
            </w: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81"/>
              <w:rPr>
                <w:sz w:val="21"/>
              </w:rPr>
            </w:pPr>
            <w:r>
              <w:rPr>
                <w:sz w:val="21"/>
              </w:rPr>
              <w:t>产生的浓水排入市政</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81"/>
              <w:rPr>
                <w:sz w:val="21"/>
              </w:rPr>
            </w:pPr>
            <w:r>
              <w:rPr>
                <w:sz w:val="21"/>
              </w:rPr>
              <w:t>管网后宁津县嘉诚水</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81"/>
              <w:rPr>
                <w:sz w:val="21"/>
              </w:rPr>
            </w:pPr>
            <w:r>
              <w:rPr>
                <w:sz w:val="21"/>
              </w:rPr>
              <w:t>质净化有限公司进行</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09"/>
              <w:rPr>
                <w:sz w:val="21"/>
              </w:rPr>
            </w:pPr>
            <w:r>
              <w:rPr>
                <w:sz w:val="21"/>
              </w:rPr>
              <w:t>处理。生活污水经化粪</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09"/>
              <w:rPr>
                <w:sz w:val="21"/>
              </w:rPr>
            </w:pPr>
            <w:r>
              <w:rPr>
                <w:sz w:val="21"/>
              </w:rPr>
              <w:t>池处理后，排入市政管</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81"/>
              <w:rPr>
                <w:sz w:val="21"/>
              </w:rPr>
            </w:pPr>
            <w:r>
              <w:rPr>
                <w:sz w:val="21"/>
              </w:rPr>
              <w:t>网后宁津县嘉诚水质</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nil"/>
              <w:right w:val="single" w:sz="6" w:space="0" w:color="000000"/>
            </w:tcBorders>
          </w:tcPr>
          <w:p>
            <w:pPr>
              <w:pStyle w:val="TableParagraph"/>
              <w:spacing w:line="232" w:lineRule="exact"/>
              <w:ind w:left="181"/>
              <w:rPr>
                <w:sz w:val="21"/>
              </w:rPr>
            </w:pPr>
            <w:r>
              <w:rPr>
                <w:sz w:val="21"/>
              </w:rPr>
              <w:t>净化有限公司进行处</w:t>
            </w: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60"/>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vMerge/>
            <w:tcBorders>
              <w:top w:val="nil"/>
              <w:left w:val="single" w:sz="6" w:space="0" w:color="000000"/>
              <w:bottom w:val="single" w:sz="6" w:space="0" w:color="000000"/>
              <w:right w:val="single" w:sz="6" w:space="0" w:color="000000"/>
            </w:tcBorders>
          </w:tcPr>
          <w:p>
            <w:pPr>
              <w:rPr>
                <w:sz w:val="2"/>
                <w:szCs w:val="2"/>
              </w:rPr>
            </w:pPr>
          </w:p>
        </w:tc>
        <w:tc>
          <w:tcPr>
            <w:tcW w:w="2250" w:type="dxa"/>
            <w:tcBorders>
              <w:top w:val="nil"/>
              <w:left w:val="single" w:sz="6" w:space="0" w:color="000000"/>
              <w:bottom w:val="single" w:sz="6" w:space="0" w:color="000000"/>
              <w:right w:val="single" w:sz="6" w:space="0" w:color="000000"/>
            </w:tcBorders>
          </w:tcPr>
          <w:p>
            <w:pPr>
              <w:pStyle w:val="TableParagraph"/>
              <w:spacing w:line="240" w:lineRule="exact"/>
              <w:ind w:left="37" w:right="23"/>
              <w:jc w:val="center"/>
              <w:rPr>
                <w:sz w:val="21"/>
              </w:rPr>
            </w:pPr>
            <w:r>
              <w:rPr>
                <w:sz w:val="21"/>
              </w:rPr>
              <w:t>理。</w:t>
            </w:r>
          </w:p>
        </w:tc>
        <w:tc>
          <w:tcPr>
            <w:tcW w:w="863" w:type="dxa"/>
            <w:tcBorders>
              <w:top w:val="nil"/>
              <w:left w:val="single" w:sz="6" w:space="0" w:color="000000"/>
              <w:bottom w:val="single" w:sz="6" w:space="0" w:color="000000"/>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483"/>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tcBorders>
              <w:top w:val="single" w:sz="6" w:space="0" w:color="000000"/>
              <w:left w:val="single" w:sz="6" w:space="0" w:color="000000"/>
              <w:bottom w:val="nil"/>
              <w:right w:val="single" w:sz="6" w:space="0" w:color="000000"/>
            </w:tcBorders>
          </w:tcPr>
          <w:p>
            <w:pPr>
              <w:pStyle w:val="TableParagraph"/>
              <w:spacing w:before="4"/>
              <w:rPr>
                <w:sz w:val="17"/>
              </w:rPr>
            </w:pPr>
          </w:p>
          <w:p>
            <w:pPr>
              <w:pStyle w:val="TableParagraph"/>
              <w:spacing w:before="1" w:line="240" w:lineRule="exact"/>
              <w:ind w:left="35" w:right="18"/>
              <w:jc w:val="center"/>
              <w:rPr>
                <w:sz w:val="21"/>
              </w:rPr>
            </w:pPr>
            <w:r>
              <w:rPr>
                <w:sz w:val="21"/>
              </w:rPr>
              <w:t>宁津东部产业区产生的生活垃圾由环卫部门收集</w:t>
            </w:r>
          </w:p>
        </w:tc>
        <w:tc>
          <w:tcPr>
            <w:tcW w:w="2250"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23" w:line="261" w:lineRule="auto"/>
              <w:ind w:left="109" w:right="23" w:firstLine="72"/>
              <w:rPr>
                <w:sz w:val="21"/>
              </w:rPr>
            </w:pPr>
            <w:r>
              <w:rPr>
                <w:sz w:val="21"/>
              </w:rPr>
              <w:t>拟建项目生活垃圾由</w:t>
            </w:r>
            <w:r>
              <w:rPr>
                <w:spacing w:val="-8"/>
                <w:sz w:val="21"/>
              </w:rPr>
              <w:t>环卫部门定期清运，不</w:t>
            </w:r>
            <w:r>
              <w:rPr>
                <w:spacing w:val="-10"/>
                <w:sz w:val="21"/>
              </w:rPr>
              <w:t>外排，一般工业固体废</w:t>
            </w:r>
            <w:r>
              <w:rPr>
                <w:spacing w:val="-15"/>
                <w:sz w:val="21"/>
              </w:rPr>
              <w:t>物外售综合利用。危险</w:t>
            </w:r>
            <w:r>
              <w:rPr>
                <w:spacing w:val="-19"/>
                <w:sz w:val="21"/>
              </w:rPr>
              <w:t>废物暂存于危废间，委托有资质的单位处理。</w:t>
            </w:r>
          </w:p>
        </w:tc>
        <w:tc>
          <w:tcPr>
            <w:tcW w:w="863" w:type="dxa"/>
            <w:tcBorders>
              <w:top w:val="single" w:sz="6" w:space="0" w:color="000000"/>
              <w:left w:val="single" w:sz="6" w:space="0" w:color="000000"/>
              <w:bottom w:val="nil"/>
              <w:right w:val="single" w:sz="6" w:space="0" w:color="000000"/>
            </w:tcBorders>
          </w:tcPr>
          <w:p>
            <w:pPr>
              <w:pStyle w:val="TableParagraph"/>
              <w:rPr>
                <w:rFonts w:ascii="Times New Roman"/>
                <w:sz w:val="20"/>
              </w:rPr>
            </w:pPr>
          </w:p>
        </w:tc>
        <w:tc>
          <w:tcPr>
            <w:tcW w:w="126" w:type="dxa"/>
            <w:vMerge w:val="restart"/>
            <w:tcBorders>
              <w:top w:val="nil"/>
              <w:left w:val="single" w:sz="6"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46"/>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tcBorders>
              <w:top w:val="nil"/>
              <w:left w:val="single" w:sz="6" w:space="0" w:color="000000"/>
              <w:bottom w:val="nil"/>
              <w:right w:val="single" w:sz="6" w:space="0" w:color="000000"/>
            </w:tcBorders>
          </w:tcPr>
          <w:p>
            <w:pPr>
              <w:pStyle w:val="TableParagraph"/>
              <w:spacing w:line="226" w:lineRule="exact"/>
              <w:ind w:left="35" w:right="18"/>
              <w:jc w:val="center"/>
              <w:rPr>
                <w:sz w:val="21"/>
              </w:rPr>
            </w:pPr>
            <w:r>
              <w:rPr>
                <w:sz w:val="21"/>
              </w:rPr>
              <w:t>后，运送至宁津县洁宁垃圾处理有限公司统一处</w:t>
            </w:r>
          </w:p>
        </w:tc>
        <w:tc>
          <w:tcPr>
            <w:tcW w:w="2250" w:type="dxa"/>
            <w:vMerge/>
            <w:tcBorders>
              <w:top w:val="nil"/>
              <w:left w:val="single" w:sz="6" w:space="0" w:color="000000"/>
              <w:bottom w:val="single" w:sz="6" w:space="0" w:color="000000"/>
              <w:right w:val="single" w:sz="6" w:space="0" w:color="000000"/>
            </w:tcBorders>
          </w:tcPr>
          <w:p>
            <w:pPr>
              <w:rPr>
                <w:sz w:val="2"/>
                <w:szCs w:val="2"/>
              </w:rPr>
            </w:pPr>
          </w:p>
        </w:tc>
        <w:tc>
          <w:tcPr>
            <w:tcW w:w="863" w:type="dxa"/>
            <w:tcBorders>
              <w:top w:val="nil"/>
              <w:left w:val="single" w:sz="6" w:space="0" w:color="000000"/>
              <w:bottom w:val="nil"/>
              <w:right w:val="single" w:sz="6" w:space="0" w:color="000000"/>
            </w:tcBorders>
          </w:tcPr>
          <w:p>
            <w:pPr>
              <w:pStyle w:val="TableParagraph"/>
              <w:rPr>
                <w:rFonts w:ascii="Times New Roman"/>
                <w:sz w:val="16"/>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8"/>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tcBorders>
              <w:top w:val="nil"/>
              <w:left w:val="single" w:sz="6" w:space="0" w:color="000000"/>
              <w:bottom w:val="nil"/>
              <w:right w:val="single" w:sz="6" w:space="0" w:color="000000"/>
            </w:tcBorders>
          </w:tcPr>
          <w:p>
            <w:pPr>
              <w:pStyle w:val="TableParagraph"/>
              <w:spacing w:line="238" w:lineRule="exact"/>
              <w:ind w:left="35" w:right="18"/>
              <w:jc w:val="center"/>
              <w:rPr>
                <w:sz w:val="21"/>
              </w:rPr>
            </w:pPr>
            <w:r>
              <w:rPr>
                <w:sz w:val="21"/>
              </w:rPr>
              <w:t>置；一般工业固废按照循环经济的要求回收利用或</w:t>
            </w:r>
          </w:p>
        </w:tc>
        <w:tc>
          <w:tcPr>
            <w:tcW w:w="2250" w:type="dxa"/>
            <w:vMerge/>
            <w:tcBorders>
              <w:top w:val="nil"/>
              <w:left w:val="single" w:sz="6" w:space="0" w:color="000000"/>
              <w:bottom w:val="single" w:sz="6" w:space="0" w:color="000000"/>
              <w:right w:val="single" w:sz="6" w:space="0" w:color="000000"/>
            </w:tcBorders>
          </w:tcPr>
          <w:p>
            <w:pPr>
              <w:rPr>
                <w:sz w:val="2"/>
                <w:szCs w:val="2"/>
              </w:rPr>
            </w:pPr>
          </w:p>
        </w:tc>
        <w:tc>
          <w:tcPr>
            <w:tcW w:w="863" w:type="dxa"/>
            <w:tcBorders>
              <w:top w:val="nil"/>
              <w:left w:val="single" w:sz="6" w:space="0" w:color="000000"/>
              <w:bottom w:val="nil"/>
              <w:right w:val="single" w:sz="6" w:space="0" w:color="000000"/>
            </w:tcBorders>
          </w:tcPr>
          <w:p>
            <w:pPr>
              <w:pStyle w:val="TableParagraph"/>
              <w:spacing w:line="238" w:lineRule="exact"/>
              <w:ind w:left="94" w:right="78"/>
              <w:jc w:val="center"/>
              <w:rPr>
                <w:sz w:val="21"/>
              </w:rPr>
            </w:pPr>
            <w:r>
              <w:rPr>
                <w:sz w:val="21"/>
              </w:rPr>
              <w:t>符合</w:t>
            </w: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tcBorders>
              <w:top w:val="nil"/>
              <w:left w:val="single" w:sz="6" w:space="0" w:color="000000"/>
              <w:bottom w:val="nil"/>
              <w:right w:val="single" w:sz="6" w:space="0" w:color="000000"/>
            </w:tcBorders>
          </w:tcPr>
          <w:p>
            <w:pPr>
              <w:pStyle w:val="TableParagraph"/>
              <w:spacing w:line="232" w:lineRule="exact"/>
              <w:ind w:left="61" w:right="18"/>
              <w:jc w:val="center"/>
              <w:rPr>
                <w:sz w:val="21"/>
              </w:rPr>
            </w:pPr>
            <w:r>
              <w:rPr>
                <w:sz w:val="21"/>
              </w:rPr>
              <w:t>进行无害化处理，实现废物的资源化和安全处置；</w:t>
            </w:r>
          </w:p>
        </w:tc>
        <w:tc>
          <w:tcPr>
            <w:tcW w:w="2250" w:type="dxa"/>
            <w:vMerge/>
            <w:tcBorders>
              <w:top w:val="nil"/>
              <w:left w:val="single" w:sz="6" w:space="0" w:color="000000"/>
              <w:bottom w:val="single" w:sz="6" w:space="0" w:color="000000"/>
              <w:right w:val="single" w:sz="6" w:space="0" w:color="000000"/>
            </w:tcBorders>
          </w:tcPr>
          <w:p>
            <w:pPr>
              <w:rPr>
                <w:sz w:val="2"/>
                <w:szCs w:val="2"/>
              </w:rPr>
            </w:pPr>
          </w:p>
        </w:tc>
        <w:tc>
          <w:tcPr>
            <w:tcW w:w="863" w:type="dxa"/>
            <w:tcBorders>
              <w:top w:val="nil"/>
              <w:left w:val="single" w:sz="6" w:space="0" w:color="000000"/>
              <w:bottom w:val="nil"/>
              <w:right w:val="single" w:sz="6" w:space="0" w:color="000000"/>
            </w:tcBorders>
          </w:tcPr>
          <w:p>
            <w:pPr>
              <w:pStyle w:val="TableParagraph"/>
              <w:rPr>
                <w:rFonts w:ascii="Times New Roman"/>
                <w:sz w:val="18"/>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486"/>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tcBorders>
              <w:top w:val="nil"/>
              <w:left w:val="single" w:sz="6" w:space="0" w:color="000000"/>
              <w:bottom w:val="single" w:sz="6" w:space="0" w:color="000000"/>
              <w:right w:val="single" w:sz="6" w:space="0" w:color="000000"/>
            </w:tcBorders>
          </w:tcPr>
          <w:p>
            <w:pPr>
              <w:pStyle w:val="TableParagraph"/>
              <w:spacing w:line="261" w:lineRule="exact"/>
              <w:ind w:left="35" w:right="18"/>
              <w:jc w:val="center"/>
              <w:rPr>
                <w:sz w:val="21"/>
              </w:rPr>
            </w:pPr>
            <w:r>
              <w:rPr>
                <w:sz w:val="21"/>
              </w:rPr>
              <w:t>危险废物全部委托有资质的单位处置。</w:t>
            </w:r>
          </w:p>
        </w:tc>
        <w:tc>
          <w:tcPr>
            <w:tcW w:w="2250" w:type="dxa"/>
            <w:vMerge/>
            <w:tcBorders>
              <w:top w:val="nil"/>
              <w:left w:val="single" w:sz="6" w:space="0" w:color="000000"/>
              <w:bottom w:val="single" w:sz="6" w:space="0" w:color="000000"/>
              <w:right w:val="single" w:sz="6" w:space="0" w:color="000000"/>
            </w:tcBorders>
          </w:tcPr>
          <w:p>
            <w:pPr>
              <w:rPr>
                <w:sz w:val="2"/>
                <w:szCs w:val="2"/>
              </w:rPr>
            </w:pPr>
          </w:p>
        </w:tc>
        <w:tc>
          <w:tcPr>
            <w:tcW w:w="863" w:type="dxa"/>
            <w:tcBorders>
              <w:top w:val="nil"/>
              <w:left w:val="single" w:sz="6" w:space="0" w:color="000000"/>
              <w:bottom w:val="single" w:sz="6" w:space="0" w:color="000000"/>
              <w:right w:val="single" w:sz="6" w:space="0" w:color="000000"/>
            </w:tcBorders>
          </w:tcPr>
          <w:p>
            <w:pPr>
              <w:pStyle w:val="TableParagraph"/>
              <w:rPr>
                <w:rFonts w:ascii="Times New Roman"/>
                <w:sz w:val="20"/>
              </w:rPr>
            </w:pPr>
          </w:p>
        </w:tc>
        <w:tc>
          <w:tcPr>
            <w:tcW w:w="126" w:type="dxa"/>
            <w:vMerge/>
            <w:tcBorders>
              <w:top w:val="nil"/>
              <w:left w:val="single" w:sz="6"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67"/>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right w:val="single" w:sz="6" w:space="0" w:color="000000"/>
            </w:tcBorders>
          </w:tcPr>
          <w:p>
            <w:pPr>
              <w:rPr>
                <w:sz w:val="2"/>
                <w:szCs w:val="2"/>
              </w:rPr>
            </w:pPr>
          </w:p>
        </w:tc>
        <w:tc>
          <w:tcPr>
            <w:tcW w:w="4811" w:type="dxa"/>
            <w:tcBorders>
              <w:top w:val="single" w:sz="6" w:space="0" w:color="000000"/>
              <w:left w:val="single" w:sz="6" w:space="0" w:color="000000"/>
              <w:right w:val="single" w:sz="6" w:space="0" w:color="000000"/>
            </w:tcBorders>
          </w:tcPr>
          <w:p>
            <w:pPr>
              <w:pStyle w:val="TableParagraph"/>
              <w:spacing w:line="247" w:lineRule="exact"/>
              <w:ind w:left="35" w:right="18"/>
              <w:jc w:val="center"/>
              <w:rPr>
                <w:sz w:val="21"/>
              </w:rPr>
            </w:pPr>
            <w:r>
              <w:rPr>
                <w:sz w:val="21"/>
              </w:rPr>
              <w:t>各企业装置产生废气采取相应治理措施，确保热电</w:t>
            </w:r>
          </w:p>
        </w:tc>
        <w:tc>
          <w:tcPr>
            <w:tcW w:w="2250" w:type="dxa"/>
            <w:tcBorders>
              <w:top w:val="single" w:sz="6" w:space="0" w:color="000000"/>
              <w:left w:val="single" w:sz="6" w:space="0" w:color="000000"/>
              <w:right w:val="single" w:sz="6" w:space="0" w:color="000000"/>
            </w:tcBorders>
          </w:tcPr>
          <w:p>
            <w:pPr>
              <w:pStyle w:val="TableParagraph"/>
              <w:spacing w:line="247" w:lineRule="exact"/>
              <w:ind w:left="181"/>
              <w:rPr>
                <w:sz w:val="21"/>
              </w:rPr>
            </w:pPr>
            <w:r>
              <w:rPr>
                <w:sz w:val="21"/>
              </w:rPr>
              <w:t>拟建项目有组织排放</w:t>
            </w:r>
          </w:p>
        </w:tc>
        <w:tc>
          <w:tcPr>
            <w:tcW w:w="863" w:type="dxa"/>
            <w:tcBorders>
              <w:top w:val="single" w:sz="6" w:space="0" w:color="000000"/>
              <w:left w:val="single" w:sz="6" w:space="0" w:color="000000"/>
              <w:right w:val="single" w:sz="6" w:space="0" w:color="000000"/>
            </w:tcBorders>
          </w:tcPr>
          <w:p>
            <w:pPr>
              <w:pStyle w:val="TableParagraph"/>
              <w:spacing w:line="247" w:lineRule="exact"/>
              <w:ind w:left="94" w:right="78"/>
              <w:jc w:val="center"/>
              <w:rPr>
                <w:sz w:val="21"/>
              </w:rPr>
            </w:pPr>
            <w:r>
              <w:rPr>
                <w:sz w:val="21"/>
              </w:rPr>
              <w:t>符合</w:t>
            </w:r>
          </w:p>
        </w:tc>
        <w:tc>
          <w:tcPr>
            <w:tcW w:w="126" w:type="dxa"/>
            <w:tcBorders>
              <w:top w:val="nil"/>
              <w:left w:val="single" w:sz="6" w:space="0" w:color="000000"/>
            </w:tcBorders>
          </w:tcPr>
          <w:p>
            <w:pPr>
              <w:pStyle w:val="TableParagraph"/>
              <w:rPr>
                <w:rFonts w:ascii="Times New Roman"/>
                <w:sz w:val="18"/>
              </w:rPr>
            </w:pPr>
          </w:p>
        </w:tc>
      </w:tr>
    </w:tbl>
    <w:p>
      <w:pPr>
        <w:pStyle w:val="BodyText"/>
        <w:rPr>
          <w:sz w:val="20"/>
        </w:rPr>
      </w:pPr>
    </w:p>
    <w:p>
      <w:pPr>
        <w:pStyle w:val="BodyText"/>
        <w:spacing w:before="9"/>
        <w:rPr>
          <w:sz w:val="28"/>
        </w:rPr>
      </w:pPr>
    </w:p>
    <w:p>
      <w:pPr>
        <w:spacing w:before="62"/>
        <w:ind w:left="631" w:right="0" w:firstLine="0"/>
        <w:jc w:val="left"/>
        <w:rPr>
          <w:sz w:val="28"/>
        </w:rPr>
      </w:pPr>
      <w:r>
        <w:rPr>
          <w:sz w:val="28"/>
        </w:rPr>
        <w:t xml:space="preserve">— </w:t>
      </w:r>
      <w:r>
        <w:rPr>
          <w:sz w:val="26"/>
        </w:rPr>
        <w:t xml:space="preserve">2 </w:t>
      </w:r>
      <w:r>
        <w:rPr>
          <w:sz w:val="28"/>
        </w:rPr>
        <w:t>—</w:t>
      </w:r>
    </w:p>
    <w:p>
      <w:pPr>
        <w:spacing w:after="0"/>
        <w:jc w:val="left"/>
        <w:rPr>
          <w:sz w:val="28"/>
        </w:rPr>
        <w:sectPr>
          <w:pgSz w:w="11910" w:h="16840"/>
          <w:pgMar w:top="1580" w:right="879" w:bottom="280" w:left="900" w:header="720" w:footer="720" w:gutter="0"/>
          <w:pgNumType w:start="3"/>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26"/>
        <w:gridCol w:w="544"/>
        <w:gridCol w:w="4811"/>
        <w:gridCol w:w="2250"/>
        <w:gridCol w:w="863"/>
        <w:gridCol w:w="126"/>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532"/>
        </w:trPr>
        <w:tc>
          <w:tcPr>
            <w:tcW w:w="594" w:type="dxa"/>
            <w:vMerge w:val="restart"/>
            <w:tcBorders>
              <w:right w:val="single" w:sz="4" w:space="0" w:color="000000"/>
            </w:tcBorders>
          </w:tcPr>
          <w:p>
            <w:pPr>
              <w:pStyle w:val="TableParagraph"/>
              <w:rPr>
                <w:rFonts w:ascii="Times New Roman"/>
                <w:sz w:val="20"/>
              </w:rPr>
            </w:pPr>
          </w:p>
        </w:tc>
        <w:tc>
          <w:tcPr>
            <w:tcW w:w="126" w:type="dxa"/>
            <w:vMerge w:val="restart"/>
            <w:tcBorders>
              <w:left w:val="single" w:sz="4" w:space="0" w:color="000000"/>
              <w:right w:val="single" w:sz="6" w:space="0" w:color="000000"/>
            </w:tcBorders>
          </w:tcPr>
          <w:p>
            <w:pPr>
              <w:pStyle w:val="TableParagraph"/>
              <w:rPr>
                <w:rFonts w:ascii="Times New Roman"/>
                <w:sz w:val="20"/>
              </w:rPr>
            </w:pPr>
          </w:p>
        </w:tc>
        <w:tc>
          <w:tcPr>
            <w:tcW w:w="544" w:type="dxa"/>
            <w:vMerge w:val="restart"/>
            <w:tcBorders>
              <w:top w:val="single" w:sz="18"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4811" w:type="dxa"/>
            <w:tcBorders>
              <w:top w:val="single" w:sz="18" w:space="0" w:color="000000"/>
              <w:left w:val="single" w:sz="6" w:space="0" w:color="000000"/>
              <w:bottom w:val="single" w:sz="6" w:space="0" w:color="000000"/>
              <w:right w:val="single" w:sz="6" w:space="0" w:color="000000"/>
            </w:tcBorders>
          </w:tcPr>
          <w:p>
            <w:pPr>
              <w:pStyle w:val="TableParagraph"/>
              <w:spacing w:line="266" w:lineRule="exact"/>
              <w:ind w:left="202"/>
              <w:rPr>
                <w:sz w:val="21"/>
              </w:rPr>
            </w:pPr>
            <w:r>
              <w:rPr>
                <w:sz w:val="21"/>
              </w:rPr>
              <w:t>厂锅炉烟气满足《火电厂大气污染物排放标准》</w:t>
            </w:r>
          </w:p>
          <w:p>
            <w:pPr>
              <w:pStyle w:val="TableParagraph"/>
              <w:spacing w:before="2" w:line="242" w:lineRule="auto"/>
              <w:ind w:left="110" w:right="-15"/>
              <w:rPr>
                <w:sz w:val="21"/>
              </w:rPr>
            </w:pPr>
            <w:r>
              <w:rPr>
                <w:sz w:val="21"/>
              </w:rPr>
              <w:t>（</w:t>
            </w:r>
            <w:r>
              <w:rPr>
                <w:rFonts w:ascii="Times New Roman" w:eastAsia="Times New Roman"/>
                <w:sz w:val="21"/>
              </w:rPr>
              <w:t>DB37/6644-2019</w:t>
            </w:r>
            <w:r>
              <w:rPr>
                <w:sz w:val="21"/>
              </w:rPr>
              <w:t>）</w:t>
            </w:r>
            <w:r>
              <w:rPr>
                <w:spacing w:val="-1"/>
                <w:sz w:val="21"/>
              </w:rPr>
              <w:t>；工业炉窑废气满足《工业炉窑大气污染物排放标准》（</w:t>
            </w:r>
            <w:r>
              <w:rPr>
                <w:rFonts w:ascii="Times New Roman" w:eastAsia="Times New Roman"/>
                <w:spacing w:val="-1"/>
                <w:sz w:val="21"/>
              </w:rPr>
              <w:t>DB37/2375-2019</w:t>
            </w:r>
            <w:r>
              <w:rPr>
                <w:spacing w:val="-1"/>
                <w:sz w:val="21"/>
              </w:rPr>
              <w:t xml:space="preserve">）； </w:t>
            </w:r>
            <w:r>
              <w:rPr>
                <w:spacing w:val="-4"/>
                <w:sz w:val="21"/>
              </w:rPr>
              <w:t>生产工艺废气满足《区域性大气污染物综合排放标</w:t>
            </w:r>
            <w:r>
              <w:rPr>
                <w:spacing w:val="-26"/>
                <w:w w:val="95"/>
                <w:sz w:val="21"/>
              </w:rPr>
              <w:t>准》</w:t>
            </w:r>
            <w:r>
              <w:rPr>
                <w:spacing w:val="-1"/>
                <w:w w:val="95"/>
                <w:sz w:val="21"/>
              </w:rPr>
              <w:t>（</w:t>
            </w:r>
            <w:r>
              <w:rPr>
                <w:rFonts w:ascii="Times New Roman" w:eastAsia="Times New Roman"/>
                <w:spacing w:val="-1"/>
                <w:w w:val="95"/>
                <w:sz w:val="21"/>
              </w:rPr>
              <w:t>DB37/2376-2019</w:t>
            </w:r>
            <w:r>
              <w:rPr>
                <w:spacing w:val="-1"/>
                <w:w w:val="95"/>
                <w:sz w:val="21"/>
              </w:rPr>
              <w:t>）</w:t>
            </w:r>
            <w:r>
              <w:rPr>
                <w:spacing w:val="-8"/>
                <w:w w:val="95"/>
                <w:sz w:val="21"/>
              </w:rPr>
              <w:t>、《恶臭污染物排放标准》</w:t>
            </w:r>
          </w:p>
          <w:p>
            <w:pPr>
              <w:pStyle w:val="TableParagraph"/>
              <w:spacing w:before="2" w:line="242" w:lineRule="auto"/>
              <w:ind w:left="110" w:right="91" w:hanging="1"/>
              <w:jc w:val="center"/>
              <w:rPr>
                <w:sz w:val="21"/>
              </w:rPr>
            </w:pPr>
            <w:r>
              <w:rPr>
                <w:spacing w:val="-1"/>
                <w:w w:val="95"/>
                <w:sz w:val="21"/>
              </w:rPr>
              <w:t>（</w:t>
            </w:r>
            <w:r>
              <w:rPr>
                <w:rFonts w:ascii="Times New Roman" w:eastAsia="Times New Roman"/>
                <w:spacing w:val="-1"/>
                <w:w w:val="95"/>
                <w:sz w:val="21"/>
              </w:rPr>
              <w:t>GB14554-93</w:t>
            </w:r>
            <w:r>
              <w:rPr>
                <w:spacing w:val="-1"/>
                <w:w w:val="95"/>
                <w:sz w:val="21"/>
              </w:rPr>
              <w:t>）</w:t>
            </w:r>
            <w:r>
              <w:rPr>
                <w:spacing w:val="-7"/>
                <w:w w:val="95"/>
                <w:sz w:val="21"/>
              </w:rPr>
              <w:t xml:space="preserve">中二级标准、《建材工业大气污染 </w:t>
            </w:r>
            <w:r>
              <w:rPr>
                <w:spacing w:val="-8"/>
                <w:w w:val="95"/>
                <w:sz w:val="21"/>
              </w:rPr>
              <w:t>物排放标准》</w:t>
            </w:r>
            <w:r>
              <w:rPr>
                <w:w w:val="95"/>
                <w:sz w:val="21"/>
              </w:rPr>
              <w:t>（</w:t>
            </w:r>
            <w:r>
              <w:rPr>
                <w:rFonts w:ascii="Times New Roman" w:eastAsia="Times New Roman"/>
                <w:w w:val="95"/>
                <w:sz w:val="21"/>
              </w:rPr>
              <w:t>DB37/2373-2018</w:t>
            </w:r>
            <w:r>
              <w:rPr>
                <w:w w:val="95"/>
                <w:sz w:val="21"/>
              </w:rPr>
              <w:t xml:space="preserve">）；挥发性有机物 </w:t>
            </w:r>
            <w:r>
              <w:rPr>
                <w:spacing w:val="-2"/>
                <w:sz w:val="21"/>
              </w:rPr>
              <w:t xml:space="preserve">满足《挥发性有机物排放标准 第 </w:t>
            </w:r>
            <w:r>
              <w:rPr>
                <w:rFonts w:ascii="Times New Roman" w:eastAsia="Times New Roman"/>
                <w:sz w:val="21"/>
              </w:rPr>
              <w:t>3</w:t>
            </w:r>
            <w:r>
              <w:rPr>
                <w:rFonts w:ascii="Times New Roman" w:eastAsia="Times New Roman"/>
                <w:spacing w:val="-3"/>
                <w:sz w:val="21"/>
              </w:rPr>
              <w:t xml:space="preserve"> </w:t>
            </w:r>
            <w:r>
              <w:rPr>
                <w:sz w:val="21"/>
              </w:rPr>
              <w:t>部分：家具制造业》（</w:t>
            </w:r>
            <w:r>
              <w:rPr>
                <w:rFonts w:ascii="Times New Roman" w:eastAsia="Times New Roman"/>
                <w:sz w:val="21"/>
              </w:rPr>
              <w:t>DB37/2801.3-2017</w:t>
            </w:r>
            <w:r>
              <w:rPr>
                <w:sz w:val="21"/>
              </w:rPr>
              <w:t>）、《挥发性有机物排</w:t>
            </w:r>
            <w:r>
              <w:rPr>
                <w:spacing w:val="-1"/>
                <w:sz w:val="21"/>
              </w:rPr>
              <w:t xml:space="preserve">放标准 第 </w:t>
            </w:r>
            <w:r>
              <w:rPr>
                <w:rFonts w:ascii="Times New Roman" w:eastAsia="Times New Roman"/>
                <w:sz w:val="21"/>
              </w:rPr>
              <w:t xml:space="preserve">5  </w:t>
            </w:r>
            <w:r>
              <w:rPr>
                <w:sz w:val="21"/>
              </w:rPr>
              <w:t>部分：表面涂装行业》</w:t>
            </w:r>
          </w:p>
          <w:p>
            <w:pPr>
              <w:pStyle w:val="TableParagraph"/>
              <w:spacing w:before="2"/>
              <w:ind w:left="35" w:right="18"/>
              <w:jc w:val="center"/>
              <w:rPr>
                <w:sz w:val="21"/>
              </w:rPr>
            </w:pPr>
            <w:r>
              <w:rPr>
                <w:spacing w:val="-1"/>
                <w:w w:val="99"/>
                <w:sz w:val="21"/>
              </w:rPr>
              <w:t>（</w:t>
            </w:r>
            <w:r>
              <w:rPr>
                <w:rFonts w:ascii="Times New Roman" w:eastAsia="Times New Roman"/>
                <w:w w:val="99"/>
                <w:sz w:val="21"/>
              </w:rPr>
              <w:t>D</w:t>
            </w:r>
            <w:r>
              <w:rPr>
                <w:rFonts w:ascii="Times New Roman" w:eastAsia="Times New Roman"/>
                <w:spacing w:val="-1"/>
                <w:w w:val="99"/>
                <w:sz w:val="21"/>
              </w:rPr>
              <w:t>B</w:t>
            </w:r>
            <w:r>
              <w:rPr>
                <w:rFonts w:ascii="Times New Roman" w:eastAsia="Times New Roman"/>
                <w:spacing w:val="1"/>
                <w:w w:val="99"/>
                <w:sz w:val="21"/>
              </w:rPr>
              <w:t>37</w:t>
            </w:r>
            <w:r>
              <w:rPr>
                <w:rFonts w:ascii="Times New Roman" w:eastAsia="Times New Roman"/>
                <w:spacing w:val="-1"/>
                <w:w w:val="99"/>
                <w:sz w:val="21"/>
              </w:rPr>
              <w:t>/</w:t>
            </w:r>
            <w:r>
              <w:rPr>
                <w:rFonts w:ascii="Times New Roman" w:eastAsia="Times New Roman"/>
                <w:spacing w:val="1"/>
                <w:w w:val="99"/>
                <w:sz w:val="21"/>
              </w:rPr>
              <w:t>2801</w:t>
            </w:r>
            <w:r>
              <w:rPr>
                <w:rFonts w:ascii="Times New Roman" w:eastAsia="Times New Roman"/>
                <w:w w:val="99"/>
                <w:sz w:val="21"/>
              </w:rPr>
              <w:t>.</w:t>
            </w:r>
            <w:r>
              <w:rPr>
                <w:rFonts w:ascii="Times New Roman" w:eastAsia="Times New Roman"/>
                <w:spacing w:val="-2"/>
                <w:w w:val="99"/>
                <w:sz w:val="21"/>
              </w:rPr>
              <w:t>5</w:t>
            </w:r>
            <w:r>
              <w:rPr>
                <w:rFonts w:ascii="Times New Roman" w:eastAsia="Times New Roman"/>
                <w:w w:val="99"/>
                <w:sz w:val="21"/>
              </w:rPr>
              <w:t>-</w:t>
            </w:r>
            <w:r>
              <w:rPr>
                <w:rFonts w:ascii="Times New Roman" w:eastAsia="Times New Roman"/>
                <w:spacing w:val="1"/>
                <w:w w:val="99"/>
                <w:sz w:val="21"/>
              </w:rPr>
              <w:t>201</w:t>
            </w:r>
            <w:r>
              <w:rPr>
                <w:rFonts w:ascii="Times New Roman" w:eastAsia="Times New Roman"/>
                <w:spacing w:val="-2"/>
                <w:w w:val="99"/>
                <w:sz w:val="21"/>
              </w:rPr>
              <w:t>8</w:t>
            </w:r>
            <w:r>
              <w:rPr>
                <w:spacing w:val="-94"/>
                <w:w w:val="99"/>
                <w:sz w:val="21"/>
              </w:rPr>
              <w:t>）</w:t>
            </w:r>
            <w:r>
              <w:rPr>
                <w:spacing w:val="-20"/>
                <w:w w:val="99"/>
                <w:sz w:val="21"/>
              </w:rPr>
              <w:t>、《挥发性有机物排放标准</w:t>
            </w:r>
            <w:r>
              <w:rPr>
                <w:sz w:val="21"/>
              </w:rPr>
              <w:t xml:space="preserve"> </w:t>
            </w:r>
            <w:r>
              <w:rPr>
                <w:w w:val="99"/>
                <w:sz w:val="21"/>
              </w:rPr>
              <w:t>第</w:t>
            </w:r>
          </w:p>
          <w:p>
            <w:pPr>
              <w:pStyle w:val="TableParagraph"/>
              <w:spacing w:before="4" w:line="270" w:lineRule="atLeast"/>
              <w:ind w:left="122" w:right="106"/>
              <w:jc w:val="center"/>
              <w:rPr>
                <w:sz w:val="21"/>
              </w:rPr>
            </w:pPr>
            <w:r>
              <w:rPr>
                <w:rFonts w:ascii="Times New Roman" w:eastAsia="Times New Roman"/>
                <w:sz w:val="21"/>
              </w:rPr>
              <w:t xml:space="preserve">6 </w:t>
            </w:r>
            <w:r>
              <w:rPr>
                <w:sz w:val="21"/>
              </w:rPr>
              <w:t>部分：有机化工行业》（</w:t>
            </w:r>
            <w:r>
              <w:rPr>
                <w:rFonts w:ascii="Times New Roman" w:eastAsia="Times New Roman"/>
                <w:sz w:val="21"/>
              </w:rPr>
              <w:t>DB37/2801.6-2018</w:t>
            </w:r>
            <w:r>
              <w:rPr>
                <w:sz w:val="21"/>
              </w:rPr>
              <w:t>）等相应标准要求。</w:t>
            </w:r>
          </w:p>
        </w:tc>
        <w:tc>
          <w:tcPr>
            <w:tcW w:w="2250" w:type="dxa"/>
            <w:tcBorders>
              <w:top w:val="single" w:sz="18" w:space="0" w:color="000000"/>
              <w:left w:val="single" w:sz="6" w:space="0" w:color="000000"/>
              <w:bottom w:val="single" w:sz="6" w:space="0" w:color="000000"/>
              <w:right w:val="single" w:sz="6" w:space="0" w:color="000000"/>
            </w:tcBorders>
          </w:tcPr>
          <w:p>
            <w:pPr>
              <w:pStyle w:val="TableParagraph"/>
              <w:spacing w:line="242" w:lineRule="auto"/>
              <w:ind w:left="109" w:right="23"/>
              <w:jc w:val="center"/>
              <w:rPr>
                <w:sz w:val="21"/>
              </w:rPr>
            </w:pPr>
            <w:r>
              <w:rPr>
                <w:spacing w:val="-2"/>
                <w:sz w:val="21"/>
              </w:rPr>
              <w:t>的颗粒物、二氧化硫、</w:t>
            </w:r>
            <w:r>
              <w:rPr>
                <w:spacing w:val="-8"/>
                <w:sz w:val="21"/>
              </w:rPr>
              <w:t>氮氧化物废气执行《区域性大气污染物综合 排放标准》</w:t>
            </w:r>
          </w:p>
          <w:p>
            <w:pPr>
              <w:pStyle w:val="TableParagraph"/>
              <w:ind w:left="39" w:right="23"/>
              <w:jc w:val="center"/>
              <w:rPr>
                <w:sz w:val="21"/>
              </w:rPr>
            </w:pPr>
            <w:r>
              <w:rPr>
                <w:spacing w:val="-4"/>
                <w:w w:val="95"/>
                <w:sz w:val="21"/>
              </w:rPr>
              <w:t>（</w:t>
            </w:r>
            <w:r>
              <w:rPr>
                <w:rFonts w:ascii="Times New Roman" w:eastAsia="Times New Roman"/>
                <w:spacing w:val="-4"/>
                <w:w w:val="95"/>
                <w:sz w:val="21"/>
              </w:rPr>
              <w:t>DB37/2376-2019</w:t>
            </w:r>
            <w:r>
              <w:rPr>
                <w:spacing w:val="-4"/>
                <w:w w:val="95"/>
                <w:sz w:val="21"/>
              </w:rPr>
              <w:t>）</w:t>
            </w:r>
            <w:r>
              <w:rPr>
                <w:w w:val="95"/>
                <w:sz w:val="21"/>
              </w:rPr>
              <w:t>表</w:t>
            </w:r>
          </w:p>
          <w:p>
            <w:pPr>
              <w:pStyle w:val="TableParagraph"/>
              <w:spacing w:before="1" w:line="242" w:lineRule="auto"/>
              <w:ind w:left="109" w:right="76" w:firstLine="19"/>
              <w:jc w:val="both"/>
              <w:rPr>
                <w:sz w:val="21"/>
              </w:rPr>
            </w:pPr>
            <w:r>
              <w:rPr>
                <w:rFonts w:ascii="Times New Roman" w:eastAsia="Times New Roman" w:hAnsi="Times New Roman"/>
                <w:sz w:val="21"/>
              </w:rPr>
              <w:t>1</w:t>
            </w:r>
            <w:r>
              <w:rPr>
                <w:sz w:val="21"/>
              </w:rPr>
              <w:t>“重点控制区”标准要求；有组织排放的</w:t>
            </w:r>
            <w:r>
              <w:rPr>
                <w:rFonts w:ascii="Times New Roman" w:eastAsia="Times New Roman" w:hAnsi="Times New Roman"/>
                <w:sz w:val="21"/>
              </w:rPr>
              <w:t>VOCs</w:t>
            </w:r>
            <w:r>
              <w:rPr>
                <w:rFonts w:ascii="Times New Roman" w:eastAsia="Times New Roman" w:hAnsi="Times New Roman"/>
                <w:spacing w:val="-4"/>
                <w:sz w:val="21"/>
              </w:rPr>
              <w:t xml:space="preserve"> </w:t>
            </w:r>
            <w:r>
              <w:rPr>
                <w:spacing w:val="-4"/>
                <w:sz w:val="21"/>
              </w:rPr>
              <w:t>废气执行《挥发性有机物排放标准 第</w:t>
            </w:r>
            <w:r>
              <w:rPr>
                <w:rFonts w:ascii="Times New Roman" w:eastAsia="Times New Roman" w:hAnsi="Times New Roman"/>
                <w:spacing w:val="-4"/>
                <w:sz w:val="21"/>
              </w:rPr>
              <w:t>5</w:t>
            </w:r>
            <w:r>
              <w:rPr>
                <w:rFonts w:ascii="Times New Roman" w:eastAsia="Times New Roman" w:hAnsi="Times New Roman"/>
                <w:spacing w:val="-5"/>
                <w:sz w:val="21"/>
              </w:rPr>
              <w:t xml:space="preserve"> </w:t>
            </w:r>
            <w:r>
              <w:rPr>
                <w:spacing w:val="-2"/>
                <w:sz w:val="21"/>
              </w:rPr>
              <w:t>部分：表面涂装业》</w:t>
            </w:r>
          </w:p>
          <w:p>
            <w:pPr>
              <w:pStyle w:val="TableParagraph"/>
              <w:spacing w:before="2"/>
              <w:ind w:left="33" w:right="2"/>
              <w:jc w:val="center"/>
              <w:rPr>
                <w:sz w:val="21"/>
              </w:rPr>
            </w:pPr>
            <w:r>
              <w:rPr>
                <w:sz w:val="21"/>
              </w:rPr>
              <w:t>（</w:t>
            </w:r>
            <w:r>
              <w:rPr>
                <w:rFonts w:ascii="Times New Roman" w:eastAsia="Times New Roman"/>
                <w:sz w:val="21"/>
              </w:rPr>
              <w:t>DB37/2801.5-2018</w:t>
            </w:r>
            <w:r>
              <w:rPr>
                <w:sz w:val="21"/>
              </w:rPr>
              <w:t>）</w:t>
            </w:r>
          </w:p>
        </w:tc>
        <w:tc>
          <w:tcPr>
            <w:tcW w:w="863" w:type="dxa"/>
            <w:tcBorders>
              <w:top w:val="single" w:sz="18"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26" w:type="dxa"/>
            <w:tcBorders>
              <w:left w:val="single" w:sz="6"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447"/>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vMerge/>
            <w:tcBorders>
              <w:top w:val="nil"/>
              <w:left w:val="single" w:sz="6" w:space="0" w:color="000000"/>
              <w:bottom w:val="single" w:sz="6" w:space="0" w:color="000000"/>
              <w:right w:val="single" w:sz="6" w:space="0" w:color="000000"/>
            </w:tcBorders>
          </w:tcPr>
          <w:p>
            <w:pPr>
              <w:rPr>
                <w:sz w:val="2"/>
                <w:szCs w:val="2"/>
              </w:rPr>
            </w:pPr>
          </w:p>
        </w:tc>
        <w:tc>
          <w:tcPr>
            <w:tcW w:w="4811" w:type="dxa"/>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110" w:right="91"/>
              <w:jc w:val="center"/>
              <w:rPr>
                <w:sz w:val="21"/>
              </w:rPr>
            </w:pPr>
            <w:r>
              <w:rPr>
                <w:spacing w:val="-3"/>
                <w:w w:val="95"/>
                <w:sz w:val="21"/>
              </w:rPr>
              <w:t xml:space="preserve">根据园区的土地利用规划，园区实施规划后，区内 </w:t>
            </w:r>
            <w:r>
              <w:rPr>
                <w:spacing w:val="-3"/>
                <w:sz w:val="21"/>
              </w:rPr>
              <w:t>村庄全部搬迁，结合《声环境质量标准》</w:t>
            </w:r>
          </w:p>
          <w:p>
            <w:pPr>
              <w:pStyle w:val="TableParagraph"/>
              <w:spacing w:line="242" w:lineRule="auto"/>
              <w:ind w:left="110" w:right="89" w:firstLine="14"/>
              <w:jc w:val="both"/>
              <w:rPr>
                <w:sz w:val="21"/>
              </w:rPr>
            </w:pPr>
            <w:r>
              <w:rPr>
                <w:sz w:val="21"/>
              </w:rPr>
              <w:t>（</w:t>
            </w:r>
            <w:r>
              <w:rPr>
                <w:rFonts w:ascii="Times New Roman" w:eastAsia="Times New Roman"/>
                <w:sz w:val="21"/>
              </w:rPr>
              <w:t>GB3096-2008</w:t>
            </w:r>
            <w:r>
              <w:rPr>
                <w:sz w:val="21"/>
              </w:rPr>
              <w:t>）</w:t>
            </w:r>
            <w:r>
              <w:rPr>
                <w:spacing w:val="-8"/>
                <w:sz w:val="21"/>
              </w:rPr>
              <w:t xml:space="preserve">，将园区分成 </w:t>
            </w:r>
            <w:r>
              <w:rPr>
                <w:rFonts w:ascii="Times New Roman" w:eastAsia="Times New Roman"/>
                <w:sz w:val="21"/>
              </w:rPr>
              <w:t>3</w:t>
            </w:r>
            <w:r>
              <w:rPr>
                <w:rFonts w:ascii="Times New Roman" w:eastAsia="Times New Roman"/>
                <w:spacing w:val="-6"/>
                <w:sz w:val="21"/>
              </w:rPr>
              <w:t xml:space="preserve"> </w:t>
            </w:r>
            <w:r>
              <w:rPr>
                <w:sz w:val="21"/>
              </w:rPr>
              <w:t>个声功能类别， 商业区执行《声环境质量标准》（</w:t>
            </w:r>
            <w:r>
              <w:rPr>
                <w:rFonts w:ascii="Times New Roman" w:eastAsia="Times New Roman"/>
                <w:sz w:val="21"/>
              </w:rPr>
              <w:t>GB3096-2008</w:t>
            </w:r>
            <w:r>
              <w:rPr>
                <w:sz w:val="21"/>
              </w:rPr>
              <w:t xml:space="preserve">） </w:t>
            </w:r>
            <w:r>
              <w:rPr>
                <w:spacing w:val="-31"/>
                <w:sz w:val="21"/>
              </w:rPr>
              <w:t xml:space="preserve">的 </w:t>
            </w:r>
            <w:r>
              <w:rPr>
                <w:rFonts w:ascii="Times New Roman" w:eastAsia="Times New Roman"/>
                <w:sz w:val="21"/>
              </w:rPr>
              <w:t>2</w:t>
            </w:r>
            <w:r>
              <w:rPr>
                <w:rFonts w:ascii="Times New Roman" w:eastAsia="Times New Roman"/>
                <w:spacing w:val="-6"/>
                <w:sz w:val="21"/>
              </w:rPr>
              <w:t xml:space="preserve"> </w:t>
            </w:r>
            <w:r>
              <w:rPr>
                <w:spacing w:val="-3"/>
                <w:sz w:val="21"/>
              </w:rPr>
              <w:t>类声环境功能区标准；工业用地区域执行《声</w:t>
            </w:r>
          </w:p>
          <w:p>
            <w:pPr>
              <w:pStyle w:val="TableParagraph"/>
              <w:spacing w:line="242" w:lineRule="auto"/>
              <w:ind w:left="110" w:right="91" w:firstLine="14"/>
              <w:jc w:val="both"/>
              <w:rPr>
                <w:sz w:val="21"/>
              </w:rPr>
            </w:pPr>
            <w:r>
              <w:rPr>
                <w:sz w:val="21"/>
              </w:rPr>
              <w:t>环境质量标准》（</w:t>
            </w:r>
            <w:r>
              <w:rPr>
                <w:rFonts w:ascii="Times New Roman" w:eastAsia="Times New Roman"/>
                <w:sz w:val="21"/>
              </w:rPr>
              <w:t>GB3096-2008</w:t>
            </w:r>
            <w:r>
              <w:rPr>
                <w:sz w:val="21"/>
              </w:rPr>
              <w:t>）</w:t>
            </w:r>
            <w:r>
              <w:rPr>
                <w:spacing w:val="-28"/>
                <w:sz w:val="21"/>
              </w:rPr>
              <w:t xml:space="preserve">的 </w:t>
            </w:r>
            <w:r>
              <w:rPr>
                <w:rFonts w:ascii="Times New Roman" w:eastAsia="Times New Roman"/>
                <w:sz w:val="21"/>
              </w:rPr>
              <w:t>3</w:t>
            </w:r>
            <w:r>
              <w:rPr>
                <w:rFonts w:ascii="Times New Roman" w:eastAsia="Times New Roman"/>
                <w:spacing w:val="-6"/>
                <w:sz w:val="21"/>
              </w:rPr>
              <w:t xml:space="preserve"> </w:t>
            </w:r>
            <w:r>
              <w:rPr>
                <w:sz w:val="21"/>
              </w:rPr>
              <w:t>类声环境功</w:t>
            </w:r>
            <w:r>
              <w:rPr>
                <w:spacing w:val="-4"/>
                <w:w w:val="95"/>
                <w:sz w:val="21"/>
              </w:rPr>
              <w:t xml:space="preserve">能区标准；主要交通干线两侧区域执行《声环境质 </w:t>
            </w:r>
            <w:r>
              <w:rPr>
                <w:spacing w:val="-13"/>
                <w:sz w:val="21"/>
              </w:rPr>
              <w:t>量标准》</w:t>
            </w:r>
            <w:r>
              <w:rPr>
                <w:sz w:val="21"/>
              </w:rPr>
              <w:t>（</w:t>
            </w:r>
            <w:r>
              <w:rPr>
                <w:rFonts w:ascii="Times New Roman" w:eastAsia="Times New Roman"/>
                <w:sz w:val="21"/>
              </w:rPr>
              <w:t>GB3096-2008</w:t>
            </w:r>
            <w:r>
              <w:rPr>
                <w:sz w:val="21"/>
              </w:rPr>
              <w:t>）</w:t>
            </w:r>
            <w:r>
              <w:rPr>
                <w:spacing w:val="-35"/>
                <w:sz w:val="21"/>
              </w:rPr>
              <w:t xml:space="preserve">的 </w:t>
            </w:r>
            <w:r>
              <w:rPr>
                <w:rFonts w:ascii="Times New Roman" w:eastAsia="Times New Roman"/>
                <w:sz w:val="21"/>
              </w:rPr>
              <w:t>4a</w:t>
            </w:r>
            <w:r>
              <w:rPr>
                <w:rFonts w:ascii="Times New Roman" w:eastAsia="Times New Roman"/>
                <w:spacing w:val="-19"/>
                <w:sz w:val="21"/>
              </w:rPr>
              <w:t xml:space="preserve"> </w:t>
            </w:r>
            <w:r>
              <w:rPr>
                <w:sz w:val="21"/>
              </w:rPr>
              <w:t>类声环境功能区标</w:t>
            </w:r>
          </w:p>
          <w:p>
            <w:pPr>
              <w:pStyle w:val="TableParagraph"/>
              <w:spacing w:before="3" w:line="249" w:lineRule="exact"/>
              <w:ind w:left="35" w:right="18"/>
              <w:jc w:val="center"/>
              <w:rPr>
                <w:sz w:val="21"/>
              </w:rPr>
            </w:pPr>
            <w:r>
              <w:rPr>
                <w:sz w:val="21"/>
              </w:rPr>
              <w:t>准。</w:t>
            </w:r>
          </w:p>
        </w:tc>
        <w:tc>
          <w:tcPr>
            <w:tcW w:w="2250" w:type="dxa"/>
            <w:tcBorders>
              <w:top w:val="single" w:sz="6" w:space="0" w:color="000000"/>
              <w:left w:val="single" w:sz="6" w:space="0" w:color="000000"/>
              <w:bottom w:val="single" w:sz="6" w:space="0" w:color="000000"/>
              <w:right w:val="single" w:sz="6" w:space="0" w:color="000000"/>
            </w:tcBorders>
          </w:tcPr>
          <w:p>
            <w:pPr>
              <w:pStyle w:val="TableParagraph"/>
              <w:rPr>
                <w:sz w:val="20"/>
              </w:rPr>
            </w:pPr>
          </w:p>
          <w:p>
            <w:pPr>
              <w:pStyle w:val="TableParagraph"/>
              <w:spacing w:before="150" w:line="242" w:lineRule="auto"/>
              <w:ind w:left="109" w:right="90"/>
              <w:jc w:val="center"/>
              <w:rPr>
                <w:sz w:val="21"/>
              </w:rPr>
            </w:pPr>
            <w:r>
              <w:rPr>
                <w:sz w:val="21"/>
              </w:rPr>
              <w:t>拟建项目噪声排放标</w:t>
            </w:r>
            <w:r>
              <w:rPr>
                <w:spacing w:val="-10"/>
                <w:sz w:val="21"/>
              </w:rPr>
              <w:t>准执行《工业企业厂界</w:t>
            </w:r>
            <w:r>
              <w:rPr>
                <w:sz w:val="21"/>
              </w:rPr>
              <w:t>环境噪声排放标准》</w:t>
            </w:r>
          </w:p>
          <w:p>
            <w:pPr>
              <w:pStyle w:val="TableParagraph"/>
              <w:spacing w:before="1"/>
              <w:ind w:left="33" w:right="15"/>
              <w:jc w:val="center"/>
              <w:rPr>
                <w:rFonts w:ascii="Times New Roman" w:eastAsia="Times New Roman"/>
                <w:sz w:val="21"/>
              </w:rPr>
            </w:pPr>
            <w:r>
              <w:rPr>
                <w:sz w:val="21"/>
              </w:rPr>
              <w:t>（</w:t>
            </w:r>
            <w:r>
              <w:rPr>
                <w:rFonts w:ascii="Times New Roman" w:eastAsia="Times New Roman"/>
                <w:sz w:val="21"/>
              </w:rPr>
              <w:t>GB12348-2008</w:t>
            </w:r>
            <w:r>
              <w:rPr>
                <w:sz w:val="21"/>
              </w:rPr>
              <w:t xml:space="preserve">）表 </w:t>
            </w:r>
            <w:r>
              <w:rPr>
                <w:rFonts w:ascii="Times New Roman" w:eastAsia="Times New Roman"/>
                <w:sz w:val="21"/>
              </w:rPr>
              <w:t>1</w:t>
            </w:r>
          </w:p>
          <w:p>
            <w:pPr>
              <w:pStyle w:val="TableParagraph"/>
              <w:spacing w:before="4"/>
              <w:ind w:left="40" w:right="23"/>
              <w:jc w:val="center"/>
              <w:rPr>
                <w:sz w:val="21"/>
              </w:rPr>
            </w:pPr>
            <w:r>
              <w:rPr>
                <w:sz w:val="21"/>
              </w:rPr>
              <w:t xml:space="preserve">中 </w:t>
            </w:r>
            <w:r>
              <w:rPr>
                <w:rFonts w:ascii="Times New Roman" w:eastAsia="Times New Roman"/>
                <w:sz w:val="21"/>
              </w:rPr>
              <w:t xml:space="preserve">3 </w:t>
            </w:r>
            <w:r>
              <w:rPr>
                <w:sz w:val="21"/>
              </w:rPr>
              <w:t>类标准（昼间</w:t>
            </w:r>
          </w:p>
          <w:p>
            <w:pPr>
              <w:pStyle w:val="TableParagraph"/>
              <w:spacing w:before="2"/>
              <w:ind w:left="37" w:right="23"/>
              <w:jc w:val="center"/>
              <w:rPr>
                <w:sz w:val="21"/>
              </w:rPr>
            </w:pPr>
            <w:r>
              <w:rPr>
                <w:rFonts w:ascii="Times New Roman" w:eastAsia="Times New Roman"/>
                <w:sz w:val="21"/>
              </w:rPr>
              <w:t>65dB(A)</w:t>
            </w:r>
            <w:r>
              <w:rPr>
                <w:sz w:val="21"/>
              </w:rPr>
              <w:t>。</w:t>
            </w:r>
          </w:p>
        </w:tc>
        <w:tc>
          <w:tcPr>
            <w:tcW w:w="863" w:type="dxa"/>
            <w:tcBorders>
              <w:top w:val="single" w:sz="6" w:space="0" w:color="000000"/>
              <w:left w:val="single" w:sz="6" w:space="0" w:color="000000"/>
              <w:bottom w:val="single" w:sz="6" w:space="0" w:color="000000"/>
              <w:right w:val="single" w:sz="6"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1"/>
              <w:rPr>
                <w:sz w:val="24"/>
              </w:rPr>
            </w:pPr>
          </w:p>
          <w:p>
            <w:pPr>
              <w:pStyle w:val="TableParagraph"/>
              <w:spacing w:before="1"/>
              <w:ind w:left="94" w:right="78"/>
              <w:jc w:val="center"/>
              <w:rPr>
                <w:sz w:val="21"/>
              </w:rPr>
            </w:pPr>
            <w:r>
              <w:rPr>
                <w:sz w:val="21"/>
              </w:rPr>
              <w:t>符合</w:t>
            </w:r>
          </w:p>
        </w:tc>
        <w:tc>
          <w:tcPr>
            <w:tcW w:w="126" w:type="dxa"/>
            <w:tcBorders>
              <w:top w:val="nil"/>
              <w:left w:val="single" w:sz="6"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7091"/>
        </w:trPr>
        <w:tc>
          <w:tcPr>
            <w:tcW w:w="594" w:type="dxa"/>
            <w:vMerge/>
            <w:tcBorders>
              <w:top w:val="nil"/>
              <w:right w:val="single" w:sz="4" w:space="0" w:color="000000"/>
            </w:tcBorders>
          </w:tcPr>
          <w:p>
            <w:pPr>
              <w:rPr>
                <w:sz w:val="2"/>
                <w:szCs w:val="2"/>
              </w:rPr>
            </w:pPr>
          </w:p>
        </w:tc>
        <w:tc>
          <w:tcPr>
            <w:tcW w:w="126" w:type="dxa"/>
            <w:vMerge/>
            <w:tcBorders>
              <w:top w:val="nil"/>
              <w:left w:val="single" w:sz="4" w:space="0" w:color="000000"/>
              <w:right w:val="single" w:sz="6" w:space="0" w:color="000000"/>
            </w:tcBorders>
          </w:tcPr>
          <w:p>
            <w:pPr>
              <w:rPr>
                <w:sz w:val="2"/>
                <w:szCs w:val="2"/>
              </w:rPr>
            </w:pPr>
          </w:p>
        </w:tc>
        <w:tc>
          <w:tcPr>
            <w:tcW w:w="544" w:type="dxa"/>
            <w:tcBorders>
              <w:top w:val="single" w:sz="6" w:space="0" w:color="000000"/>
              <w:left w:val="single" w:sz="6" w:space="0" w:color="000000"/>
              <w:right w:val="single" w:sz="6"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3"/>
              <w:rPr>
                <w:sz w:val="27"/>
              </w:rPr>
            </w:pPr>
          </w:p>
          <w:p>
            <w:pPr>
              <w:pStyle w:val="TableParagraph"/>
              <w:spacing w:line="261" w:lineRule="auto"/>
              <w:ind w:left="170" w:right="147"/>
              <w:jc w:val="both"/>
              <w:rPr>
                <w:sz w:val="21"/>
              </w:rPr>
            </w:pPr>
            <w:r>
              <w:rPr>
                <w:sz w:val="21"/>
              </w:rPr>
              <w:t>报告书总结论</w:t>
            </w:r>
          </w:p>
        </w:tc>
        <w:tc>
          <w:tcPr>
            <w:tcW w:w="4811" w:type="dxa"/>
            <w:tcBorders>
              <w:top w:val="single" w:sz="6" w:space="0" w:color="000000"/>
              <w:left w:val="single" w:sz="6" w:space="0" w:color="000000"/>
              <w:right w:val="single" w:sz="6" w:space="0" w:color="000000"/>
            </w:tcBorders>
          </w:tcPr>
          <w:p>
            <w:pPr>
              <w:pStyle w:val="TableParagraph"/>
              <w:spacing w:line="242" w:lineRule="auto"/>
              <w:ind w:left="110" w:right="-15"/>
              <w:rPr>
                <w:rFonts w:ascii="Times New Roman" w:eastAsia="Times New Roman" w:hAnsi="Times New Roman"/>
                <w:sz w:val="21"/>
              </w:rPr>
            </w:pPr>
            <w:r>
              <w:rPr>
                <w:spacing w:val="-2"/>
                <w:sz w:val="21"/>
              </w:rPr>
              <w:t>宁津东部产业区规划在区域定位、空间布局、产业</w:t>
            </w:r>
            <w:r>
              <w:rPr>
                <w:spacing w:val="-6"/>
                <w:sz w:val="21"/>
              </w:rPr>
              <w:t>发展、基础设施、环境保护等方面总体符合山东省</w:t>
            </w:r>
            <w:r>
              <w:rPr>
                <w:spacing w:val="-7"/>
                <w:sz w:val="21"/>
              </w:rPr>
              <w:t>国民经济和社会发展第十三个五年规划纲要、德州</w:t>
            </w:r>
            <w:r>
              <w:rPr>
                <w:spacing w:val="-8"/>
                <w:sz w:val="21"/>
              </w:rPr>
              <w:t>市国民经济和社会发展第十三个五年规划纲要、宁津县国民经济和社会发展第十三个五年规划纲要、</w:t>
            </w:r>
            <w:r>
              <w:rPr>
                <w:spacing w:val="-10"/>
                <w:sz w:val="21"/>
              </w:rPr>
              <w:t>山东省主体功能区规划、山东省生态环境保护“十</w:t>
            </w:r>
            <w:r>
              <w:rPr>
                <w:spacing w:val="-13"/>
                <w:w w:val="95"/>
                <w:sz w:val="21"/>
              </w:rPr>
              <w:t xml:space="preserve">三五”规划、德州市生态环境保护“十三五”规划、 </w:t>
            </w:r>
            <w:r>
              <w:rPr>
                <w:spacing w:val="-15"/>
                <w:sz w:val="21"/>
              </w:rPr>
              <w:t>山东省生态保护红线规划</w:t>
            </w:r>
            <w:r>
              <w:rPr>
                <w:sz w:val="21"/>
              </w:rPr>
              <w:t>（</w:t>
            </w:r>
            <w:r>
              <w:rPr>
                <w:rFonts w:ascii="Times New Roman" w:eastAsia="Times New Roman" w:hAnsi="Times New Roman"/>
                <w:sz w:val="21"/>
              </w:rPr>
              <w:t>2016</w:t>
            </w:r>
            <w:r>
              <w:rPr>
                <w:sz w:val="21"/>
              </w:rPr>
              <w:t>—</w:t>
            </w:r>
            <w:r>
              <w:rPr>
                <w:rFonts w:ascii="Times New Roman" w:eastAsia="Times New Roman" w:hAnsi="Times New Roman"/>
                <w:sz w:val="21"/>
              </w:rPr>
              <w:t>2020</w:t>
            </w:r>
            <w:r>
              <w:rPr>
                <w:rFonts w:ascii="Times New Roman" w:eastAsia="Times New Roman" w:hAnsi="Times New Roman"/>
                <w:spacing w:val="-7"/>
                <w:sz w:val="21"/>
              </w:rPr>
              <w:t xml:space="preserve"> </w:t>
            </w:r>
            <w:r>
              <w:rPr>
                <w:sz w:val="21"/>
              </w:rPr>
              <w:t>年</w:t>
            </w:r>
            <w:r>
              <w:rPr>
                <w:spacing w:val="-25"/>
                <w:sz w:val="21"/>
              </w:rPr>
              <w:t>）</w:t>
            </w:r>
            <w:r>
              <w:rPr>
                <w:spacing w:val="-9"/>
                <w:sz w:val="21"/>
              </w:rPr>
              <w:t>、山东</w:t>
            </w:r>
            <w:r>
              <w:rPr>
                <w:spacing w:val="-13"/>
                <w:sz w:val="21"/>
              </w:rPr>
              <w:t xml:space="preserve">省打赢蓝天保卫战作战方案暨 </w:t>
            </w:r>
            <w:r>
              <w:rPr>
                <w:rFonts w:ascii="Times New Roman" w:eastAsia="Times New Roman" w:hAnsi="Times New Roman"/>
                <w:sz w:val="21"/>
              </w:rPr>
              <w:t>2013</w:t>
            </w:r>
            <w:r>
              <w:rPr>
                <w:sz w:val="21"/>
              </w:rPr>
              <w:t>—</w:t>
            </w:r>
            <w:r>
              <w:rPr>
                <w:rFonts w:ascii="Times New Roman" w:eastAsia="Times New Roman" w:hAnsi="Times New Roman"/>
                <w:sz w:val="21"/>
              </w:rPr>
              <w:t>2020</w:t>
            </w:r>
            <w:r>
              <w:rPr>
                <w:rFonts w:ascii="Times New Roman" w:eastAsia="Times New Roman" w:hAnsi="Times New Roman"/>
                <w:spacing w:val="-2"/>
                <w:sz w:val="21"/>
              </w:rPr>
              <w:t xml:space="preserve"> </w:t>
            </w:r>
            <w:r>
              <w:rPr>
                <w:sz w:val="21"/>
              </w:rPr>
              <w:t>年大气污染防治规划三期行动计划（</w:t>
            </w:r>
            <w:r>
              <w:rPr>
                <w:rFonts w:ascii="Times New Roman" w:eastAsia="Times New Roman" w:hAnsi="Times New Roman"/>
                <w:sz w:val="21"/>
              </w:rPr>
              <w:t>2018</w:t>
            </w:r>
            <w:r>
              <w:rPr>
                <w:sz w:val="21"/>
              </w:rPr>
              <w:t>—</w:t>
            </w:r>
            <w:r>
              <w:rPr>
                <w:rFonts w:ascii="Times New Roman" w:eastAsia="Times New Roman" w:hAnsi="Times New Roman"/>
                <w:sz w:val="21"/>
              </w:rPr>
              <w:t>2020</w:t>
            </w:r>
            <w:r>
              <w:rPr>
                <w:rFonts w:ascii="Times New Roman" w:eastAsia="Times New Roman" w:hAnsi="Times New Roman"/>
                <w:spacing w:val="48"/>
                <w:sz w:val="21"/>
              </w:rPr>
              <w:t xml:space="preserve"> </w:t>
            </w:r>
            <w:r>
              <w:rPr>
                <w:sz w:val="21"/>
              </w:rPr>
              <w:t>年）、</w:t>
            </w:r>
            <w:r>
              <w:rPr>
                <w:spacing w:val="-2"/>
                <w:sz w:val="21"/>
              </w:rPr>
              <w:t>饮用水水源保护区污染防治管理规定、山东省加强</w:t>
            </w:r>
            <w:r>
              <w:rPr>
                <w:spacing w:val="-18"/>
                <w:sz w:val="21"/>
              </w:rPr>
              <w:t>污染源头防治推进“四减四增”三年行动方案</w:t>
            </w:r>
            <w:r>
              <w:rPr>
                <w:sz w:val="21"/>
              </w:rPr>
              <w:t>（</w:t>
            </w:r>
            <w:r>
              <w:rPr>
                <w:rFonts w:ascii="Times New Roman" w:eastAsia="Times New Roman" w:hAnsi="Times New Roman"/>
                <w:sz w:val="21"/>
              </w:rPr>
              <w:t>2018</w:t>
            </w:r>
          </w:p>
          <w:p>
            <w:pPr>
              <w:pStyle w:val="TableParagraph"/>
              <w:spacing w:before="4" w:line="242" w:lineRule="auto"/>
              <w:ind w:left="110" w:right="89" w:firstLine="38"/>
              <w:jc w:val="both"/>
              <w:rPr>
                <w:sz w:val="21"/>
              </w:rPr>
            </w:pPr>
            <w:r>
              <w:rPr>
                <w:sz w:val="21"/>
              </w:rPr>
              <w:t>—</w:t>
            </w:r>
            <w:r>
              <w:rPr>
                <w:rFonts w:ascii="Times New Roman" w:eastAsia="Times New Roman" w:hAnsi="Times New Roman"/>
                <w:sz w:val="21"/>
              </w:rPr>
              <w:t>2020</w:t>
            </w:r>
            <w:r>
              <w:rPr>
                <w:rFonts w:ascii="Times New Roman" w:eastAsia="Times New Roman" w:hAnsi="Times New Roman"/>
                <w:spacing w:val="45"/>
                <w:sz w:val="21"/>
              </w:rPr>
              <w:t xml:space="preserve"> </w:t>
            </w:r>
            <w:r>
              <w:rPr>
                <w:sz w:val="21"/>
              </w:rPr>
              <w:t>年）、重点行业挥发性有机物综合治理方</w:t>
            </w:r>
            <w:r>
              <w:rPr>
                <w:spacing w:val="-8"/>
                <w:sz w:val="21"/>
              </w:rPr>
              <w:t>案、山东省宁津县城市绿地系统规划</w:t>
            </w:r>
            <w:r>
              <w:rPr>
                <w:spacing w:val="-4"/>
                <w:sz w:val="21"/>
              </w:rPr>
              <w:t>（</w:t>
            </w:r>
            <w:r>
              <w:rPr>
                <w:rFonts w:ascii="Times New Roman" w:eastAsia="Times New Roman" w:hAnsi="Times New Roman"/>
                <w:spacing w:val="-4"/>
                <w:sz w:val="21"/>
              </w:rPr>
              <w:t>2011-2030</w:t>
            </w:r>
            <w:r>
              <w:rPr>
                <w:spacing w:val="-4"/>
                <w:sz w:val="21"/>
              </w:rPr>
              <w:t xml:space="preserve">） </w:t>
            </w:r>
            <w:r>
              <w:rPr>
                <w:spacing w:val="-5"/>
                <w:w w:val="95"/>
                <w:sz w:val="21"/>
              </w:rPr>
              <w:t xml:space="preserve">区域“三线一单”、宁津县电梯产业发展规划等法 </w:t>
            </w:r>
            <w:r>
              <w:rPr>
                <w:spacing w:val="-7"/>
                <w:w w:val="95"/>
                <w:sz w:val="21"/>
              </w:rPr>
              <w:t xml:space="preserve">规条例、政策文件、规划区划要求。宁津东部产业 </w:t>
            </w:r>
            <w:r>
              <w:rPr>
                <w:spacing w:val="-9"/>
                <w:w w:val="95"/>
                <w:sz w:val="21"/>
              </w:rPr>
              <w:t>区规划范围部分区域不属于《宁津县城市总体规划</w:t>
            </w:r>
          </w:p>
          <w:p>
            <w:pPr>
              <w:pStyle w:val="TableParagraph"/>
              <w:spacing w:before="2" w:line="242" w:lineRule="auto"/>
              <w:ind w:left="110" w:right="89"/>
              <w:jc w:val="center"/>
              <w:rPr>
                <w:sz w:val="21"/>
              </w:rPr>
            </w:pPr>
            <w:r>
              <w:rPr>
                <w:sz w:val="21"/>
              </w:rPr>
              <w:t>（</w:t>
            </w:r>
            <w:r>
              <w:rPr>
                <w:rFonts w:ascii="Times New Roman" w:eastAsia="Times New Roman" w:hAnsi="Times New Roman"/>
                <w:sz w:val="21"/>
              </w:rPr>
              <w:t>2011</w:t>
            </w:r>
            <w:r>
              <w:rPr>
                <w:sz w:val="21"/>
              </w:rPr>
              <w:t>—</w:t>
            </w:r>
            <w:r>
              <w:rPr>
                <w:rFonts w:ascii="Times New Roman" w:eastAsia="Times New Roman" w:hAnsi="Times New Roman"/>
                <w:sz w:val="21"/>
              </w:rPr>
              <w:t>2030</w:t>
            </w:r>
            <w:r>
              <w:rPr>
                <w:rFonts w:ascii="Times New Roman" w:eastAsia="Times New Roman" w:hAnsi="Times New Roman"/>
                <w:spacing w:val="-20"/>
                <w:sz w:val="21"/>
              </w:rPr>
              <w:t xml:space="preserve"> </w:t>
            </w:r>
            <w:r>
              <w:rPr>
                <w:sz w:val="21"/>
              </w:rPr>
              <w:t>年</w:t>
            </w:r>
            <w:r>
              <w:rPr>
                <w:spacing w:val="-22"/>
                <w:sz w:val="21"/>
              </w:rPr>
              <w:t>）</w:t>
            </w:r>
            <w:r>
              <w:rPr>
                <w:spacing w:val="-7"/>
                <w:sz w:val="21"/>
              </w:rPr>
              <w:t>》中城市建设用地，工业一路以东，大祁北路以南不在宁津县城市总体规划范围</w:t>
            </w:r>
            <w:r>
              <w:rPr>
                <w:spacing w:val="-5"/>
                <w:w w:val="95"/>
                <w:sz w:val="21"/>
              </w:rPr>
              <w:t xml:space="preserve">内，与宁津县城市总体规划不符。根据《宁津县土 </w:t>
            </w:r>
            <w:r>
              <w:rPr>
                <w:spacing w:val="-5"/>
                <w:sz w:val="21"/>
              </w:rPr>
              <w:t>地利用总体规划（</w:t>
            </w:r>
            <w:r>
              <w:rPr>
                <w:rFonts w:ascii="Times New Roman" w:eastAsia="Times New Roman" w:hAnsi="Times New Roman"/>
                <w:spacing w:val="-5"/>
                <w:sz w:val="21"/>
              </w:rPr>
              <w:t>2006</w:t>
            </w:r>
            <w:r>
              <w:rPr>
                <w:spacing w:val="-5"/>
                <w:sz w:val="21"/>
              </w:rPr>
              <w:t>—</w:t>
            </w:r>
            <w:r>
              <w:rPr>
                <w:rFonts w:ascii="Times New Roman" w:eastAsia="Times New Roman" w:hAnsi="Times New Roman"/>
                <w:spacing w:val="-5"/>
                <w:sz w:val="21"/>
              </w:rPr>
              <w:t>2020</w:t>
            </w:r>
            <w:r>
              <w:rPr>
                <w:rFonts w:ascii="Times New Roman" w:eastAsia="Times New Roman" w:hAnsi="Times New Roman"/>
                <w:spacing w:val="45"/>
                <w:sz w:val="21"/>
              </w:rPr>
              <w:t xml:space="preserve"> </w:t>
            </w:r>
            <w:r>
              <w:rPr>
                <w:sz w:val="21"/>
              </w:rPr>
              <w:t>年）》，部分区域</w:t>
            </w:r>
            <w:r>
              <w:rPr>
                <w:spacing w:val="-3"/>
                <w:w w:val="95"/>
                <w:sz w:val="21"/>
              </w:rPr>
              <w:t xml:space="preserve">现状存在基本农田。本次环评统筹考虑《宁津县城 </w:t>
            </w:r>
            <w:r>
              <w:rPr>
                <w:spacing w:val="-3"/>
                <w:sz w:val="21"/>
              </w:rPr>
              <w:t>市总体规划（</w:t>
            </w:r>
            <w:r>
              <w:rPr>
                <w:rFonts w:ascii="Times New Roman" w:eastAsia="Times New Roman" w:hAnsi="Times New Roman"/>
                <w:spacing w:val="-3"/>
                <w:sz w:val="21"/>
              </w:rPr>
              <w:t>2011</w:t>
            </w:r>
            <w:r>
              <w:rPr>
                <w:spacing w:val="-3"/>
                <w:sz w:val="21"/>
              </w:rPr>
              <w:t>—</w:t>
            </w:r>
            <w:r>
              <w:rPr>
                <w:rFonts w:ascii="Times New Roman" w:eastAsia="Times New Roman" w:hAnsi="Times New Roman"/>
                <w:spacing w:val="-3"/>
                <w:sz w:val="21"/>
              </w:rPr>
              <w:t>2030</w:t>
            </w:r>
            <w:r>
              <w:rPr>
                <w:rFonts w:ascii="Times New Roman" w:eastAsia="Times New Roman" w:hAnsi="Times New Roman"/>
                <w:spacing w:val="38"/>
                <w:sz w:val="21"/>
              </w:rPr>
              <w:t xml:space="preserve"> </w:t>
            </w:r>
            <w:r>
              <w:rPr>
                <w:sz w:val="21"/>
              </w:rPr>
              <w:t>年）》和《宁津县土地利用总体规划（</w:t>
            </w:r>
            <w:r>
              <w:rPr>
                <w:rFonts w:ascii="Times New Roman" w:eastAsia="Times New Roman" w:hAnsi="Times New Roman"/>
                <w:sz w:val="21"/>
              </w:rPr>
              <w:t>2006</w:t>
            </w:r>
            <w:r>
              <w:rPr>
                <w:sz w:val="21"/>
              </w:rPr>
              <w:t>—</w:t>
            </w:r>
            <w:r>
              <w:rPr>
                <w:rFonts w:ascii="Times New Roman" w:eastAsia="Times New Roman" w:hAnsi="Times New Roman"/>
                <w:sz w:val="21"/>
              </w:rPr>
              <w:t>2020</w:t>
            </w:r>
            <w:r>
              <w:rPr>
                <w:rFonts w:ascii="Times New Roman" w:eastAsia="Times New Roman" w:hAnsi="Times New Roman"/>
                <w:spacing w:val="42"/>
                <w:sz w:val="21"/>
              </w:rPr>
              <w:t xml:space="preserve"> </w:t>
            </w:r>
            <w:r>
              <w:rPr>
                <w:sz w:val="21"/>
              </w:rPr>
              <w:t>年）》（调整完善方</w:t>
            </w:r>
          </w:p>
          <w:p>
            <w:pPr>
              <w:pStyle w:val="TableParagraph"/>
              <w:spacing w:before="5" w:line="270" w:lineRule="atLeast"/>
              <w:ind w:left="110" w:right="89" w:hanging="3"/>
              <w:jc w:val="center"/>
              <w:rPr>
                <w:sz w:val="21"/>
              </w:rPr>
            </w:pPr>
            <w:r>
              <w:rPr>
                <w:w w:val="95"/>
                <w:sz w:val="21"/>
              </w:rPr>
              <w:t>案</w:t>
            </w:r>
            <w:r>
              <w:rPr>
                <w:spacing w:val="-8"/>
                <w:w w:val="95"/>
                <w:sz w:val="21"/>
              </w:rPr>
              <w:t>）</w:t>
            </w:r>
            <w:r>
              <w:rPr>
                <w:spacing w:val="-4"/>
                <w:w w:val="95"/>
                <w:sz w:val="21"/>
              </w:rPr>
              <w:t xml:space="preserve">要求，在新的国土空间规划完成前，近期规划 </w:t>
            </w:r>
            <w:r>
              <w:rPr>
                <w:spacing w:val="-6"/>
                <w:w w:val="95"/>
                <w:sz w:val="21"/>
              </w:rPr>
              <w:t>范围内将工业一路以东区域</w:t>
            </w:r>
            <w:r>
              <w:rPr>
                <w:w w:val="95"/>
                <w:sz w:val="21"/>
              </w:rPr>
              <w:t>（除德州五谷食尚食品</w:t>
            </w:r>
          </w:p>
        </w:tc>
        <w:tc>
          <w:tcPr>
            <w:tcW w:w="2250" w:type="dxa"/>
            <w:tcBorders>
              <w:top w:val="single" w:sz="6" w:space="0" w:color="000000"/>
              <w:left w:val="single" w:sz="6" w:space="0" w:color="000000"/>
              <w:right w:val="single" w:sz="6"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40" w:line="242" w:lineRule="auto"/>
              <w:ind w:left="109" w:right="23"/>
              <w:rPr>
                <w:sz w:val="21"/>
              </w:rPr>
            </w:pPr>
            <w:r>
              <w:rPr>
                <w:spacing w:val="-2"/>
                <w:sz w:val="21"/>
              </w:rPr>
              <w:t xml:space="preserve">拟建项目为新建项目， </w:t>
            </w:r>
            <w:r>
              <w:rPr>
                <w:sz w:val="21"/>
              </w:rPr>
              <w:t xml:space="preserve">用地符合宁津县土地 </w:t>
            </w:r>
            <w:r>
              <w:rPr>
                <w:spacing w:val="-8"/>
                <w:sz w:val="21"/>
              </w:rPr>
              <w:t>利用总体规划，且通过</w:t>
            </w:r>
            <w:r>
              <w:rPr>
                <w:spacing w:val="-10"/>
                <w:sz w:val="21"/>
              </w:rPr>
              <w:t>分析，不会对周边环境</w:t>
            </w:r>
          </w:p>
          <w:p>
            <w:pPr>
              <w:pStyle w:val="TableParagraph"/>
              <w:spacing w:before="5" w:line="242" w:lineRule="auto"/>
              <w:ind w:left="109" w:right="23" w:hanging="233"/>
              <w:rPr>
                <w:sz w:val="21"/>
              </w:rPr>
            </w:pPr>
            <w:r>
              <w:rPr>
                <w:spacing w:val="-7"/>
                <w:sz w:val="21"/>
              </w:rPr>
              <w:t>、空气、水环境及声环境</w:t>
            </w:r>
            <w:r>
              <w:rPr>
                <w:spacing w:val="-12"/>
                <w:sz w:val="21"/>
              </w:rPr>
              <w:t xml:space="preserve">造成明显影响，并对可能出现的环境影响提 </w:t>
            </w:r>
            <w:r>
              <w:rPr>
                <w:spacing w:val="-13"/>
                <w:sz w:val="21"/>
              </w:rPr>
              <w:t>出了相应的环保措施。</w:t>
            </w:r>
          </w:p>
        </w:tc>
        <w:tc>
          <w:tcPr>
            <w:tcW w:w="863" w:type="dxa"/>
            <w:tcBorders>
              <w:top w:val="single" w:sz="6" w:space="0" w:color="000000"/>
              <w:left w:val="single" w:sz="6" w:space="0" w:color="000000"/>
              <w:right w:val="single" w:sz="6"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5"/>
              </w:rPr>
            </w:pPr>
          </w:p>
          <w:p>
            <w:pPr>
              <w:pStyle w:val="TableParagraph"/>
              <w:ind w:left="94" w:right="78"/>
              <w:jc w:val="center"/>
              <w:rPr>
                <w:sz w:val="21"/>
              </w:rPr>
            </w:pPr>
            <w:r>
              <w:rPr>
                <w:sz w:val="21"/>
              </w:rPr>
              <w:t>符合</w:t>
            </w:r>
          </w:p>
        </w:tc>
        <w:tc>
          <w:tcPr>
            <w:tcW w:w="126" w:type="dxa"/>
            <w:tcBorders>
              <w:top w:val="nil"/>
              <w:left w:val="single" w:sz="6" w:space="0" w:color="000000"/>
            </w:tcBorders>
          </w:tcPr>
          <w:p>
            <w:pPr>
              <w:pStyle w:val="TableParagraph"/>
              <w:rPr>
                <w:rFonts w:ascii="Times New Roman"/>
                <w:sz w:val="20"/>
              </w:rPr>
            </w:pPr>
          </w:p>
        </w:tc>
      </w:tr>
    </w:tbl>
    <w:p>
      <w:pPr>
        <w:pStyle w:val="BodyText"/>
        <w:rPr>
          <w:sz w:val="20"/>
        </w:rPr>
      </w:pPr>
    </w:p>
    <w:p>
      <w:pPr>
        <w:pStyle w:val="BodyText"/>
        <w:spacing w:before="8"/>
        <w:rPr>
          <w:sz w:val="28"/>
        </w:rPr>
      </w:pPr>
    </w:p>
    <w:p>
      <w:pPr>
        <w:spacing w:before="62"/>
        <w:ind w:left="0" w:right="649" w:firstLine="0"/>
        <w:jc w:val="right"/>
        <w:rPr>
          <w:sz w:val="28"/>
        </w:rPr>
      </w:pPr>
      <w:r>
        <w:rPr>
          <w:sz w:val="28"/>
        </w:rPr>
        <w:t xml:space="preserve">— </w:t>
      </w:r>
      <w:r>
        <w:rPr>
          <w:sz w:val="26"/>
        </w:rPr>
        <w:t xml:space="preserve">3 </w:t>
      </w:r>
      <w:r>
        <w:rPr>
          <w:sz w:val="28"/>
        </w:rPr>
        <w:t>—</w:t>
      </w:r>
    </w:p>
    <w:p>
      <w:pPr>
        <w:spacing w:after="0"/>
        <w:jc w:val="right"/>
        <w:rPr>
          <w:sz w:val="28"/>
        </w:rPr>
        <w:sectPr>
          <w:pgSz w:w="11910" w:h="16840"/>
          <w:pgMar w:top="1580" w:right="879" w:bottom="280" w:left="900" w:header="720" w:footer="720" w:gutter="0"/>
          <w:pgNumType w:start="4"/>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26"/>
        <w:gridCol w:w="539"/>
        <w:gridCol w:w="2114"/>
        <w:gridCol w:w="2704"/>
        <w:gridCol w:w="1141"/>
        <w:gridCol w:w="1111"/>
        <w:gridCol w:w="331"/>
        <w:gridCol w:w="534"/>
        <w:gridCol w:w="127"/>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353"/>
        </w:trPr>
        <w:tc>
          <w:tcPr>
            <w:tcW w:w="594" w:type="dxa"/>
            <w:tcBorders>
              <w:bottom w:val="single" w:sz="4" w:space="0" w:color="000000"/>
              <w:right w:val="single" w:sz="4" w:space="0" w:color="000000"/>
            </w:tcBorders>
          </w:tcPr>
          <w:p>
            <w:pPr>
              <w:pStyle w:val="TableParagraph"/>
              <w:rPr>
                <w:rFonts w:ascii="Times New Roman"/>
                <w:sz w:val="22"/>
              </w:rPr>
            </w:pPr>
          </w:p>
        </w:tc>
        <w:tc>
          <w:tcPr>
            <w:tcW w:w="126" w:type="dxa"/>
            <w:tcBorders>
              <w:left w:val="single" w:sz="4" w:space="0" w:color="000000"/>
              <w:bottom w:val="single" w:sz="4" w:space="0" w:color="000000"/>
              <w:right w:val="single" w:sz="6" w:space="0" w:color="000000"/>
            </w:tcBorders>
          </w:tcPr>
          <w:p>
            <w:pPr>
              <w:pStyle w:val="TableParagraph"/>
              <w:rPr>
                <w:rFonts w:ascii="Times New Roman"/>
                <w:sz w:val="22"/>
              </w:rPr>
            </w:pPr>
          </w:p>
        </w:tc>
        <w:tc>
          <w:tcPr>
            <w:tcW w:w="539" w:type="dxa"/>
            <w:tcBorders>
              <w:top w:val="single" w:sz="18" w:space="0" w:color="000000"/>
              <w:left w:val="single" w:sz="6" w:space="0" w:color="000000"/>
              <w:bottom w:val="thinThickMediumGap" w:sz="2" w:space="0" w:color="000000"/>
              <w:right w:val="single" w:sz="6" w:space="0" w:color="000000"/>
            </w:tcBorders>
          </w:tcPr>
          <w:p>
            <w:pPr>
              <w:pStyle w:val="TableParagraph"/>
              <w:rPr>
                <w:rFonts w:ascii="Times New Roman"/>
                <w:sz w:val="22"/>
              </w:rPr>
            </w:pPr>
          </w:p>
        </w:tc>
        <w:tc>
          <w:tcPr>
            <w:tcW w:w="4818" w:type="dxa"/>
            <w:gridSpan w:val="2"/>
            <w:tcBorders>
              <w:top w:val="single" w:sz="18" w:space="0" w:color="000000"/>
              <w:left w:val="single" w:sz="6" w:space="0" w:color="000000"/>
              <w:bottom w:val="thinThickMediumGap" w:sz="2" w:space="0" w:color="000000"/>
              <w:right w:val="single" w:sz="6" w:space="0" w:color="000000"/>
            </w:tcBorders>
          </w:tcPr>
          <w:p>
            <w:pPr>
              <w:pStyle w:val="TableParagraph"/>
              <w:spacing w:line="242" w:lineRule="auto"/>
              <w:ind w:left="115" w:right="-15"/>
              <w:rPr>
                <w:sz w:val="21"/>
              </w:rPr>
            </w:pPr>
            <w:r>
              <w:rPr>
                <w:sz w:val="21"/>
              </w:rPr>
              <w:t>科技有限公司</w:t>
            </w:r>
            <w:r>
              <w:rPr>
                <w:spacing w:val="-13"/>
                <w:sz w:val="21"/>
              </w:rPr>
              <w:t>）</w:t>
            </w:r>
            <w:r>
              <w:rPr>
                <w:spacing w:val="-3"/>
                <w:sz w:val="21"/>
              </w:rPr>
              <w:t xml:space="preserve">划定为限制开发区，约 </w:t>
            </w:r>
            <w:r>
              <w:rPr>
                <w:rFonts w:ascii="Times New Roman" w:eastAsia="Times New Roman"/>
                <w:sz w:val="21"/>
              </w:rPr>
              <w:t>521</w:t>
            </w:r>
            <w:r>
              <w:rPr>
                <w:rFonts w:ascii="Times New Roman" w:eastAsia="Times New Roman"/>
                <w:spacing w:val="46"/>
                <w:sz w:val="21"/>
              </w:rPr>
              <w:t xml:space="preserve"> </w:t>
            </w:r>
            <w:r>
              <w:rPr>
                <w:sz w:val="21"/>
              </w:rPr>
              <w:t xml:space="preserve">公顷。远期规划范围内将现状基本农田所在区域划定为 </w:t>
            </w:r>
            <w:r>
              <w:rPr>
                <w:spacing w:val="-1"/>
                <w:sz w:val="21"/>
              </w:rPr>
              <w:t xml:space="preserve">禁止开发区，约 </w:t>
            </w:r>
            <w:r>
              <w:rPr>
                <w:rFonts w:ascii="Times New Roman" w:eastAsia="Times New Roman"/>
                <w:sz w:val="21"/>
              </w:rPr>
              <w:t>305.11</w:t>
            </w:r>
            <w:r>
              <w:rPr>
                <w:rFonts w:ascii="Times New Roman" w:eastAsia="Times New Roman"/>
                <w:spacing w:val="43"/>
                <w:sz w:val="21"/>
              </w:rPr>
              <w:t xml:space="preserve"> </w:t>
            </w:r>
            <w:r>
              <w:rPr>
                <w:sz w:val="21"/>
              </w:rPr>
              <w:t>公顷，在基本农田调整为</w:t>
            </w:r>
            <w:r>
              <w:rPr>
                <w:spacing w:val="-4"/>
                <w:sz w:val="21"/>
              </w:rPr>
              <w:t xml:space="preserve">建设用地前，禁止开发建设；远期不在城市总规范围内和宁津县土地利用总体规划为一般农业用地、林业用地、水域的其他用地，划定为限制开发区， 约 </w:t>
            </w:r>
            <w:r>
              <w:rPr>
                <w:rFonts w:ascii="Times New Roman" w:eastAsia="Times New Roman"/>
                <w:sz w:val="21"/>
              </w:rPr>
              <w:t>62.61</w:t>
            </w:r>
            <w:r>
              <w:rPr>
                <w:rFonts w:ascii="Times New Roman" w:eastAsia="Times New Roman"/>
                <w:spacing w:val="50"/>
                <w:sz w:val="21"/>
              </w:rPr>
              <w:t xml:space="preserve"> </w:t>
            </w:r>
            <w:r>
              <w:rPr>
                <w:sz w:val="21"/>
              </w:rPr>
              <w:t>公顷。近期远期限制开发区面积合计约</w:t>
            </w:r>
          </w:p>
          <w:p>
            <w:pPr>
              <w:pStyle w:val="TableParagraph"/>
              <w:spacing w:line="242" w:lineRule="auto"/>
              <w:ind w:left="115" w:right="-15" w:firstLine="16"/>
              <w:rPr>
                <w:sz w:val="21"/>
              </w:rPr>
            </w:pPr>
            <w:r>
              <w:rPr>
                <w:rFonts w:ascii="Times New Roman" w:eastAsia="Times New Roman"/>
                <w:sz w:val="21"/>
              </w:rPr>
              <w:t>683.61</w:t>
            </w:r>
            <w:r>
              <w:rPr>
                <w:rFonts w:ascii="Times New Roman" w:eastAsia="Times New Roman"/>
                <w:spacing w:val="46"/>
                <w:sz w:val="21"/>
              </w:rPr>
              <w:t xml:space="preserve"> </w:t>
            </w:r>
            <w:r>
              <w:rPr>
                <w:spacing w:val="-1"/>
                <w:sz w:val="21"/>
              </w:rPr>
              <w:t xml:space="preserve">公顷，禁止开发区面积约 </w:t>
            </w:r>
            <w:r>
              <w:rPr>
                <w:rFonts w:ascii="Times New Roman" w:eastAsia="Times New Roman"/>
                <w:sz w:val="21"/>
              </w:rPr>
              <w:t>305.11</w:t>
            </w:r>
            <w:r>
              <w:rPr>
                <w:rFonts w:ascii="Times New Roman" w:eastAsia="Times New Roman"/>
                <w:spacing w:val="-6"/>
                <w:sz w:val="21"/>
              </w:rPr>
              <w:t xml:space="preserve"> </w:t>
            </w:r>
            <w:r>
              <w:rPr>
                <w:sz w:val="21"/>
              </w:rPr>
              <w:t>公顷。园</w:t>
            </w:r>
            <w:r>
              <w:rPr>
                <w:spacing w:val="-3"/>
                <w:sz w:val="21"/>
              </w:rPr>
              <w:t>区不涉及生态保护红线，主导产业为电梯制造、健</w:t>
            </w:r>
            <w:r>
              <w:rPr>
                <w:spacing w:val="-13"/>
                <w:w w:val="95"/>
                <w:sz w:val="21"/>
              </w:rPr>
              <w:t xml:space="preserve">身器材、家具制造、新能源新材料、智能装备制造、 </w:t>
            </w:r>
            <w:r>
              <w:rPr>
                <w:spacing w:val="-10"/>
                <w:sz w:val="21"/>
              </w:rPr>
              <w:t>物流仓储等，规划方案在规划目标与发展定位、规</w:t>
            </w:r>
            <w:r>
              <w:rPr>
                <w:spacing w:val="-8"/>
                <w:sz w:val="21"/>
              </w:rPr>
              <w:t>划规模、规划布局、规划产业结构上具有环境合理</w:t>
            </w:r>
            <w:r>
              <w:rPr>
                <w:spacing w:val="-6"/>
                <w:sz w:val="21"/>
              </w:rPr>
              <w:t>性，环境保护目标与评价指标上具有可达性。规划方案在规划布局和环保基础设施规划上需进一步 完善。在满足上述要求、严格落实各项环保措施的</w:t>
            </w:r>
          </w:p>
          <w:p>
            <w:pPr>
              <w:pStyle w:val="TableParagraph"/>
              <w:spacing w:before="5" w:line="252" w:lineRule="exact"/>
              <w:ind w:left="415"/>
              <w:rPr>
                <w:sz w:val="21"/>
              </w:rPr>
            </w:pPr>
            <w:r>
              <w:rPr>
                <w:sz w:val="21"/>
              </w:rPr>
              <w:t>前提下，从环境保护角度，园区的规划可行</w:t>
            </w:r>
          </w:p>
        </w:tc>
        <w:tc>
          <w:tcPr>
            <w:tcW w:w="2252" w:type="dxa"/>
            <w:gridSpan w:val="2"/>
            <w:tcBorders>
              <w:top w:val="single" w:sz="18" w:space="0" w:color="000000"/>
              <w:left w:val="single" w:sz="6" w:space="0" w:color="000000"/>
              <w:bottom w:val="thinThickMediumGap" w:sz="2" w:space="0" w:color="000000"/>
              <w:right w:val="single" w:sz="6" w:space="0" w:color="000000"/>
            </w:tcBorders>
          </w:tcPr>
          <w:p>
            <w:pPr>
              <w:pStyle w:val="TableParagraph"/>
              <w:rPr>
                <w:rFonts w:ascii="Times New Roman"/>
                <w:sz w:val="22"/>
              </w:rPr>
            </w:pPr>
          </w:p>
        </w:tc>
        <w:tc>
          <w:tcPr>
            <w:tcW w:w="865" w:type="dxa"/>
            <w:gridSpan w:val="2"/>
            <w:tcBorders>
              <w:top w:val="single" w:sz="18" w:space="0" w:color="000000"/>
              <w:left w:val="single" w:sz="6" w:space="0" w:color="000000"/>
              <w:bottom w:val="thinThickMediumGap" w:sz="2" w:space="0" w:color="000000"/>
              <w:right w:val="single" w:sz="6" w:space="0" w:color="000000"/>
            </w:tcBorders>
          </w:tcPr>
          <w:p>
            <w:pPr>
              <w:pStyle w:val="TableParagraph"/>
              <w:rPr>
                <w:rFonts w:ascii="Times New Roman"/>
                <w:sz w:val="22"/>
              </w:rPr>
            </w:pPr>
          </w:p>
        </w:tc>
        <w:tc>
          <w:tcPr>
            <w:tcW w:w="127" w:type="dxa"/>
            <w:tcBorders>
              <w:left w:val="single" w:sz="6" w:space="0" w:color="000000"/>
              <w:bottom w:val="single" w:sz="4" w:space="0" w:color="000000"/>
            </w:tcBorders>
          </w:tcPr>
          <w:p>
            <w:pPr>
              <w:pStyle w:val="TableParagraph"/>
              <w:rPr>
                <w:rFonts w:ascii="Times New Roman"/>
                <w:sz w:val="22"/>
              </w:rPr>
            </w:pPr>
          </w:p>
        </w:tc>
      </w:tr>
      <w:tr>
        <w:tblPrEx>
          <w:tblW w:w="0" w:type="auto"/>
          <w:tblInd w:w="406" w:type="dxa"/>
          <w:tblLayout w:type="fixed"/>
          <w:tblCellMar>
            <w:top w:w="0" w:type="dxa"/>
            <w:left w:w="0" w:type="dxa"/>
            <w:bottom w:w="0" w:type="dxa"/>
            <w:right w:w="0" w:type="dxa"/>
          </w:tblCellMar>
        </w:tblPrEx>
        <w:trPr>
          <w:trHeight w:val="8404"/>
        </w:trPr>
        <w:tc>
          <w:tcPr>
            <w:tcW w:w="594" w:type="dxa"/>
            <w:vMerge w:val="restart"/>
            <w:tcBorders>
              <w:top w:val="single" w:sz="4" w:space="0" w:color="000000"/>
              <w:right w:val="single" w:sz="4" w:space="0" w:color="000000"/>
            </w:tcBorders>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184" w:line="242" w:lineRule="auto"/>
              <w:ind w:left="177" w:right="159"/>
              <w:jc w:val="both"/>
              <w:rPr>
                <w:sz w:val="24"/>
              </w:rPr>
            </w:pPr>
            <w:r>
              <w:rPr>
                <w:sz w:val="24"/>
              </w:rPr>
              <w:t>其他符合性分析</w:t>
            </w:r>
          </w:p>
        </w:tc>
        <w:tc>
          <w:tcPr>
            <w:tcW w:w="8727" w:type="dxa"/>
            <w:gridSpan w:val="9"/>
            <w:tcBorders>
              <w:top w:val="thickThinMediumGap" w:sz="2" w:space="0" w:color="000000"/>
              <w:left w:val="single" w:sz="4" w:space="0" w:color="000000"/>
              <w:bottom w:val="nil"/>
            </w:tcBorders>
          </w:tcPr>
          <w:p>
            <w:pPr>
              <w:pStyle w:val="TableParagraph"/>
              <w:spacing w:before="7"/>
              <w:ind w:left="322"/>
              <w:rPr>
                <w:b/>
                <w:sz w:val="24"/>
              </w:rPr>
            </w:pPr>
            <w:bookmarkStart w:id="1" w:name="（一）、产业政策的符合性分析"/>
            <w:bookmarkEnd w:id="1"/>
            <w:r>
              <w:rPr>
                <w:b/>
                <w:sz w:val="24"/>
              </w:rPr>
              <w:t>（一）、产业政策的符合性分析</w:t>
            </w:r>
          </w:p>
          <w:p>
            <w:pPr>
              <w:pStyle w:val="TableParagraph"/>
              <w:spacing w:before="162" w:line="364" w:lineRule="auto"/>
              <w:ind w:left="111" w:right="94" w:firstLine="480"/>
              <w:jc w:val="both"/>
              <w:rPr>
                <w:sz w:val="24"/>
              </w:rPr>
            </w:pPr>
            <w:r>
              <w:rPr>
                <w:spacing w:val="-3"/>
                <w:sz w:val="24"/>
              </w:rPr>
              <w:t>根据《产业结构调整指导目录</w:t>
            </w:r>
            <w:r>
              <w:rPr>
                <w:sz w:val="24"/>
              </w:rPr>
              <w:t>（</w:t>
            </w:r>
            <w:r>
              <w:rPr>
                <w:rFonts w:ascii="Times New Roman" w:eastAsia="Times New Roman"/>
                <w:sz w:val="24"/>
              </w:rPr>
              <w:t xml:space="preserve">2019 </w:t>
            </w:r>
            <w:r>
              <w:rPr>
                <w:sz w:val="24"/>
              </w:rPr>
              <w:t>年版</w:t>
            </w:r>
            <w:r>
              <w:rPr>
                <w:spacing w:val="-5"/>
                <w:sz w:val="24"/>
              </w:rPr>
              <w:t>）》</w:t>
            </w:r>
            <w:r>
              <w:rPr>
                <w:sz w:val="24"/>
              </w:rPr>
              <w:t>（</w:t>
            </w:r>
            <w:r>
              <w:rPr>
                <w:rFonts w:ascii="Times New Roman" w:eastAsia="Times New Roman"/>
                <w:sz w:val="24"/>
              </w:rPr>
              <w:t xml:space="preserve">2021 </w:t>
            </w:r>
            <w:r>
              <w:rPr>
                <w:spacing w:val="-2"/>
                <w:sz w:val="24"/>
              </w:rPr>
              <w:t>年中华人民共和国国家</w:t>
            </w:r>
            <w:r>
              <w:rPr>
                <w:spacing w:val="-6"/>
                <w:sz w:val="24"/>
              </w:rPr>
              <w:t xml:space="preserve">发展和改革委员会令第 </w:t>
            </w:r>
            <w:r>
              <w:rPr>
                <w:rFonts w:ascii="Times New Roman" w:eastAsia="Times New Roman"/>
                <w:sz w:val="24"/>
              </w:rPr>
              <w:t xml:space="preserve">49 </w:t>
            </w:r>
            <w:r>
              <w:rPr>
                <w:sz w:val="24"/>
              </w:rPr>
              <w:t>号修改</w:t>
            </w:r>
            <w:r>
              <w:rPr>
                <w:spacing w:val="-4"/>
                <w:sz w:val="24"/>
              </w:rPr>
              <w:t>），项目不属于鼓励类、限制类和淘汰类，属于</w:t>
            </w:r>
            <w:r>
              <w:rPr>
                <w:sz w:val="24"/>
              </w:rPr>
              <w:t>允许建设类项目。项目未使用国家明令禁止的淘汰类和限制类的工艺和设备，符</w:t>
            </w:r>
            <w:r>
              <w:rPr>
                <w:spacing w:val="15"/>
                <w:sz w:val="24"/>
              </w:rPr>
              <w:t xml:space="preserve">合国家产业政策；项目取得了乐陵市行政审批服务局备案证明，项目代码： </w:t>
            </w:r>
            <w:r>
              <w:rPr>
                <w:rFonts w:ascii="Times New Roman" w:eastAsia="Times New Roman"/>
                <w:spacing w:val="15"/>
                <w:sz w:val="24"/>
              </w:rPr>
              <w:t>2312-371422-89-01-306541</w:t>
            </w:r>
            <w:r>
              <w:rPr>
                <w:spacing w:val="15"/>
                <w:sz w:val="24"/>
              </w:rPr>
              <w:t>（建设项目备案证明详见附件）</w:t>
            </w:r>
            <w:r>
              <w:rPr>
                <w:spacing w:val="12"/>
                <w:sz w:val="24"/>
              </w:rPr>
              <w:t>，因此本项目的建设符</w:t>
            </w:r>
            <w:r>
              <w:rPr>
                <w:sz w:val="24"/>
              </w:rPr>
              <w:t>合国家产业政策要求。</w:t>
            </w:r>
          </w:p>
          <w:p>
            <w:pPr>
              <w:pStyle w:val="TableParagraph"/>
              <w:spacing w:before="2"/>
              <w:ind w:left="322"/>
              <w:rPr>
                <w:b/>
                <w:sz w:val="24"/>
              </w:rPr>
            </w:pPr>
            <w:bookmarkStart w:id="2" w:name="（二）、与“三线一单”符合性分析"/>
            <w:bookmarkEnd w:id="2"/>
            <w:r>
              <w:rPr>
                <w:b/>
                <w:sz w:val="24"/>
              </w:rPr>
              <w:t>（二）、与“三线一单”符合性分析</w:t>
            </w:r>
          </w:p>
          <w:p>
            <w:pPr>
              <w:pStyle w:val="TableParagraph"/>
              <w:spacing w:before="163" w:line="364" w:lineRule="auto"/>
              <w:ind w:left="111" w:right="-29" w:firstLine="480"/>
              <w:rPr>
                <w:sz w:val="24"/>
              </w:rPr>
            </w:pPr>
            <w:r>
              <w:rPr>
                <w:spacing w:val="-1"/>
                <w:sz w:val="24"/>
              </w:rPr>
              <w:t>项目位于宁津县三岭大街与宏图路交叉口东南角，依据</w:t>
            </w:r>
            <w:r>
              <w:rPr>
                <w:rFonts w:ascii="Times New Roman" w:eastAsia="Times New Roman" w:hAnsi="Times New Roman"/>
                <w:sz w:val="24"/>
              </w:rPr>
              <w:t>2021</w:t>
            </w:r>
            <w:r>
              <w:rPr>
                <w:sz w:val="24"/>
              </w:rPr>
              <w:t>年</w:t>
            </w:r>
            <w:r>
              <w:rPr>
                <w:rFonts w:ascii="Times New Roman" w:eastAsia="Times New Roman" w:hAnsi="Times New Roman"/>
                <w:sz w:val="24"/>
              </w:rPr>
              <w:t>6</w:t>
            </w:r>
            <w:r>
              <w:rPr>
                <w:sz w:val="24"/>
              </w:rPr>
              <w:t>月</w:t>
            </w:r>
            <w:r>
              <w:rPr>
                <w:rFonts w:ascii="Times New Roman" w:eastAsia="Times New Roman" w:hAnsi="Times New Roman"/>
                <w:sz w:val="24"/>
              </w:rPr>
              <w:t>28</w:t>
            </w:r>
            <w:r>
              <w:rPr>
                <w:sz w:val="24"/>
              </w:rPr>
              <w:t>日德州市</w:t>
            </w:r>
            <w:r>
              <w:rPr>
                <w:spacing w:val="-4"/>
                <w:sz w:val="24"/>
              </w:rPr>
              <w:t>人民政府印发的《德州市“三线一单”生态环境分区管控方案》</w:t>
            </w:r>
            <w:r>
              <w:rPr>
                <w:sz w:val="24"/>
              </w:rPr>
              <w:t>（</w:t>
            </w:r>
            <w:r>
              <w:rPr>
                <w:spacing w:val="-2"/>
                <w:sz w:val="24"/>
              </w:rPr>
              <w:t>德政字〔</w:t>
            </w:r>
            <w:r>
              <w:rPr>
                <w:rFonts w:ascii="Times New Roman" w:eastAsia="Times New Roman" w:hAnsi="Times New Roman"/>
                <w:sz w:val="24"/>
              </w:rPr>
              <w:t>2021</w:t>
            </w:r>
            <w:r>
              <w:rPr>
                <w:sz w:val="24"/>
              </w:rPr>
              <w:t>〕</w:t>
            </w:r>
            <w:r>
              <w:rPr>
                <w:rFonts w:ascii="Times New Roman" w:eastAsia="Times New Roman" w:hAnsi="Times New Roman"/>
                <w:sz w:val="24"/>
              </w:rPr>
              <w:t>19</w:t>
            </w:r>
            <w:r>
              <w:rPr>
                <w:sz w:val="24"/>
              </w:rPr>
              <w:t>号）及德州市生态环境保护委员会办公室关于印发《德州市“三线一单”生态环境分区管控方案</w:t>
            </w:r>
            <w:r>
              <w:rPr>
                <w:rFonts w:ascii="Times New Roman" w:eastAsia="Times New Roman" w:hAnsi="Times New Roman"/>
                <w:sz w:val="24"/>
              </w:rPr>
              <w:t>2022</w:t>
            </w:r>
            <w:r>
              <w:rPr>
                <w:spacing w:val="-2"/>
                <w:sz w:val="24"/>
              </w:rPr>
              <w:t>年度更新内容》的通知</w:t>
            </w:r>
            <w:r>
              <w:rPr>
                <w:sz w:val="24"/>
              </w:rPr>
              <w:t>（</w:t>
            </w:r>
            <w:r>
              <w:rPr>
                <w:spacing w:val="-1"/>
                <w:sz w:val="24"/>
              </w:rPr>
              <w:t>德环委办字〔</w:t>
            </w:r>
            <w:r>
              <w:rPr>
                <w:rFonts w:ascii="Times New Roman" w:eastAsia="Times New Roman" w:hAnsi="Times New Roman"/>
                <w:sz w:val="24"/>
              </w:rPr>
              <w:t>2023</w:t>
            </w:r>
            <w:r>
              <w:rPr>
                <w:spacing w:val="-3"/>
                <w:sz w:val="24"/>
              </w:rPr>
              <w:t>〕</w:t>
            </w:r>
            <w:r>
              <w:rPr>
                <w:rFonts w:ascii="Times New Roman" w:eastAsia="Times New Roman" w:hAnsi="Times New Roman"/>
                <w:sz w:val="24"/>
              </w:rPr>
              <w:t>8</w:t>
            </w:r>
            <w:r>
              <w:rPr>
                <w:sz w:val="24"/>
              </w:rPr>
              <w:t>号</w:t>
            </w:r>
            <w:r>
              <w:rPr>
                <w:spacing w:val="-4"/>
                <w:sz w:val="24"/>
              </w:rPr>
              <w:t>）</w:t>
            </w:r>
            <w:r>
              <w:rPr>
                <w:spacing w:val="-2"/>
                <w:sz w:val="24"/>
              </w:rPr>
              <w:t>，对相关内容进行分析，分析如下：</w:t>
            </w:r>
          </w:p>
          <w:p>
            <w:pPr>
              <w:pStyle w:val="TableParagraph"/>
              <w:spacing w:line="306" w:lineRule="exact"/>
              <w:ind w:left="591"/>
              <w:rPr>
                <w:b/>
                <w:sz w:val="24"/>
              </w:rPr>
            </w:pPr>
            <w:r>
              <w:rPr>
                <w:rFonts w:ascii="Times New Roman" w:eastAsia="Times New Roman"/>
                <w:b/>
                <w:sz w:val="24"/>
              </w:rPr>
              <w:t>1</w:t>
            </w:r>
            <w:r>
              <w:rPr>
                <w:b/>
                <w:sz w:val="24"/>
              </w:rPr>
              <w:t>、生态保护红线</w:t>
            </w:r>
          </w:p>
          <w:p>
            <w:pPr>
              <w:pStyle w:val="TableParagraph"/>
              <w:spacing w:before="160"/>
              <w:ind w:left="591"/>
              <w:rPr>
                <w:sz w:val="24"/>
              </w:rPr>
            </w:pPr>
            <w:r>
              <w:rPr>
                <w:sz w:val="24"/>
              </w:rPr>
              <w:t>（</w:t>
            </w:r>
            <w:r>
              <w:rPr>
                <w:rFonts w:ascii="Times New Roman" w:eastAsia="Times New Roman"/>
                <w:sz w:val="24"/>
              </w:rPr>
              <w:t>1</w:t>
            </w:r>
            <w:r>
              <w:rPr>
                <w:sz w:val="24"/>
              </w:rPr>
              <w:t>）与生态保护红线的符合性</w:t>
            </w:r>
          </w:p>
          <w:p>
            <w:pPr>
              <w:pStyle w:val="TableParagraph"/>
              <w:spacing w:before="158" w:line="364" w:lineRule="auto"/>
              <w:ind w:left="111" w:right="95" w:firstLine="480"/>
              <w:rPr>
                <w:sz w:val="24"/>
              </w:rPr>
            </w:pPr>
            <w:r>
              <w:rPr>
                <w:sz w:val="24"/>
              </w:rPr>
              <w:t>德州市生态保护红线主导功能为生物多样性保护以及防风固沙，主要为各类法定保护地的核心区域及评估确定的重要区。项目所在区域生态保护红线如下。</w:t>
            </w:r>
          </w:p>
          <w:p>
            <w:pPr>
              <w:pStyle w:val="TableParagraph"/>
              <w:tabs>
                <w:tab w:val="left" w:pos="3459"/>
              </w:tabs>
              <w:spacing w:before="71"/>
              <w:ind w:left="2619"/>
              <w:rPr>
                <w:b/>
                <w:sz w:val="24"/>
              </w:rPr>
            </w:pPr>
            <w:r>
              <w:rPr>
                <w:b/>
                <w:sz w:val="24"/>
              </w:rPr>
              <w:t>表</w:t>
            </w:r>
            <w:r>
              <w:rPr>
                <w:b/>
                <w:spacing w:val="-62"/>
                <w:sz w:val="24"/>
              </w:rPr>
              <w:t xml:space="preserve"> </w:t>
            </w:r>
            <w:r>
              <w:rPr>
                <w:rFonts w:ascii="Times New Roman" w:eastAsia="Times New Roman"/>
                <w:b/>
                <w:sz w:val="24"/>
              </w:rPr>
              <w:t>2.</w:t>
            </w:r>
            <w:r>
              <w:rPr>
                <w:rFonts w:ascii="Times New Roman" w:eastAsia="Times New Roman"/>
                <w:b/>
                <w:sz w:val="24"/>
              </w:rPr>
              <w:tab/>
            </w:r>
            <w:r>
              <w:rPr>
                <w:b/>
                <w:sz w:val="24"/>
              </w:rPr>
              <w:t>生态保护红线区域信息表</w:t>
            </w:r>
          </w:p>
        </w:tc>
      </w:tr>
      <w:tr>
        <w:tblPrEx>
          <w:tblW w:w="0" w:type="auto"/>
          <w:tblInd w:w="406" w:type="dxa"/>
          <w:tblLayout w:type="fixed"/>
          <w:tblCellMar>
            <w:top w:w="0" w:type="dxa"/>
            <w:left w:w="0" w:type="dxa"/>
            <w:bottom w:w="0" w:type="dxa"/>
            <w:right w:w="0" w:type="dxa"/>
          </w:tblCellMar>
        </w:tblPrEx>
        <w:trPr>
          <w:trHeight w:val="270"/>
        </w:trPr>
        <w:tc>
          <w:tcPr>
            <w:tcW w:w="594" w:type="dxa"/>
            <w:vMerge/>
            <w:tcBorders>
              <w:top w:val="nil"/>
              <w:right w:val="single" w:sz="4" w:space="0" w:color="000000"/>
            </w:tcBorders>
          </w:tcPr>
          <w:p>
            <w:pPr>
              <w:rPr>
                <w:sz w:val="2"/>
                <w:szCs w:val="2"/>
              </w:rPr>
            </w:pPr>
          </w:p>
        </w:tc>
        <w:tc>
          <w:tcPr>
            <w:tcW w:w="665" w:type="dxa"/>
            <w:gridSpan w:val="2"/>
            <w:tcBorders>
              <w:top w:val="nil"/>
              <w:left w:val="single" w:sz="4" w:space="0" w:color="000000"/>
              <w:right w:val="single" w:sz="4" w:space="0" w:color="000000"/>
            </w:tcBorders>
          </w:tcPr>
          <w:p>
            <w:pPr>
              <w:pStyle w:val="TableParagraph"/>
              <w:rPr>
                <w:rFonts w:ascii="Times New Roman"/>
                <w:sz w:val="20"/>
              </w:rPr>
            </w:pPr>
          </w:p>
        </w:tc>
        <w:tc>
          <w:tcPr>
            <w:tcW w:w="2114" w:type="dxa"/>
            <w:tcBorders>
              <w:top w:val="single" w:sz="4" w:space="0" w:color="000000"/>
              <w:left w:val="single" w:sz="4" w:space="0" w:color="000000"/>
              <w:bottom w:val="thickThinMediumGap" w:sz="4" w:space="0" w:color="000000"/>
              <w:right w:val="single" w:sz="4" w:space="0" w:color="000000"/>
            </w:tcBorders>
          </w:tcPr>
          <w:p>
            <w:pPr>
              <w:pStyle w:val="TableParagraph"/>
              <w:spacing w:line="250" w:lineRule="exact"/>
              <w:ind w:left="824" w:right="817"/>
              <w:jc w:val="center"/>
              <w:rPr>
                <w:b/>
                <w:sz w:val="21"/>
              </w:rPr>
            </w:pPr>
            <w:r>
              <w:rPr>
                <w:b/>
                <w:sz w:val="21"/>
              </w:rPr>
              <w:t>编号</w:t>
            </w:r>
          </w:p>
        </w:tc>
        <w:tc>
          <w:tcPr>
            <w:tcW w:w="3845"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50" w:lineRule="exact"/>
              <w:ind w:left="1691" w:right="1682"/>
              <w:jc w:val="center"/>
              <w:rPr>
                <w:b/>
                <w:sz w:val="21"/>
              </w:rPr>
            </w:pPr>
            <w:r>
              <w:rPr>
                <w:b/>
                <w:sz w:val="21"/>
              </w:rPr>
              <w:t>要素</w:t>
            </w:r>
          </w:p>
        </w:tc>
        <w:tc>
          <w:tcPr>
            <w:tcW w:w="1442"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50" w:lineRule="exact"/>
              <w:ind w:left="118"/>
              <w:rPr>
                <w:b/>
                <w:sz w:val="21"/>
              </w:rPr>
            </w:pPr>
            <w:r>
              <w:rPr>
                <w:b/>
                <w:sz w:val="21"/>
              </w:rPr>
              <w:t>面积（</w:t>
            </w:r>
            <w:r>
              <w:rPr>
                <w:rFonts w:ascii="Times New Roman" w:eastAsia="Times New Roman"/>
                <w:b/>
                <w:sz w:val="21"/>
              </w:rPr>
              <w:t>km</w:t>
            </w:r>
            <w:r>
              <w:rPr>
                <w:rFonts w:ascii="Times New Roman" w:eastAsia="Times New Roman"/>
                <w:b/>
                <w:position w:val="7"/>
                <w:sz w:val="13"/>
              </w:rPr>
              <w:t>2</w:t>
            </w:r>
            <w:r>
              <w:rPr>
                <w:b/>
                <w:sz w:val="21"/>
              </w:rPr>
              <w:t>）</w:t>
            </w:r>
          </w:p>
        </w:tc>
        <w:tc>
          <w:tcPr>
            <w:tcW w:w="661" w:type="dxa"/>
            <w:gridSpan w:val="2"/>
            <w:tcBorders>
              <w:top w:val="nil"/>
              <w:left w:val="single" w:sz="4" w:space="0" w:color="000000"/>
            </w:tcBorders>
          </w:tcPr>
          <w:p>
            <w:pPr>
              <w:pStyle w:val="TableParagraph"/>
              <w:rPr>
                <w:rFonts w:ascii="Times New Roman"/>
                <w:sz w:val="20"/>
              </w:rPr>
            </w:pPr>
          </w:p>
        </w:tc>
      </w:tr>
    </w:tbl>
    <w:p>
      <w:pPr>
        <w:pStyle w:val="BodyText"/>
        <w:rPr>
          <w:sz w:val="20"/>
        </w:rPr>
      </w:pPr>
    </w:p>
    <w:p>
      <w:pPr>
        <w:pStyle w:val="BodyText"/>
        <w:rPr>
          <w:sz w:val="20"/>
        </w:rPr>
      </w:pPr>
    </w:p>
    <w:p>
      <w:pPr>
        <w:spacing w:before="208"/>
        <w:ind w:left="631" w:right="0" w:firstLine="0"/>
        <w:jc w:val="left"/>
        <w:rPr>
          <w:sz w:val="28"/>
        </w:rPr>
      </w:pPr>
      <w:r>
        <w:rPr>
          <w:sz w:val="28"/>
        </w:rPr>
        <w:t xml:space="preserve">— </w:t>
      </w:r>
      <w:r>
        <w:rPr>
          <w:sz w:val="26"/>
        </w:rPr>
        <w:t xml:space="preserve">4 </w:t>
      </w:r>
      <w:r>
        <w:rPr>
          <w:sz w:val="28"/>
        </w:rPr>
        <w:t>—</w:t>
      </w:r>
    </w:p>
    <w:p>
      <w:pPr>
        <w:spacing w:after="0"/>
        <w:jc w:val="left"/>
        <w:rPr>
          <w:sz w:val="28"/>
        </w:rPr>
        <w:sectPr>
          <w:pgSz w:w="11910" w:h="16840"/>
          <w:pgMar w:top="1580" w:right="879" w:bottom="280" w:left="900" w:header="720" w:footer="720" w:gutter="0"/>
          <w:pgNumType w:start="5"/>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546"/>
        <w:gridCol w:w="310"/>
        <w:gridCol w:w="1004"/>
        <w:gridCol w:w="805"/>
        <w:gridCol w:w="3319"/>
        <w:gridCol w:w="524"/>
        <w:gridCol w:w="1119"/>
        <w:gridCol w:w="321"/>
        <w:gridCol w:w="546"/>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22"/>
        </w:trPr>
        <w:tc>
          <w:tcPr>
            <w:tcW w:w="594" w:type="dxa"/>
            <w:vMerge w:val="restart"/>
            <w:tcBorders>
              <w:right w:val="single" w:sz="4" w:space="0" w:color="000000"/>
            </w:tcBorders>
          </w:tcPr>
          <w:p>
            <w:pPr>
              <w:pStyle w:val="TableParagraph"/>
              <w:rPr>
                <w:rFonts w:ascii="Times New Roman"/>
                <w:sz w:val="22"/>
              </w:rPr>
            </w:pPr>
          </w:p>
        </w:tc>
        <w:tc>
          <w:tcPr>
            <w:tcW w:w="659" w:type="dxa"/>
            <w:gridSpan w:val="2"/>
            <w:vMerge w:val="restart"/>
            <w:tcBorders>
              <w:left w:val="single" w:sz="4" w:space="0" w:color="000000"/>
              <w:bottom w:val="nil"/>
              <w:right w:val="single" w:sz="4" w:space="0" w:color="000000"/>
            </w:tcBorders>
          </w:tcPr>
          <w:p>
            <w:pPr>
              <w:pStyle w:val="TableParagraph"/>
              <w:rPr>
                <w:rFonts w:ascii="Times New Roman"/>
                <w:sz w:val="22"/>
              </w:rPr>
            </w:pPr>
          </w:p>
        </w:tc>
        <w:tc>
          <w:tcPr>
            <w:tcW w:w="2119" w:type="dxa"/>
            <w:gridSpan w:val="3"/>
            <w:tcBorders>
              <w:left w:val="single" w:sz="4" w:space="0" w:color="000000"/>
              <w:bottom w:val="single" w:sz="4" w:space="0" w:color="000000"/>
              <w:right w:val="single" w:sz="4" w:space="0" w:color="000000"/>
            </w:tcBorders>
          </w:tcPr>
          <w:p>
            <w:pPr>
              <w:pStyle w:val="TableParagraph"/>
              <w:spacing w:before="18"/>
              <w:ind w:left="246"/>
              <w:rPr>
                <w:rFonts w:ascii="Times New Roman"/>
                <w:sz w:val="21"/>
              </w:rPr>
            </w:pPr>
            <w:r>
              <w:rPr>
                <w:rFonts w:ascii="Times New Roman"/>
                <w:sz w:val="21"/>
              </w:rPr>
              <w:t>YS3714221110007</w:t>
            </w:r>
          </w:p>
        </w:tc>
        <w:tc>
          <w:tcPr>
            <w:tcW w:w="3843" w:type="dxa"/>
            <w:gridSpan w:val="2"/>
            <w:tcBorders>
              <w:left w:val="single" w:sz="4" w:space="0" w:color="000000"/>
              <w:bottom w:val="single" w:sz="4" w:space="0" w:color="000000"/>
              <w:right w:val="single" w:sz="4" w:space="0" w:color="000000"/>
            </w:tcBorders>
          </w:tcPr>
          <w:p>
            <w:pPr>
              <w:pStyle w:val="TableParagraph"/>
              <w:spacing w:before="2"/>
              <w:ind w:left="1483" w:right="1470"/>
              <w:jc w:val="center"/>
              <w:rPr>
                <w:sz w:val="21"/>
              </w:rPr>
            </w:pPr>
            <w:r>
              <w:rPr>
                <w:sz w:val="21"/>
              </w:rPr>
              <w:t>大柳水库</w:t>
            </w:r>
          </w:p>
        </w:tc>
        <w:tc>
          <w:tcPr>
            <w:tcW w:w="1440" w:type="dxa"/>
            <w:gridSpan w:val="2"/>
            <w:tcBorders>
              <w:left w:val="single" w:sz="4" w:space="0" w:color="000000"/>
              <w:bottom w:val="single" w:sz="4" w:space="0" w:color="000000"/>
              <w:right w:val="single" w:sz="4" w:space="0" w:color="000000"/>
            </w:tcBorders>
          </w:tcPr>
          <w:p>
            <w:pPr>
              <w:pStyle w:val="TableParagraph"/>
              <w:spacing w:before="18"/>
              <w:ind w:left="520" w:right="501"/>
              <w:jc w:val="center"/>
              <w:rPr>
                <w:rFonts w:ascii="Times New Roman"/>
                <w:sz w:val="21"/>
              </w:rPr>
            </w:pPr>
            <w:r>
              <w:rPr>
                <w:rFonts w:ascii="Times New Roman"/>
                <w:sz w:val="21"/>
              </w:rPr>
              <w:t>1.19</w:t>
            </w:r>
          </w:p>
        </w:tc>
        <w:tc>
          <w:tcPr>
            <w:tcW w:w="659" w:type="dxa"/>
            <w:gridSpan w:val="2"/>
            <w:vMerge w:val="restart"/>
            <w:tcBorders>
              <w:left w:val="single" w:sz="4" w:space="0" w:color="000000"/>
              <w:bottom w:val="nil"/>
            </w:tcBorders>
          </w:tcPr>
          <w:p>
            <w:pPr>
              <w:pStyle w:val="TableParagraph"/>
              <w:rPr>
                <w:rFonts w:ascii="Times New Roman"/>
                <w:sz w:val="22"/>
              </w:rPr>
            </w:pPr>
          </w:p>
        </w:tc>
      </w:tr>
      <w:tr>
        <w:tblPrEx>
          <w:tblW w:w="0" w:type="auto"/>
          <w:tblInd w:w="406" w:type="dxa"/>
          <w:tblLayout w:type="fixed"/>
          <w:tblCellMar>
            <w:top w:w="0" w:type="dxa"/>
            <w:left w:w="0" w:type="dxa"/>
            <w:bottom w:w="0" w:type="dxa"/>
            <w:right w:w="0" w:type="dxa"/>
          </w:tblCellMar>
        </w:tblPrEx>
        <w:trPr>
          <w:trHeight w:val="317"/>
        </w:trPr>
        <w:tc>
          <w:tcPr>
            <w:tcW w:w="594" w:type="dxa"/>
            <w:vMerge/>
            <w:tcBorders>
              <w:top w:val="nil"/>
              <w:right w:val="single" w:sz="4" w:space="0" w:color="000000"/>
            </w:tcBorders>
          </w:tcPr>
          <w:p>
            <w:pPr>
              <w:rPr>
                <w:sz w:val="2"/>
                <w:szCs w:val="2"/>
              </w:rPr>
            </w:pPr>
          </w:p>
        </w:tc>
        <w:tc>
          <w:tcPr>
            <w:tcW w:w="659" w:type="dxa"/>
            <w:gridSpan w:val="2"/>
            <w:vMerge/>
            <w:tcBorders>
              <w:top w:val="nil"/>
              <w:left w:val="single" w:sz="4" w:space="0" w:color="000000"/>
              <w:bottom w:val="nil"/>
              <w:right w:val="single" w:sz="4" w:space="0" w:color="000000"/>
            </w:tcBorders>
          </w:tcPr>
          <w:p>
            <w:pPr>
              <w:rPr>
                <w:sz w:val="2"/>
                <w:szCs w:val="2"/>
              </w:rPr>
            </w:pPr>
          </w:p>
        </w:tc>
        <w:tc>
          <w:tcPr>
            <w:tcW w:w="2119" w:type="dxa"/>
            <w:gridSpan w:val="3"/>
            <w:tcBorders>
              <w:top w:val="single" w:sz="4" w:space="0" w:color="000000"/>
              <w:left w:val="single" w:sz="4" w:space="0" w:color="000000"/>
              <w:bottom w:val="single" w:sz="4" w:space="0" w:color="000000"/>
              <w:right w:val="single" w:sz="4" w:space="0" w:color="000000"/>
            </w:tcBorders>
          </w:tcPr>
          <w:p>
            <w:pPr>
              <w:pStyle w:val="TableParagraph"/>
              <w:spacing w:before="12"/>
              <w:ind w:left="246"/>
              <w:rPr>
                <w:rFonts w:ascii="Times New Roman"/>
                <w:sz w:val="21"/>
              </w:rPr>
            </w:pPr>
            <w:r>
              <w:rPr>
                <w:rFonts w:ascii="Times New Roman"/>
                <w:sz w:val="21"/>
              </w:rPr>
              <w:t>YS3714221110008</w:t>
            </w:r>
          </w:p>
        </w:tc>
        <w:tc>
          <w:tcPr>
            <w:tcW w:w="3843"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483" w:right="1470"/>
              <w:jc w:val="center"/>
              <w:rPr>
                <w:sz w:val="21"/>
              </w:rPr>
            </w:pPr>
            <w:r>
              <w:rPr>
                <w:sz w:val="21"/>
              </w:rPr>
              <w:t>宁津水库</w:t>
            </w:r>
          </w:p>
        </w:tc>
        <w:tc>
          <w:tcPr>
            <w:tcW w:w="144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
              <w:ind w:left="520" w:right="501"/>
              <w:jc w:val="center"/>
              <w:rPr>
                <w:rFonts w:ascii="Times New Roman"/>
                <w:sz w:val="21"/>
              </w:rPr>
            </w:pPr>
            <w:r>
              <w:rPr>
                <w:rFonts w:ascii="Times New Roman"/>
                <w:sz w:val="21"/>
              </w:rPr>
              <w:t>0.86</w:t>
            </w:r>
          </w:p>
        </w:tc>
        <w:tc>
          <w:tcPr>
            <w:tcW w:w="659" w:type="dxa"/>
            <w:gridSpan w:val="2"/>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8382"/>
        </w:trPr>
        <w:tc>
          <w:tcPr>
            <w:tcW w:w="594" w:type="dxa"/>
            <w:vMerge/>
            <w:tcBorders>
              <w:top w:val="nil"/>
              <w:right w:val="single" w:sz="4" w:space="0" w:color="000000"/>
            </w:tcBorders>
          </w:tcPr>
          <w:p>
            <w:pPr>
              <w:rPr>
                <w:sz w:val="2"/>
                <w:szCs w:val="2"/>
              </w:rPr>
            </w:pPr>
          </w:p>
        </w:tc>
        <w:tc>
          <w:tcPr>
            <w:tcW w:w="8720" w:type="dxa"/>
            <w:gridSpan w:val="11"/>
            <w:tcBorders>
              <w:top w:val="nil"/>
              <w:left w:val="single" w:sz="4" w:space="0" w:color="000000"/>
              <w:bottom w:val="single" w:sz="4" w:space="0" w:color="000000"/>
            </w:tcBorders>
          </w:tcPr>
          <w:p>
            <w:pPr>
              <w:pStyle w:val="TableParagraph"/>
              <w:spacing w:line="362" w:lineRule="auto"/>
              <w:ind w:left="111" w:right="86" w:firstLine="480"/>
              <w:rPr>
                <w:sz w:val="24"/>
              </w:rPr>
            </w:pPr>
            <w:r>
              <w:rPr>
                <w:sz w:val="24"/>
              </w:rPr>
              <w:t>由上表可知，项目选址宁津县三岭大街与宏图路交叉口东南角，不在生态保护红线范围内。</w:t>
            </w:r>
          </w:p>
          <w:p>
            <w:pPr>
              <w:pStyle w:val="TableParagraph"/>
              <w:spacing w:before="1"/>
              <w:ind w:left="591"/>
              <w:rPr>
                <w:sz w:val="24"/>
              </w:rPr>
            </w:pPr>
            <w:r>
              <w:rPr>
                <w:sz w:val="24"/>
              </w:rPr>
              <w:t>（</w:t>
            </w:r>
            <w:r>
              <w:rPr>
                <w:rFonts w:ascii="Times New Roman" w:eastAsia="Times New Roman"/>
                <w:sz w:val="24"/>
              </w:rPr>
              <w:t>2</w:t>
            </w:r>
            <w:r>
              <w:rPr>
                <w:sz w:val="24"/>
              </w:rPr>
              <w:t>）与一般生态空间的符合性</w:t>
            </w:r>
          </w:p>
          <w:p>
            <w:pPr>
              <w:pStyle w:val="TableParagraph"/>
              <w:spacing w:before="161" w:line="364" w:lineRule="auto"/>
              <w:ind w:left="111" w:right="87" w:firstLine="480"/>
              <w:jc w:val="both"/>
              <w:rPr>
                <w:sz w:val="24"/>
              </w:rPr>
            </w:pPr>
            <w:r>
              <w:rPr>
                <w:sz w:val="24"/>
              </w:rPr>
              <w:t>指在生态保护红线的基础上，按照“应划则划”的原则划定一般生态空间， 德州市一般生态空间总面积</w:t>
            </w:r>
            <w:r>
              <w:rPr>
                <w:rFonts w:ascii="Times New Roman" w:eastAsia="Times New Roman" w:hAnsi="Times New Roman"/>
                <w:spacing w:val="-7"/>
                <w:sz w:val="24"/>
              </w:rPr>
              <w:t>574.60km</w:t>
            </w:r>
            <w:r>
              <w:rPr>
                <w:rFonts w:ascii="Times New Roman" w:eastAsia="Times New Roman" w:hAnsi="Times New Roman"/>
                <w:spacing w:val="-7"/>
                <w:position w:val="8"/>
                <w:sz w:val="15"/>
              </w:rPr>
              <w:t>2</w:t>
            </w:r>
            <w:r>
              <w:rPr>
                <w:spacing w:val="-3"/>
                <w:sz w:val="24"/>
              </w:rPr>
              <w:t>，占全市国土面积的</w:t>
            </w:r>
            <w:r>
              <w:rPr>
                <w:rFonts w:ascii="Times New Roman" w:eastAsia="Times New Roman" w:hAnsi="Times New Roman"/>
                <w:spacing w:val="-10"/>
                <w:sz w:val="24"/>
              </w:rPr>
              <w:t>5.55%</w:t>
            </w:r>
            <w:r>
              <w:rPr>
                <w:spacing w:val="-5"/>
                <w:sz w:val="24"/>
              </w:rPr>
              <w:t>，包括未纳入生态</w:t>
            </w:r>
            <w:r>
              <w:rPr>
                <w:sz w:val="24"/>
              </w:rPr>
              <w:t>保护红线的森林公园、湿地公园、饮用水水源地保护区以及拟划定的饮用水水源地保护区、公园绿地、公益林，除此之外还包括评价确定的生态系统服务功能极重要区、重要区及生态环境极敏感区、敏感区。</w:t>
            </w:r>
          </w:p>
          <w:p>
            <w:pPr>
              <w:pStyle w:val="TableParagraph"/>
              <w:spacing w:line="364" w:lineRule="auto"/>
              <w:ind w:left="111" w:right="86" w:firstLine="480"/>
              <w:jc w:val="both"/>
              <w:rPr>
                <w:sz w:val="24"/>
              </w:rPr>
            </w:pPr>
            <w:r>
              <w:rPr>
                <w:sz w:val="24"/>
              </w:rPr>
              <w:t>项目位于宁津县三岭大街与宏图路交叉口东南角，不属于森林公园、湿地公园、饮用水水源地保护区、拟划定的饮用水水源地保护区、公园绿地、公益林、生态系统服务功能极重要区、重要区及生态环境极敏感区、敏感区。因此本项目符合生态保护红线和一般生态空间管控要求。</w:t>
            </w:r>
          </w:p>
          <w:p>
            <w:pPr>
              <w:pStyle w:val="TableParagraph"/>
              <w:spacing w:line="305" w:lineRule="exact"/>
              <w:ind w:left="591"/>
              <w:rPr>
                <w:b/>
                <w:sz w:val="24"/>
              </w:rPr>
            </w:pPr>
            <w:r>
              <w:rPr>
                <w:rFonts w:ascii="Times New Roman" w:eastAsia="Times New Roman"/>
                <w:b/>
                <w:sz w:val="24"/>
              </w:rPr>
              <w:t>2</w:t>
            </w:r>
            <w:r>
              <w:rPr>
                <w:b/>
                <w:sz w:val="24"/>
              </w:rPr>
              <w:t>、环境质量底线</w:t>
            </w:r>
          </w:p>
          <w:p>
            <w:pPr>
              <w:pStyle w:val="TableParagraph"/>
              <w:spacing w:before="156" w:line="364" w:lineRule="auto"/>
              <w:ind w:left="111" w:right="87" w:firstLine="480"/>
              <w:jc w:val="both"/>
              <w:rPr>
                <w:sz w:val="24"/>
              </w:rPr>
            </w:pPr>
            <w:r>
              <w:rPr>
                <w:spacing w:val="-11"/>
                <w:sz w:val="24"/>
              </w:rPr>
              <w:t>根据《德州市人民政府关于印发德州市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pacing w:val="-2"/>
                <w:sz w:val="24"/>
              </w:rPr>
              <w:t>生态环境分区管控方案的通</w:t>
            </w:r>
            <w:r>
              <w:rPr>
                <w:spacing w:val="2"/>
                <w:sz w:val="24"/>
              </w:rPr>
              <w:t>知》</w:t>
            </w:r>
            <w:r>
              <w:rPr>
                <w:sz w:val="24"/>
              </w:rPr>
              <w:t>（</w:t>
            </w:r>
            <w:r>
              <w:rPr>
                <w:spacing w:val="1"/>
                <w:sz w:val="24"/>
              </w:rPr>
              <w:t>德政字〔</w:t>
            </w:r>
            <w:r>
              <w:rPr>
                <w:rFonts w:ascii="Times New Roman" w:eastAsia="Times New Roman" w:hAnsi="Times New Roman"/>
                <w:sz w:val="24"/>
              </w:rPr>
              <w:t>2021</w:t>
            </w:r>
            <w:r>
              <w:rPr>
                <w:sz w:val="24"/>
              </w:rPr>
              <w:t>〕</w:t>
            </w:r>
            <w:r>
              <w:rPr>
                <w:rFonts w:ascii="Times New Roman" w:eastAsia="Times New Roman" w:hAnsi="Times New Roman"/>
                <w:sz w:val="24"/>
              </w:rPr>
              <w:t>19</w:t>
            </w:r>
            <w:r>
              <w:rPr>
                <w:sz w:val="24"/>
              </w:rPr>
              <w:t>号</w:t>
            </w:r>
            <w:r>
              <w:rPr>
                <w:spacing w:val="4"/>
                <w:sz w:val="24"/>
              </w:rPr>
              <w:t>）</w:t>
            </w:r>
            <w:r>
              <w:rPr>
                <w:sz w:val="24"/>
              </w:rPr>
              <w:t>及德州市生态环境保护委员会办公室关于印发《德州市“三线一单”生态环境分区管控方案</w:t>
            </w:r>
            <w:r>
              <w:rPr>
                <w:rFonts w:ascii="Times New Roman" w:eastAsia="Times New Roman" w:hAnsi="Times New Roman"/>
                <w:sz w:val="24"/>
              </w:rPr>
              <w:t>2022</w:t>
            </w:r>
            <w:r>
              <w:rPr>
                <w:sz w:val="24"/>
              </w:rPr>
              <w:t>年度更新内容》的通知（德环委办字〔</w:t>
            </w:r>
            <w:r>
              <w:rPr>
                <w:rFonts w:ascii="Times New Roman" w:eastAsia="Times New Roman" w:hAnsi="Times New Roman"/>
                <w:sz w:val="24"/>
              </w:rPr>
              <w:t>2023</w:t>
            </w:r>
            <w:r>
              <w:rPr>
                <w:sz w:val="24"/>
              </w:rPr>
              <w:t>〕</w:t>
            </w:r>
            <w:r>
              <w:rPr>
                <w:rFonts w:ascii="Times New Roman" w:eastAsia="Times New Roman" w:hAnsi="Times New Roman"/>
                <w:sz w:val="24"/>
              </w:rPr>
              <w:t>8</w:t>
            </w:r>
            <w:r>
              <w:rPr>
                <w:sz w:val="24"/>
              </w:rPr>
              <w:t>号）文件要求，对本项目进行符合性分析。</w:t>
            </w:r>
          </w:p>
          <w:p>
            <w:pPr>
              <w:pStyle w:val="TableParagraph"/>
              <w:spacing w:before="69"/>
              <w:ind w:left="2619"/>
              <w:jc w:val="both"/>
              <w:rPr>
                <w:b/>
                <w:sz w:val="24"/>
              </w:rPr>
            </w:pPr>
            <w:r>
              <w:rPr>
                <w:b/>
                <w:sz w:val="24"/>
              </w:rPr>
              <w:t xml:space="preserve">表 </w:t>
            </w:r>
            <w:r>
              <w:rPr>
                <w:rFonts w:ascii="Times New Roman" w:eastAsia="Times New Roman"/>
                <w:b/>
                <w:sz w:val="24"/>
              </w:rPr>
              <w:t xml:space="preserve">3.  </w:t>
            </w:r>
            <w:r>
              <w:rPr>
                <w:b/>
                <w:sz w:val="24"/>
              </w:rPr>
              <w:t>环境质量底线符合性分析</w:t>
            </w:r>
          </w:p>
        </w:tc>
      </w:tr>
      <w:tr>
        <w:tblPrEx>
          <w:tblW w:w="0" w:type="auto"/>
          <w:tblInd w:w="406" w:type="dxa"/>
          <w:tblLayout w:type="fixed"/>
          <w:tblCellMar>
            <w:top w:w="0" w:type="dxa"/>
            <w:left w:w="0" w:type="dxa"/>
            <w:bottom w:w="0" w:type="dxa"/>
            <w:right w:w="0" w:type="dxa"/>
          </w:tblCellMar>
        </w:tblPrEx>
        <w:trPr>
          <w:trHeight w:val="317"/>
        </w:trPr>
        <w:tc>
          <w:tcPr>
            <w:tcW w:w="594"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2"/>
              </w:rPr>
            </w:pPr>
          </w:p>
        </w:tc>
        <w:tc>
          <w:tcPr>
            <w:tcW w:w="1860" w:type="dxa"/>
            <w:gridSpan w:val="3"/>
            <w:tcBorders>
              <w:top w:val="single" w:sz="4" w:space="0" w:color="000000"/>
              <w:left w:val="single" w:sz="4" w:space="0" w:color="000000"/>
              <w:bottom w:val="single" w:sz="4" w:space="0" w:color="000000"/>
              <w:right w:val="single" w:sz="4" w:space="0" w:color="000000"/>
            </w:tcBorders>
          </w:tcPr>
          <w:p>
            <w:pPr>
              <w:pStyle w:val="TableParagraph"/>
              <w:spacing w:before="22"/>
              <w:ind w:left="617"/>
              <w:rPr>
                <w:b/>
                <w:sz w:val="21"/>
              </w:rPr>
            </w:pPr>
            <w:r>
              <w:rPr>
                <w:b/>
                <w:sz w:val="21"/>
              </w:rPr>
              <w:t>管控区</w:t>
            </w:r>
          </w:p>
        </w:tc>
        <w:tc>
          <w:tcPr>
            <w:tcW w:w="412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2"/>
              <w:ind w:left="1624" w:right="1606"/>
              <w:jc w:val="center"/>
              <w:rPr>
                <w:b/>
                <w:sz w:val="21"/>
              </w:rPr>
            </w:pPr>
            <w:r>
              <w:rPr>
                <w:b/>
                <w:sz w:val="21"/>
              </w:rPr>
              <w:t>管控要求</w:t>
            </w:r>
          </w:p>
        </w:tc>
        <w:tc>
          <w:tcPr>
            <w:tcW w:w="1643"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297"/>
              <w:rPr>
                <w:b/>
                <w:sz w:val="21"/>
              </w:rPr>
            </w:pPr>
            <w:r>
              <w:rPr>
                <w:b/>
                <w:sz w:val="21"/>
              </w:rPr>
              <w:t>本项目情况</w:t>
            </w:r>
          </w:p>
        </w:tc>
        <w:tc>
          <w:tcPr>
            <w:tcW w:w="867"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20"/>
              <w:rPr>
                <w:b/>
                <w:sz w:val="21"/>
              </w:rPr>
            </w:pPr>
            <w:r>
              <w:rPr>
                <w:b/>
                <w:sz w:val="21"/>
              </w:rPr>
              <w:t>符合性</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406" w:type="dxa"/>
          <w:tblLayout w:type="fixed"/>
          <w:tblCellMar>
            <w:top w:w="0" w:type="dxa"/>
            <w:left w:w="0" w:type="dxa"/>
            <w:bottom w:w="0" w:type="dxa"/>
            <w:right w:w="0" w:type="dxa"/>
          </w:tblCellMar>
        </w:tblPrEx>
        <w:trPr>
          <w:trHeight w:val="801"/>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56" w:type="dxa"/>
            <w:gridSpan w:val="2"/>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1004"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4124" w:type="dxa"/>
            <w:gridSpan w:val="2"/>
            <w:tcBorders>
              <w:top w:val="single" w:sz="4" w:space="0" w:color="000000"/>
              <w:left w:val="single" w:sz="4" w:space="0" w:color="000000"/>
              <w:bottom w:val="nil"/>
              <w:right w:val="single" w:sz="4" w:space="0" w:color="000000"/>
            </w:tcBorders>
          </w:tcPr>
          <w:p>
            <w:pPr>
              <w:pStyle w:val="TableParagraph"/>
              <w:spacing w:line="264" w:lineRule="exact"/>
              <w:ind w:left="175"/>
              <w:rPr>
                <w:sz w:val="21"/>
              </w:rPr>
            </w:pPr>
            <w:r>
              <w:rPr>
                <w:sz w:val="21"/>
              </w:rPr>
              <w:t>执行《区域性大气污染物综合排放标准》</w:t>
            </w:r>
          </w:p>
          <w:p>
            <w:pPr>
              <w:pStyle w:val="TableParagraph"/>
              <w:spacing w:before="3" w:line="270" w:lineRule="atLeast"/>
              <w:ind w:left="113" w:right="93"/>
              <w:rPr>
                <w:sz w:val="21"/>
              </w:rPr>
            </w:pPr>
            <w:r>
              <w:rPr>
                <w:spacing w:val="-5"/>
                <w:sz w:val="21"/>
              </w:rPr>
              <w:t>（（</w:t>
            </w:r>
            <w:r>
              <w:rPr>
                <w:rFonts w:ascii="Times New Roman" w:eastAsia="Times New Roman"/>
                <w:spacing w:val="-5"/>
                <w:sz w:val="21"/>
              </w:rPr>
              <w:t>DB37/2376-2019</w:t>
            </w:r>
            <w:r>
              <w:rPr>
                <w:spacing w:val="-5"/>
                <w:sz w:val="21"/>
              </w:rPr>
              <w:t>））</w:t>
            </w:r>
            <w:r>
              <w:rPr>
                <w:sz w:val="21"/>
              </w:rPr>
              <w:t>规定的重点控制区</w:t>
            </w:r>
            <w:r>
              <w:rPr>
                <w:spacing w:val="-10"/>
                <w:w w:val="95"/>
                <w:sz w:val="21"/>
              </w:rPr>
              <w:t>标准。该区域为大气环境存量污染源重点治</w:t>
            </w:r>
          </w:p>
        </w:tc>
        <w:tc>
          <w:tcPr>
            <w:tcW w:w="1643" w:type="dxa"/>
            <w:gridSpan w:val="2"/>
            <w:tcBorders>
              <w:top w:val="single" w:sz="4" w:space="0" w:color="000000"/>
              <w:left w:val="single" w:sz="4" w:space="0" w:color="000000"/>
              <w:bottom w:val="nil"/>
              <w:right w:val="single" w:sz="4" w:space="0" w:color="000000"/>
            </w:tcBorders>
          </w:tcPr>
          <w:p>
            <w:pPr>
              <w:pStyle w:val="TableParagraph"/>
              <w:spacing w:line="264" w:lineRule="exact"/>
              <w:ind w:left="112" w:firstLine="81"/>
              <w:rPr>
                <w:sz w:val="21"/>
              </w:rPr>
            </w:pPr>
            <w:r>
              <w:rPr>
                <w:w w:val="95"/>
                <w:sz w:val="21"/>
              </w:rPr>
              <w:t>本项目不属于</w:t>
            </w:r>
          </w:p>
          <w:p>
            <w:pPr>
              <w:pStyle w:val="TableParagraph"/>
              <w:spacing w:before="3" w:line="270" w:lineRule="atLeast"/>
              <w:ind w:left="194" w:right="92" w:hanging="82"/>
              <w:rPr>
                <w:sz w:val="21"/>
              </w:rPr>
            </w:pPr>
            <w:r>
              <w:rPr>
                <w:rFonts w:ascii="Times New Roman" w:eastAsia="Times New Roman" w:hAnsi="Times New Roman"/>
                <w:sz w:val="21"/>
              </w:rPr>
              <w:t>“</w:t>
            </w:r>
            <w:r>
              <w:rPr>
                <w:sz w:val="21"/>
              </w:rPr>
              <w:t>两高一资</w:t>
            </w:r>
            <w:r>
              <w:rPr>
                <w:rFonts w:ascii="Times New Roman" w:eastAsia="Times New Roman" w:hAnsi="Times New Roman"/>
                <w:spacing w:val="-10"/>
                <w:sz w:val="21"/>
              </w:rPr>
              <w:t>”</w:t>
            </w:r>
            <w:r>
              <w:rPr>
                <w:spacing w:val="-12"/>
                <w:sz w:val="21"/>
              </w:rPr>
              <w:t>，有</w:t>
            </w:r>
            <w:r>
              <w:rPr>
                <w:sz w:val="21"/>
              </w:rPr>
              <w:t>组织排放的颗</w:t>
            </w:r>
          </w:p>
        </w:tc>
        <w:tc>
          <w:tcPr>
            <w:tcW w:w="867" w:type="dxa"/>
            <w:gridSpan w:val="2"/>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113" w:type="dxa"/>
            <w:vMerge w:val="restart"/>
            <w:tcBorders>
              <w:top w:val="nil"/>
              <w:left w:val="single" w:sz="4" w:space="0" w:color="000000"/>
            </w:tcBorders>
          </w:tcPr>
          <w:p>
            <w:pPr>
              <w:pStyle w:val="TableParagraph"/>
              <w:rPr>
                <w:rFonts w:ascii="Times New Roman"/>
                <w:sz w:val="22"/>
              </w:rPr>
            </w:pPr>
          </w:p>
        </w:tc>
      </w:tr>
      <w:tr>
        <w:tblPrEx>
          <w:tblW w:w="0" w:type="auto"/>
          <w:tblInd w:w="406" w:type="dxa"/>
          <w:tblLayout w:type="fixed"/>
          <w:tblCellMar>
            <w:top w:w="0" w:type="dxa"/>
            <w:left w:w="0" w:type="dxa"/>
            <w:bottom w:w="0" w:type="dxa"/>
            <w:right w:w="0" w:type="dxa"/>
          </w:tblCellMar>
        </w:tblPrEx>
        <w:trPr>
          <w:trHeight w:val="24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56" w:type="dxa"/>
            <w:gridSpan w:val="2"/>
            <w:tcBorders>
              <w:top w:val="nil"/>
              <w:left w:val="single" w:sz="4" w:space="0" w:color="000000"/>
              <w:bottom w:val="nil"/>
              <w:right w:val="single" w:sz="4" w:space="0" w:color="000000"/>
            </w:tcBorders>
          </w:tcPr>
          <w:p>
            <w:pPr>
              <w:pStyle w:val="TableParagraph"/>
              <w:rPr>
                <w:rFonts w:ascii="Times New Roman"/>
                <w:sz w:val="16"/>
              </w:rPr>
            </w:pPr>
          </w:p>
        </w:tc>
        <w:tc>
          <w:tcPr>
            <w:tcW w:w="1004" w:type="dxa"/>
            <w:tcBorders>
              <w:top w:val="nil"/>
              <w:left w:val="single" w:sz="4" w:space="0" w:color="000000"/>
              <w:bottom w:val="nil"/>
              <w:right w:val="single" w:sz="4" w:space="0" w:color="000000"/>
            </w:tcBorders>
          </w:tcPr>
          <w:p>
            <w:pPr>
              <w:pStyle w:val="TableParagraph"/>
              <w:rPr>
                <w:rFonts w:ascii="Times New Roman"/>
                <w:sz w:val="16"/>
              </w:rPr>
            </w:pPr>
          </w:p>
        </w:tc>
        <w:tc>
          <w:tcPr>
            <w:tcW w:w="4124" w:type="dxa"/>
            <w:gridSpan w:val="2"/>
            <w:tcBorders>
              <w:top w:val="nil"/>
              <w:left w:val="single" w:sz="4" w:space="0" w:color="000000"/>
              <w:bottom w:val="nil"/>
              <w:right w:val="single" w:sz="4" w:space="0" w:color="000000"/>
            </w:tcBorders>
          </w:tcPr>
          <w:p>
            <w:pPr>
              <w:pStyle w:val="TableParagraph"/>
              <w:spacing w:line="227" w:lineRule="exact"/>
              <w:ind w:left="113"/>
              <w:rPr>
                <w:sz w:val="21"/>
              </w:rPr>
            </w:pPr>
            <w:r>
              <w:rPr>
                <w:sz w:val="21"/>
              </w:rPr>
              <w:t>理和新增污染源严格管控区域，根据区域产</w:t>
            </w:r>
          </w:p>
        </w:tc>
        <w:tc>
          <w:tcPr>
            <w:tcW w:w="1643" w:type="dxa"/>
            <w:gridSpan w:val="2"/>
            <w:tcBorders>
              <w:top w:val="nil"/>
              <w:left w:val="single" w:sz="4" w:space="0" w:color="000000"/>
              <w:bottom w:val="nil"/>
              <w:right w:val="single" w:sz="4" w:space="0" w:color="000000"/>
            </w:tcBorders>
          </w:tcPr>
          <w:p>
            <w:pPr>
              <w:pStyle w:val="TableParagraph"/>
              <w:spacing w:line="227" w:lineRule="exact"/>
              <w:ind w:left="194"/>
              <w:rPr>
                <w:sz w:val="21"/>
              </w:rPr>
            </w:pPr>
            <w:r>
              <w:rPr>
                <w:sz w:val="21"/>
              </w:rPr>
              <w:t>粒物、二氧化</w:t>
            </w:r>
          </w:p>
        </w:tc>
        <w:tc>
          <w:tcPr>
            <w:tcW w:w="867" w:type="dxa"/>
            <w:gridSpan w:val="2"/>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1"/>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56"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004" w:type="dxa"/>
            <w:tcBorders>
              <w:top w:val="nil"/>
              <w:left w:val="single" w:sz="4" w:space="0" w:color="000000"/>
              <w:bottom w:val="nil"/>
              <w:right w:val="single" w:sz="4" w:space="0" w:color="000000"/>
            </w:tcBorders>
          </w:tcPr>
          <w:p>
            <w:pPr>
              <w:pStyle w:val="TableParagraph"/>
              <w:rPr>
                <w:rFonts w:ascii="Times New Roman"/>
                <w:sz w:val="18"/>
              </w:rPr>
            </w:pPr>
          </w:p>
        </w:tc>
        <w:tc>
          <w:tcPr>
            <w:tcW w:w="4124" w:type="dxa"/>
            <w:gridSpan w:val="2"/>
            <w:tcBorders>
              <w:top w:val="nil"/>
              <w:left w:val="single" w:sz="4" w:space="0" w:color="000000"/>
              <w:bottom w:val="nil"/>
              <w:right w:val="single" w:sz="4" w:space="0" w:color="000000"/>
            </w:tcBorders>
          </w:tcPr>
          <w:p>
            <w:pPr>
              <w:pStyle w:val="TableParagraph"/>
              <w:spacing w:line="231" w:lineRule="exact"/>
              <w:ind w:left="113"/>
              <w:rPr>
                <w:sz w:val="21"/>
              </w:rPr>
            </w:pPr>
            <w:r>
              <w:rPr>
                <w:sz w:val="21"/>
              </w:rPr>
              <w:t>业性质和污染排放特征实施重点减排。控制</w:t>
            </w:r>
          </w:p>
        </w:tc>
        <w:tc>
          <w:tcPr>
            <w:tcW w:w="1643" w:type="dxa"/>
            <w:gridSpan w:val="2"/>
            <w:tcBorders>
              <w:top w:val="nil"/>
              <w:left w:val="single" w:sz="4" w:space="0" w:color="000000"/>
              <w:bottom w:val="nil"/>
              <w:right w:val="single" w:sz="4" w:space="0" w:color="000000"/>
            </w:tcBorders>
          </w:tcPr>
          <w:p>
            <w:pPr>
              <w:pStyle w:val="TableParagraph"/>
              <w:spacing w:line="231" w:lineRule="exact"/>
              <w:ind w:left="112"/>
              <w:rPr>
                <w:sz w:val="21"/>
              </w:rPr>
            </w:pPr>
            <w:r>
              <w:rPr>
                <w:sz w:val="21"/>
              </w:rPr>
              <w:t>硫、氮氧化物废</w:t>
            </w:r>
          </w:p>
        </w:tc>
        <w:tc>
          <w:tcPr>
            <w:tcW w:w="86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1614"/>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56" w:type="dxa"/>
            <w:gridSpan w:val="2"/>
            <w:tcBorders>
              <w:top w:val="nil"/>
              <w:left w:val="single" w:sz="4" w:space="0" w:color="000000"/>
              <w:bottom w:val="nil"/>
              <w:right w:val="single" w:sz="4" w:space="0" w:color="000000"/>
            </w:tcBorders>
          </w:tcPr>
          <w:p>
            <w:pPr>
              <w:pStyle w:val="TableParagraph"/>
              <w:spacing w:before="8"/>
              <w:rPr>
                <w:sz w:val="20"/>
              </w:rPr>
            </w:pPr>
          </w:p>
          <w:p>
            <w:pPr>
              <w:pStyle w:val="TableParagraph"/>
              <w:spacing w:line="242" w:lineRule="auto"/>
              <w:ind w:left="200" w:right="202"/>
              <w:rPr>
                <w:sz w:val="21"/>
              </w:rPr>
            </w:pPr>
            <w:r>
              <w:rPr>
                <w:sz w:val="21"/>
              </w:rPr>
              <w:t>大气环境</w:t>
            </w:r>
          </w:p>
        </w:tc>
        <w:tc>
          <w:tcPr>
            <w:tcW w:w="1004" w:type="dxa"/>
            <w:tcBorders>
              <w:top w:val="nil"/>
              <w:left w:val="single" w:sz="4" w:space="0" w:color="000000"/>
              <w:bottom w:val="nil"/>
              <w:right w:val="single" w:sz="4" w:space="0" w:color="000000"/>
            </w:tcBorders>
          </w:tcPr>
          <w:p>
            <w:pPr>
              <w:pStyle w:val="TableParagraph"/>
              <w:spacing w:before="127" w:line="242" w:lineRule="auto"/>
              <w:ind w:left="157" w:right="159"/>
              <w:jc w:val="both"/>
              <w:rPr>
                <w:sz w:val="21"/>
              </w:rPr>
            </w:pPr>
            <w:r>
              <w:rPr>
                <w:sz w:val="21"/>
              </w:rPr>
              <w:t>大气环境高排放区</w:t>
            </w:r>
          </w:p>
        </w:tc>
        <w:tc>
          <w:tcPr>
            <w:tcW w:w="4124" w:type="dxa"/>
            <w:gridSpan w:val="2"/>
            <w:tcBorders>
              <w:top w:val="nil"/>
              <w:left w:val="single" w:sz="4" w:space="0" w:color="000000"/>
              <w:bottom w:val="nil"/>
              <w:right w:val="single" w:sz="4" w:space="0" w:color="000000"/>
            </w:tcBorders>
          </w:tcPr>
          <w:p>
            <w:pPr>
              <w:pStyle w:val="TableParagraph"/>
              <w:spacing w:line="242" w:lineRule="auto"/>
              <w:ind w:left="113" w:right="93" w:firstLine="62"/>
              <w:jc w:val="both"/>
              <w:rPr>
                <w:sz w:val="21"/>
              </w:rPr>
            </w:pPr>
            <w:r>
              <w:rPr>
                <w:sz w:val="21"/>
              </w:rPr>
              <w:t>工业园及产业聚集区发展规模，严格控制</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w:t>
            </w:r>
            <w:r>
              <w:rPr>
                <w:spacing w:val="-8"/>
                <w:w w:val="95"/>
                <w:sz w:val="21"/>
              </w:rPr>
              <w:t>项目建设</w:t>
            </w:r>
            <w:r>
              <w:rPr>
                <w:w w:val="95"/>
                <w:sz w:val="21"/>
              </w:rPr>
              <w:t>（按照山东省</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w:t>
            </w:r>
            <w:r>
              <w:rPr>
                <w:w w:val="95"/>
                <w:sz w:val="21"/>
              </w:rPr>
              <w:t>项目管理名录确定</w:t>
            </w:r>
            <w:r>
              <w:rPr>
                <w:spacing w:val="-40"/>
                <w:w w:val="95"/>
                <w:sz w:val="21"/>
              </w:rPr>
              <w:t>）</w:t>
            </w:r>
            <w:r>
              <w:rPr>
                <w:spacing w:val="-7"/>
                <w:w w:val="95"/>
                <w:sz w:val="21"/>
              </w:rPr>
              <w:t>，建设项目新增主要污染物总</w:t>
            </w:r>
            <w:r>
              <w:rPr>
                <w:spacing w:val="-7"/>
                <w:sz w:val="21"/>
              </w:rPr>
              <w:t>量指标原则上实施二倍量替代</w:t>
            </w:r>
            <w:r>
              <w:rPr>
                <w:rFonts w:ascii="Times New Roman" w:eastAsia="Times New Roman" w:hAnsi="Times New Roman"/>
                <w:spacing w:val="-7"/>
                <w:sz w:val="21"/>
              </w:rPr>
              <w:t>”</w:t>
            </w:r>
            <w:r>
              <w:rPr>
                <w:spacing w:val="-7"/>
                <w:sz w:val="21"/>
              </w:rPr>
              <w:t>（按鲁环发</w:t>
            </w:r>
            <w:r>
              <w:rPr>
                <w:rFonts w:ascii="Times New Roman" w:eastAsia="Times New Roman" w:hAnsi="Times New Roman"/>
                <w:spacing w:val="-7"/>
                <w:w w:val="95"/>
                <w:sz w:val="21"/>
              </w:rPr>
              <w:t>2[2019]132</w:t>
            </w:r>
            <w:r>
              <w:rPr>
                <w:spacing w:val="-7"/>
                <w:w w:val="95"/>
                <w:sz w:val="21"/>
              </w:rPr>
              <w:t>号要求执行</w:t>
            </w:r>
            <w:r>
              <w:rPr>
                <w:spacing w:val="-5"/>
                <w:w w:val="95"/>
                <w:sz w:val="21"/>
              </w:rPr>
              <w:t>），</w:t>
            </w:r>
            <w:r>
              <w:rPr>
                <w:spacing w:val="-2"/>
                <w:w w:val="95"/>
                <w:sz w:val="21"/>
              </w:rPr>
              <w:t>持续降低园区内</w:t>
            </w:r>
          </w:p>
          <w:p>
            <w:pPr>
              <w:pStyle w:val="TableParagraph"/>
              <w:spacing w:line="240" w:lineRule="exact"/>
              <w:ind w:left="113"/>
              <w:rPr>
                <w:sz w:val="21"/>
              </w:rPr>
            </w:pPr>
            <w:r>
              <w:rPr>
                <w:spacing w:val="-9"/>
                <w:w w:val="95"/>
                <w:sz w:val="21"/>
              </w:rPr>
              <w:t>污染物排放总量。新上天然气锅炉配套低氮</w:t>
            </w:r>
          </w:p>
        </w:tc>
        <w:tc>
          <w:tcPr>
            <w:tcW w:w="1643" w:type="dxa"/>
            <w:gridSpan w:val="2"/>
            <w:tcBorders>
              <w:top w:val="nil"/>
              <w:left w:val="single" w:sz="4" w:space="0" w:color="000000"/>
              <w:bottom w:val="nil"/>
              <w:right w:val="single" w:sz="4" w:space="0" w:color="000000"/>
            </w:tcBorders>
          </w:tcPr>
          <w:p>
            <w:pPr>
              <w:pStyle w:val="TableParagraph"/>
              <w:spacing w:line="242" w:lineRule="auto"/>
              <w:ind w:left="194" w:right="31" w:hanging="82"/>
              <w:rPr>
                <w:sz w:val="21"/>
              </w:rPr>
            </w:pPr>
            <w:r>
              <w:rPr>
                <w:sz w:val="21"/>
              </w:rPr>
              <w:t>气执行《区域性大气污染物综合排放标准》</w:t>
            </w:r>
          </w:p>
          <w:p>
            <w:pPr>
              <w:pStyle w:val="TableParagraph"/>
              <w:ind w:left="143"/>
              <w:rPr>
                <w:rFonts w:ascii="Times New Roman" w:eastAsia="Times New Roman"/>
                <w:sz w:val="21"/>
              </w:rPr>
            </w:pPr>
            <w:r>
              <w:rPr>
                <w:sz w:val="21"/>
              </w:rPr>
              <w:t>（</w:t>
            </w:r>
            <w:r>
              <w:rPr>
                <w:rFonts w:ascii="Times New Roman" w:eastAsia="Times New Roman"/>
                <w:sz w:val="21"/>
              </w:rPr>
              <w:t>DB37/2376-2</w:t>
            </w:r>
          </w:p>
          <w:p>
            <w:pPr>
              <w:pStyle w:val="TableParagraph"/>
              <w:ind w:left="143"/>
              <w:rPr>
                <w:sz w:val="21"/>
              </w:rPr>
            </w:pPr>
            <w:r>
              <w:rPr>
                <w:rFonts w:ascii="Times New Roman" w:eastAsia="Times New Roman" w:hAnsi="Times New Roman"/>
                <w:sz w:val="21"/>
              </w:rPr>
              <w:t>019</w:t>
            </w:r>
            <w:r>
              <w:rPr>
                <w:sz w:val="21"/>
              </w:rPr>
              <w:t>）</w:t>
            </w:r>
            <w:r>
              <w:rPr>
                <w:spacing w:val="-3"/>
                <w:sz w:val="21"/>
              </w:rPr>
              <w:t xml:space="preserve">表 </w:t>
            </w:r>
            <w:r>
              <w:rPr>
                <w:rFonts w:ascii="Times New Roman" w:eastAsia="Times New Roman" w:hAnsi="Times New Roman"/>
                <w:sz w:val="21"/>
              </w:rPr>
              <w:t>1</w:t>
            </w:r>
            <w:r>
              <w:rPr>
                <w:sz w:val="21"/>
              </w:rPr>
              <w:t>“重</w:t>
            </w:r>
          </w:p>
          <w:p>
            <w:pPr>
              <w:pStyle w:val="TableParagraph"/>
              <w:spacing w:line="240" w:lineRule="exact"/>
              <w:ind w:left="112"/>
              <w:rPr>
                <w:sz w:val="21"/>
              </w:rPr>
            </w:pPr>
            <w:r>
              <w:rPr>
                <w:spacing w:val="-7"/>
                <w:w w:val="95"/>
                <w:sz w:val="21"/>
              </w:rPr>
              <w:t>点控制区”标准</w:t>
            </w:r>
          </w:p>
        </w:tc>
        <w:tc>
          <w:tcPr>
            <w:tcW w:w="867" w:type="dxa"/>
            <w:gridSpan w:val="2"/>
            <w:tcBorders>
              <w:top w:val="nil"/>
              <w:left w:val="single" w:sz="4" w:space="0" w:color="000000"/>
              <w:bottom w:val="nil"/>
              <w:right w:val="single" w:sz="4" w:space="0" w:color="000000"/>
            </w:tcBorders>
          </w:tcPr>
          <w:p>
            <w:pPr>
              <w:pStyle w:val="TableParagraph"/>
              <w:rPr>
                <w:sz w:val="20"/>
              </w:rPr>
            </w:pPr>
          </w:p>
          <w:p>
            <w:pPr>
              <w:pStyle w:val="TableParagraph"/>
              <w:spacing w:before="142"/>
              <w:ind w:left="226"/>
              <w:rPr>
                <w:sz w:val="21"/>
              </w:rPr>
            </w:pPr>
            <w:r>
              <w:rPr>
                <w:sz w:val="21"/>
              </w:rPr>
              <w:t>符合</w:t>
            </w: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810"/>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56" w:type="dxa"/>
            <w:gridSpan w:val="2"/>
            <w:tcBorders>
              <w:top w:val="nil"/>
              <w:left w:val="single" w:sz="4" w:space="0" w:color="000000"/>
              <w:bottom w:val="thickThinMediumGap" w:sz="4" w:space="0" w:color="000000"/>
              <w:right w:val="single" w:sz="4" w:space="0" w:color="000000"/>
            </w:tcBorders>
          </w:tcPr>
          <w:p>
            <w:pPr>
              <w:pStyle w:val="TableParagraph"/>
              <w:rPr>
                <w:rFonts w:ascii="Times New Roman"/>
                <w:sz w:val="22"/>
              </w:rPr>
            </w:pPr>
          </w:p>
        </w:tc>
        <w:tc>
          <w:tcPr>
            <w:tcW w:w="1004" w:type="dxa"/>
            <w:tcBorders>
              <w:top w:val="nil"/>
              <w:left w:val="single" w:sz="4" w:space="0" w:color="000000"/>
              <w:bottom w:val="thickThinMediumGap" w:sz="4" w:space="0" w:color="000000"/>
              <w:right w:val="single" w:sz="4" w:space="0" w:color="000000"/>
            </w:tcBorders>
          </w:tcPr>
          <w:p>
            <w:pPr>
              <w:pStyle w:val="TableParagraph"/>
              <w:rPr>
                <w:rFonts w:ascii="Times New Roman"/>
                <w:sz w:val="22"/>
              </w:rPr>
            </w:pPr>
          </w:p>
        </w:tc>
        <w:tc>
          <w:tcPr>
            <w:tcW w:w="4124" w:type="dxa"/>
            <w:gridSpan w:val="2"/>
            <w:tcBorders>
              <w:top w:val="nil"/>
              <w:left w:val="single" w:sz="4" w:space="0" w:color="000000"/>
              <w:bottom w:val="thickThinMediumGap" w:sz="4" w:space="0" w:color="000000"/>
              <w:right w:val="single" w:sz="4" w:space="0" w:color="000000"/>
            </w:tcBorders>
          </w:tcPr>
          <w:p>
            <w:pPr>
              <w:pStyle w:val="TableParagraph"/>
              <w:spacing w:line="260" w:lineRule="exact"/>
              <w:ind w:left="113"/>
              <w:rPr>
                <w:sz w:val="21"/>
              </w:rPr>
            </w:pPr>
            <w:r>
              <w:rPr>
                <w:sz w:val="21"/>
              </w:rPr>
              <w:t>燃烧设施。严格落实大气污染物达标排放、</w:t>
            </w:r>
          </w:p>
          <w:p>
            <w:pPr>
              <w:pStyle w:val="TableParagraph"/>
              <w:spacing w:before="3" w:line="270" w:lineRule="atLeast"/>
              <w:ind w:left="701" w:right="50" w:hanging="588"/>
              <w:rPr>
                <w:sz w:val="21"/>
              </w:rPr>
            </w:pPr>
            <w:r>
              <w:rPr>
                <w:sz w:val="21"/>
              </w:rPr>
              <w:t>总量控制、施环保设施</w:t>
            </w:r>
            <w:r>
              <w:rPr>
                <w:rFonts w:ascii="Times New Roman" w:eastAsia="Times New Roman" w:hAnsi="Times New Roman"/>
                <w:sz w:val="21"/>
              </w:rPr>
              <w:t xml:space="preserve">“ </w:t>
            </w:r>
            <w:r>
              <w:rPr>
                <w:sz w:val="21"/>
              </w:rPr>
              <w:t>三同时 时</w:t>
            </w:r>
            <w:r>
              <w:rPr>
                <w:rFonts w:ascii="Times New Roman" w:eastAsia="Times New Roman" w:hAnsi="Times New Roman"/>
                <w:sz w:val="21"/>
              </w:rPr>
              <w:t>”</w:t>
            </w:r>
            <w:r>
              <w:rPr>
                <w:sz w:val="21"/>
              </w:rPr>
              <w:t>、在线监测和排污许可等环保制度。</w:t>
            </w:r>
          </w:p>
        </w:tc>
        <w:tc>
          <w:tcPr>
            <w:tcW w:w="1643" w:type="dxa"/>
            <w:gridSpan w:val="2"/>
            <w:tcBorders>
              <w:top w:val="nil"/>
              <w:left w:val="single" w:sz="4" w:space="0" w:color="000000"/>
              <w:bottom w:val="thickThinMediumGap" w:sz="4" w:space="0" w:color="000000"/>
              <w:right w:val="single" w:sz="4" w:space="0" w:color="000000"/>
            </w:tcBorders>
          </w:tcPr>
          <w:p>
            <w:pPr>
              <w:pStyle w:val="TableParagraph"/>
              <w:spacing w:line="260" w:lineRule="exact"/>
              <w:ind w:left="194" w:hanging="82"/>
              <w:rPr>
                <w:sz w:val="21"/>
              </w:rPr>
            </w:pPr>
            <w:r>
              <w:rPr>
                <w:sz w:val="21"/>
              </w:rPr>
              <w:t>要求。热风炉配</w:t>
            </w:r>
          </w:p>
          <w:p>
            <w:pPr>
              <w:pStyle w:val="TableParagraph"/>
              <w:spacing w:before="3" w:line="270" w:lineRule="atLeast"/>
              <w:ind w:left="614" w:right="178" w:hanging="420"/>
              <w:rPr>
                <w:sz w:val="21"/>
              </w:rPr>
            </w:pPr>
            <w:r>
              <w:rPr>
                <w:sz w:val="21"/>
              </w:rPr>
              <w:t>置低氮燃烧技术。</w:t>
            </w:r>
          </w:p>
        </w:tc>
        <w:tc>
          <w:tcPr>
            <w:tcW w:w="867" w:type="dxa"/>
            <w:gridSpan w:val="2"/>
            <w:tcBorders>
              <w:top w:val="nil"/>
              <w:left w:val="single" w:sz="4" w:space="0" w:color="000000"/>
              <w:bottom w:val="thickThinMediumGap" w:sz="4" w:space="0" w:color="000000"/>
              <w:right w:val="single" w:sz="4" w:space="0" w:color="000000"/>
            </w:tcBorders>
          </w:tcPr>
          <w:p>
            <w:pPr>
              <w:pStyle w:val="TableParagraph"/>
              <w:rPr>
                <w:rFonts w:ascii="Times New Roman"/>
                <w:sz w:val="22"/>
              </w:rPr>
            </w:pPr>
          </w:p>
        </w:tc>
        <w:tc>
          <w:tcPr>
            <w:tcW w:w="113" w:type="dxa"/>
            <w:vMerge/>
            <w:tcBorders>
              <w:top w:val="nil"/>
              <w:left w:val="single" w:sz="4" w:space="0" w:color="000000"/>
            </w:tcBorders>
          </w:tcPr>
          <w:p>
            <w:pPr>
              <w:rPr>
                <w:sz w:val="2"/>
                <w:szCs w:val="2"/>
              </w:rPr>
            </w:pPr>
          </w:p>
        </w:tc>
      </w:tr>
    </w:tbl>
    <w:p>
      <w:pPr>
        <w:pStyle w:val="BodyText"/>
        <w:rPr>
          <w:sz w:val="20"/>
        </w:rPr>
      </w:pPr>
    </w:p>
    <w:p>
      <w:pPr>
        <w:pStyle w:val="BodyText"/>
        <w:spacing w:before="9"/>
        <w:rPr>
          <w:sz w:val="20"/>
        </w:rPr>
      </w:pPr>
    </w:p>
    <w:p>
      <w:pPr>
        <w:spacing w:before="61"/>
        <w:ind w:left="0" w:right="649" w:firstLine="0"/>
        <w:jc w:val="right"/>
        <w:rPr>
          <w:sz w:val="28"/>
        </w:rPr>
      </w:pPr>
      <w:r>
        <w:rPr>
          <w:sz w:val="28"/>
        </w:rPr>
        <w:t xml:space="preserve">— </w:t>
      </w:r>
      <w:r>
        <w:rPr>
          <w:sz w:val="26"/>
        </w:rPr>
        <w:t xml:space="preserve">5 </w:t>
      </w:r>
      <w:r>
        <w:rPr>
          <w:sz w:val="28"/>
        </w:rPr>
        <w:t>—</w:t>
      </w:r>
    </w:p>
    <w:p>
      <w:pPr>
        <w:spacing w:after="0"/>
        <w:jc w:val="right"/>
        <w:rPr>
          <w:sz w:val="28"/>
        </w:rPr>
        <w:sectPr>
          <w:pgSz w:w="11910" w:h="16840"/>
          <w:pgMar w:top="1580" w:right="879" w:bottom="280" w:left="900" w:header="720" w:footer="720" w:gutter="0"/>
          <w:pgNumType w:start="6"/>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4"/>
        <w:gridCol w:w="870"/>
        <w:gridCol w:w="985"/>
        <w:gridCol w:w="3736"/>
        <w:gridCol w:w="392"/>
        <w:gridCol w:w="1628"/>
        <w:gridCol w:w="881"/>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224"/>
        </w:trPr>
        <w:tc>
          <w:tcPr>
            <w:tcW w:w="594"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bottom w:val="nil"/>
              <w:right w:val="single" w:sz="4" w:space="0" w:color="000000"/>
            </w:tcBorders>
          </w:tcPr>
          <w:p>
            <w:pPr>
              <w:pStyle w:val="TableParagraph"/>
              <w:rPr>
                <w:rFonts w:ascii="Times New Roman"/>
                <w:sz w:val="20"/>
              </w:rPr>
            </w:pPr>
          </w:p>
        </w:tc>
        <w:tc>
          <w:tcPr>
            <w:tcW w:w="870" w:type="dxa"/>
            <w:tcBorders>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72"/>
              <w:ind w:left="117"/>
              <w:rPr>
                <w:sz w:val="21"/>
              </w:rPr>
            </w:pPr>
            <w:r>
              <w:rPr>
                <w:sz w:val="21"/>
              </w:rPr>
              <w:t>水环境</w:t>
            </w:r>
          </w:p>
        </w:tc>
        <w:tc>
          <w:tcPr>
            <w:tcW w:w="985" w:type="dxa"/>
            <w:tcBorders>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55" w:line="242" w:lineRule="auto"/>
              <w:ind w:left="176" w:right="167"/>
              <w:jc w:val="both"/>
              <w:rPr>
                <w:sz w:val="21"/>
              </w:rPr>
            </w:pPr>
            <w:r>
              <w:rPr>
                <w:sz w:val="21"/>
              </w:rPr>
              <w:t>水环境重点管控区</w:t>
            </w:r>
          </w:p>
        </w:tc>
        <w:tc>
          <w:tcPr>
            <w:tcW w:w="4128" w:type="dxa"/>
            <w:gridSpan w:val="2"/>
            <w:tcBorders>
              <w:left w:val="single" w:sz="4" w:space="0" w:color="000000"/>
              <w:bottom w:val="single" w:sz="4" w:space="0" w:color="000000"/>
              <w:right w:val="single" w:sz="4" w:space="0" w:color="000000"/>
            </w:tcBorders>
          </w:tcPr>
          <w:p>
            <w:pPr>
              <w:pStyle w:val="TableParagraph"/>
              <w:spacing w:before="2" w:line="290" w:lineRule="auto"/>
              <w:ind w:left="117" w:right="-15"/>
              <w:rPr>
                <w:sz w:val="21"/>
              </w:rPr>
            </w:pPr>
            <w:r>
              <w:rPr>
                <w:spacing w:val="-9"/>
                <w:sz w:val="21"/>
              </w:rPr>
              <w:t>涉及高耗水、高污染物排放、产生有毒有害</w:t>
            </w:r>
            <w:r>
              <w:rPr>
                <w:spacing w:val="-14"/>
                <w:sz w:val="21"/>
              </w:rPr>
              <w:t>污染物的建设项目从严审批，禁止新建、改扩建不符合国家产业政策严重污染水环境 的落后产能，禁止建设加剧环境质量超标的</w:t>
            </w:r>
            <w:r>
              <w:rPr>
                <w:spacing w:val="-13"/>
                <w:sz w:val="21"/>
              </w:rPr>
              <w:t>建设项目。对造纸、焦化、氮肥、印染、农副产品加工、原料药制造、制革、农药、电</w:t>
            </w:r>
            <w:r>
              <w:rPr>
                <w:spacing w:val="-18"/>
                <w:sz w:val="21"/>
              </w:rPr>
              <w:t>镀等重点行业</w:t>
            </w:r>
            <w:r>
              <w:rPr>
                <w:sz w:val="21"/>
              </w:rPr>
              <w:t>（国家鼓励发展的除外</w:t>
            </w:r>
            <w:r>
              <w:rPr>
                <w:spacing w:val="-39"/>
                <w:sz w:val="21"/>
              </w:rPr>
              <w:t>）</w:t>
            </w:r>
            <w:r>
              <w:rPr>
                <w:sz w:val="21"/>
              </w:rPr>
              <w:t>实行</w:t>
            </w:r>
            <w:r>
              <w:rPr>
                <w:spacing w:val="-6"/>
                <w:sz w:val="21"/>
              </w:rPr>
              <w:t>主要污染物排放等量或减量置换。加快城镇</w:t>
            </w:r>
            <w:r>
              <w:rPr>
                <w:spacing w:val="-12"/>
                <w:sz w:val="21"/>
              </w:rPr>
              <w:t>污水处理设施建设，城区和建制镇应实现生</w:t>
            </w:r>
            <w:r>
              <w:rPr>
                <w:spacing w:val="-14"/>
                <w:sz w:val="21"/>
              </w:rPr>
              <w:t>活污水集中处理，同时，加强配套管网建设</w:t>
            </w:r>
            <w:r>
              <w:rPr>
                <w:spacing w:val="-12"/>
                <w:sz w:val="21"/>
              </w:rPr>
              <w:t xml:space="preserve">和改造，新区建设全部 按照雨污分流实施， 推进老城区旧有市政雨污管网的雨污分流 </w:t>
            </w:r>
            <w:r>
              <w:rPr>
                <w:spacing w:val="-15"/>
                <w:sz w:val="21"/>
              </w:rPr>
              <w:t>城镇排水系统改造建设。整治建成区黑臭水体，采取控源截污、内源治理、封盖导流、</w:t>
            </w:r>
            <w:r>
              <w:rPr>
                <w:spacing w:val="-13"/>
                <w:sz w:val="21"/>
              </w:rPr>
              <w:t>清淤疏浚、生态修复等技术，制定实施方案</w:t>
            </w:r>
          </w:p>
          <w:p>
            <w:pPr>
              <w:pStyle w:val="TableParagraph"/>
              <w:spacing w:before="17"/>
              <w:ind w:left="1545"/>
              <w:rPr>
                <w:sz w:val="21"/>
              </w:rPr>
            </w:pPr>
            <w:r>
              <w:rPr>
                <w:sz w:val="21"/>
              </w:rPr>
              <w:t>和整治计划</w:t>
            </w:r>
          </w:p>
        </w:tc>
        <w:tc>
          <w:tcPr>
            <w:tcW w:w="1628" w:type="dxa"/>
            <w:tcBorders>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25"/>
              </w:rPr>
            </w:pPr>
          </w:p>
          <w:p>
            <w:pPr>
              <w:pStyle w:val="TableParagraph"/>
              <w:spacing w:line="290" w:lineRule="auto"/>
              <w:ind w:left="194" w:right="161"/>
              <w:jc w:val="center"/>
              <w:rPr>
                <w:sz w:val="21"/>
              </w:rPr>
            </w:pPr>
            <w:r>
              <w:rPr>
                <w:sz w:val="21"/>
              </w:rPr>
              <w:t>项目不属于左述重点行业项目。</w:t>
            </w:r>
          </w:p>
        </w:tc>
        <w:tc>
          <w:tcPr>
            <w:tcW w:w="881" w:type="dxa"/>
            <w:tcBorders>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72"/>
              <w:ind w:left="100" w:right="71"/>
              <w:jc w:val="center"/>
              <w:rPr>
                <w:sz w:val="21"/>
              </w:rPr>
            </w:pPr>
            <w:r>
              <w:rPr>
                <w:sz w:val="21"/>
              </w:rPr>
              <w:t>符合</w:t>
            </w:r>
          </w:p>
        </w:tc>
        <w:tc>
          <w:tcPr>
            <w:tcW w:w="113" w:type="dxa"/>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351"/>
        </w:trPr>
        <w:tc>
          <w:tcPr>
            <w:tcW w:w="594"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870"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6" w:line="244" w:lineRule="auto"/>
              <w:ind w:left="326" w:right="111" w:hanging="209"/>
              <w:rPr>
                <w:sz w:val="21"/>
              </w:rPr>
            </w:pPr>
            <w:r>
              <w:rPr>
                <w:sz w:val="21"/>
              </w:rPr>
              <w:t>土壤环境</w:t>
            </w:r>
          </w:p>
        </w:tc>
        <w:tc>
          <w:tcPr>
            <w:tcW w:w="985"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76" w:right="167" w:hanging="1"/>
              <w:jc w:val="center"/>
              <w:rPr>
                <w:sz w:val="21"/>
              </w:rPr>
            </w:pPr>
            <w:r>
              <w:rPr>
                <w:sz w:val="21"/>
              </w:rPr>
              <w:t>建设用地一般管控单元</w:t>
            </w:r>
          </w:p>
        </w:tc>
        <w:tc>
          <w:tcPr>
            <w:tcW w:w="4128"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9"/>
              <w:jc w:val="both"/>
              <w:rPr>
                <w:sz w:val="21"/>
              </w:rPr>
            </w:pPr>
            <w:r>
              <w:rPr>
                <w:sz w:val="21"/>
              </w:rPr>
              <w:t>建设用地风险管控严格执行《工矿用地土壤环境管理办法（试行）》和《污染地块土壤</w:t>
            </w:r>
            <w:r>
              <w:rPr>
                <w:w w:val="95"/>
                <w:sz w:val="21"/>
              </w:rPr>
              <w:t>环境管理办法（试行）》。建立一企一档，</w:t>
            </w:r>
          </w:p>
          <w:p>
            <w:pPr>
              <w:pStyle w:val="TableParagraph"/>
              <w:spacing w:line="270" w:lineRule="atLeast"/>
              <w:ind w:left="1860" w:right="93" w:hanging="1743"/>
              <w:rPr>
                <w:sz w:val="21"/>
              </w:rPr>
            </w:pPr>
            <w:r>
              <w:rPr>
                <w:spacing w:val="-9"/>
                <w:w w:val="95"/>
                <w:sz w:val="21"/>
              </w:rPr>
              <w:t>标注地块内的风险源，标明企业的特征污染</w:t>
            </w:r>
            <w:r>
              <w:rPr>
                <w:spacing w:val="-9"/>
                <w:sz w:val="21"/>
              </w:rPr>
              <w:t>物。</w:t>
            </w:r>
          </w:p>
        </w:tc>
        <w:tc>
          <w:tcPr>
            <w:tcW w:w="1628"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77" w:hanging="5"/>
              <w:jc w:val="center"/>
              <w:rPr>
                <w:sz w:val="21"/>
              </w:rPr>
            </w:pPr>
            <w:r>
              <w:rPr>
                <w:sz w:val="21"/>
              </w:rPr>
              <w:t>企业承诺建立</w:t>
            </w:r>
            <w:r>
              <w:rPr>
                <w:spacing w:val="-9"/>
                <w:sz w:val="21"/>
              </w:rPr>
              <w:t>一企一档，标注</w:t>
            </w:r>
            <w:r>
              <w:rPr>
                <w:sz w:val="21"/>
              </w:rPr>
              <w:t>地块内的风险</w:t>
            </w:r>
          </w:p>
          <w:p>
            <w:pPr>
              <w:pStyle w:val="TableParagraph"/>
              <w:spacing w:line="270" w:lineRule="atLeast"/>
              <w:ind w:left="112" w:right="77"/>
              <w:jc w:val="center"/>
              <w:rPr>
                <w:sz w:val="21"/>
              </w:rPr>
            </w:pPr>
            <w:r>
              <w:rPr>
                <w:spacing w:val="-9"/>
                <w:sz w:val="21"/>
              </w:rPr>
              <w:t>源，标明企业的</w:t>
            </w:r>
            <w:r>
              <w:rPr>
                <w:sz w:val="21"/>
              </w:rPr>
              <w:t>特征污染物。</w:t>
            </w:r>
          </w:p>
        </w:tc>
        <w:tc>
          <w:tcPr>
            <w:tcW w:w="881"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22"/>
              </w:rPr>
            </w:pPr>
          </w:p>
          <w:p>
            <w:pPr>
              <w:pStyle w:val="TableParagraph"/>
              <w:ind w:left="100" w:right="71"/>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029"/>
        </w:trPr>
        <w:tc>
          <w:tcPr>
            <w:tcW w:w="594" w:type="dxa"/>
            <w:vMerge/>
            <w:tcBorders>
              <w:top w:val="nil"/>
              <w:right w:val="single" w:sz="4" w:space="0" w:color="000000"/>
            </w:tcBorders>
          </w:tcPr>
          <w:p>
            <w:pPr>
              <w:rPr>
                <w:sz w:val="2"/>
                <w:szCs w:val="2"/>
              </w:rPr>
            </w:pPr>
          </w:p>
        </w:tc>
        <w:tc>
          <w:tcPr>
            <w:tcW w:w="8719" w:type="dxa"/>
            <w:gridSpan w:val="8"/>
            <w:tcBorders>
              <w:top w:val="single" w:sz="4" w:space="0" w:color="000000"/>
              <w:left w:val="single" w:sz="4" w:space="0" w:color="000000"/>
              <w:bottom w:val="single" w:sz="4" w:space="0" w:color="000000"/>
            </w:tcBorders>
          </w:tcPr>
          <w:p>
            <w:pPr>
              <w:pStyle w:val="TableParagraph"/>
              <w:spacing w:before="113"/>
              <w:ind w:left="591"/>
              <w:rPr>
                <w:b/>
                <w:sz w:val="24"/>
              </w:rPr>
            </w:pPr>
            <w:r>
              <w:rPr>
                <w:rFonts w:ascii="Times New Roman" w:eastAsia="Times New Roman"/>
                <w:b/>
                <w:sz w:val="24"/>
              </w:rPr>
              <w:t>3</w:t>
            </w:r>
            <w:r>
              <w:rPr>
                <w:b/>
                <w:sz w:val="24"/>
              </w:rPr>
              <w:t>、资源利用上线</w:t>
            </w:r>
          </w:p>
          <w:p>
            <w:pPr>
              <w:pStyle w:val="TableParagraph"/>
              <w:tabs>
                <w:tab w:val="left" w:pos="864"/>
              </w:tabs>
              <w:spacing w:before="231"/>
              <w:ind w:left="24"/>
              <w:jc w:val="center"/>
              <w:rPr>
                <w:b/>
                <w:sz w:val="24"/>
              </w:rPr>
            </w:pPr>
            <w:r>
              <w:rPr>
                <w:b/>
                <w:sz w:val="24"/>
              </w:rPr>
              <w:t>表</w:t>
            </w:r>
            <w:r>
              <w:rPr>
                <w:b/>
                <w:spacing w:val="-62"/>
                <w:sz w:val="24"/>
              </w:rPr>
              <w:t xml:space="preserve"> </w:t>
            </w:r>
            <w:r>
              <w:rPr>
                <w:rFonts w:ascii="Times New Roman" w:eastAsia="Times New Roman"/>
                <w:b/>
                <w:sz w:val="24"/>
              </w:rPr>
              <w:t>4.</w:t>
            </w:r>
            <w:r>
              <w:rPr>
                <w:rFonts w:ascii="Times New Roman" w:eastAsia="Times New Roman"/>
                <w:b/>
                <w:sz w:val="24"/>
              </w:rPr>
              <w:tab/>
            </w:r>
            <w:r>
              <w:rPr>
                <w:b/>
                <w:sz w:val="24"/>
              </w:rPr>
              <w:t>资源利用上线符合性分析</w:t>
            </w:r>
          </w:p>
        </w:tc>
      </w:tr>
      <w:tr>
        <w:tblPrEx>
          <w:tblW w:w="0" w:type="auto"/>
          <w:tblInd w:w="406" w:type="dxa"/>
          <w:tblLayout w:type="fixed"/>
          <w:tblCellMar>
            <w:top w:w="0" w:type="dxa"/>
            <w:left w:w="0" w:type="dxa"/>
            <w:bottom w:w="0" w:type="dxa"/>
            <w:right w:w="0" w:type="dxa"/>
          </w:tblCellMar>
        </w:tblPrEx>
        <w:trPr>
          <w:trHeight w:val="317"/>
        </w:trPr>
        <w:tc>
          <w:tcPr>
            <w:tcW w:w="594" w:type="dxa"/>
            <w:vMerge/>
            <w:tcBorders>
              <w:top w:val="nil"/>
              <w:right w:val="single" w:sz="4" w:space="0" w:color="000000"/>
            </w:tcBorders>
          </w:tcPr>
          <w:p>
            <w:pPr>
              <w:rPr>
                <w:sz w:val="2"/>
                <w:szCs w:val="2"/>
              </w:rPr>
            </w:pPr>
          </w:p>
        </w:tc>
        <w:tc>
          <w:tcPr>
            <w:tcW w:w="114" w:type="dxa"/>
            <w:vMerge w:val="restart"/>
            <w:tcBorders>
              <w:top w:val="nil"/>
              <w:left w:val="single" w:sz="4" w:space="0" w:color="000000"/>
              <w:right w:val="single" w:sz="4" w:space="0" w:color="000000"/>
            </w:tcBorders>
          </w:tcPr>
          <w:p>
            <w:pPr>
              <w:pStyle w:val="TableParagraph"/>
              <w:rPr>
                <w:rFonts w:ascii="Times New Roman"/>
                <w:sz w:val="20"/>
              </w:rPr>
            </w:pPr>
          </w:p>
        </w:tc>
        <w:tc>
          <w:tcPr>
            <w:tcW w:w="185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614"/>
              <w:rPr>
                <w:b/>
                <w:sz w:val="21"/>
              </w:rPr>
            </w:pPr>
            <w:r>
              <w:rPr>
                <w:b/>
                <w:sz w:val="21"/>
              </w:rPr>
              <w:t>管控区</w:t>
            </w:r>
          </w:p>
        </w:tc>
        <w:tc>
          <w:tcPr>
            <w:tcW w:w="3736" w:type="dxa"/>
            <w:tcBorders>
              <w:top w:val="single" w:sz="4" w:space="0" w:color="000000"/>
              <w:left w:val="single" w:sz="4" w:space="0" w:color="000000"/>
              <w:bottom w:val="single" w:sz="4" w:space="0" w:color="000000"/>
              <w:right w:val="single" w:sz="4" w:space="0" w:color="000000"/>
            </w:tcBorders>
          </w:tcPr>
          <w:p>
            <w:pPr>
              <w:pStyle w:val="TableParagraph"/>
              <w:spacing w:before="21"/>
              <w:ind w:left="1428" w:right="1413"/>
              <w:jc w:val="center"/>
              <w:rPr>
                <w:b/>
                <w:sz w:val="21"/>
              </w:rPr>
            </w:pPr>
            <w:r>
              <w:rPr>
                <w:b/>
                <w:sz w:val="21"/>
              </w:rPr>
              <w:t>管控要求</w:t>
            </w:r>
          </w:p>
        </w:tc>
        <w:tc>
          <w:tcPr>
            <w:tcW w:w="2020" w:type="dxa"/>
            <w:gridSpan w:val="2"/>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480"/>
              <w:rPr>
                <w:b/>
                <w:sz w:val="21"/>
              </w:rPr>
            </w:pPr>
            <w:r>
              <w:rPr>
                <w:b/>
                <w:sz w:val="21"/>
              </w:rPr>
              <w:t>本项目情况</w:t>
            </w:r>
          </w:p>
        </w:tc>
        <w:tc>
          <w:tcPr>
            <w:tcW w:w="881"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00" w:right="97"/>
              <w:jc w:val="center"/>
              <w:rPr>
                <w:b/>
                <w:sz w:val="21"/>
              </w:rPr>
            </w:pPr>
            <w:r>
              <w:rPr>
                <w:b/>
                <w:sz w:val="21"/>
              </w:rPr>
              <w:t>符合性</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441"/>
        </w:trPr>
        <w:tc>
          <w:tcPr>
            <w:tcW w:w="594"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870"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2"/>
              <w:rPr>
                <w:sz w:val="23"/>
              </w:rPr>
            </w:pPr>
          </w:p>
          <w:p>
            <w:pPr>
              <w:pStyle w:val="TableParagraph"/>
              <w:spacing w:before="1" w:line="242" w:lineRule="auto"/>
              <w:ind w:left="131" w:right="97"/>
              <w:jc w:val="both"/>
              <w:rPr>
                <w:sz w:val="21"/>
              </w:rPr>
            </w:pPr>
            <w:r>
              <w:rPr>
                <w:sz w:val="21"/>
              </w:rPr>
              <w:t>能源资源利用上线</w:t>
            </w:r>
          </w:p>
        </w:tc>
        <w:tc>
          <w:tcPr>
            <w:tcW w:w="98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
              <w:rPr>
                <w:sz w:val="14"/>
              </w:rPr>
            </w:pPr>
          </w:p>
          <w:p>
            <w:pPr>
              <w:pStyle w:val="TableParagraph"/>
              <w:spacing w:line="242" w:lineRule="auto"/>
              <w:ind w:left="291" w:right="158" w:hanging="106"/>
              <w:rPr>
                <w:sz w:val="21"/>
              </w:rPr>
            </w:pPr>
            <w:r>
              <w:rPr>
                <w:sz w:val="21"/>
              </w:rPr>
              <w:t>一般管控区</w:t>
            </w:r>
          </w:p>
        </w:tc>
        <w:tc>
          <w:tcPr>
            <w:tcW w:w="373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08" w:right="-15"/>
              <w:rPr>
                <w:sz w:val="21"/>
              </w:rPr>
            </w:pPr>
            <w:r>
              <w:rPr>
                <w:spacing w:val="-6"/>
                <w:sz w:val="21"/>
              </w:rPr>
              <w:t>“禁燃区”范围内，禁止销售、燃用高</w:t>
            </w:r>
            <w:r>
              <w:rPr>
                <w:spacing w:val="-7"/>
                <w:sz w:val="21"/>
              </w:rPr>
              <w:t>污染燃料；禁止新</w:t>
            </w:r>
            <w:r>
              <w:rPr>
                <w:sz w:val="21"/>
              </w:rPr>
              <w:t>（</w:t>
            </w:r>
            <w:r>
              <w:rPr>
                <w:spacing w:val="-5"/>
                <w:sz w:val="21"/>
              </w:rPr>
              <w:t>扩、改</w:t>
            </w:r>
            <w:r>
              <w:rPr>
                <w:spacing w:val="-10"/>
                <w:sz w:val="21"/>
              </w:rPr>
              <w:t>）</w:t>
            </w:r>
            <w:r>
              <w:rPr>
                <w:sz w:val="21"/>
              </w:rPr>
              <w:t>建燃用高</w:t>
            </w:r>
            <w:r>
              <w:rPr>
                <w:spacing w:val="-6"/>
                <w:sz w:val="21"/>
              </w:rPr>
              <w:t>污染燃料的项目；现有高污染燃料燃用</w:t>
            </w:r>
            <w:r>
              <w:rPr>
                <w:spacing w:val="-8"/>
                <w:sz w:val="21"/>
              </w:rPr>
              <w:t xml:space="preserve">设施，除用于城市集中供热外，有关单位和个人应当在规定的期限内改用天 </w:t>
            </w:r>
            <w:r>
              <w:rPr>
                <w:spacing w:val="-14"/>
                <w:w w:val="95"/>
                <w:sz w:val="21"/>
              </w:rPr>
              <w:t>然气、液化石油气、电或其他清洁能源。</w:t>
            </w:r>
            <w:r>
              <w:rPr>
                <w:spacing w:val="-14"/>
                <w:sz w:val="21"/>
              </w:rPr>
              <w:t>逐步取缔热电联产供热管网覆盖范围</w:t>
            </w:r>
          </w:p>
          <w:p>
            <w:pPr>
              <w:pStyle w:val="TableParagraph"/>
              <w:spacing w:line="270" w:lineRule="atLeast"/>
              <w:ind w:left="189" w:right="14" w:hanging="82"/>
              <w:rPr>
                <w:sz w:val="21"/>
              </w:rPr>
            </w:pPr>
            <w:r>
              <w:rPr>
                <w:w w:val="95"/>
                <w:sz w:val="21"/>
              </w:rPr>
              <w:t>内的供热锅炉、工业蒸汽锅炉及各种洗</w:t>
            </w:r>
            <w:r>
              <w:rPr>
                <w:sz w:val="21"/>
              </w:rPr>
              <w:t>浴锅炉，推进热电联产和集中供热。</w:t>
            </w:r>
          </w:p>
        </w:tc>
        <w:tc>
          <w:tcPr>
            <w:tcW w:w="2020"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3" w:line="242" w:lineRule="auto"/>
              <w:ind w:left="92" w:right="87"/>
              <w:jc w:val="center"/>
              <w:rPr>
                <w:sz w:val="21"/>
              </w:rPr>
            </w:pPr>
            <w:r>
              <w:rPr>
                <w:sz w:val="21"/>
              </w:rPr>
              <w:t>拟建项目不使用高</w:t>
            </w:r>
            <w:r>
              <w:rPr>
                <w:w w:val="95"/>
                <w:sz w:val="21"/>
              </w:rPr>
              <w:t>污染燃料，本项目使</w:t>
            </w:r>
            <w:r>
              <w:rPr>
                <w:sz w:val="21"/>
              </w:rPr>
              <w:t>用清洁能源“天然气”。</w:t>
            </w:r>
          </w:p>
        </w:tc>
        <w:tc>
          <w:tcPr>
            <w:tcW w:w="881"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7"/>
              <w:rPr>
                <w:sz w:val="24"/>
              </w:rPr>
            </w:pPr>
          </w:p>
          <w:p>
            <w:pPr>
              <w:pStyle w:val="TableParagraph"/>
              <w:ind w:left="98" w:right="97"/>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719"/>
        </w:trPr>
        <w:tc>
          <w:tcPr>
            <w:tcW w:w="594"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870"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78" w:line="242" w:lineRule="auto"/>
              <w:ind w:left="131" w:right="97"/>
              <w:jc w:val="center"/>
              <w:rPr>
                <w:sz w:val="21"/>
              </w:rPr>
            </w:pPr>
            <w:r>
              <w:rPr>
                <w:sz w:val="21"/>
              </w:rPr>
              <w:t>水资源利用上线</w:t>
            </w:r>
          </w:p>
        </w:tc>
        <w:tc>
          <w:tcPr>
            <w:tcW w:w="985" w:type="dxa"/>
            <w:tcBorders>
              <w:top w:val="single" w:sz="4" w:space="0" w:color="000000"/>
              <w:left w:val="single" w:sz="4" w:space="0" w:color="000000"/>
              <w:bottom w:val="thickThinMediumGap"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spacing w:before="2"/>
              <w:rPr>
                <w:sz w:val="30"/>
              </w:rPr>
            </w:pPr>
          </w:p>
          <w:p>
            <w:pPr>
              <w:pStyle w:val="TableParagraph"/>
              <w:ind w:left="291"/>
              <w:rPr>
                <w:rFonts w:ascii="Times New Roman" w:hAnsi="Times New Roman"/>
                <w:sz w:val="21"/>
              </w:rPr>
            </w:pPr>
            <w:r>
              <w:rPr>
                <w:rFonts w:ascii="Times New Roman" w:hAnsi="Times New Roman"/>
                <w:sz w:val="21"/>
              </w:rPr>
              <w:t>——</w:t>
            </w:r>
          </w:p>
        </w:tc>
        <w:tc>
          <w:tcPr>
            <w:tcW w:w="3736"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08" w:right="92"/>
              <w:jc w:val="both"/>
              <w:rPr>
                <w:sz w:val="21"/>
              </w:rPr>
            </w:pPr>
            <w:r>
              <w:rPr>
                <w:spacing w:val="-6"/>
                <w:w w:val="95"/>
                <w:sz w:val="21"/>
              </w:rPr>
              <w:t>坚持‘四水四定’原则，统筹生产、生</w:t>
            </w:r>
            <w:r>
              <w:rPr>
                <w:spacing w:val="-9"/>
                <w:sz w:val="21"/>
              </w:rPr>
              <w:t>活、生态用水，统筹全市地表水等各类</w:t>
            </w:r>
            <w:r>
              <w:rPr>
                <w:spacing w:val="-8"/>
                <w:sz w:val="21"/>
              </w:rPr>
              <w:t>水资源，优先保证生活用水，合理安排</w:t>
            </w:r>
            <w:r>
              <w:rPr>
                <w:spacing w:val="-6"/>
                <w:sz w:val="21"/>
              </w:rPr>
              <w:t>农业用水和工业用水，实行最严格的水</w:t>
            </w:r>
            <w:r>
              <w:rPr>
                <w:spacing w:val="-7"/>
                <w:w w:val="95"/>
                <w:sz w:val="21"/>
              </w:rPr>
              <w:t>资源管理制度，严格落实水资源双控制</w:t>
            </w:r>
            <w:r>
              <w:rPr>
                <w:spacing w:val="-8"/>
                <w:sz w:val="21"/>
              </w:rPr>
              <w:t>度，把水资源作为最大的刚性约束，加</w:t>
            </w:r>
            <w:r>
              <w:rPr>
                <w:spacing w:val="-5"/>
                <w:sz w:val="21"/>
              </w:rPr>
              <w:t>强水资源的开发利用管理，制定水资源</w:t>
            </w:r>
            <w:r>
              <w:rPr>
                <w:sz w:val="21"/>
              </w:rPr>
              <w:t>综合利用规划，明确控制目标。</w:t>
            </w:r>
          </w:p>
          <w:p>
            <w:pPr>
              <w:pStyle w:val="TableParagraph"/>
              <w:ind w:left="108"/>
              <w:rPr>
                <w:sz w:val="21"/>
              </w:rPr>
            </w:pPr>
            <w:r>
              <w:rPr>
                <w:sz w:val="21"/>
              </w:rPr>
              <w:t>控制高耗水产业发展和高耗水工业项</w:t>
            </w:r>
          </w:p>
          <w:p>
            <w:pPr>
              <w:pStyle w:val="TableParagraph"/>
              <w:spacing w:before="1" w:line="255" w:lineRule="exact"/>
              <w:ind w:left="108"/>
              <w:rPr>
                <w:sz w:val="21"/>
              </w:rPr>
            </w:pPr>
            <w:r>
              <w:rPr>
                <w:sz w:val="21"/>
              </w:rPr>
              <w:t>目建设</w:t>
            </w:r>
            <w:r>
              <w:rPr>
                <w:rFonts w:ascii="Times New Roman" w:eastAsia="Times New Roman"/>
                <w:sz w:val="21"/>
              </w:rPr>
              <w:t>,</w:t>
            </w:r>
            <w:r>
              <w:rPr>
                <w:sz w:val="21"/>
              </w:rPr>
              <w:t>加强固定资产投资项目节能节</w:t>
            </w:r>
          </w:p>
        </w:tc>
        <w:tc>
          <w:tcPr>
            <w:tcW w:w="2020" w:type="dxa"/>
            <w:gridSpan w:val="2"/>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spacing w:before="2"/>
              <w:rPr>
                <w:sz w:val="23"/>
              </w:rPr>
            </w:pPr>
          </w:p>
          <w:p>
            <w:pPr>
              <w:pStyle w:val="TableParagraph"/>
              <w:spacing w:before="1" w:line="242" w:lineRule="auto"/>
              <w:ind w:left="113" w:right="96" w:hanging="15"/>
              <w:jc w:val="center"/>
              <w:rPr>
                <w:sz w:val="21"/>
              </w:rPr>
            </w:pPr>
            <w:r>
              <w:rPr>
                <w:sz w:val="21"/>
              </w:rPr>
              <w:t>项目生产过程中耗水量</w:t>
            </w:r>
            <w:r>
              <w:rPr>
                <w:rFonts w:ascii="Times New Roman" w:eastAsia="Times New Roman"/>
                <w:sz w:val="21"/>
              </w:rPr>
              <w:t>10030.64m</w:t>
            </w:r>
            <w:r>
              <w:rPr>
                <w:rFonts w:ascii="Times New Roman" w:eastAsia="Times New Roman"/>
                <w:position w:val="7"/>
                <w:sz w:val="13"/>
              </w:rPr>
              <w:t>3</w:t>
            </w:r>
            <w:r>
              <w:rPr>
                <w:rFonts w:ascii="Times New Roman" w:eastAsia="Times New Roman"/>
                <w:sz w:val="21"/>
              </w:rPr>
              <w:t>/a</w:t>
            </w:r>
            <w:r>
              <w:rPr>
                <w:sz w:val="21"/>
              </w:rPr>
              <w:t>， 不属于水耗大的项目。</w:t>
            </w:r>
          </w:p>
        </w:tc>
        <w:tc>
          <w:tcPr>
            <w:tcW w:w="881"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15"/>
              </w:rPr>
            </w:pPr>
          </w:p>
          <w:p>
            <w:pPr>
              <w:pStyle w:val="TableParagraph"/>
              <w:spacing w:before="1"/>
              <w:ind w:left="98" w:right="97"/>
              <w:jc w:val="center"/>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pStyle w:val="BodyText"/>
        <w:rPr>
          <w:sz w:val="20"/>
        </w:rPr>
      </w:pPr>
    </w:p>
    <w:p>
      <w:pPr>
        <w:pStyle w:val="BodyText"/>
        <w:spacing w:before="11"/>
        <w:rPr>
          <w:sz w:val="23"/>
        </w:rPr>
      </w:pPr>
    </w:p>
    <w:p>
      <w:pPr>
        <w:spacing w:before="62"/>
        <w:ind w:left="631" w:right="0" w:firstLine="0"/>
        <w:jc w:val="left"/>
        <w:rPr>
          <w:sz w:val="28"/>
        </w:rPr>
      </w:pPr>
      <w:r>
        <w:rPr>
          <w:sz w:val="28"/>
        </w:rPr>
        <w:t xml:space="preserve">— </w:t>
      </w:r>
      <w:r>
        <w:rPr>
          <w:sz w:val="26"/>
        </w:rPr>
        <w:t xml:space="preserve">6 </w:t>
      </w:r>
      <w:r>
        <w:rPr>
          <w:sz w:val="28"/>
        </w:rPr>
        <w:t>—</w:t>
      </w:r>
    </w:p>
    <w:p>
      <w:pPr>
        <w:spacing w:after="0"/>
        <w:jc w:val="left"/>
        <w:rPr>
          <w:sz w:val="28"/>
        </w:rPr>
        <w:sectPr>
          <w:pgSz w:w="11910" w:h="16840"/>
          <w:pgMar w:top="1580" w:right="879" w:bottom="280" w:left="900" w:header="720" w:footer="720" w:gutter="0"/>
          <w:pgNumType w:start="7"/>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4"/>
        <w:gridCol w:w="797"/>
        <w:gridCol w:w="89"/>
        <w:gridCol w:w="368"/>
        <w:gridCol w:w="601"/>
        <w:gridCol w:w="3741"/>
        <w:gridCol w:w="1032"/>
        <w:gridCol w:w="976"/>
        <w:gridCol w:w="110"/>
        <w:gridCol w:w="788"/>
        <w:gridCol w:w="115"/>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12"/>
        </w:trPr>
        <w:tc>
          <w:tcPr>
            <w:tcW w:w="594"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bottom w:val="nil"/>
              <w:right w:val="single" w:sz="4" w:space="0" w:color="000000"/>
            </w:tcBorders>
          </w:tcPr>
          <w:p>
            <w:pPr>
              <w:pStyle w:val="TableParagraph"/>
              <w:rPr>
                <w:rFonts w:ascii="Times New Roman"/>
                <w:sz w:val="20"/>
              </w:rPr>
            </w:pPr>
          </w:p>
        </w:tc>
        <w:tc>
          <w:tcPr>
            <w:tcW w:w="886"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tc>
        <w:tc>
          <w:tcPr>
            <w:tcW w:w="969"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tc>
        <w:tc>
          <w:tcPr>
            <w:tcW w:w="3741" w:type="dxa"/>
            <w:tcBorders>
              <w:left w:val="single" w:sz="4" w:space="0" w:color="000000"/>
              <w:bottom w:val="single" w:sz="4" w:space="0" w:color="000000"/>
              <w:right w:val="single" w:sz="4" w:space="0" w:color="000000"/>
            </w:tcBorders>
          </w:tcPr>
          <w:p>
            <w:pPr>
              <w:pStyle w:val="TableParagraph"/>
              <w:spacing w:before="1" w:line="270" w:lineRule="atLeast"/>
              <w:ind w:left="108" w:right="97"/>
              <w:jc w:val="both"/>
              <w:rPr>
                <w:sz w:val="21"/>
              </w:rPr>
            </w:pPr>
            <w:r>
              <w:rPr>
                <w:spacing w:val="-8"/>
                <w:sz w:val="21"/>
              </w:rPr>
              <w:t>水审查，严格建设项目水资源论证审查把关；积极开展再生水利用，提高再生</w:t>
            </w:r>
            <w:r>
              <w:rPr>
                <w:sz w:val="21"/>
              </w:rPr>
              <w:t>水利用率。</w:t>
            </w:r>
          </w:p>
        </w:tc>
        <w:tc>
          <w:tcPr>
            <w:tcW w:w="2008"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tc>
        <w:tc>
          <w:tcPr>
            <w:tcW w:w="898"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tc>
        <w:tc>
          <w:tcPr>
            <w:tcW w:w="115" w:type="dxa"/>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624"/>
        </w:trPr>
        <w:tc>
          <w:tcPr>
            <w:tcW w:w="594"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886"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7" w:line="242" w:lineRule="auto"/>
              <w:ind w:left="131" w:right="113"/>
              <w:jc w:val="both"/>
              <w:rPr>
                <w:sz w:val="21"/>
              </w:rPr>
            </w:pPr>
            <w:r>
              <w:rPr>
                <w:sz w:val="21"/>
              </w:rPr>
              <w:t>地下水资源管控分区</w:t>
            </w:r>
          </w:p>
        </w:tc>
        <w:tc>
          <w:tcPr>
            <w:tcW w:w="969"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09" w:right="95" w:firstLine="60"/>
              <w:jc w:val="both"/>
              <w:rPr>
                <w:sz w:val="21"/>
              </w:rPr>
            </w:pPr>
            <w:r>
              <w:rPr>
                <w:sz w:val="21"/>
              </w:rPr>
              <w:t>深层承压水禁</w:t>
            </w:r>
            <w:r>
              <w:rPr>
                <w:spacing w:val="-26"/>
                <w:sz w:val="21"/>
              </w:rPr>
              <w:t>采区、浅</w:t>
            </w:r>
            <w:r>
              <w:rPr>
                <w:sz w:val="21"/>
              </w:rPr>
              <w:t>层地下水部分</w:t>
            </w:r>
          </w:p>
          <w:p>
            <w:pPr>
              <w:pStyle w:val="TableParagraph"/>
              <w:spacing w:line="247" w:lineRule="exact"/>
              <w:ind w:left="275"/>
              <w:rPr>
                <w:sz w:val="21"/>
              </w:rPr>
            </w:pPr>
            <w:r>
              <w:rPr>
                <w:sz w:val="21"/>
              </w:rPr>
              <w:t>限采</w:t>
            </w:r>
          </w:p>
        </w:tc>
        <w:tc>
          <w:tcPr>
            <w:tcW w:w="3741" w:type="dxa"/>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108" w:right="53" w:firstLine="81"/>
              <w:rPr>
                <w:sz w:val="21"/>
              </w:rPr>
            </w:pPr>
            <w:r>
              <w:rPr>
                <w:sz w:val="21"/>
              </w:rPr>
              <w:t>严格按照省水利厅划分的德州市地下</w:t>
            </w:r>
            <w:r>
              <w:rPr>
                <w:spacing w:val="-7"/>
                <w:sz w:val="21"/>
              </w:rPr>
              <w:t xml:space="preserve">水超采区情况，对我市的超采区进行治理。德州市全市属于深层承压水禁采 </w:t>
            </w:r>
            <w:r>
              <w:rPr>
                <w:spacing w:val="-8"/>
                <w:sz w:val="21"/>
              </w:rPr>
              <w:t>区，武城县、夏津县、乐陵市、宁津县</w:t>
            </w:r>
            <w:r>
              <w:rPr>
                <w:spacing w:val="-9"/>
                <w:sz w:val="21"/>
              </w:rPr>
              <w:t>部分地区同时属于浅层地下水限采区。</w:t>
            </w:r>
          </w:p>
        </w:tc>
        <w:tc>
          <w:tcPr>
            <w:tcW w:w="2008"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2"/>
              <w:ind w:left="108"/>
              <w:rPr>
                <w:sz w:val="21"/>
              </w:rPr>
            </w:pPr>
            <w:r>
              <w:rPr>
                <w:sz w:val="21"/>
              </w:rPr>
              <w:t>项目不使用地下水。</w:t>
            </w:r>
          </w:p>
        </w:tc>
        <w:tc>
          <w:tcPr>
            <w:tcW w:w="898"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2"/>
              <w:ind w:left="234"/>
              <w:rPr>
                <w:sz w:val="21"/>
              </w:rPr>
            </w:pPr>
            <w:r>
              <w:rPr>
                <w:sz w:val="21"/>
              </w:rPr>
              <w:t>符合</w:t>
            </w:r>
          </w:p>
        </w:tc>
        <w:tc>
          <w:tcPr>
            <w:tcW w:w="115"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806"/>
        </w:trPr>
        <w:tc>
          <w:tcPr>
            <w:tcW w:w="594"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886"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31" w:right="113"/>
              <w:jc w:val="center"/>
              <w:rPr>
                <w:sz w:val="21"/>
              </w:rPr>
            </w:pPr>
            <w:r>
              <w:rPr>
                <w:spacing w:val="-6"/>
                <w:sz w:val="21"/>
              </w:rPr>
              <w:t>土地资</w:t>
            </w:r>
            <w:r>
              <w:rPr>
                <w:spacing w:val="-6"/>
                <w:w w:val="95"/>
                <w:sz w:val="21"/>
              </w:rPr>
              <w:t>源利用</w:t>
            </w:r>
          </w:p>
          <w:p>
            <w:pPr>
              <w:pStyle w:val="TableParagraph"/>
              <w:spacing w:line="246" w:lineRule="exact"/>
              <w:ind w:left="129" w:right="113"/>
              <w:jc w:val="center"/>
              <w:rPr>
                <w:sz w:val="21"/>
              </w:rPr>
            </w:pPr>
            <w:r>
              <w:rPr>
                <w:spacing w:val="-1"/>
                <w:w w:val="95"/>
                <w:sz w:val="21"/>
              </w:rPr>
              <w:t>上线</w:t>
            </w:r>
          </w:p>
        </w:tc>
        <w:tc>
          <w:tcPr>
            <w:tcW w:w="96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
              <w:rPr>
                <w:sz w:val="21"/>
              </w:rPr>
            </w:pPr>
          </w:p>
          <w:p>
            <w:pPr>
              <w:pStyle w:val="TableParagraph"/>
              <w:spacing w:before="1"/>
              <w:ind w:left="275"/>
              <w:rPr>
                <w:rFonts w:ascii="Times New Roman" w:hAnsi="Times New Roman"/>
                <w:sz w:val="21"/>
              </w:rPr>
            </w:pPr>
            <w:r>
              <w:rPr>
                <w:rFonts w:ascii="Times New Roman" w:hAnsi="Times New Roman"/>
                <w:sz w:val="21"/>
              </w:rPr>
              <w:t>——</w:t>
            </w:r>
          </w:p>
        </w:tc>
        <w:tc>
          <w:tcPr>
            <w:tcW w:w="374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08" w:right="97" w:hanging="3"/>
              <w:jc w:val="center"/>
              <w:rPr>
                <w:sz w:val="21"/>
              </w:rPr>
            </w:pPr>
            <w:r>
              <w:rPr>
                <w:sz w:val="21"/>
              </w:rPr>
              <w:t>德州市土地资源具体要求按照发布后</w:t>
            </w:r>
            <w:r>
              <w:rPr>
                <w:w w:val="95"/>
                <w:sz w:val="21"/>
              </w:rPr>
              <w:t>的《德州市国土空间总体规划》相应要</w:t>
            </w:r>
          </w:p>
          <w:p>
            <w:pPr>
              <w:pStyle w:val="TableParagraph"/>
              <w:spacing w:line="246" w:lineRule="exact"/>
              <w:ind w:left="1428" w:right="1423"/>
              <w:jc w:val="center"/>
              <w:rPr>
                <w:sz w:val="21"/>
              </w:rPr>
            </w:pPr>
            <w:r>
              <w:rPr>
                <w:sz w:val="21"/>
              </w:rPr>
              <w:t>求执行。</w:t>
            </w:r>
          </w:p>
        </w:tc>
        <w:tc>
          <w:tcPr>
            <w:tcW w:w="2008"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08" w:right="99" w:hanging="3"/>
              <w:jc w:val="center"/>
              <w:rPr>
                <w:sz w:val="21"/>
              </w:rPr>
            </w:pPr>
            <w:r>
              <w:rPr>
                <w:sz w:val="21"/>
              </w:rPr>
              <w:t>本项目租赁现有生</w:t>
            </w:r>
            <w:r>
              <w:rPr>
                <w:spacing w:val="-13"/>
                <w:w w:val="95"/>
                <w:sz w:val="21"/>
              </w:rPr>
              <w:t>产车间进行建设，不</w:t>
            </w:r>
          </w:p>
          <w:p>
            <w:pPr>
              <w:pStyle w:val="TableParagraph"/>
              <w:spacing w:line="246" w:lineRule="exact"/>
              <w:ind w:left="246" w:right="241"/>
              <w:jc w:val="center"/>
              <w:rPr>
                <w:sz w:val="21"/>
              </w:rPr>
            </w:pPr>
            <w:r>
              <w:rPr>
                <w:sz w:val="21"/>
              </w:rPr>
              <w:t>新增建设用地。</w:t>
            </w:r>
          </w:p>
        </w:tc>
        <w:tc>
          <w:tcPr>
            <w:tcW w:w="89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0"/>
              <w:rPr>
                <w:sz w:val="20"/>
              </w:rPr>
            </w:pPr>
          </w:p>
          <w:p>
            <w:pPr>
              <w:pStyle w:val="TableParagraph"/>
              <w:ind w:left="234"/>
              <w:rPr>
                <w:sz w:val="21"/>
              </w:rPr>
            </w:pPr>
            <w:r>
              <w:rPr>
                <w:sz w:val="21"/>
              </w:rPr>
              <w:t>符合</w:t>
            </w:r>
          </w:p>
        </w:tc>
        <w:tc>
          <w:tcPr>
            <w:tcW w:w="115"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032"/>
        </w:trPr>
        <w:tc>
          <w:tcPr>
            <w:tcW w:w="594" w:type="dxa"/>
            <w:vMerge/>
            <w:tcBorders>
              <w:top w:val="nil"/>
              <w:right w:val="single" w:sz="4" w:space="0" w:color="000000"/>
            </w:tcBorders>
          </w:tcPr>
          <w:p>
            <w:pPr>
              <w:rPr>
                <w:sz w:val="2"/>
                <w:szCs w:val="2"/>
              </w:rPr>
            </w:pPr>
          </w:p>
        </w:tc>
        <w:tc>
          <w:tcPr>
            <w:tcW w:w="8731" w:type="dxa"/>
            <w:gridSpan w:val="11"/>
            <w:tcBorders>
              <w:top w:val="single" w:sz="4" w:space="0" w:color="000000"/>
              <w:left w:val="single" w:sz="4" w:space="0" w:color="000000"/>
              <w:bottom w:val="single" w:sz="4" w:space="0" w:color="000000"/>
            </w:tcBorders>
          </w:tcPr>
          <w:p>
            <w:pPr>
              <w:pStyle w:val="TableParagraph"/>
              <w:spacing w:before="118"/>
              <w:ind w:left="531"/>
              <w:rPr>
                <w:b/>
                <w:sz w:val="24"/>
              </w:rPr>
            </w:pPr>
            <w:r>
              <w:rPr>
                <w:rFonts w:ascii="Times New Roman" w:eastAsia="Times New Roman"/>
                <w:b/>
                <w:sz w:val="24"/>
              </w:rPr>
              <w:t>4</w:t>
            </w:r>
            <w:r>
              <w:rPr>
                <w:b/>
                <w:sz w:val="24"/>
              </w:rPr>
              <w:t>、生态环境准入清单</w:t>
            </w:r>
          </w:p>
          <w:p>
            <w:pPr>
              <w:pStyle w:val="TableParagraph"/>
              <w:tabs>
                <w:tab w:val="left" w:pos="849"/>
              </w:tabs>
              <w:spacing w:before="230"/>
              <w:ind w:left="9"/>
              <w:jc w:val="center"/>
              <w:rPr>
                <w:b/>
                <w:sz w:val="24"/>
              </w:rPr>
            </w:pPr>
            <w:r>
              <w:rPr>
                <w:b/>
                <w:sz w:val="24"/>
              </w:rPr>
              <w:t>表</w:t>
            </w:r>
            <w:r>
              <w:rPr>
                <w:b/>
                <w:spacing w:val="-62"/>
                <w:sz w:val="24"/>
              </w:rPr>
              <w:t xml:space="preserve"> </w:t>
            </w:r>
            <w:r>
              <w:rPr>
                <w:rFonts w:ascii="Times New Roman" w:eastAsia="Times New Roman"/>
                <w:b/>
                <w:sz w:val="24"/>
              </w:rPr>
              <w:t>5.</w:t>
            </w:r>
            <w:r>
              <w:rPr>
                <w:rFonts w:ascii="Times New Roman" w:eastAsia="Times New Roman"/>
                <w:b/>
                <w:sz w:val="24"/>
              </w:rPr>
              <w:tab/>
            </w:r>
            <w:r>
              <w:rPr>
                <w:b/>
                <w:sz w:val="24"/>
              </w:rPr>
              <w:t>德州市生态环境准入清单（总则）</w:t>
            </w:r>
          </w:p>
        </w:tc>
      </w:tr>
      <w:tr>
        <w:tblPrEx>
          <w:tblW w:w="0" w:type="auto"/>
          <w:tblInd w:w="406" w:type="dxa"/>
          <w:tblLayout w:type="fixed"/>
          <w:tblCellMar>
            <w:top w:w="0" w:type="dxa"/>
            <w:left w:w="0" w:type="dxa"/>
            <w:bottom w:w="0" w:type="dxa"/>
            <w:right w:w="0" w:type="dxa"/>
          </w:tblCellMar>
        </w:tblPrEx>
        <w:trPr>
          <w:trHeight w:val="643"/>
        </w:trPr>
        <w:tc>
          <w:tcPr>
            <w:tcW w:w="594" w:type="dxa"/>
            <w:vMerge/>
            <w:tcBorders>
              <w:top w:val="nil"/>
              <w:right w:val="single" w:sz="4" w:space="0" w:color="000000"/>
            </w:tcBorders>
          </w:tcPr>
          <w:p>
            <w:pPr>
              <w:rPr>
                <w:sz w:val="2"/>
                <w:szCs w:val="2"/>
              </w:rPr>
            </w:pPr>
          </w:p>
        </w:tc>
        <w:tc>
          <w:tcPr>
            <w:tcW w:w="114" w:type="dxa"/>
            <w:vMerge w:val="restart"/>
            <w:tcBorders>
              <w:top w:val="nil"/>
              <w:left w:val="single" w:sz="4" w:space="0" w:color="000000"/>
              <w:right w:val="single" w:sz="4" w:space="0" w:color="000000"/>
            </w:tcBorders>
          </w:tcPr>
          <w:p>
            <w:pPr>
              <w:pStyle w:val="TableParagraph"/>
              <w:rPr>
                <w:rFonts w:ascii="Times New Roman"/>
                <w:sz w:val="20"/>
              </w:rPr>
            </w:pPr>
          </w:p>
        </w:tc>
        <w:tc>
          <w:tcPr>
            <w:tcW w:w="797"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89"/>
              <w:rPr>
                <w:b/>
                <w:sz w:val="21"/>
              </w:rPr>
            </w:pPr>
            <w:r>
              <w:rPr>
                <w:b/>
                <w:w w:val="95"/>
                <w:sz w:val="21"/>
              </w:rPr>
              <w:t>管控</w:t>
            </w:r>
          </w:p>
          <w:p>
            <w:pPr>
              <w:pStyle w:val="TableParagraph"/>
              <w:spacing w:before="57"/>
              <w:ind w:left="189"/>
              <w:rPr>
                <w:b/>
                <w:sz w:val="21"/>
              </w:rPr>
            </w:pPr>
            <w:r>
              <w:rPr>
                <w:b/>
                <w:w w:val="95"/>
                <w:sz w:val="21"/>
              </w:rPr>
              <w:t>类别</w:t>
            </w:r>
          </w:p>
        </w:tc>
        <w:tc>
          <w:tcPr>
            <w:tcW w:w="5831" w:type="dxa"/>
            <w:gridSpan w:val="5"/>
            <w:tcBorders>
              <w:top w:val="single" w:sz="4" w:space="0" w:color="000000"/>
              <w:left w:val="single" w:sz="4" w:space="0" w:color="000000"/>
              <w:bottom w:val="single" w:sz="4" w:space="0" w:color="000000"/>
              <w:right w:val="single" w:sz="4" w:space="0" w:color="000000"/>
            </w:tcBorders>
          </w:tcPr>
          <w:p>
            <w:pPr>
              <w:pStyle w:val="TableParagraph"/>
              <w:spacing w:before="159"/>
              <w:ind w:left="2474" w:right="2462"/>
              <w:jc w:val="center"/>
              <w:rPr>
                <w:b/>
                <w:sz w:val="21"/>
              </w:rPr>
            </w:pPr>
            <w:r>
              <w:rPr>
                <w:b/>
                <w:sz w:val="21"/>
              </w:rPr>
              <w:t>管控要求</w:t>
            </w:r>
          </w:p>
        </w:tc>
        <w:tc>
          <w:tcPr>
            <w:tcW w:w="1086"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97" w:right="95"/>
              <w:jc w:val="center"/>
              <w:rPr>
                <w:b/>
                <w:sz w:val="21"/>
              </w:rPr>
            </w:pPr>
            <w:r>
              <w:rPr>
                <w:b/>
                <w:sz w:val="21"/>
              </w:rPr>
              <w:t>本项目情</w:t>
            </w:r>
          </w:p>
          <w:p>
            <w:pPr>
              <w:pStyle w:val="TableParagraph"/>
              <w:spacing w:before="57"/>
              <w:ind w:left="3"/>
              <w:jc w:val="center"/>
              <w:rPr>
                <w:b/>
                <w:sz w:val="21"/>
              </w:rPr>
            </w:pPr>
            <w:r>
              <w:rPr>
                <w:b/>
                <w:w w:val="99"/>
                <w:sz w:val="21"/>
              </w:rPr>
              <w:t>况</w:t>
            </w:r>
          </w:p>
        </w:tc>
        <w:tc>
          <w:tcPr>
            <w:tcW w:w="788"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58" w:right="158"/>
              <w:jc w:val="center"/>
              <w:rPr>
                <w:b/>
                <w:sz w:val="21"/>
              </w:rPr>
            </w:pPr>
            <w:r>
              <w:rPr>
                <w:b/>
                <w:sz w:val="21"/>
              </w:rPr>
              <w:t>符合</w:t>
            </w:r>
          </w:p>
          <w:p>
            <w:pPr>
              <w:pStyle w:val="TableParagraph"/>
              <w:spacing w:before="57"/>
              <w:jc w:val="center"/>
              <w:rPr>
                <w:b/>
                <w:sz w:val="21"/>
              </w:rPr>
            </w:pPr>
            <w:r>
              <w:rPr>
                <w:b/>
                <w:w w:val="99"/>
                <w:sz w:val="21"/>
              </w:rPr>
              <w:t>性</w:t>
            </w:r>
          </w:p>
        </w:tc>
        <w:tc>
          <w:tcPr>
            <w:tcW w:w="115"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7175"/>
        </w:trPr>
        <w:tc>
          <w:tcPr>
            <w:tcW w:w="594"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97"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6"/>
              <w:rPr>
                <w:sz w:val="20"/>
              </w:rPr>
            </w:pPr>
          </w:p>
          <w:p>
            <w:pPr>
              <w:pStyle w:val="TableParagraph"/>
              <w:spacing w:before="1" w:line="290" w:lineRule="auto"/>
              <w:ind w:left="191" w:right="175"/>
              <w:jc w:val="both"/>
              <w:rPr>
                <w:sz w:val="21"/>
              </w:rPr>
            </w:pPr>
            <w:r>
              <w:rPr>
                <w:sz w:val="21"/>
              </w:rPr>
              <w:t>空间布局约束</w:t>
            </w:r>
          </w:p>
        </w:tc>
        <w:tc>
          <w:tcPr>
            <w:tcW w:w="457"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19"/>
              </w:rPr>
            </w:pPr>
          </w:p>
          <w:p>
            <w:pPr>
              <w:pStyle w:val="TableParagraph"/>
              <w:spacing w:line="290" w:lineRule="auto"/>
              <w:ind w:left="124" w:right="111"/>
              <w:jc w:val="both"/>
              <w:rPr>
                <w:sz w:val="21"/>
              </w:rPr>
            </w:pPr>
            <w:r>
              <w:rPr>
                <w:sz w:val="21"/>
              </w:rPr>
              <w:t>禁止开发建设活动的要求</w:t>
            </w:r>
          </w:p>
        </w:tc>
        <w:tc>
          <w:tcPr>
            <w:tcW w:w="5374" w:type="dxa"/>
            <w:gridSpan w:val="3"/>
            <w:tcBorders>
              <w:top w:val="single" w:sz="4" w:space="0" w:color="000000"/>
              <w:left w:val="single" w:sz="4" w:space="0" w:color="000000"/>
              <w:bottom w:val="single" w:sz="4" w:space="0" w:color="000000"/>
              <w:right w:val="single" w:sz="4" w:space="0" w:color="000000"/>
            </w:tcBorders>
          </w:tcPr>
          <w:p>
            <w:pPr>
              <w:pStyle w:val="TableParagraph"/>
              <w:spacing w:line="290" w:lineRule="auto"/>
              <w:ind w:left="109" w:right="109"/>
              <w:rPr>
                <w:sz w:val="21"/>
              </w:rPr>
            </w:pPr>
            <w:r>
              <w:rPr>
                <w:rFonts w:ascii="Times New Roman" w:eastAsia="Times New Roman"/>
                <w:w w:val="95"/>
                <w:sz w:val="21"/>
              </w:rPr>
              <w:t>1</w:t>
            </w:r>
            <w:r>
              <w:rPr>
                <w:w w:val="95"/>
                <w:sz w:val="21"/>
              </w:rPr>
              <w:t xml:space="preserve">、禁止新建国家《产业结构调整指导目录》规定的限制 </w:t>
            </w:r>
            <w:r>
              <w:rPr>
                <w:sz w:val="21"/>
              </w:rPr>
              <w:t>类和淘汰类工艺、技术、装备及产品的生产项目。</w:t>
            </w:r>
          </w:p>
          <w:p>
            <w:pPr>
              <w:pStyle w:val="TableParagraph"/>
              <w:ind w:left="109"/>
              <w:rPr>
                <w:sz w:val="21"/>
              </w:rPr>
            </w:pPr>
            <w:r>
              <w:rPr>
                <w:rFonts w:ascii="Times New Roman" w:eastAsia="Times New Roman"/>
                <w:sz w:val="21"/>
              </w:rPr>
              <w:t>2</w:t>
            </w:r>
            <w:r>
              <w:rPr>
                <w:sz w:val="21"/>
              </w:rPr>
              <w:t>、禁止新建光气生产项目（不含延长产业链项目）。</w:t>
            </w:r>
          </w:p>
          <w:p>
            <w:pPr>
              <w:pStyle w:val="TableParagraph"/>
              <w:spacing w:before="56"/>
              <w:ind w:left="109"/>
              <w:rPr>
                <w:sz w:val="21"/>
              </w:rPr>
            </w:pPr>
            <w:r>
              <w:rPr>
                <w:rFonts w:ascii="Times New Roman" w:eastAsia="Times New Roman"/>
                <w:sz w:val="21"/>
              </w:rPr>
              <w:t>3</w:t>
            </w:r>
            <w:r>
              <w:rPr>
                <w:sz w:val="21"/>
              </w:rPr>
              <w:t>、禁止新建有色金属冶炼项目（不含压延加工）。</w:t>
            </w:r>
          </w:p>
          <w:p>
            <w:pPr>
              <w:pStyle w:val="TableParagraph"/>
              <w:spacing w:before="57"/>
              <w:ind w:left="109"/>
              <w:rPr>
                <w:sz w:val="21"/>
              </w:rPr>
            </w:pPr>
            <w:r>
              <w:rPr>
                <w:rFonts w:ascii="Times New Roman" w:eastAsia="Times New Roman"/>
                <w:sz w:val="21"/>
              </w:rPr>
              <w:t>4</w:t>
            </w:r>
            <w:r>
              <w:rPr>
                <w:sz w:val="21"/>
              </w:rPr>
              <w:t>、禁止新建再生铅项目。</w:t>
            </w:r>
          </w:p>
          <w:p>
            <w:pPr>
              <w:pStyle w:val="TableParagraph"/>
              <w:spacing w:before="57"/>
              <w:ind w:left="109"/>
              <w:rPr>
                <w:sz w:val="21"/>
              </w:rPr>
            </w:pPr>
            <w:r>
              <w:rPr>
                <w:rFonts w:ascii="Times New Roman" w:eastAsia="Times New Roman"/>
                <w:sz w:val="21"/>
              </w:rPr>
              <w:t>5</w:t>
            </w:r>
            <w:r>
              <w:rPr>
                <w:sz w:val="21"/>
              </w:rPr>
              <w:t>、禁止新建石棉制品项目。</w:t>
            </w:r>
          </w:p>
          <w:p>
            <w:pPr>
              <w:pStyle w:val="TableParagraph"/>
              <w:spacing w:before="58" w:line="290" w:lineRule="auto"/>
              <w:ind w:left="109" w:right="109"/>
              <w:rPr>
                <w:sz w:val="21"/>
              </w:rPr>
            </w:pPr>
            <w:r>
              <w:rPr>
                <w:rFonts w:ascii="Times New Roman" w:eastAsia="Times New Roman"/>
                <w:w w:val="95"/>
                <w:sz w:val="21"/>
              </w:rPr>
              <w:t>6</w:t>
            </w:r>
            <w:r>
              <w:rPr>
                <w:w w:val="95"/>
                <w:sz w:val="21"/>
              </w:rPr>
              <w:t xml:space="preserve">、禁止开采深层地下水的取水项目（饮用水按照相关要 </w:t>
            </w:r>
            <w:r>
              <w:rPr>
                <w:sz w:val="21"/>
              </w:rPr>
              <w:t>求执行）。</w:t>
            </w:r>
          </w:p>
          <w:p>
            <w:pPr>
              <w:pStyle w:val="TableParagraph"/>
              <w:spacing w:before="1"/>
              <w:ind w:left="109"/>
              <w:rPr>
                <w:sz w:val="21"/>
              </w:rPr>
            </w:pPr>
            <w:r>
              <w:rPr>
                <w:rFonts w:ascii="Times New Roman" w:eastAsia="Times New Roman"/>
                <w:sz w:val="21"/>
              </w:rPr>
              <w:t>7</w:t>
            </w:r>
            <w:r>
              <w:rPr>
                <w:sz w:val="21"/>
              </w:rPr>
              <w:t>、禁止新建石灰窑、粘土砖瓦窑项目。</w:t>
            </w:r>
          </w:p>
          <w:p>
            <w:pPr>
              <w:pStyle w:val="TableParagraph"/>
              <w:spacing w:before="60" w:line="290" w:lineRule="auto"/>
              <w:ind w:left="109" w:right="97"/>
              <w:jc w:val="both"/>
              <w:rPr>
                <w:sz w:val="21"/>
              </w:rPr>
            </w:pPr>
            <w:r>
              <w:rPr>
                <w:rFonts w:ascii="Times New Roman" w:eastAsia="Times New Roman"/>
                <w:sz w:val="21"/>
              </w:rPr>
              <w:t>8</w:t>
            </w:r>
            <w:r>
              <w:rPr>
                <w:sz w:val="21"/>
              </w:rPr>
              <w:t xml:space="preserve">、禁止钢铁、平板玻璃、水泥（含熟料生产和粉磨站， </w:t>
            </w:r>
            <w:r>
              <w:rPr>
                <w:w w:val="95"/>
                <w:sz w:val="21"/>
              </w:rPr>
              <w:t>资源综合利用除外</w:t>
            </w:r>
            <w:r>
              <w:rPr>
                <w:spacing w:val="-17"/>
                <w:w w:val="95"/>
                <w:sz w:val="21"/>
              </w:rPr>
              <w:t>）</w:t>
            </w:r>
            <w:r>
              <w:rPr>
                <w:spacing w:val="-8"/>
                <w:w w:val="95"/>
                <w:sz w:val="21"/>
              </w:rPr>
              <w:t>、铸造、生活垃圾填埋</w:t>
            </w:r>
            <w:r>
              <w:rPr>
                <w:w w:val="95"/>
                <w:sz w:val="21"/>
              </w:rPr>
              <w:t>（含扩建</w:t>
            </w:r>
            <w:r>
              <w:rPr>
                <w:spacing w:val="-17"/>
                <w:w w:val="95"/>
                <w:sz w:val="21"/>
              </w:rPr>
              <w:t>）</w:t>
            </w:r>
            <w:r>
              <w:rPr>
                <w:w w:val="95"/>
                <w:sz w:val="21"/>
              </w:rPr>
              <w:t xml:space="preserve">等 </w:t>
            </w:r>
            <w:r>
              <w:rPr>
                <w:spacing w:val="-12"/>
                <w:w w:val="95"/>
                <w:sz w:val="21"/>
              </w:rPr>
              <w:t>行业新增产能项目</w:t>
            </w:r>
            <w:r>
              <w:rPr>
                <w:w w:val="95"/>
                <w:sz w:val="21"/>
              </w:rPr>
              <w:t xml:space="preserve">（生活垃圾焚烧处置产生的飞灰填埋场 </w:t>
            </w:r>
            <w:r>
              <w:rPr>
                <w:sz w:val="21"/>
              </w:rPr>
              <w:t>除外，但应符合相应规划）。</w:t>
            </w:r>
          </w:p>
          <w:p>
            <w:pPr>
              <w:pStyle w:val="TableParagraph"/>
              <w:spacing w:before="3" w:line="292" w:lineRule="auto"/>
              <w:ind w:left="109" w:right="100"/>
              <w:jc w:val="both"/>
              <w:rPr>
                <w:sz w:val="21"/>
              </w:rPr>
            </w:pPr>
            <w:r>
              <w:rPr>
                <w:rFonts w:ascii="Times New Roman" w:eastAsia="Times New Roman"/>
                <w:sz w:val="21"/>
              </w:rPr>
              <w:t>9</w:t>
            </w:r>
            <w:r>
              <w:rPr>
                <w:sz w:val="21"/>
              </w:rPr>
              <w:t>、禁止新建、改建（新增设备和产能）及扩建不符合国</w:t>
            </w:r>
            <w:r>
              <w:rPr>
                <w:spacing w:val="-8"/>
                <w:w w:val="95"/>
                <w:sz w:val="21"/>
              </w:rPr>
              <w:t xml:space="preserve">家和省有关危险化学品生产、储存的行业规划和布局的生 </w:t>
            </w:r>
            <w:r>
              <w:rPr>
                <w:spacing w:val="-8"/>
                <w:sz w:val="21"/>
              </w:rPr>
              <w:t>产项目。</w:t>
            </w:r>
          </w:p>
          <w:p>
            <w:pPr>
              <w:pStyle w:val="TableParagraph"/>
              <w:spacing w:line="292" w:lineRule="auto"/>
              <w:ind w:left="109" w:right="97"/>
              <w:jc w:val="both"/>
              <w:rPr>
                <w:sz w:val="21"/>
              </w:rPr>
            </w:pPr>
            <w:r>
              <w:rPr>
                <w:rFonts w:ascii="Times New Roman" w:eastAsia="Times New Roman"/>
                <w:w w:val="95"/>
                <w:sz w:val="21"/>
              </w:rPr>
              <w:t>10</w:t>
            </w:r>
            <w:r>
              <w:rPr>
                <w:spacing w:val="-13"/>
                <w:w w:val="95"/>
                <w:sz w:val="21"/>
              </w:rPr>
              <w:t>、禁止新</w:t>
            </w:r>
            <w:r>
              <w:rPr>
                <w:w w:val="95"/>
                <w:sz w:val="21"/>
              </w:rPr>
              <w:t>（扩</w:t>
            </w:r>
            <w:r>
              <w:rPr>
                <w:spacing w:val="-25"/>
                <w:w w:val="95"/>
                <w:sz w:val="21"/>
              </w:rPr>
              <w:t>）</w:t>
            </w:r>
            <w:r>
              <w:rPr>
                <w:spacing w:val="-3"/>
                <w:w w:val="95"/>
                <w:sz w:val="21"/>
              </w:rPr>
              <w:t>建集中处置焚烧设施</w:t>
            </w:r>
            <w:r>
              <w:rPr>
                <w:w w:val="95"/>
                <w:sz w:val="21"/>
              </w:rPr>
              <w:t>（年危险废物产生 量大于</w:t>
            </w:r>
            <w:r>
              <w:rPr>
                <w:rFonts w:ascii="Times New Roman" w:eastAsia="Times New Roman"/>
                <w:w w:val="95"/>
                <w:sz w:val="21"/>
              </w:rPr>
              <w:t>5000</w:t>
            </w:r>
            <w:r>
              <w:rPr>
                <w:w w:val="95"/>
                <w:sz w:val="21"/>
              </w:rPr>
              <w:t>吨的企业自建配套焚烧设施除外</w:t>
            </w:r>
            <w:r>
              <w:rPr>
                <w:spacing w:val="-94"/>
                <w:w w:val="95"/>
                <w:sz w:val="21"/>
              </w:rPr>
              <w:t>）</w:t>
            </w:r>
            <w:r>
              <w:rPr>
                <w:w w:val="95"/>
                <w:sz w:val="21"/>
              </w:rPr>
              <w:t xml:space="preserve">和填埋场项 </w:t>
            </w:r>
            <w:r>
              <w:rPr>
                <w:spacing w:val="-11"/>
                <w:w w:val="95"/>
                <w:sz w:val="21"/>
              </w:rPr>
              <w:t xml:space="preserve">目；对于其他已建及在建的危险废物利用处置能力接近饱 </w:t>
            </w:r>
            <w:r>
              <w:rPr>
                <w:spacing w:val="-14"/>
                <w:w w:val="95"/>
                <w:sz w:val="21"/>
              </w:rPr>
              <w:t>和或过剩的危险废物类别，禁止新</w:t>
            </w:r>
            <w:r>
              <w:rPr>
                <w:w w:val="95"/>
                <w:sz w:val="21"/>
              </w:rPr>
              <w:t>（扩</w:t>
            </w:r>
            <w:r>
              <w:rPr>
                <w:spacing w:val="-29"/>
                <w:w w:val="95"/>
                <w:sz w:val="21"/>
              </w:rPr>
              <w:t>）</w:t>
            </w:r>
            <w:r>
              <w:rPr>
                <w:w w:val="95"/>
                <w:sz w:val="21"/>
              </w:rPr>
              <w:t xml:space="preserve">建该类别危险废 </w:t>
            </w:r>
            <w:r>
              <w:rPr>
                <w:sz w:val="21"/>
              </w:rPr>
              <w:t>物利用处置设施项目。</w:t>
            </w:r>
          </w:p>
          <w:p>
            <w:pPr>
              <w:pStyle w:val="TableParagraph"/>
              <w:spacing w:line="262" w:lineRule="exact"/>
              <w:ind w:left="109"/>
              <w:rPr>
                <w:sz w:val="21"/>
              </w:rPr>
            </w:pPr>
            <w:r>
              <w:rPr>
                <w:rFonts w:ascii="Times New Roman" w:eastAsia="Times New Roman"/>
                <w:sz w:val="21"/>
              </w:rPr>
              <w:t>11</w:t>
            </w:r>
            <w:r>
              <w:rPr>
                <w:sz w:val="21"/>
              </w:rPr>
              <w:t>、禁止新（扩）建废矿物油综合利用项目。</w:t>
            </w:r>
          </w:p>
        </w:tc>
        <w:tc>
          <w:tcPr>
            <w:tcW w:w="1086"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38" w:line="290" w:lineRule="auto"/>
              <w:ind w:left="120" w:right="115"/>
              <w:jc w:val="both"/>
              <w:rPr>
                <w:sz w:val="21"/>
              </w:rPr>
            </w:pPr>
            <w:r>
              <w:rPr>
                <w:sz w:val="21"/>
              </w:rPr>
              <w:t>本项目属于金属表面处理及热处理加工行业， 不属禁止行业。</w:t>
            </w:r>
          </w:p>
        </w:tc>
        <w:tc>
          <w:tcPr>
            <w:tcW w:w="788"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5"/>
              <w:rPr>
                <w:sz w:val="27"/>
              </w:rPr>
            </w:pPr>
          </w:p>
          <w:p>
            <w:pPr>
              <w:pStyle w:val="TableParagraph"/>
              <w:ind w:right="178"/>
              <w:jc w:val="right"/>
              <w:rPr>
                <w:sz w:val="21"/>
              </w:rPr>
            </w:pPr>
            <w:r>
              <w:rPr>
                <w:w w:val="95"/>
                <w:sz w:val="21"/>
              </w:rPr>
              <w:t>符合</w:t>
            </w:r>
          </w:p>
        </w:tc>
        <w:tc>
          <w:tcPr>
            <w:tcW w:w="115"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972"/>
        </w:trPr>
        <w:tc>
          <w:tcPr>
            <w:tcW w:w="594"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thickThinMediumGap" w:sz="4" w:space="0" w:color="000000"/>
              <w:right w:val="single" w:sz="4" w:space="0" w:color="000000"/>
            </w:tcBorders>
          </w:tcPr>
          <w:p>
            <w:pPr>
              <w:rPr>
                <w:sz w:val="2"/>
                <w:szCs w:val="2"/>
              </w:rPr>
            </w:pPr>
          </w:p>
        </w:tc>
        <w:tc>
          <w:tcPr>
            <w:tcW w:w="457"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58" w:lineRule="exact"/>
              <w:ind w:left="124"/>
              <w:rPr>
                <w:sz w:val="21"/>
              </w:rPr>
            </w:pPr>
            <w:r>
              <w:rPr>
                <w:w w:val="99"/>
                <w:sz w:val="21"/>
              </w:rPr>
              <w:t>限</w:t>
            </w:r>
          </w:p>
          <w:p>
            <w:pPr>
              <w:pStyle w:val="TableParagraph"/>
              <w:spacing w:before="6" w:line="320" w:lineRule="atLeast"/>
              <w:ind w:left="124" w:right="111"/>
              <w:rPr>
                <w:sz w:val="21"/>
              </w:rPr>
            </w:pPr>
            <w:r>
              <w:rPr>
                <w:sz w:val="21"/>
              </w:rPr>
              <w:t>制开</w:t>
            </w:r>
          </w:p>
        </w:tc>
        <w:tc>
          <w:tcPr>
            <w:tcW w:w="5374" w:type="dxa"/>
            <w:gridSpan w:val="3"/>
            <w:tcBorders>
              <w:top w:val="single" w:sz="4" w:space="0" w:color="000000"/>
              <w:left w:val="single" w:sz="4" w:space="0" w:color="000000"/>
              <w:bottom w:val="thickThinMediumGap" w:sz="4" w:space="0" w:color="000000"/>
              <w:right w:val="single" w:sz="4" w:space="0" w:color="000000"/>
            </w:tcBorders>
          </w:tcPr>
          <w:p>
            <w:pPr>
              <w:pStyle w:val="TableParagraph"/>
              <w:spacing w:line="258" w:lineRule="exact"/>
              <w:ind w:left="109"/>
              <w:rPr>
                <w:sz w:val="21"/>
              </w:rPr>
            </w:pPr>
            <w:r>
              <w:rPr>
                <w:sz w:val="21"/>
              </w:rPr>
              <w:t>敏感区域限制开发建设活动的要求：</w:t>
            </w:r>
          </w:p>
          <w:p>
            <w:pPr>
              <w:pStyle w:val="TableParagraph"/>
              <w:spacing w:before="6" w:line="320" w:lineRule="atLeast"/>
              <w:ind w:left="109" w:right="97"/>
              <w:rPr>
                <w:sz w:val="21"/>
              </w:rPr>
            </w:pPr>
            <w:r>
              <w:rPr>
                <w:rFonts w:ascii="Times New Roman" w:eastAsia="Times New Roman"/>
                <w:sz w:val="21"/>
              </w:rPr>
              <w:t>1</w:t>
            </w:r>
            <w:r>
              <w:rPr>
                <w:sz w:val="21"/>
              </w:rPr>
              <w:t>、集中式供水的饮用水地表水源地、地下水源地及为地</w:t>
            </w:r>
            <w:r>
              <w:rPr>
                <w:w w:val="95"/>
                <w:sz w:val="21"/>
              </w:rPr>
              <w:t>表水源地输水的引黄、引江河道范围内进行开发建设，执</w:t>
            </w:r>
          </w:p>
        </w:tc>
        <w:tc>
          <w:tcPr>
            <w:tcW w:w="1086"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58" w:lineRule="exact"/>
              <w:ind w:left="120"/>
              <w:rPr>
                <w:sz w:val="21"/>
              </w:rPr>
            </w:pPr>
            <w:r>
              <w:rPr>
                <w:w w:val="95"/>
                <w:sz w:val="21"/>
              </w:rPr>
              <w:t>项目位于</w:t>
            </w:r>
          </w:p>
          <w:p>
            <w:pPr>
              <w:pStyle w:val="TableParagraph"/>
              <w:spacing w:before="6" w:line="320" w:lineRule="atLeast"/>
              <w:ind w:left="120" w:right="115"/>
              <w:rPr>
                <w:sz w:val="21"/>
              </w:rPr>
            </w:pPr>
            <w:r>
              <w:rPr>
                <w:spacing w:val="-4"/>
                <w:sz w:val="21"/>
              </w:rPr>
              <w:t>宁津县三</w:t>
            </w:r>
            <w:r>
              <w:rPr>
                <w:spacing w:val="-4"/>
                <w:w w:val="95"/>
                <w:sz w:val="21"/>
              </w:rPr>
              <w:t>岭大街与</w:t>
            </w:r>
          </w:p>
        </w:tc>
        <w:tc>
          <w:tcPr>
            <w:tcW w:w="788" w:type="dxa"/>
            <w:tcBorders>
              <w:top w:val="single" w:sz="4" w:space="0" w:color="000000"/>
              <w:left w:val="single" w:sz="4" w:space="0" w:color="000000"/>
              <w:bottom w:val="thickThinMediumGap" w:sz="4" w:space="0" w:color="000000"/>
              <w:right w:val="single" w:sz="4" w:space="0" w:color="000000"/>
            </w:tcBorders>
          </w:tcPr>
          <w:p>
            <w:pPr>
              <w:pStyle w:val="TableParagraph"/>
              <w:spacing w:before="8"/>
              <w:rPr>
                <w:sz w:val="24"/>
              </w:rPr>
            </w:pPr>
          </w:p>
          <w:p>
            <w:pPr>
              <w:pStyle w:val="TableParagraph"/>
              <w:ind w:right="178"/>
              <w:jc w:val="right"/>
              <w:rPr>
                <w:sz w:val="21"/>
              </w:rPr>
            </w:pPr>
            <w:r>
              <w:rPr>
                <w:w w:val="95"/>
                <w:sz w:val="21"/>
              </w:rPr>
              <w:t>符合</w:t>
            </w:r>
          </w:p>
        </w:tc>
        <w:tc>
          <w:tcPr>
            <w:tcW w:w="115" w:type="dxa"/>
            <w:tcBorders>
              <w:top w:val="nil"/>
              <w:left w:val="single" w:sz="4" w:space="0" w:color="000000"/>
            </w:tcBorders>
          </w:tcPr>
          <w:p>
            <w:pPr>
              <w:pStyle w:val="TableParagraph"/>
              <w:rPr>
                <w:rFonts w:ascii="Times New Roman"/>
                <w:sz w:val="20"/>
              </w:rPr>
            </w:pPr>
          </w:p>
        </w:tc>
      </w:tr>
    </w:tbl>
    <w:p>
      <w:pPr>
        <w:pStyle w:val="BodyText"/>
        <w:rPr>
          <w:sz w:val="20"/>
        </w:rPr>
      </w:pPr>
    </w:p>
    <w:p>
      <w:pPr>
        <w:pStyle w:val="BodyText"/>
        <w:spacing w:before="1"/>
        <w:rPr>
          <w:sz w:val="23"/>
        </w:rPr>
      </w:pPr>
    </w:p>
    <w:p>
      <w:pPr>
        <w:spacing w:before="62"/>
        <w:ind w:left="0" w:right="649" w:firstLine="0"/>
        <w:jc w:val="right"/>
        <w:rPr>
          <w:sz w:val="28"/>
        </w:rPr>
      </w:pPr>
      <w:r>
        <w:rPr>
          <w:sz w:val="28"/>
        </w:rPr>
        <w:t xml:space="preserve">— </w:t>
      </w:r>
      <w:r>
        <w:rPr>
          <w:sz w:val="26"/>
        </w:rPr>
        <w:t xml:space="preserve">7 </w:t>
      </w:r>
      <w:r>
        <w:rPr>
          <w:sz w:val="28"/>
        </w:rPr>
        <w:t>—</w:t>
      </w:r>
    </w:p>
    <w:p>
      <w:pPr>
        <w:spacing w:after="0"/>
        <w:jc w:val="right"/>
        <w:rPr>
          <w:sz w:val="28"/>
        </w:rPr>
        <w:sectPr>
          <w:pgSz w:w="11910" w:h="16840"/>
          <w:pgMar w:top="1580" w:right="879" w:bottom="280" w:left="900" w:header="720" w:footer="720" w:gutter="0"/>
          <w:pgNumType w:start="8"/>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797"/>
        <w:gridCol w:w="455"/>
        <w:gridCol w:w="5371"/>
        <w:gridCol w:w="1084"/>
        <w:gridCol w:w="787"/>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075"/>
        </w:trPr>
        <w:tc>
          <w:tcPr>
            <w:tcW w:w="594" w:type="dxa"/>
            <w:tcBorders>
              <w:right w:val="single" w:sz="4" w:space="0" w:color="000000"/>
            </w:tcBorders>
          </w:tcPr>
          <w:p>
            <w:pPr>
              <w:pStyle w:val="TableParagraph"/>
              <w:rPr>
                <w:rFonts w:ascii="Times New Roman"/>
                <w:sz w:val="20"/>
              </w:rPr>
            </w:pPr>
          </w:p>
        </w:tc>
        <w:tc>
          <w:tcPr>
            <w:tcW w:w="113" w:type="dxa"/>
            <w:tcBorders>
              <w:left w:val="single" w:sz="4" w:space="0" w:color="000000"/>
              <w:right w:val="single" w:sz="4" w:space="0" w:color="000000"/>
            </w:tcBorders>
          </w:tcPr>
          <w:p>
            <w:pPr>
              <w:pStyle w:val="TableParagraph"/>
              <w:rPr>
                <w:rFonts w:ascii="Times New Roman"/>
                <w:sz w:val="20"/>
              </w:rPr>
            </w:pPr>
          </w:p>
        </w:tc>
        <w:tc>
          <w:tcPr>
            <w:tcW w:w="797" w:type="dxa"/>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455" w:type="dxa"/>
            <w:tcBorders>
              <w:left w:val="single" w:sz="4" w:space="0" w:color="000000"/>
              <w:bottom w:val="thickThinMediumGap" w:sz="4" w:space="0" w:color="000000"/>
              <w:right w:val="single" w:sz="4" w:space="0" w:color="000000"/>
            </w:tcBorders>
          </w:tcPr>
          <w:p>
            <w:pPr>
              <w:pStyle w:val="TableParagraph"/>
              <w:spacing w:before="2" w:line="290" w:lineRule="auto"/>
              <w:ind w:left="125" w:right="108"/>
              <w:jc w:val="both"/>
              <w:rPr>
                <w:sz w:val="21"/>
              </w:rPr>
            </w:pPr>
            <w:r>
              <w:rPr>
                <w:sz w:val="21"/>
              </w:rPr>
              <w:t>发建设活动的要求</w:t>
            </w:r>
          </w:p>
        </w:tc>
        <w:tc>
          <w:tcPr>
            <w:tcW w:w="5371" w:type="dxa"/>
            <w:tcBorders>
              <w:left w:val="single" w:sz="4" w:space="0" w:color="000000"/>
              <w:bottom w:val="thickThinMediumGap" w:sz="4" w:space="0" w:color="000000"/>
              <w:right w:val="single" w:sz="4" w:space="0" w:color="000000"/>
            </w:tcBorders>
          </w:tcPr>
          <w:p>
            <w:pPr>
              <w:pStyle w:val="TableParagraph"/>
              <w:spacing w:before="2" w:line="290" w:lineRule="auto"/>
              <w:ind w:left="111" w:right="-15"/>
              <w:rPr>
                <w:sz w:val="21"/>
              </w:rPr>
            </w:pPr>
            <w:r>
              <w:rPr>
                <w:spacing w:val="-10"/>
                <w:sz w:val="21"/>
              </w:rPr>
              <w:t>行《德州市饮用水水源保护区划分方案》《山东省灌区管</w:t>
            </w:r>
            <w:r>
              <w:rPr>
                <w:spacing w:val="-12"/>
                <w:sz w:val="21"/>
              </w:rPr>
              <w:t xml:space="preserve">理办法》中相关规定。其中，饮用水地表水源一级保护区禁止新建、扩建与供水设施和保护水源无关的建设项目； </w:t>
            </w:r>
            <w:r>
              <w:rPr>
                <w:spacing w:val="-15"/>
                <w:sz w:val="21"/>
              </w:rPr>
              <w:t>在饮用水水源二级保护区内，禁止新建、改建、扩建排放污染物的建设项目。</w:t>
            </w:r>
          </w:p>
          <w:p>
            <w:pPr>
              <w:pStyle w:val="TableParagraph"/>
              <w:spacing w:before="4" w:line="290" w:lineRule="auto"/>
              <w:ind w:left="111" w:right="91"/>
              <w:jc w:val="both"/>
              <w:rPr>
                <w:sz w:val="21"/>
              </w:rPr>
            </w:pPr>
            <w:r>
              <w:rPr>
                <w:rFonts w:ascii="Times New Roman" w:eastAsia="Times New Roman"/>
                <w:sz w:val="21"/>
              </w:rPr>
              <w:t>2</w:t>
            </w:r>
            <w:r>
              <w:rPr>
                <w:sz w:val="21"/>
              </w:rPr>
              <w:t xml:space="preserve">、南水北调工程管理范围和保护范围内进行开发建设， </w:t>
            </w:r>
            <w:r>
              <w:rPr>
                <w:spacing w:val="-11"/>
                <w:w w:val="95"/>
                <w:sz w:val="21"/>
              </w:rPr>
              <w:t xml:space="preserve">执行《山东省南水北调条例》《山东省南水北调工程沿线 </w:t>
            </w:r>
            <w:r>
              <w:rPr>
                <w:spacing w:val="-11"/>
                <w:sz w:val="21"/>
              </w:rPr>
              <w:t>区域水污染防治条例》相关规定。</w:t>
            </w:r>
          </w:p>
          <w:p>
            <w:pPr>
              <w:pStyle w:val="TableParagraph"/>
              <w:spacing w:before="5" w:line="290" w:lineRule="auto"/>
              <w:ind w:left="111" w:right="91"/>
              <w:jc w:val="both"/>
              <w:rPr>
                <w:sz w:val="21"/>
              </w:rPr>
            </w:pPr>
            <w:r>
              <w:rPr>
                <w:rFonts w:ascii="Times New Roman" w:eastAsia="Times New Roman"/>
                <w:sz w:val="21"/>
              </w:rPr>
              <w:t>3</w:t>
            </w:r>
            <w:r>
              <w:rPr>
                <w:sz w:val="21"/>
              </w:rPr>
              <w:t>、漳卫新河、马颊河、德惠新河、徒骇河干流禁止新设</w:t>
            </w:r>
            <w:r>
              <w:rPr>
                <w:spacing w:val="-10"/>
                <w:w w:val="95"/>
                <w:sz w:val="21"/>
              </w:rPr>
              <w:t xml:space="preserve">入河排污口，严格控制改设、扩建入河排污口，潘庄引黄 </w:t>
            </w:r>
            <w:r>
              <w:rPr>
                <w:spacing w:val="-11"/>
                <w:w w:val="95"/>
                <w:sz w:val="21"/>
              </w:rPr>
              <w:t xml:space="preserve">干渠、李家岸引黄干渠、引徒总干、七一河、六五河等引 黄、引江河道以及其他具有引黄、引江功能的河道均禁止 </w:t>
            </w:r>
            <w:r>
              <w:rPr>
                <w:spacing w:val="-13"/>
                <w:w w:val="95"/>
                <w:sz w:val="21"/>
              </w:rPr>
              <w:t xml:space="preserve">设置排污口，其他河流限制新设入河排污口，必须设置的 </w:t>
            </w:r>
            <w:r>
              <w:rPr>
                <w:spacing w:val="-16"/>
                <w:w w:val="95"/>
                <w:sz w:val="21"/>
              </w:rPr>
              <w:t xml:space="preserve">须经行政主管部门批准。加强对主要河流及岸线的管理和 </w:t>
            </w:r>
            <w:r>
              <w:rPr>
                <w:spacing w:val="-11"/>
                <w:w w:val="95"/>
                <w:sz w:val="21"/>
              </w:rPr>
              <w:t>保护，河道两侧管理和保护区范围内进行开发建设，执行</w:t>
            </w:r>
          </w:p>
          <w:p>
            <w:pPr>
              <w:pStyle w:val="TableParagraph"/>
              <w:spacing w:before="8" w:line="290" w:lineRule="auto"/>
              <w:ind w:left="111" w:right="91"/>
              <w:jc w:val="both"/>
              <w:rPr>
                <w:sz w:val="21"/>
              </w:rPr>
            </w:pPr>
            <w:r>
              <w:rPr>
                <w:spacing w:val="-7"/>
                <w:w w:val="95"/>
                <w:sz w:val="21"/>
              </w:rPr>
              <w:t xml:space="preserve">《德州市河道管理办法》中相关规定。其中，在河道管理 </w:t>
            </w:r>
            <w:r>
              <w:rPr>
                <w:spacing w:val="-12"/>
                <w:w w:val="95"/>
                <w:sz w:val="21"/>
              </w:rPr>
              <w:t xml:space="preserve">范围内进行建设活动须经主管部门批准同意，在保护范围 </w:t>
            </w:r>
            <w:r>
              <w:rPr>
                <w:spacing w:val="-12"/>
                <w:sz w:val="21"/>
              </w:rPr>
              <w:t>内进行建设活动须征求主管部门意见。</w:t>
            </w:r>
          </w:p>
          <w:p>
            <w:pPr>
              <w:pStyle w:val="TableParagraph"/>
              <w:spacing w:before="3" w:line="292" w:lineRule="auto"/>
              <w:ind w:left="111" w:right="103"/>
              <w:rPr>
                <w:sz w:val="21"/>
              </w:rPr>
            </w:pPr>
            <w:r>
              <w:rPr>
                <w:rFonts w:ascii="Times New Roman" w:eastAsia="Times New Roman"/>
                <w:w w:val="95"/>
                <w:sz w:val="21"/>
              </w:rPr>
              <w:t>4</w:t>
            </w:r>
            <w:r>
              <w:rPr>
                <w:w w:val="95"/>
                <w:sz w:val="21"/>
              </w:rPr>
              <w:t xml:space="preserve">、加强对黄河的保护，沿黄区域开发建设须满足相应管 </w:t>
            </w:r>
            <w:r>
              <w:rPr>
                <w:sz w:val="21"/>
              </w:rPr>
              <w:t>理和保护要求。</w:t>
            </w:r>
          </w:p>
          <w:p>
            <w:pPr>
              <w:pStyle w:val="TableParagraph"/>
              <w:spacing w:line="290" w:lineRule="auto"/>
              <w:ind w:left="111" w:right="91"/>
              <w:jc w:val="both"/>
              <w:rPr>
                <w:sz w:val="21"/>
              </w:rPr>
            </w:pPr>
            <w:r>
              <w:rPr>
                <w:rFonts w:ascii="Times New Roman" w:eastAsia="Times New Roman"/>
                <w:sz w:val="21"/>
              </w:rPr>
              <w:t>5</w:t>
            </w:r>
            <w:r>
              <w:rPr>
                <w:sz w:val="21"/>
              </w:rPr>
              <w:t>、加强对大运河的保护（包括卫运河、南运河）。在大</w:t>
            </w:r>
            <w:r>
              <w:rPr>
                <w:spacing w:val="-8"/>
                <w:w w:val="95"/>
                <w:sz w:val="21"/>
              </w:rPr>
              <w:t xml:space="preserve">运河核心监控区进行建设，必须符合《山东省大运河文化 </w:t>
            </w:r>
            <w:r>
              <w:rPr>
                <w:spacing w:val="-13"/>
                <w:w w:val="95"/>
                <w:sz w:val="21"/>
              </w:rPr>
              <w:t xml:space="preserve">保护传承利用实施规划》。大运河遗产保护范围和建设控 </w:t>
            </w:r>
            <w:r>
              <w:rPr>
                <w:spacing w:val="-15"/>
                <w:w w:val="95"/>
                <w:sz w:val="21"/>
              </w:rPr>
              <w:t xml:space="preserve">制地带内进行开发建设，执行《大运河山东省德州段遗产 </w:t>
            </w:r>
            <w:r>
              <w:rPr>
                <w:spacing w:val="-12"/>
                <w:w w:val="95"/>
                <w:sz w:val="21"/>
              </w:rPr>
              <w:t>保护规划》《关于进一步加强大运河</w:t>
            </w:r>
            <w:r>
              <w:rPr>
                <w:w w:val="95"/>
                <w:sz w:val="21"/>
              </w:rPr>
              <w:t>（德州段</w:t>
            </w:r>
            <w:r>
              <w:rPr>
                <w:spacing w:val="-22"/>
                <w:w w:val="95"/>
                <w:sz w:val="21"/>
              </w:rPr>
              <w:t>）</w:t>
            </w:r>
            <w:r>
              <w:rPr>
                <w:w w:val="95"/>
                <w:sz w:val="21"/>
              </w:rPr>
              <w:t xml:space="preserve">遗产保护 </w:t>
            </w:r>
            <w:r>
              <w:rPr>
                <w:spacing w:val="-8"/>
                <w:w w:val="95"/>
                <w:sz w:val="21"/>
              </w:rPr>
              <w:t xml:space="preserve">管理和开发利用的通知》中相关规定，实行建设项目遗产 </w:t>
            </w:r>
            <w:r>
              <w:rPr>
                <w:spacing w:val="-13"/>
                <w:w w:val="95"/>
                <w:sz w:val="21"/>
              </w:rPr>
              <w:t xml:space="preserve">环境影响评价制度和项目申报审批制度。未经文物部门批 </w:t>
            </w:r>
            <w:r>
              <w:rPr>
                <w:spacing w:val="-14"/>
                <w:w w:val="95"/>
                <w:sz w:val="21"/>
              </w:rPr>
              <w:t xml:space="preserve">准实施的项目，一律不予审批。除依法批准的防洪、航道 </w:t>
            </w:r>
            <w:r>
              <w:rPr>
                <w:spacing w:val="-12"/>
                <w:w w:val="95"/>
                <w:sz w:val="21"/>
              </w:rPr>
              <w:t xml:space="preserve">疏浚、水工设施维护、输水河道等关系国计民生的重点工 程外，任何单位或者个人不得在大运河遗产保护规划范围 </w:t>
            </w:r>
            <w:r>
              <w:rPr>
                <w:spacing w:val="-12"/>
                <w:sz w:val="21"/>
              </w:rPr>
              <w:t>内进行破坏大运河遗产本体的工程建设。</w:t>
            </w:r>
          </w:p>
          <w:p>
            <w:pPr>
              <w:pStyle w:val="TableParagraph"/>
              <w:spacing w:before="12" w:line="290" w:lineRule="auto"/>
              <w:ind w:left="111" w:right="91"/>
              <w:jc w:val="both"/>
              <w:rPr>
                <w:sz w:val="21"/>
              </w:rPr>
            </w:pPr>
            <w:r>
              <w:rPr>
                <w:rFonts w:ascii="Times New Roman" w:eastAsia="Times New Roman"/>
                <w:sz w:val="21"/>
              </w:rPr>
              <w:t>6</w:t>
            </w:r>
            <w:r>
              <w:rPr>
                <w:sz w:val="21"/>
              </w:rPr>
              <w:t>、国家级森林公园规划范围内进行开发建设，执行《国</w:t>
            </w:r>
            <w:r>
              <w:rPr>
                <w:spacing w:val="-8"/>
                <w:w w:val="95"/>
                <w:sz w:val="21"/>
              </w:rPr>
              <w:t xml:space="preserve">家级森林公园管理办法》中相关规定，严格按照总体规划 </w:t>
            </w:r>
            <w:r>
              <w:rPr>
                <w:spacing w:val="-11"/>
                <w:w w:val="95"/>
                <w:sz w:val="21"/>
              </w:rPr>
              <w:t xml:space="preserve">要求进行，同时须经森林公园主管部门批准同意。省级及 </w:t>
            </w:r>
            <w:r>
              <w:rPr>
                <w:spacing w:val="-14"/>
                <w:w w:val="95"/>
                <w:sz w:val="21"/>
              </w:rPr>
              <w:t xml:space="preserve">以下森林公园执行《森林公园管理办法》《山东省森林资 源管理条例》等相关规定，已编制总体规划的应按照总体 </w:t>
            </w:r>
            <w:r>
              <w:rPr>
                <w:spacing w:val="-15"/>
                <w:w w:val="95"/>
                <w:sz w:val="21"/>
              </w:rPr>
              <w:t xml:space="preserve">规划要求进行建设，其他有具体管理要求的可在要求范围 </w:t>
            </w:r>
            <w:r>
              <w:rPr>
                <w:spacing w:val="-13"/>
                <w:w w:val="95"/>
                <w:sz w:val="21"/>
              </w:rPr>
              <w:t xml:space="preserve">内进行，并经主管部门或管理部门批准同意。未列入生态 </w:t>
            </w:r>
            <w:r>
              <w:rPr>
                <w:spacing w:val="-17"/>
                <w:w w:val="95"/>
                <w:sz w:val="21"/>
              </w:rPr>
              <w:t>红线但具有保护意义的大型集中林地、森林公园等区域应</w:t>
            </w:r>
          </w:p>
          <w:p>
            <w:pPr>
              <w:pStyle w:val="TableParagraph"/>
              <w:spacing w:before="9"/>
              <w:ind w:left="111"/>
              <w:rPr>
                <w:sz w:val="21"/>
              </w:rPr>
            </w:pPr>
            <w:r>
              <w:rPr>
                <w:sz w:val="21"/>
              </w:rPr>
              <w:t>加强管理和保护，禁止工业项目建设。</w:t>
            </w:r>
          </w:p>
        </w:tc>
        <w:tc>
          <w:tcPr>
            <w:tcW w:w="1084" w:type="dxa"/>
            <w:tcBorders>
              <w:left w:val="single" w:sz="4" w:space="0" w:color="000000"/>
              <w:bottom w:val="thickThinMediumGap" w:sz="4" w:space="0" w:color="000000"/>
              <w:right w:val="single" w:sz="4" w:space="0" w:color="000000"/>
            </w:tcBorders>
          </w:tcPr>
          <w:p>
            <w:pPr>
              <w:pStyle w:val="TableParagraph"/>
              <w:spacing w:before="2" w:line="290" w:lineRule="auto"/>
              <w:ind w:left="126" w:right="107"/>
              <w:jc w:val="both"/>
              <w:rPr>
                <w:sz w:val="21"/>
              </w:rPr>
            </w:pPr>
            <w:r>
              <w:rPr>
                <w:sz w:val="21"/>
              </w:rPr>
              <w:t>宏图路交叉口东南角，不涉及敏感区域，不属于限制开发区建设项目。</w:t>
            </w:r>
          </w:p>
        </w:tc>
        <w:tc>
          <w:tcPr>
            <w:tcW w:w="787" w:type="dxa"/>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113" w:type="dxa"/>
            <w:tcBorders>
              <w:left w:val="single" w:sz="4" w:space="0" w:color="000000"/>
            </w:tcBorders>
          </w:tcPr>
          <w:p>
            <w:pPr>
              <w:pStyle w:val="TableParagraph"/>
              <w:rPr>
                <w:rFonts w:ascii="Times New Roman"/>
                <w:sz w:val="20"/>
              </w:rPr>
            </w:pPr>
          </w:p>
        </w:tc>
      </w:tr>
    </w:tbl>
    <w:p>
      <w:pPr>
        <w:pStyle w:val="BodyText"/>
        <w:rPr>
          <w:sz w:val="20"/>
        </w:rPr>
      </w:pPr>
    </w:p>
    <w:p>
      <w:pPr>
        <w:pStyle w:val="BodyText"/>
        <w:rPr>
          <w:sz w:val="20"/>
        </w:rPr>
      </w:pPr>
    </w:p>
    <w:p>
      <w:pPr>
        <w:spacing w:before="222"/>
        <w:ind w:left="631" w:right="0" w:firstLine="0"/>
        <w:jc w:val="left"/>
        <w:rPr>
          <w:sz w:val="28"/>
        </w:rPr>
      </w:pPr>
      <w:r>
        <w:rPr>
          <w:sz w:val="28"/>
        </w:rPr>
        <w:t xml:space="preserve">— </w:t>
      </w:r>
      <w:r>
        <w:rPr>
          <w:sz w:val="26"/>
        </w:rPr>
        <w:t xml:space="preserve">8 </w:t>
      </w:r>
      <w:r>
        <w:rPr>
          <w:sz w:val="28"/>
        </w:rPr>
        <w:t>—</w:t>
      </w:r>
    </w:p>
    <w:p>
      <w:pPr>
        <w:spacing w:after="0"/>
        <w:jc w:val="left"/>
        <w:rPr>
          <w:sz w:val="28"/>
        </w:rPr>
        <w:sectPr>
          <w:pgSz w:w="11910" w:h="16840"/>
          <w:pgMar w:top="1580" w:right="879" w:bottom="280" w:left="900" w:header="720" w:footer="720" w:gutter="0"/>
          <w:pgNumType w:start="9"/>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797"/>
        <w:gridCol w:w="455"/>
        <w:gridCol w:w="5371"/>
        <w:gridCol w:w="1084"/>
        <w:gridCol w:w="787"/>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428"/>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797" w:type="dxa"/>
            <w:vMerge w:val="restart"/>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455"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5371" w:type="dxa"/>
            <w:tcBorders>
              <w:left w:val="single" w:sz="4" w:space="0" w:color="000000"/>
              <w:bottom w:val="single" w:sz="4" w:space="0" w:color="000000"/>
              <w:right w:val="single" w:sz="4" w:space="0" w:color="000000"/>
            </w:tcBorders>
          </w:tcPr>
          <w:p>
            <w:pPr>
              <w:pStyle w:val="TableParagraph"/>
              <w:spacing w:before="2" w:line="290" w:lineRule="auto"/>
              <w:ind w:left="111" w:right="91"/>
              <w:rPr>
                <w:sz w:val="21"/>
              </w:rPr>
            </w:pPr>
            <w:r>
              <w:rPr>
                <w:rFonts w:ascii="Times New Roman" w:eastAsia="Times New Roman"/>
                <w:sz w:val="21"/>
              </w:rPr>
              <w:t>7</w:t>
            </w:r>
            <w:r>
              <w:rPr>
                <w:sz w:val="21"/>
              </w:rPr>
              <w:t>、湿地自然保护区、湿地公园、湿地保护小区等湿地保</w:t>
            </w:r>
            <w:r>
              <w:rPr>
                <w:spacing w:val="-6"/>
                <w:w w:val="95"/>
                <w:sz w:val="21"/>
              </w:rPr>
              <w:t xml:space="preserve">护范围内或规划范围内进行开发建设，执行《德州市湿地 </w:t>
            </w:r>
            <w:r>
              <w:rPr>
                <w:spacing w:val="-12"/>
                <w:w w:val="95"/>
                <w:sz w:val="21"/>
              </w:rPr>
              <w:t xml:space="preserve">保护条例》，须符合总体规划要求或管理要求，其中湿地 </w:t>
            </w:r>
            <w:r>
              <w:rPr>
                <w:spacing w:val="-12"/>
                <w:sz w:val="21"/>
              </w:rPr>
              <w:t>自然保护区的建设活动应符合法律、法规等相关管理要</w:t>
            </w:r>
            <w:r>
              <w:rPr>
                <w:spacing w:val="-11"/>
                <w:w w:val="95"/>
                <w:sz w:val="21"/>
              </w:rPr>
              <w:t xml:space="preserve">求，实行分区管理的湿地公园其建设活动应符合分区管理 </w:t>
            </w:r>
            <w:r>
              <w:rPr>
                <w:spacing w:val="-11"/>
                <w:sz w:val="21"/>
              </w:rPr>
              <w:t>要求，各种建设活动须经主管部门批准同意。</w:t>
            </w:r>
          </w:p>
          <w:p>
            <w:pPr>
              <w:pStyle w:val="TableParagraph"/>
              <w:spacing w:before="5" w:line="292" w:lineRule="auto"/>
              <w:ind w:left="111" w:right="91"/>
              <w:jc w:val="both"/>
              <w:rPr>
                <w:sz w:val="21"/>
              </w:rPr>
            </w:pPr>
            <w:r>
              <w:rPr>
                <w:rFonts w:ascii="Times New Roman" w:eastAsia="Times New Roman"/>
                <w:sz w:val="21"/>
              </w:rPr>
              <w:t>8</w:t>
            </w:r>
            <w:r>
              <w:rPr>
                <w:sz w:val="21"/>
              </w:rPr>
              <w:t>、风景名胜区内进行开发建设，执行《山东省风景名胜</w:t>
            </w:r>
            <w:r>
              <w:rPr>
                <w:spacing w:val="-10"/>
                <w:w w:val="95"/>
                <w:sz w:val="21"/>
              </w:rPr>
              <w:t xml:space="preserve">区条例》中相关规定，禁止进行条例明确禁止的行为，进 </w:t>
            </w:r>
            <w:r>
              <w:rPr>
                <w:spacing w:val="-15"/>
                <w:w w:val="95"/>
                <w:sz w:val="21"/>
              </w:rPr>
              <w:t xml:space="preserve">行条例禁止范围外的建设活动，应当经风景名胜区管理机 </w:t>
            </w:r>
            <w:r>
              <w:rPr>
                <w:spacing w:val="-14"/>
                <w:w w:val="95"/>
                <w:sz w:val="21"/>
              </w:rPr>
              <w:t xml:space="preserve">构审核同意，重大建设工程，在报经风景名胜区管理机构 </w:t>
            </w:r>
            <w:r>
              <w:rPr>
                <w:spacing w:val="-14"/>
                <w:sz w:val="21"/>
              </w:rPr>
              <w:t>审核前，应报相应级别住房城乡建设主管部门核准。</w:t>
            </w:r>
          </w:p>
          <w:p>
            <w:pPr>
              <w:pStyle w:val="TableParagraph"/>
              <w:spacing w:line="292" w:lineRule="auto"/>
              <w:ind w:left="111" w:right="-15"/>
              <w:rPr>
                <w:sz w:val="21"/>
              </w:rPr>
            </w:pPr>
            <w:r>
              <w:rPr>
                <w:rFonts w:ascii="Times New Roman" w:eastAsia="Times New Roman"/>
                <w:sz w:val="21"/>
              </w:rPr>
              <w:t>9</w:t>
            </w:r>
            <w:r>
              <w:rPr>
                <w:sz w:val="21"/>
              </w:rPr>
              <w:t>、国家级、省级、市级、县级等各级文物保护单位，在</w:t>
            </w:r>
            <w:r>
              <w:rPr>
                <w:spacing w:val="-5"/>
                <w:sz w:val="21"/>
              </w:rPr>
              <w:t>保护范围内和建设控制地带禁止进行开发建设，执行《山</w:t>
            </w:r>
            <w:r>
              <w:rPr>
                <w:spacing w:val="-5"/>
                <w:w w:val="95"/>
                <w:sz w:val="21"/>
              </w:rPr>
              <w:t>东省文物保护条例</w:t>
            </w:r>
            <w:r>
              <w:rPr>
                <w:spacing w:val="-16"/>
                <w:w w:val="95"/>
                <w:sz w:val="21"/>
              </w:rPr>
              <w:t xml:space="preserve">》《德州市文物保护条例》中相关规定， </w:t>
            </w:r>
            <w:r>
              <w:rPr>
                <w:spacing w:val="-16"/>
                <w:sz w:val="21"/>
              </w:rPr>
              <w:t>开发建设工程应根据文物保护单位的级别报相应的文物 行政部门批准。</w:t>
            </w:r>
          </w:p>
          <w:p>
            <w:pPr>
              <w:pStyle w:val="TableParagraph"/>
              <w:spacing w:line="290" w:lineRule="auto"/>
              <w:ind w:left="111" w:right="-15"/>
              <w:rPr>
                <w:sz w:val="21"/>
              </w:rPr>
            </w:pPr>
            <w:r>
              <w:rPr>
                <w:rFonts w:ascii="Times New Roman" w:eastAsia="Times New Roman"/>
                <w:sz w:val="21"/>
              </w:rPr>
              <w:t>10</w:t>
            </w:r>
            <w:r>
              <w:rPr>
                <w:spacing w:val="-10"/>
                <w:sz w:val="21"/>
              </w:rPr>
              <w:t>、严格遵守《基本农田保护条例》，已划定的永久基本</w:t>
            </w:r>
            <w:r>
              <w:rPr>
                <w:spacing w:val="-13"/>
                <w:sz w:val="21"/>
              </w:rPr>
              <w:t>农田实行严格保护，确保其面积不减少、土壤环境质量不</w:t>
            </w:r>
            <w:r>
              <w:rPr>
                <w:spacing w:val="-12"/>
                <w:sz w:val="21"/>
              </w:rPr>
              <w:t>下降。严格控制在优先保护类耕地集中区域新建有色金属冶炼、石油加工、化工、煤炭、聚氯乙烯、医药、焦化、</w:t>
            </w:r>
            <w:r>
              <w:rPr>
                <w:spacing w:val="-11"/>
                <w:sz w:val="21"/>
              </w:rPr>
              <w:t>电镀、制革、铅蓄电池制造、危险废物处置、加油站等排放重金属、持久性有机物和挥发性有机物的项目。</w:t>
            </w:r>
          </w:p>
          <w:p>
            <w:pPr>
              <w:pStyle w:val="TableParagraph"/>
              <w:spacing w:line="290" w:lineRule="auto"/>
              <w:ind w:left="111" w:right="5"/>
              <w:rPr>
                <w:sz w:val="21"/>
              </w:rPr>
            </w:pPr>
            <w:r>
              <w:rPr>
                <w:rFonts w:ascii="Times New Roman" w:eastAsia="Times New Roman"/>
                <w:spacing w:val="-4"/>
                <w:w w:val="95"/>
                <w:sz w:val="21"/>
              </w:rPr>
              <w:t>11</w:t>
            </w:r>
            <w:r>
              <w:rPr>
                <w:w w:val="95"/>
                <w:sz w:val="21"/>
              </w:rPr>
              <w:t xml:space="preserve">、水土流失重点预防区和重点治理区内进行开发建设， </w:t>
            </w:r>
            <w:r>
              <w:rPr>
                <w:sz w:val="21"/>
              </w:rPr>
              <w:t>执行《中华人民共和国水土保持法》中相关规定。</w:t>
            </w:r>
          </w:p>
          <w:p>
            <w:pPr>
              <w:pStyle w:val="TableParagraph"/>
              <w:spacing w:line="292" w:lineRule="auto"/>
              <w:ind w:left="111" w:right="94"/>
              <w:rPr>
                <w:sz w:val="21"/>
              </w:rPr>
            </w:pPr>
            <w:r>
              <w:rPr>
                <w:rFonts w:ascii="Times New Roman" w:eastAsia="Times New Roman"/>
                <w:w w:val="95"/>
                <w:sz w:val="21"/>
              </w:rPr>
              <w:t>12</w:t>
            </w:r>
            <w:r>
              <w:rPr>
                <w:spacing w:val="-10"/>
                <w:w w:val="95"/>
                <w:sz w:val="21"/>
              </w:rPr>
              <w:t xml:space="preserve">、沙化土地范围内进行开发建设，执行《中华人民共和 </w:t>
            </w:r>
            <w:r>
              <w:rPr>
                <w:spacing w:val="-10"/>
                <w:sz w:val="21"/>
              </w:rPr>
              <w:t>国防沙治沙法》《全国防沙治沙规划》中相关规定。</w:t>
            </w:r>
          </w:p>
          <w:p>
            <w:pPr>
              <w:pStyle w:val="TableParagraph"/>
              <w:spacing w:line="290" w:lineRule="auto"/>
              <w:ind w:left="111" w:right="91"/>
              <w:jc w:val="both"/>
              <w:rPr>
                <w:sz w:val="21"/>
              </w:rPr>
            </w:pPr>
            <w:r>
              <w:rPr>
                <w:rFonts w:ascii="Times New Roman" w:eastAsia="Times New Roman"/>
                <w:w w:val="95"/>
                <w:sz w:val="21"/>
              </w:rPr>
              <w:t>13</w:t>
            </w:r>
            <w:r>
              <w:rPr>
                <w:spacing w:val="-10"/>
                <w:w w:val="95"/>
                <w:sz w:val="21"/>
              </w:rPr>
              <w:t xml:space="preserve">、各县、市、区划定的限养区内禁止扩大养殖规模，禁 </w:t>
            </w:r>
            <w:r>
              <w:rPr>
                <w:spacing w:val="-13"/>
                <w:w w:val="95"/>
                <w:sz w:val="21"/>
              </w:rPr>
              <w:t xml:space="preserve">养区范围内禁止新、改、扩建各类畜禽养殖项目；德州市 </w:t>
            </w:r>
            <w:r>
              <w:rPr>
                <w:spacing w:val="-18"/>
                <w:w w:val="95"/>
                <w:sz w:val="21"/>
              </w:rPr>
              <w:t xml:space="preserve">划定的水产禁养区内禁止进行人工水产养殖，限养区禁止 </w:t>
            </w:r>
            <w:r>
              <w:rPr>
                <w:spacing w:val="-18"/>
                <w:sz w:val="21"/>
              </w:rPr>
              <w:t>一切设施性、投饵性、施肥性渔业养殖生产。</w:t>
            </w:r>
          </w:p>
          <w:p>
            <w:pPr>
              <w:pStyle w:val="TableParagraph"/>
              <w:spacing w:line="290" w:lineRule="auto"/>
              <w:ind w:left="111" w:right="94"/>
              <w:jc w:val="both"/>
              <w:rPr>
                <w:sz w:val="21"/>
              </w:rPr>
            </w:pPr>
            <w:r>
              <w:rPr>
                <w:rFonts w:ascii="Times New Roman" w:eastAsia="Times New Roman"/>
                <w:w w:val="95"/>
                <w:sz w:val="21"/>
              </w:rPr>
              <w:t>14</w:t>
            </w:r>
            <w:r>
              <w:rPr>
                <w:spacing w:val="-10"/>
                <w:w w:val="95"/>
                <w:sz w:val="21"/>
              </w:rPr>
              <w:t xml:space="preserve">、落实并执行《德州市城市总体规划》《德州市新型城 </w:t>
            </w:r>
            <w:r>
              <w:rPr>
                <w:spacing w:val="-14"/>
                <w:sz w:val="21"/>
              </w:rPr>
              <w:t>镇化规划》</w:t>
            </w:r>
            <w:r>
              <w:rPr>
                <w:sz w:val="21"/>
              </w:rPr>
              <w:t>（</w:t>
            </w:r>
            <w:r>
              <w:rPr>
                <w:rFonts w:ascii="Times New Roman" w:eastAsia="Times New Roman"/>
                <w:sz w:val="21"/>
              </w:rPr>
              <w:t>2021-2035</w:t>
            </w:r>
            <w:r>
              <w:rPr>
                <w:rFonts w:ascii="Times New Roman" w:eastAsia="Times New Roman"/>
                <w:spacing w:val="35"/>
                <w:sz w:val="21"/>
              </w:rPr>
              <w:t xml:space="preserve"> </w:t>
            </w:r>
            <w:r>
              <w:rPr>
                <w:sz w:val="21"/>
              </w:rPr>
              <w:t>年</w:t>
            </w:r>
            <w:r>
              <w:rPr>
                <w:spacing w:val="-15"/>
                <w:sz w:val="21"/>
              </w:rPr>
              <w:t>）</w:t>
            </w:r>
            <w:r>
              <w:rPr>
                <w:spacing w:val="-4"/>
                <w:sz w:val="21"/>
              </w:rPr>
              <w:t>及各县、市城市总体规划中区域管控要求，特别是生态和产业布局要求。</w:t>
            </w:r>
          </w:p>
          <w:p>
            <w:pPr>
              <w:pStyle w:val="TableParagraph"/>
              <w:spacing w:before="2"/>
              <w:ind w:left="111"/>
              <w:rPr>
                <w:sz w:val="21"/>
              </w:rPr>
            </w:pPr>
            <w:r>
              <w:rPr>
                <w:rFonts w:ascii="Times New Roman" w:eastAsia="Times New Roman"/>
                <w:sz w:val="21"/>
              </w:rPr>
              <w:t>15</w:t>
            </w:r>
            <w:r>
              <w:rPr>
                <w:sz w:val="21"/>
              </w:rPr>
              <w:t>、在限制要求中，确需实施的公共交通、医疗卫生、民</w:t>
            </w:r>
          </w:p>
          <w:p>
            <w:pPr>
              <w:pStyle w:val="TableParagraph"/>
              <w:spacing w:before="57"/>
              <w:ind w:left="111"/>
              <w:rPr>
                <w:sz w:val="21"/>
              </w:rPr>
            </w:pPr>
            <w:r>
              <w:rPr>
                <w:sz w:val="21"/>
              </w:rPr>
              <w:t>生保障及基础设施等建设活动须经主管部门批复同意。</w:t>
            </w:r>
          </w:p>
        </w:tc>
        <w:tc>
          <w:tcPr>
            <w:tcW w:w="1084"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78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62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thickThinMediumGap" w:sz="4" w:space="0" w:color="000000"/>
              <w:right w:val="single" w:sz="4" w:space="0" w:color="000000"/>
            </w:tcBorders>
          </w:tcPr>
          <w:p>
            <w:pPr>
              <w:rPr>
                <w:sz w:val="2"/>
                <w:szCs w:val="2"/>
              </w:rPr>
            </w:pPr>
          </w:p>
        </w:tc>
        <w:tc>
          <w:tcPr>
            <w:tcW w:w="455" w:type="dxa"/>
            <w:tcBorders>
              <w:top w:val="single" w:sz="4" w:space="0" w:color="000000"/>
              <w:left w:val="single" w:sz="4" w:space="0" w:color="000000"/>
              <w:bottom w:val="thickThinMediumGap" w:sz="4" w:space="0" w:color="000000"/>
              <w:right w:val="single" w:sz="4" w:space="0" w:color="000000"/>
            </w:tcBorders>
          </w:tcPr>
          <w:p>
            <w:pPr>
              <w:pStyle w:val="TableParagraph"/>
              <w:spacing w:line="290" w:lineRule="auto"/>
              <w:ind w:left="125" w:right="108"/>
              <w:jc w:val="both"/>
              <w:rPr>
                <w:sz w:val="21"/>
              </w:rPr>
            </w:pPr>
            <w:r>
              <w:rPr>
                <w:sz w:val="21"/>
              </w:rPr>
              <w:t>限制开发</w:t>
            </w:r>
          </w:p>
          <w:p>
            <w:pPr>
              <w:pStyle w:val="TableParagraph"/>
              <w:ind w:left="125"/>
              <w:rPr>
                <w:sz w:val="21"/>
              </w:rPr>
            </w:pPr>
            <w:r>
              <w:rPr>
                <w:w w:val="99"/>
                <w:sz w:val="21"/>
              </w:rPr>
              <w:t>建</w:t>
            </w:r>
          </w:p>
        </w:tc>
        <w:tc>
          <w:tcPr>
            <w:tcW w:w="5371" w:type="dxa"/>
            <w:tcBorders>
              <w:top w:val="single" w:sz="4" w:space="0" w:color="000000"/>
              <w:left w:val="single" w:sz="4" w:space="0" w:color="000000"/>
              <w:bottom w:val="thickThinMediumGap" w:sz="4" w:space="0" w:color="000000"/>
              <w:right w:val="single" w:sz="4" w:space="0" w:color="000000"/>
            </w:tcBorders>
          </w:tcPr>
          <w:p>
            <w:pPr>
              <w:pStyle w:val="TableParagraph"/>
              <w:spacing w:line="261" w:lineRule="exact"/>
              <w:ind w:left="111"/>
              <w:rPr>
                <w:sz w:val="21"/>
              </w:rPr>
            </w:pPr>
            <w:r>
              <w:rPr>
                <w:sz w:val="21"/>
              </w:rPr>
              <w:t>工业项目限制开发建设的要求：</w:t>
            </w:r>
          </w:p>
          <w:p>
            <w:pPr>
              <w:pStyle w:val="TableParagraph"/>
              <w:spacing w:before="55" w:line="292" w:lineRule="auto"/>
              <w:ind w:left="111" w:right="94"/>
              <w:jc w:val="both"/>
              <w:rPr>
                <w:sz w:val="21"/>
              </w:rPr>
            </w:pPr>
            <w:r>
              <w:rPr>
                <w:rFonts w:ascii="Times New Roman" w:eastAsia="Times New Roman"/>
                <w:sz w:val="21"/>
              </w:rPr>
              <w:t>1</w:t>
            </w:r>
            <w:r>
              <w:rPr>
                <w:sz w:val="21"/>
              </w:rPr>
              <w:t>、新建排放二氧化硫、氮氧化物、工业烟粉尘、挥发性</w:t>
            </w:r>
            <w:r>
              <w:rPr>
                <w:spacing w:val="-10"/>
                <w:w w:val="95"/>
                <w:sz w:val="21"/>
              </w:rPr>
              <w:t xml:space="preserve">有机物的项目，新增污染物原则上实行区域污染物排放倍 </w:t>
            </w:r>
            <w:r>
              <w:rPr>
                <w:spacing w:val="4"/>
                <w:w w:val="95"/>
                <w:sz w:val="21"/>
              </w:rPr>
              <w:t>量替代</w:t>
            </w:r>
            <w:r>
              <w:rPr>
                <w:spacing w:val="7"/>
                <w:w w:val="95"/>
                <w:sz w:val="21"/>
              </w:rPr>
              <w:t>（</w:t>
            </w:r>
            <w:r>
              <w:rPr>
                <w:spacing w:val="4"/>
                <w:w w:val="95"/>
                <w:sz w:val="21"/>
              </w:rPr>
              <w:t>按鲁环发</w:t>
            </w:r>
            <w:r>
              <w:rPr>
                <w:rFonts w:ascii="Times New Roman" w:eastAsia="Times New Roman"/>
                <w:w w:val="95"/>
                <w:sz w:val="21"/>
              </w:rPr>
              <w:t>[2019]132</w:t>
            </w:r>
            <w:r>
              <w:rPr>
                <w:spacing w:val="4"/>
                <w:w w:val="95"/>
                <w:sz w:val="21"/>
              </w:rPr>
              <w:t>号要求执行），</w:t>
            </w:r>
            <w:r>
              <w:rPr>
                <w:spacing w:val="3"/>
                <w:w w:val="95"/>
                <w:sz w:val="21"/>
              </w:rPr>
              <w:t>确保增产减</w:t>
            </w:r>
          </w:p>
          <w:p>
            <w:pPr>
              <w:pStyle w:val="TableParagraph"/>
              <w:spacing w:line="266" w:lineRule="exact"/>
              <w:ind w:left="111"/>
              <w:rPr>
                <w:sz w:val="21"/>
              </w:rPr>
            </w:pPr>
            <w:r>
              <w:rPr>
                <w:sz w:val="21"/>
              </w:rPr>
              <w:t>污。省委、省政府确定的新旧动能转换重大项目和省</w:t>
            </w:r>
            <w:r>
              <w:rPr>
                <w:rFonts w:ascii="Times New Roman" w:eastAsia="Times New Roman" w:hAnsi="Times New Roman"/>
                <w:spacing w:val="3"/>
                <w:sz w:val="21"/>
              </w:rPr>
              <w:t>“</w:t>
            </w:r>
            <w:r>
              <w:rPr>
                <w:sz w:val="21"/>
              </w:rPr>
              <w:t>双</w:t>
            </w:r>
          </w:p>
        </w:tc>
        <w:tc>
          <w:tcPr>
            <w:tcW w:w="1084" w:type="dxa"/>
            <w:tcBorders>
              <w:top w:val="single" w:sz="4" w:space="0" w:color="000000"/>
              <w:left w:val="single" w:sz="4" w:space="0" w:color="000000"/>
              <w:bottom w:val="thickThinMediumGap" w:sz="4" w:space="0" w:color="000000"/>
              <w:right w:val="single" w:sz="4" w:space="0" w:color="000000"/>
            </w:tcBorders>
          </w:tcPr>
          <w:p>
            <w:pPr>
              <w:pStyle w:val="TableParagraph"/>
              <w:spacing w:line="290" w:lineRule="auto"/>
              <w:ind w:left="112" w:right="93"/>
              <w:jc w:val="both"/>
              <w:rPr>
                <w:sz w:val="21"/>
              </w:rPr>
            </w:pPr>
            <w:r>
              <w:rPr>
                <w:spacing w:val="2"/>
                <w:sz w:val="21"/>
              </w:rPr>
              <w:t>本项目污染物实行</w:t>
            </w:r>
            <w:r>
              <w:rPr>
                <w:spacing w:val="1"/>
                <w:sz w:val="21"/>
              </w:rPr>
              <w:t>倍 量 替</w:t>
            </w:r>
            <w:r>
              <w:rPr>
                <w:spacing w:val="2"/>
                <w:w w:val="95"/>
                <w:sz w:val="21"/>
              </w:rPr>
              <w:t>代。本项</w:t>
            </w:r>
          </w:p>
          <w:p>
            <w:pPr>
              <w:pStyle w:val="TableParagraph"/>
              <w:ind w:left="112"/>
              <w:rPr>
                <w:sz w:val="21"/>
              </w:rPr>
            </w:pPr>
            <w:r>
              <w:rPr>
                <w:spacing w:val="6"/>
                <w:w w:val="95"/>
                <w:sz w:val="21"/>
              </w:rPr>
              <w:t>目属于金</w:t>
            </w:r>
          </w:p>
        </w:tc>
        <w:tc>
          <w:tcPr>
            <w:tcW w:w="787"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spacing w:before="132"/>
              <w:ind w:left="187"/>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pStyle w:val="BodyText"/>
        <w:rPr>
          <w:sz w:val="20"/>
        </w:rPr>
      </w:pPr>
    </w:p>
    <w:p>
      <w:pPr>
        <w:pStyle w:val="BodyText"/>
        <w:rPr>
          <w:sz w:val="20"/>
        </w:rPr>
      </w:pPr>
    </w:p>
    <w:p>
      <w:pPr>
        <w:spacing w:before="212"/>
        <w:ind w:left="0" w:right="649" w:firstLine="0"/>
        <w:jc w:val="right"/>
        <w:rPr>
          <w:sz w:val="28"/>
        </w:rPr>
      </w:pPr>
      <w:r>
        <w:rPr>
          <w:sz w:val="28"/>
        </w:rPr>
        <w:t xml:space="preserve">— </w:t>
      </w:r>
      <w:r>
        <w:rPr>
          <w:sz w:val="26"/>
        </w:rPr>
        <w:t xml:space="preserve">9 </w:t>
      </w:r>
      <w:r>
        <w:rPr>
          <w:sz w:val="28"/>
        </w:rPr>
        <w:t>—</w:t>
      </w:r>
    </w:p>
    <w:p>
      <w:pPr>
        <w:spacing w:after="0"/>
        <w:jc w:val="right"/>
        <w:rPr>
          <w:sz w:val="28"/>
        </w:rPr>
        <w:sectPr>
          <w:pgSz w:w="11910" w:h="16840"/>
          <w:pgMar w:top="1580" w:right="879" w:bottom="280" w:left="900" w:header="720" w:footer="720" w:gutter="0"/>
          <w:pgNumType w:start="10"/>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797"/>
        <w:gridCol w:w="455"/>
        <w:gridCol w:w="5371"/>
        <w:gridCol w:w="1084"/>
        <w:gridCol w:w="787"/>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075"/>
        </w:trPr>
        <w:tc>
          <w:tcPr>
            <w:tcW w:w="594" w:type="dxa"/>
            <w:tcBorders>
              <w:right w:val="single" w:sz="4" w:space="0" w:color="000000"/>
            </w:tcBorders>
          </w:tcPr>
          <w:p>
            <w:pPr>
              <w:pStyle w:val="TableParagraph"/>
              <w:rPr>
                <w:rFonts w:ascii="Times New Roman"/>
                <w:sz w:val="20"/>
              </w:rPr>
            </w:pPr>
          </w:p>
        </w:tc>
        <w:tc>
          <w:tcPr>
            <w:tcW w:w="113" w:type="dxa"/>
            <w:tcBorders>
              <w:left w:val="single" w:sz="4" w:space="0" w:color="000000"/>
              <w:right w:val="single" w:sz="4" w:space="0" w:color="000000"/>
            </w:tcBorders>
          </w:tcPr>
          <w:p>
            <w:pPr>
              <w:pStyle w:val="TableParagraph"/>
              <w:rPr>
                <w:rFonts w:ascii="Times New Roman"/>
                <w:sz w:val="20"/>
              </w:rPr>
            </w:pPr>
          </w:p>
        </w:tc>
        <w:tc>
          <w:tcPr>
            <w:tcW w:w="797" w:type="dxa"/>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455" w:type="dxa"/>
            <w:tcBorders>
              <w:left w:val="single" w:sz="4" w:space="0" w:color="000000"/>
              <w:bottom w:val="thickThinMediumGap" w:sz="4" w:space="0" w:color="000000"/>
              <w:right w:val="single" w:sz="4" w:space="0" w:color="000000"/>
            </w:tcBorders>
          </w:tcPr>
          <w:p>
            <w:pPr>
              <w:pStyle w:val="TableParagraph"/>
              <w:spacing w:before="2" w:line="290" w:lineRule="auto"/>
              <w:ind w:left="125" w:right="108"/>
              <w:jc w:val="both"/>
              <w:rPr>
                <w:sz w:val="21"/>
              </w:rPr>
            </w:pPr>
            <w:r>
              <w:rPr>
                <w:sz w:val="21"/>
              </w:rPr>
              <w:t>设活动的要求</w:t>
            </w:r>
          </w:p>
        </w:tc>
        <w:tc>
          <w:tcPr>
            <w:tcW w:w="5371" w:type="dxa"/>
            <w:tcBorders>
              <w:left w:val="single" w:sz="4" w:space="0" w:color="000000"/>
              <w:bottom w:val="thickThinMediumGap" w:sz="4" w:space="0" w:color="000000"/>
              <w:right w:val="single" w:sz="4" w:space="0" w:color="000000"/>
            </w:tcBorders>
          </w:tcPr>
          <w:p>
            <w:pPr>
              <w:pStyle w:val="TableParagraph"/>
              <w:spacing w:before="2" w:line="288" w:lineRule="auto"/>
              <w:ind w:left="111" w:right="22"/>
              <w:rPr>
                <w:sz w:val="21"/>
              </w:rPr>
            </w:pPr>
            <w:r>
              <w:rPr>
                <w:w w:val="95"/>
                <w:sz w:val="21"/>
              </w:rPr>
              <w:t>招双引</w:t>
            </w:r>
            <w:r>
              <w:rPr>
                <w:rFonts w:ascii="Times New Roman" w:eastAsia="Times New Roman" w:hAnsi="Times New Roman"/>
                <w:w w:val="95"/>
                <w:sz w:val="21"/>
              </w:rPr>
              <w:t>”</w:t>
            </w:r>
            <w:r>
              <w:rPr>
                <w:w w:val="95"/>
                <w:sz w:val="21"/>
              </w:rPr>
              <w:t>十强产业中的重点项目，按照</w:t>
            </w:r>
            <w:r>
              <w:rPr>
                <w:rFonts w:ascii="Times New Roman" w:eastAsia="Times New Roman" w:hAnsi="Times New Roman"/>
                <w:w w:val="95"/>
                <w:sz w:val="21"/>
              </w:rPr>
              <w:t>“</w:t>
            </w:r>
            <w:r>
              <w:rPr>
                <w:w w:val="95"/>
                <w:sz w:val="21"/>
              </w:rPr>
              <w:t xml:space="preserve">减量替代是原则， </w:t>
            </w:r>
            <w:r>
              <w:rPr>
                <w:sz w:val="21"/>
              </w:rPr>
              <w:t>等量替代是例外</w:t>
            </w:r>
            <w:r>
              <w:rPr>
                <w:rFonts w:ascii="Times New Roman" w:eastAsia="Times New Roman" w:hAnsi="Times New Roman"/>
                <w:sz w:val="21"/>
              </w:rPr>
              <w:t>”</w:t>
            </w:r>
            <w:r>
              <w:rPr>
                <w:sz w:val="21"/>
              </w:rPr>
              <w:t>的要求进行管理。</w:t>
            </w:r>
          </w:p>
          <w:p>
            <w:pPr>
              <w:pStyle w:val="TableParagraph"/>
              <w:spacing w:before="7" w:line="290" w:lineRule="auto"/>
              <w:ind w:left="111" w:right="-15"/>
              <w:rPr>
                <w:sz w:val="21"/>
              </w:rPr>
            </w:pPr>
            <w:r>
              <w:rPr>
                <w:rFonts w:ascii="Times New Roman" w:eastAsia="Times New Roman"/>
                <w:sz w:val="21"/>
              </w:rPr>
              <w:t>2</w:t>
            </w:r>
            <w:r>
              <w:rPr>
                <w:sz w:val="21"/>
              </w:rPr>
              <w:t>、涉及通航、渔业水域的，其环境影响评价文件在审批</w:t>
            </w:r>
            <w:r>
              <w:rPr>
                <w:spacing w:val="-9"/>
                <w:sz w:val="21"/>
              </w:rPr>
              <w:t>时，应当征求相应主管部门的意见；限制高耗水、高污染</w:t>
            </w:r>
            <w:r>
              <w:rPr>
                <w:spacing w:val="-17"/>
                <w:w w:val="95"/>
                <w:sz w:val="21"/>
              </w:rPr>
              <w:t xml:space="preserve">排放、产生有毒有害物质的建设项目，对制浆造纸、焦化、 </w:t>
            </w:r>
            <w:r>
              <w:rPr>
                <w:spacing w:val="-17"/>
                <w:sz w:val="21"/>
              </w:rPr>
              <w:t>氮肥、印染、农副食品加工、原料药制造、制革、农药、</w:t>
            </w:r>
            <w:r>
              <w:rPr>
                <w:spacing w:val="-16"/>
                <w:sz w:val="21"/>
              </w:rPr>
              <w:t>电镀等重点行业，实行新</w:t>
            </w:r>
            <w:r>
              <w:rPr>
                <w:sz w:val="21"/>
              </w:rPr>
              <w:t>（</w:t>
            </w:r>
            <w:r>
              <w:rPr>
                <w:spacing w:val="-9"/>
                <w:sz w:val="21"/>
              </w:rPr>
              <w:t>改、扩</w:t>
            </w:r>
            <w:r>
              <w:rPr>
                <w:spacing w:val="-22"/>
                <w:sz w:val="21"/>
              </w:rPr>
              <w:t>）</w:t>
            </w:r>
            <w:r>
              <w:rPr>
                <w:sz w:val="21"/>
              </w:rPr>
              <w:t>建项目主要污染物排放等量或减量置换。</w:t>
            </w:r>
          </w:p>
          <w:p>
            <w:pPr>
              <w:pStyle w:val="TableParagraph"/>
              <w:spacing w:before="7" w:line="290" w:lineRule="auto"/>
              <w:ind w:left="111" w:right="-15"/>
              <w:rPr>
                <w:sz w:val="21"/>
              </w:rPr>
            </w:pPr>
            <w:r>
              <w:rPr>
                <w:rFonts w:ascii="Times New Roman" w:eastAsia="Times New Roman" w:hAnsi="Times New Roman"/>
                <w:sz w:val="21"/>
              </w:rPr>
              <w:t>3</w:t>
            </w:r>
            <w:r>
              <w:rPr>
                <w:sz w:val="21"/>
              </w:rPr>
              <w:t>、严格控制新建危险化学品项目，严格限制新建剧毒化</w:t>
            </w:r>
            <w:r>
              <w:rPr>
                <w:spacing w:val="7"/>
                <w:sz w:val="21"/>
              </w:rPr>
              <w:t>学品项目，严把危险化学品建设项目</w:t>
            </w:r>
            <w:r>
              <w:rPr>
                <w:rFonts w:ascii="Times New Roman" w:eastAsia="Times New Roman" w:hAnsi="Times New Roman"/>
                <w:spacing w:val="9"/>
                <w:sz w:val="21"/>
              </w:rPr>
              <w:t>‘</w:t>
            </w:r>
            <w:r>
              <w:rPr>
                <w:spacing w:val="8"/>
                <w:sz w:val="21"/>
              </w:rPr>
              <w:t>三同时</w:t>
            </w:r>
            <w:r>
              <w:rPr>
                <w:rFonts w:ascii="Times New Roman" w:eastAsia="Times New Roman" w:hAnsi="Times New Roman"/>
                <w:spacing w:val="7"/>
                <w:sz w:val="21"/>
              </w:rPr>
              <w:t>’</w:t>
            </w:r>
            <w:r>
              <w:rPr>
                <w:spacing w:val="6"/>
                <w:sz w:val="21"/>
              </w:rPr>
              <w:t>审查许可</w:t>
            </w:r>
            <w:r>
              <w:rPr>
                <w:spacing w:val="-10"/>
                <w:sz w:val="21"/>
              </w:rPr>
              <w:t>关，对不符合安全生产条件和产业发展规划的新建项目一</w:t>
            </w:r>
            <w:r>
              <w:rPr>
                <w:spacing w:val="-13"/>
                <w:sz w:val="21"/>
              </w:rPr>
              <w:t>律不予批准。未建立健全安全生产风险分级管控和隐患排</w:t>
            </w:r>
            <w:r>
              <w:rPr>
                <w:spacing w:val="-12"/>
                <w:sz w:val="21"/>
              </w:rPr>
              <w:t>查治理，双重预防体系，安全生产得不到有效保障的危险</w:t>
            </w:r>
            <w:r>
              <w:rPr>
                <w:spacing w:val="-18"/>
                <w:w w:val="95"/>
                <w:sz w:val="21"/>
              </w:rPr>
              <w:t xml:space="preserve">品生产项目，不得新建、改建、扩建。控制化工项目建设， </w:t>
            </w:r>
            <w:r>
              <w:rPr>
                <w:spacing w:val="-19"/>
                <w:sz w:val="21"/>
              </w:rPr>
              <w:t>新建化工项目执行山东省人民政府、山东省化工产业安全</w:t>
            </w:r>
            <w:r>
              <w:rPr>
                <w:spacing w:val="-20"/>
                <w:sz w:val="21"/>
              </w:rPr>
              <w:t>生产转型升级专项行动领导小组要求及《山东省化工行业</w:t>
            </w:r>
            <w:r>
              <w:rPr>
                <w:spacing w:val="-17"/>
                <w:sz w:val="21"/>
              </w:rPr>
              <w:t>投资项目管理规定》《德州市化工园区管理办法》《山东</w:t>
            </w:r>
            <w:r>
              <w:rPr>
                <w:spacing w:val="-19"/>
                <w:sz w:val="21"/>
              </w:rPr>
              <w:t>省专业化工园区认定管理办法》中相关规定。在省政府认</w:t>
            </w:r>
            <w:r>
              <w:rPr>
                <w:spacing w:val="-15"/>
                <w:sz w:val="21"/>
              </w:rPr>
              <w:t>定的化工园区、专业化工园区和重点监控点等实施的化工</w:t>
            </w:r>
            <w:r>
              <w:rPr>
                <w:spacing w:val="-18"/>
                <w:sz w:val="21"/>
              </w:rPr>
              <w:t>项目须满足园区审查的规划环评要求。禁止新建固定投资额低于</w:t>
            </w:r>
            <w:r>
              <w:rPr>
                <w:rFonts w:ascii="Times New Roman" w:eastAsia="Times New Roman" w:hAnsi="Times New Roman"/>
                <w:spacing w:val="-18"/>
                <w:sz w:val="21"/>
              </w:rPr>
              <w:t>3</w:t>
            </w:r>
            <w:r>
              <w:rPr>
                <w:spacing w:val="-18"/>
                <w:sz w:val="21"/>
              </w:rPr>
              <w:t>亿元（不含土地费用）生产危险化学品的化工项</w:t>
            </w:r>
            <w:r>
              <w:rPr>
                <w:spacing w:val="-15"/>
                <w:sz w:val="21"/>
              </w:rPr>
              <w:t>目</w:t>
            </w:r>
            <w:r>
              <w:rPr>
                <w:sz w:val="21"/>
              </w:rPr>
              <w:t>（</w:t>
            </w:r>
            <w:r>
              <w:rPr>
                <w:spacing w:val="-4"/>
                <w:sz w:val="21"/>
              </w:rPr>
              <w:t>危险化学品见《危险化学品目录》</w:t>
            </w:r>
            <w:r>
              <w:rPr>
                <w:spacing w:val="-16"/>
                <w:sz w:val="21"/>
              </w:rPr>
              <w:t>）</w:t>
            </w:r>
            <w:r>
              <w:rPr>
                <w:spacing w:val="-6"/>
                <w:sz w:val="21"/>
              </w:rPr>
              <w:t>，列入国家《产</w:t>
            </w:r>
            <w:r>
              <w:rPr>
                <w:spacing w:val="-12"/>
                <w:sz w:val="21"/>
              </w:rPr>
              <w:t>业结构调整指导目录》和《外商投资产业指导目录》鼓励类以及搬迁入园项目除外。</w:t>
            </w:r>
          </w:p>
          <w:p>
            <w:pPr>
              <w:pStyle w:val="TableParagraph"/>
              <w:spacing w:before="19" w:line="292" w:lineRule="auto"/>
              <w:ind w:left="111" w:right="-15"/>
              <w:rPr>
                <w:sz w:val="21"/>
              </w:rPr>
            </w:pPr>
            <w:r>
              <w:rPr>
                <w:rFonts w:ascii="Times New Roman" w:eastAsia="Times New Roman" w:hAnsi="Times New Roman"/>
                <w:w w:val="95"/>
                <w:sz w:val="21"/>
              </w:rPr>
              <w:t>4</w:t>
            </w:r>
            <w:r>
              <w:rPr>
                <w:spacing w:val="-5"/>
                <w:w w:val="95"/>
                <w:sz w:val="21"/>
              </w:rPr>
              <w:t>、淘汰落后动能，落实能耗双控，严控</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w:t>
            </w:r>
            <w:r>
              <w:rPr>
                <w:w w:val="95"/>
                <w:sz w:val="21"/>
              </w:rPr>
              <w:t xml:space="preserve">项目建设， </w:t>
            </w:r>
            <w:r>
              <w:rPr>
                <w:sz w:val="21"/>
              </w:rPr>
              <w:t>新建</w:t>
            </w:r>
            <w:r>
              <w:rPr>
                <w:rFonts w:ascii="Times New Roman" w:eastAsia="Times New Roman" w:hAnsi="Times New Roman"/>
                <w:sz w:val="21"/>
              </w:rPr>
              <w:t>‘</w:t>
            </w:r>
            <w:r>
              <w:rPr>
                <w:spacing w:val="2"/>
                <w:sz w:val="21"/>
              </w:rPr>
              <w:t>两高</w:t>
            </w:r>
            <w:r>
              <w:rPr>
                <w:rFonts w:ascii="Times New Roman" w:eastAsia="Times New Roman" w:hAnsi="Times New Roman"/>
                <w:sz w:val="21"/>
              </w:rPr>
              <w:t>’</w:t>
            </w:r>
            <w:r>
              <w:rPr>
                <w:sz w:val="21"/>
              </w:rPr>
              <w:t>项目须满足</w:t>
            </w:r>
            <w:r>
              <w:rPr>
                <w:rFonts w:ascii="Times New Roman" w:eastAsia="Times New Roman" w:hAnsi="Times New Roman"/>
                <w:sz w:val="21"/>
              </w:rPr>
              <w:t>‘</w:t>
            </w:r>
            <w:r>
              <w:rPr>
                <w:sz w:val="21"/>
              </w:rPr>
              <w:t>五个减量替代</w:t>
            </w:r>
            <w:r>
              <w:rPr>
                <w:rFonts w:ascii="Times New Roman" w:eastAsia="Times New Roman" w:hAnsi="Times New Roman"/>
                <w:sz w:val="21"/>
              </w:rPr>
              <w:t>’</w:t>
            </w:r>
            <w:r>
              <w:rPr>
                <w:sz w:val="21"/>
              </w:rPr>
              <w:t>要求，确保煤炭消费只减不增、</w:t>
            </w:r>
            <w:r>
              <w:rPr>
                <w:rFonts w:ascii="Times New Roman" w:eastAsia="Times New Roman" w:hAnsi="Times New Roman"/>
                <w:sz w:val="21"/>
              </w:rPr>
              <w:t>‘</w:t>
            </w:r>
            <w:r>
              <w:rPr>
                <w:spacing w:val="2"/>
                <w:sz w:val="21"/>
              </w:rPr>
              <w:t>两高</w:t>
            </w:r>
            <w:r>
              <w:rPr>
                <w:rFonts w:ascii="Times New Roman" w:eastAsia="Times New Roman" w:hAnsi="Times New Roman"/>
                <w:sz w:val="21"/>
              </w:rPr>
              <w:t>’</w:t>
            </w:r>
            <w:r>
              <w:rPr>
                <w:sz w:val="21"/>
              </w:rPr>
              <w:t>行业能耗只减不增。有效提高</w:t>
            </w:r>
            <w:r>
              <w:rPr>
                <w:rFonts w:ascii="Times New Roman" w:eastAsia="Times New Roman" w:hAnsi="Times New Roman"/>
                <w:sz w:val="21"/>
              </w:rPr>
              <w:t>‘</w:t>
            </w:r>
            <w:r>
              <w:rPr>
                <w:spacing w:val="2"/>
                <w:sz w:val="21"/>
              </w:rPr>
              <w:t>两高</w:t>
            </w:r>
            <w:r>
              <w:rPr>
                <w:rFonts w:ascii="Times New Roman" w:eastAsia="Times New Roman" w:hAnsi="Times New Roman"/>
                <w:sz w:val="21"/>
              </w:rPr>
              <w:t xml:space="preserve">’ </w:t>
            </w:r>
            <w:r>
              <w:rPr>
                <w:sz w:val="21"/>
              </w:rPr>
              <w:t>行业信息化精准化监管水平。</w:t>
            </w:r>
          </w:p>
          <w:p>
            <w:pPr>
              <w:pStyle w:val="TableParagraph"/>
              <w:spacing w:line="292" w:lineRule="auto"/>
              <w:ind w:left="111" w:right="91"/>
              <w:jc w:val="both"/>
              <w:rPr>
                <w:sz w:val="21"/>
              </w:rPr>
            </w:pPr>
            <w:r>
              <w:rPr>
                <w:rFonts w:ascii="Times New Roman" w:eastAsia="Times New Roman"/>
                <w:sz w:val="21"/>
              </w:rPr>
              <w:t>5</w:t>
            </w:r>
            <w:r>
              <w:rPr>
                <w:sz w:val="21"/>
              </w:rPr>
              <w:t>、严格落实水资源双控制度，控制高耗水产业发展和高</w:t>
            </w:r>
            <w:r>
              <w:rPr>
                <w:spacing w:val="-9"/>
                <w:w w:val="95"/>
                <w:sz w:val="21"/>
              </w:rPr>
              <w:t xml:space="preserve">耗水项目建设，加强固定资产投资项目节水审查，严格建 </w:t>
            </w:r>
            <w:r>
              <w:rPr>
                <w:spacing w:val="-9"/>
                <w:sz w:val="21"/>
              </w:rPr>
              <w:t>设项目水资源论证审查把关。</w:t>
            </w:r>
          </w:p>
          <w:p>
            <w:pPr>
              <w:pStyle w:val="TableParagraph"/>
              <w:spacing w:line="290" w:lineRule="auto"/>
              <w:ind w:left="111" w:right="-15"/>
              <w:rPr>
                <w:sz w:val="21"/>
              </w:rPr>
            </w:pPr>
            <w:r>
              <w:rPr>
                <w:rFonts w:ascii="Times New Roman" w:eastAsia="Times New Roman"/>
                <w:sz w:val="21"/>
              </w:rPr>
              <w:t>6</w:t>
            </w:r>
            <w:r>
              <w:rPr>
                <w:sz w:val="21"/>
              </w:rPr>
              <w:t>、碳素、印染、铅蓄电池、皮革鞣制、电镀、废弃电器</w:t>
            </w:r>
            <w:r>
              <w:rPr>
                <w:spacing w:val="3"/>
                <w:sz w:val="21"/>
              </w:rPr>
              <w:t>电子产品集中处理等行业及其他涉及重金属的新上项目原则上应进入国务院和省级政府批准设立的经济开发区、</w:t>
            </w:r>
            <w:r>
              <w:rPr>
                <w:spacing w:val="-6"/>
                <w:sz w:val="21"/>
              </w:rPr>
              <w:t xml:space="preserve">高新技术开发区等开发区。其他新建污染较重的建设项目原则上只能在国务院和省级政府批准设立的经济开发区、高新技术开发区等开发区（包括其相邻管理区域）建设， 一般不得在乡镇工业园区或工业集中区建设，具体包括： </w:t>
            </w:r>
            <w:r>
              <w:rPr>
                <w:spacing w:val="-21"/>
                <w:w w:val="99"/>
                <w:sz w:val="21"/>
              </w:rPr>
              <w:t>制浆纸浆、溶解浆、纤维浆等制造；化纤</w:t>
            </w:r>
            <w:r>
              <w:rPr>
                <w:spacing w:val="-1"/>
                <w:w w:val="99"/>
                <w:sz w:val="21"/>
              </w:rPr>
              <w:t>（除单纯纺丝外</w:t>
            </w:r>
            <w:r>
              <w:rPr>
                <w:spacing w:val="-106"/>
                <w:w w:val="99"/>
                <w:sz w:val="21"/>
              </w:rPr>
              <w:t>）</w:t>
            </w:r>
            <w:r>
              <w:rPr>
                <w:w w:val="99"/>
                <w:sz w:val="21"/>
              </w:rPr>
              <w:t>；</w:t>
            </w:r>
          </w:p>
          <w:p>
            <w:pPr>
              <w:pStyle w:val="TableParagraph"/>
              <w:ind w:left="111"/>
              <w:rPr>
                <w:sz w:val="21"/>
              </w:rPr>
            </w:pPr>
            <w:r>
              <w:rPr>
                <w:sz w:val="21"/>
              </w:rPr>
              <w:t>人造革、发泡胶等塑料制品制造；羊绒及羊毛清洗；大豆</w:t>
            </w:r>
          </w:p>
        </w:tc>
        <w:tc>
          <w:tcPr>
            <w:tcW w:w="1084" w:type="dxa"/>
            <w:tcBorders>
              <w:left w:val="single" w:sz="4" w:space="0" w:color="000000"/>
              <w:bottom w:val="thickThinMediumGap" w:sz="4" w:space="0" w:color="000000"/>
              <w:right w:val="single" w:sz="4" w:space="0" w:color="000000"/>
            </w:tcBorders>
          </w:tcPr>
          <w:p>
            <w:pPr>
              <w:pStyle w:val="TableParagraph"/>
              <w:spacing w:before="2" w:line="290" w:lineRule="auto"/>
              <w:ind w:left="112" w:right="93"/>
              <w:jc w:val="both"/>
              <w:rPr>
                <w:sz w:val="21"/>
              </w:rPr>
            </w:pPr>
            <w:r>
              <w:rPr>
                <w:spacing w:val="2"/>
                <w:sz w:val="21"/>
              </w:rPr>
              <w:t>属表面处理及热处理加工行业，不涉及左述行</w:t>
            </w:r>
            <w:r>
              <w:rPr>
                <w:sz w:val="21"/>
              </w:rPr>
              <w:t>业。</w:t>
            </w:r>
          </w:p>
          <w:p>
            <w:pPr>
              <w:pStyle w:val="TableParagraph"/>
              <w:spacing w:before="5" w:line="292" w:lineRule="auto"/>
              <w:ind w:left="112" w:right="93"/>
              <w:jc w:val="both"/>
              <w:rPr>
                <w:sz w:val="21"/>
              </w:rPr>
            </w:pPr>
            <w:r>
              <w:rPr>
                <w:spacing w:val="2"/>
                <w:sz w:val="21"/>
              </w:rPr>
              <w:t>项目使用</w:t>
            </w:r>
            <w:r>
              <w:rPr>
                <w:sz w:val="21"/>
              </w:rPr>
              <w:t xml:space="preserve">低 </w:t>
            </w:r>
            <w:r>
              <w:rPr>
                <w:rFonts w:ascii="Times New Roman" w:eastAsia="Times New Roman"/>
                <w:spacing w:val="-5"/>
                <w:sz w:val="21"/>
              </w:rPr>
              <w:t xml:space="preserve">VOCs </w:t>
            </w:r>
            <w:r>
              <w:rPr>
                <w:spacing w:val="2"/>
                <w:sz w:val="21"/>
              </w:rPr>
              <w:t>含量的塑粉及电泳</w:t>
            </w:r>
            <w:r>
              <w:rPr>
                <w:sz w:val="21"/>
              </w:rPr>
              <w:t>漆。</w:t>
            </w:r>
          </w:p>
        </w:tc>
        <w:tc>
          <w:tcPr>
            <w:tcW w:w="787" w:type="dxa"/>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113" w:type="dxa"/>
            <w:tcBorders>
              <w:left w:val="single" w:sz="4" w:space="0" w:color="000000"/>
            </w:tcBorders>
          </w:tcPr>
          <w:p>
            <w:pPr>
              <w:pStyle w:val="TableParagraph"/>
              <w:rPr>
                <w:rFonts w:ascii="Times New Roman"/>
                <w:sz w:val="20"/>
              </w:rPr>
            </w:pPr>
          </w:p>
        </w:tc>
      </w:tr>
    </w:tbl>
    <w:p>
      <w:pPr>
        <w:pStyle w:val="BodyText"/>
        <w:rPr>
          <w:sz w:val="20"/>
        </w:rPr>
      </w:pPr>
    </w:p>
    <w:p>
      <w:pPr>
        <w:pStyle w:val="BodyText"/>
        <w:rPr>
          <w:sz w:val="20"/>
        </w:rPr>
      </w:pPr>
    </w:p>
    <w:p>
      <w:pPr>
        <w:tabs>
          <w:tab w:val="left" w:pos="1571"/>
        </w:tabs>
        <w:spacing w:before="222"/>
        <w:ind w:left="631" w:right="0" w:firstLine="0"/>
        <w:jc w:val="left"/>
        <w:rPr>
          <w:sz w:val="28"/>
        </w:rPr>
      </w:pPr>
      <w:r>
        <w:rPr>
          <w:sz w:val="28"/>
        </w:rPr>
        <w:t>—</w:t>
      </w:r>
      <w:r>
        <w:rPr>
          <w:spacing w:val="59"/>
          <w:sz w:val="28"/>
        </w:rPr>
        <w:t xml:space="preserve"> </w:t>
      </w:r>
      <w:r>
        <w:rPr>
          <w:sz w:val="26"/>
        </w:rPr>
        <w:t>10</w:t>
      </w:r>
      <w:r>
        <w:rPr>
          <w:sz w:val="26"/>
        </w:rPr>
        <w:tab/>
      </w:r>
      <w:r>
        <w:rPr>
          <w:sz w:val="28"/>
        </w:rPr>
        <w:t>—</w:t>
      </w:r>
    </w:p>
    <w:p>
      <w:pPr>
        <w:spacing w:after="0"/>
        <w:jc w:val="left"/>
        <w:rPr>
          <w:sz w:val="28"/>
        </w:rPr>
        <w:sectPr>
          <w:pgSz w:w="11910" w:h="16840"/>
          <w:pgMar w:top="1580" w:right="879" w:bottom="280" w:left="900" w:header="720" w:footer="720" w:gutter="0"/>
          <w:pgNumType w:start="11"/>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797"/>
        <w:gridCol w:w="455"/>
        <w:gridCol w:w="5371"/>
        <w:gridCol w:w="1084"/>
        <w:gridCol w:w="787"/>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075"/>
        </w:trPr>
        <w:tc>
          <w:tcPr>
            <w:tcW w:w="594" w:type="dxa"/>
            <w:tcBorders>
              <w:right w:val="single" w:sz="4" w:space="0" w:color="000000"/>
            </w:tcBorders>
          </w:tcPr>
          <w:p>
            <w:pPr>
              <w:pStyle w:val="TableParagraph"/>
              <w:rPr>
                <w:rFonts w:ascii="Times New Roman"/>
                <w:sz w:val="20"/>
              </w:rPr>
            </w:pPr>
          </w:p>
        </w:tc>
        <w:tc>
          <w:tcPr>
            <w:tcW w:w="113" w:type="dxa"/>
            <w:tcBorders>
              <w:left w:val="single" w:sz="4" w:space="0" w:color="000000"/>
              <w:right w:val="single" w:sz="4" w:space="0" w:color="000000"/>
            </w:tcBorders>
          </w:tcPr>
          <w:p>
            <w:pPr>
              <w:pStyle w:val="TableParagraph"/>
              <w:rPr>
                <w:rFonts w:ascii="Times New Roman"/>
                <w:sz w:val="20"/>
              </w:rPr>
            </w:pPr>
          </w:p>
        </w:tc>
        <w:tc>
          <w:tcPr>
            <w:tcW w:w="797" w:type="dxa"/>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455" w:type="dxa"/>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5371" w:type="dxa"/>
            <w:tcBorders>
              <w:left w:val="single" w:sz="4" w:space="0" w:color="000000"/>
              <w:bottom w:val="thickThinMediumGap" w:sz="4" w:space="0" w:color="000000"/>
              <w:right w:val="single" w:sz="4" w:space="0" w:color="000000"/>
            </w:tcBorders>
          </w:tcPr>
          <w:p>
            <w:pPr>
              <w:pStyle w:val="TableParagraph"/>
              <w:spacing w:before="2" w:line="290" w:lineRule="auto"/>
              <w:ind w:left="111" w:right="79"/>
              <w:jc w:val="both"/>
              <w:rPr>
                <w:sz w:val="21"/>
              </w:rPr>
            </w:pPr>
            <w:r>
              <w:rPr>
                <w:spacing w:val="-9"/>
                <w:sz w:val="21"/>
              </w:rPr>
              <w:t>蛋白；玉米淀粉、味精、柠檬酸、赖氨酸制造；有提炼工</w:t>
            </w:r>
            <w:r>
              <w:rPr>
                <w:spacing w:val="-13"/>
                <w:sz w:val="21"/>
              </w:rPr>
              <w:t>艺的中成药制造、中药饮片加工；太阳能电池片；含钝化工艺的热镀锌；专业实验室（</w:t>
            </w:r>
            <w:r>
              <w:rPr>
                <w:rFonts w:ascii="Times New Roman" w:eastAsia="Times New Roman"/>
                <w:spacing w:val="-13"/>
                <w:sz w:val="21"/>
              </w:rPr>
              <w:t>P3</w:t>
            </w:r>
            <w:r>
              <w:rPr>
                <w:spacing w:val="-13"/>
                <w:sz w:val="21"/>
              </w:rPr>
              <w:t>、</w:t>
            </w:r>
            <w:r>
              <w:rPr>
                <w:rFonts w:ascii="Times New Roman" w:eastAsia="Times New Roman"/>
                <w:spacing w:val="-13"/>
                <w:sz w:val="21"/>
              </w:rPr>
              <w:t>P4</w:t>
            </w:r>
            <w:r>
              <w:rPr>
                <w:rFonts w:ascii="Times New Roman" w:eastAsia="Times New Roman"/>
                <w:spacing w:val="40"/>
                <w:sz w:val="21"/>
              </w:rPr>
              <w:t xml:space="preserve"> </w:t>
            </w:r>
            <w:r>
              <w:rPr>
                <w:sz w:val="21"/>
              </w:rPr>
              <w:t>生物安全实验室； 转基因实验室</w:t>
            </w:r>
            <w:r>
              <w:rPr>
                <w:spacing w:val="-31"/>
                <w:sz w:val="21"/>
              </w:rPr>
              <w:t>）</w:t>
            </w:r>
            <w:r>
              <w:rPr>
                <w:spacing w:val="-8"/>
                <w:sz w:val="21"/>
              </w:rPr>
              <w:t>；含医药、化工类等专业中试内容的研发基地；防水建筑材料制造等。</w:t>
            </w:r>
          </w:p>
          <w:p>
            <w:pPr>
              <w:pStyle w:val="TableParagraph"/>
              <w:spacing w:before="4" w:line="292" w:lineRule="auto"/>
              <w:ind w:left="111" w:right="91"/>
              <w:jc w:val="both"/>
              <w:rPr>
                <w:sz w:val="21"/>
              </w:rPr>
            </w:pPr>
            <w:r>
              <w:rPr>
                <w:rFonts w:ascii="Times New Roman" w:eastAsia="Times New Roman"/>
                <w:sz w:val="21"/>
              </w:rPr>
              <w:t>7</w:t>
            </w:r>
            <w:r>
              <w:rPr>
                <w:sz w:val="21"/>
              </w:rPr>
              <w:t>、新（改、扩）建耗煤项目执行《山东省耗煤项目煤炭</w:t>
            </w:r>
            <w:r>
              <w:rPr>
                <w:spacing w:val="-8"/>
                <w:w w:val="95"/>
                <w:sz w:val="21"/>
              </w:rPr>
              <w:t xml:space="preserve">消费减量替代管理办法》中相关规定，须取得投资主管部 </w:t>
            </w:r>
            <w:r>
              <w:rPr>
                <w:spacing w:val="-13"/>
                <w:w w:val="95"/>
                <w:sz w:val="21"/>
              </w:rPr>
              <w:t xml:space="preserve">门核定同意的煤炭消费减量替代方案，其中，新上燃煤发 </w:t>
            </w:r>
            <w:r>
              <w:rPr>
                <w:spacing w:val="3"/>
                <w:w w:val="95"/>
                <w:sz w:val="21"/>
              </w:rPr>
              <w:t xml:space="preserve">电项目须取得市级及以上煤炭消费总量控制部门出具的 </w:t>
            </w:r>
            <w:r>
              <w:rPr>
                <w:spacing w:val="-8"/>
                <w:w w:val="95"/>
                <w:sz w:val="21"/>
              </w:rPr>
              <w:t xml:space="preserve">审查意见；全市区域内禁止燃烧煤矸石等高硫燃料；高污 </w:t>
            </w:r>
            <w:r>
              <w:rPr>
                <w:spacing w:val="-12"/>
                <w:w w:val="95"/>
                <w:sz w:val="21"/>
              </w:rPr>
              <w:t>染燃料禁燃区内禁止建设燃烧高污染燃料的工业锅炉</w:t>
            </w:r>
            <w:r>
              <w:rPr>
                <w:w w:val="95"/>
                <w:sz w:val="21"/>
              </w:rPr>
              <w:t>（集 中供热除外</w:t>
            </w:r>
            <w:r>
              <w:rPr>
                <w:spacing w:val="-24"/>
                <w:w w:val="95"/>
                <w:sz w:val="21"/>
              </w:rPr>
              <w:t>）</w:t>
            </w:r>
            <w:r>
              <w:rPr>
                <w:spacing w:val="-9"/>
                <w:w w:val="95"/>
                <w:sz w:val="21"/>
              </w:rPr>
              <w:t xml:space="preserve">；经济开发区、工业园区、高新区等集中供 </w:t>
            </w:r>
            <w:r>
              <w:rPr>
                <w:spacing w:val="-10"/>
                <w:w w:val="95"/>
                <w:sz w:val="21"/>
              </w:rPr>
              <w:t xml:space="preserve">热、供汽管网覆盖范围内，禁止新建、改建、扩建燃煤锅 </w:t>
            </w:r>
            <w:r>
              <w:rPr>
                <w:spacing w:val="-10"/>
                <w:sz w:val="21"/>
              </w:rPr>
              <w:t>炉；全市禁止新上</w:t>
            </w:r>
            <w:r>
              <w:rPr>
                <w:rFonts w:ascii="Times New Roman" w:eastAsia="Times New Roman"/>
                <w:spacing w:val="-10"/>
                <w:sz w:val="21"/>
              </w:rPr>
              <w:t>35t/h</w:t>
            </w:r>
            <w:r>
              <w:rPr>
                <w:spacing w:val="-10"/>
                <w:sz w:val="21"/>
              </w:rPr>
              <w:t>以下燃煤锅炉。</w:t>
            </w:r>
          </w:p>
          <w:p>
            <w:pPr>
              <w:pStyle w:val="TableParagraph"/>
              <w:spacing w:line="290" w:lineRule="auto"/>
              <w:ind w:left="111" w:right="-15"/>
              <w:rPr>
                <w:sz w:val="21"/>
              </w:rPr>
            </w:pPr>
            <w:r>
              <w:rPr>
                <w:rFonts w:ascii="Times New Roman" w:eastAsia="Times New Roman"/>
                <w:sz w:val="21"/>
              </w:rPr>
              <w:t>8</w:t>
            </w:r>
            <w:r>
              <w:rPr>
                <w:spacing w:val="-6"/>
                <w:sz w:val="21"/>
              </w:rPr>
              <w:t>、新建涉高</w:t>
            </w:r>
            <w:r>
              <w:rPr>
                <w:rFonts w:ascii="Times New Roman" w:eastAsia="Times New Roman"/>
                <w:sz w:val="21"/>
              </w:rPr>
              <w:t>VOCs</w:t>
            </w:r>
            <w:r>
              <w:rPr>
                <w:spacing w:val="-8"/>
                <w:sz w:val="21"/>
              </w:rPr>
              <w:t>排放的建设项目，即石化、化工、包装印刷、工业涂装等重点行业及其他工业行业</w:t>
            </w:r>
            <w:r>
              <w:rPr>
                <w:rFonts w:ascii="Times New Roman" w:eastAsia="Times New Roman"/>
                <w:spacing w:val="-8"/>
                <w:sz w:val="21"/>
              </w:rPr>
              <w:t>VOCs</w:t>
            </w:r>
            <w:r>
              <w:rPr>
                <w:spacing w:val="-8"/>
                <w:sz w:val="21"/>
              </w:rPr>
              <w:t>排放量大、排放强度高的新建项目应进入园区。严格涉</w:t>
            </w:r>
            <w:r>
              <w:rPr>
                <w:rFonts w:ascii="Times New Roman" w:eastAsia="Times New Roman"/>
                <w:spacing w:val="-8"/>
                <w:sz w:val="21"/>
              </w:rPr>
              <w:t>VOCs</w:t>
            </w:r>
            <w:r>
              <w:rPr>
                <w:spacing w:val="-8"/>
                <w:sz w:val="21"/>
              </w:rPr>
              <w:t>建</w:t>
            </w:r>
            <w:r>
              <w:rPr>
                <w:spacing w:val="-12"/>
                <w:sz w:val="21"/>
              </w:rPr>
              <w:t>设项目环境影响评价，新</w:t>
            </w:r>
            <w:r>
              <w:rPr>
                <w:sz w:val="21"/>
              </w:rPr>
              <w:t>（</w:t>
            </w:r>
            <w:r>
              <w:rPr>
                <w:spacing w:val="-9"/>
                <w:sz w:val="21"/>
              </w:rPr>
              <w:t>改、扩</w:t>
            </w:r>
            <w:r>
              <w:rPr>
                <w:spacing w:val="-25"/>
                <w:sz w:val="21"/>
              </w:rPr>
              <w:t>）</w:t>
            </w:r>
            <w:r>
              <w:rPr>
                <w:sz w:val="21"/>
              </w:rPr>
              <w:t>建涉</w:t>
            </w:r>
            <w:r>
              <w:rPr>
                <w:rFonts w:ascii="Times New Roman" w:eastAsia="Times New Roman"/>
                <w:sz w:val="21"/>
              </w:rPr>
              <w:t>VOCs</w:t>
            </w:r>
            <w:r>
              <w:rPr>
                <w:sz w:val="21"/>
              </w:rPr>
              <w:t xml:space="preserve">排放项目， </w:t>
            </w:r>
            <w:r>
              <w:rPr>
                <w:spacing w:val="-7"/>
                <w:w w:val="95"/>
                <w:sz w:val="21"/>
              </w:rPr>
              <w:t>应从源头加强控制，使用低</w:t>
            </w:r>
            <w:r>
              <w:rPr>
                <w:w w:val="95"/>
                <w:sz w:val="21"/>
              </w:rPr>
              <w:t>（无</w:t>
            </w:r>
            <w:r>
              <w:rPr>
                <w:spacing w:val="-7"/>
                <w:w w:val="95"/>
                <w:sz w:val="21"/>
              </w:rPr>
              <w:t>）</w:t>
            </w:r>
            <w:r>
              <w:rPr>
                <w:rFonts w:ascii="Times New Roman" w:eastAsia="Times New Roman"/>
                <w:spacing w:val="-7"/>
                <w:w w:val="95"/>
                <w:sz w:val="21"/>
              </w:rPr>
              <w:t>VOCs</w:t>
            </w:r>
            <w:r>
              <w:rPr>
                <w:w w:val="95"/>
                <w:sz w:val="21"/>
              </w:rPr>
              <w:t xml:space="preserve">含量的原辅材料， </w:t>
            </w:r>
            <w:r>
              <w:rPr>
                <w:sz w:val="21"/>
              </w:rPr>
              <w:t>加强废气收集，安装高效治理设施。</w:t>
            </w:r>
          </w:p>
          <w:p>
            <w:pPr>
              <w:pStyle w:val="TableParagraph"/>
              <w:spacing w:line="290" w:lineRule="auto"/>
              <w:ind w:left="111" w:right="94"/>
              <w:rPr>
                <w:sz w:val="21"/>
              </w:rPr>
            </w:pPr>
            <w:r>
              <w:rPr>
                <w:rFonts w:ascii="Times New Roman" w:eastAsia="Times New Roman"/>
                <w:sz w:val="21"/>
              </w:rPr>
              <w:t>9</w:t>
            </w:r>
            <w:r>
              <w:rPr>
                <w:sz w:val="21"/>
              </w:rPr>
              <w:t>、新、改、扩建有色金属冶炼（铜冶炼、金冶炼、铅锌</w:t>
            </w:r>
            <w:r>
              <w:rPr>
                <w:w w:val="95"/>
                <w:sz w:val="21"/>
              </w:rPr>
              <w:t>冶炼等）、铅蓄电池制造、皮革鞣制加工、金属表面处理</w:t>
            </w:r>
          </w:p>
          <w:p>
            <w:pPr>
              <w:pStyle w:val="TableParagraph"/>
              <w:spacing w:line="290" w:lineRule="auto"/>
              <w:ind w:left="111" w:right="91"/>
              <w:jc w:val="both"/>
              <w:rPr>
                <w:sz w:val="21"/>
              </w:rPr>
            </w:pPr>
            <w:r>
              <w:rPr>
                <w:w w:val="95"/>
                <w:sz w:val="21"/>
              </w:rPr>
              <w:t>（电镀</w:t>
            </w:r>
            <w:r>
              <w:rPr>
                <w:spacing w:val="-25"/>
                <w:w w:val="95"/>
                <w:sz w:val="21"/>
              </w:rPr>
              <w:t>）</w:t>
            </w:r>
            <w:r>
              <w:rPr>
                <w:spacing w:val="-7"/>
                <w:w w:val="95"/>
                <w:sz w:val="21"/>
              </w:rPr>
              <w:t>、化学原料和化学品制造</w:t>
            </w:r>
            <w:r>
              <w:rPr>
                <w:w w:val="95"/>
                <w:sz w:val="21"/>
              </w:rPr>
              <w:t>（聚氯乙烯</w:t>
            </w:r>
            <w:r>
              <w:rPr>
                <w:spacing w:val="-22"/>
                <w:w w:val="95"/>
                <w:sz w:val="21"/>
              </w:rPr>
              <w:t>）</w:t>
            </w:r>
            <w:r>
              <w:rPr>
                <w:w w:val="95"/>
                <w:sz w:val="21"/>
              </w:rPr>
              <w:t xml:space="preserve">等涉重金 </w:t>
            </w:r>
            <w:r>
              <w:rPr>
                <w:spacing w:val="-11"/>
                <w:w w:val="95"/>
                <w:sz w:val="21"/>
              </w:rPr>
              <w:t>属重点行业建设项目</w:t>
            </w:r>
            <w:r>
              <w:rPr>
                <w:w w:val="95"/>
                <w:sz w:val="21"/>
              </w:rPr>
              <w:t>（不包括电子及新材料工业项目以及 不列入重金属总量管理的生活垃圾及危废焚烧项目</w:t>
            </w:r>
            <w:r>
              <w:rPr>
                <w:spacing w:val="-46"/>
                <w:w w:val="95"/>
                <w:sz w:val="21"/>
              </w:rPr>
              <w:t>），</w:t>
            </w:r>
            <w:r>
              <w:rPr>
                <w:w w:val="95"/>
                <w:sz w:val="21"/>
              </w:rPr>
              <w:t>实 施重金属排放量</w:t>
            </w:r>
            <w:r>
              <w:rPr>
                <w:rFonts w:ascii="Times New Roman" w:eastAsia="Times New Roman" w:hAnsi="Times New Roman"/>
                <w:w w:val="95"/>
                <w:sz w:val="21"/>
              </w:rPr>
              <w:t>“</w:t>
            </w:r>
            <w:r>
              <w:rPr>
                <w:w w:val="95"/>
                <w:sz w:val="21"/>
              </w:rPr>
              <w:t>等量置换</w:t>
            </w:r>
            <w:r>
              <w:rPr>
                <w:rFonts w:ascii="Times New Roman" w:eastAsia="Times New Roman" w:hAnsi="Times New Roman"/>
                <w:w w:val="95"/>
                <w:sz w:val="21"/>
              </w:rPr>
              <w:t>”</w:t>
            </w:r>
            <w:r>
              <w:rPr>
                <w:w w:val="95"/>
                <w:sz w:val="21"/>
              </w:rPr>
              <w:t>或</w:t>
            </w:r>
            <w:r>
              <w:rPr>
                <w:rFonts w:ascii="Times New Roman" w:eastAsia="Times New Roman" w:hAnsi="Times New Roman"/>
                <w:w w:val="95"/>
                <w:sz w:val="21"/>
              </w:rPr>
              <w:t>“</w:t>
            </w:r>
            <w:r>
              <w:rPr>
                <w:w w:val="95"/>
                <w:sz w:val="21"/>
              </w:rPr>
              <w:t>减量置换</w:t>
            </w:r>
            <w:r>
              <w:rPr>
                <w:rFonts w:ascii="Times New Roman" w:eastAsia="Times New Roman" w:hAnsi="Times New Roman"/>
                <w:spacing w:val="-23"/>
                <w:w w:val="95"/>
                <w:sz w:val="21"/>
              </w:rPr>
              <w:t>”</w:t>
            </w:r>
            <w:r>
              <w:rPr>
                <w:spacing w:val="-5"/>
                <w:w w:val="95"/>
                <w:sz w:val="21"/>
              </w:rPr>
              <w:t xml:space="preserve">，涉重金属重点 </w:t>
            </w:r>
            <w:r>
              <w:rPr>
                <w:spacing w:val="3"/>
                <w:w w:val="95"/>
                <w:sz w:val="21"/>
              </w:rPr>
              <w:t xml:space="preserve">行业企业落实减排措施和工程削减的重金属污染物排放 </w:t>
            </w:r>
            <w:r>
              <w:rPr>
                <w:spacing w:val="-9"/>
                <w:w w:val="95"/>
                <w:sz w:val="21"/>
              </w:rPr>
              <w:t xml:space="preserve">量，经监测并可核实的，可作为涉重金属行业新、改、扩 </w:t>
            </w:r>
            <w:r>
              <w:rPr>
                <w:spacing w:val="-15"/>
                <w:w w:val="95"/>
                <w:sz w:val="21"/>
              </w:rPr>
              <w:t xml:space="preserve">建企业重金属污染物排放总量的来源。无明确具体总量来 </w:t>
            </w:r>
            <w:r>
              <w:rPr>
                <w:spacing w:val="-12"/>
                <w:w w:val="95"/>
                <w:sz w:val="21"/>
              </w:rPr>
              <w:t xml:space="preserve">源的，不得批准相关环境影响评价文件。禁止在土壤重金 </w:t>
            </w:r>
            <w:r>
              <w:rPr>
                <w:spacing w:val="-14"/>
                <w:w w:val="95"/>
                <w:sz w:val="21"/>
              </w:rPr>
              <w:t xml:space="preserve">属质量超标区域、群众反映强烈的重金属污染区域、土壤 </w:t>
            </w:r>
            <w:r>
              <w:rPr>
                <w:spacing w:val="3"/>
                <w:w w:val="95"/>
                <w:sz w:val="21"/>
              </w:rPr>
              <w:t xml:space="preserve">污染防治目标责任书有关重金属减排任务考核不合格区 </w:t>
            </w:r>
            <w:r>
              <w:rPr>
                <w:spacing w:val="3"/>
                <w:sz w:val="21"/>
              </w:rPr>
              <w:t>域建设增加重金属污染物排放的项目。</w:t>
            </w:r>
          </w:p>
          <w:p>
            <w:pPr>
              <w:pStyle w:val="TableParagraph"/>
              <w:spacing w:before="11" w:line="290" w:lineRule="auto"/>
              <w:ind w:left="111" w:right="91"/>
              <w:jc w:val="both"/>
              <w:rPr>
                <w:sz w:val="21"/>
              </w:rPr>
            </w:pPr>
            <w:r>
              <w:rPr>
                <w:rFonts w:ascii="Times New Roman" w:eastAsia="Times New Roman"/>
                <w:w w:val="95"/>
                <w:sz w:val="21"/>
              </w:rPr>
              <w:t>10</w:t>
            </w:r>
            <w:r>
              <w:rPr>
                <w:spacing w:val="-11"/>
                <w:w w:val="95"/>
                <w:sz w:val="21"/>
              </w:rPr>
              <w:t xml:space="preserve">、禁止企业独自新建燃料类煤气发生炉，集中使用煤气 </w:t>
            </w:r>
            <w:r>
              <w:rPr>
                <w:spacing w:val="-12"/>
                <w:w w:val="95"/>
                <w:sz w:val="21"/>
              </w:rPr>
              <w:t xml:space="preserve">发生炉、暂不具备改用天然气条件的工业园区应建设统一 </w:t>
            </w:r>
            <w:r>
              <w:rPr>
                <w:spacing w:val="-12"/>
                <w:sz w:val="21"/>
              </w:rPr>
              <w:t>的清洁煤制气中心。</w:t>
            </w:r>
          </w:p>
          <w:p>
            <w:pPr>
              <w:pStyle w:val="TableParagraph"/>
              <w:spacing w:before="5" w:line="290" w:lineRule="auto"/>
              <w:ind w:left="111" w:right="-15"/>
              <w:rPr>
                <w:sz w:val="21"/>
              </w:rPr>
            </w:pPr>
            <w:r>
              <w:rPr>
                <w:rFonts w:ascii="Times New Roman" w:eastAsia="Times New Roman" w:hAnsi="Times New Roman"/>
                <w:spacing w:val="-4"/>
                <w:w w:val="95"/>
                <w:sz w:val="21"/>
              </w:rPr>
              <w:t>11</w:t>
            </w:r>
            <w:r>
              <w:rPr>
                <w:spacing w:val="-11"/>
                <w:w w:val="95"/>
                <w:sz w:val="21"/>
              </w:rPr>
              <w:t>、控制碳排放总量，严格控制</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w:t>
            </w:r>
            <w:r>
              <w:rPr>
                <w:spacing w:val="-8"/>
                <w:w w:val="95"/>
                <w:sz w:val="21"/>
              </w:rPr>
              <w:t xml:space="preserve">项目建设，高耗能、 </w:t>
            </w:r>
            <w:r>
              <w:rPr>
                <w:spacing w:val="-13"/>
                <w:sz w:val="21"/>
              </w:rPr>
              <w:t>高排放建设项目应满足《山东省高耗能高排放建设项目碳</w:t>
            </w:r>
            <w:r>
              <w:rPr>
                <w:spacing w:val="-14"/>
                <w:sz w:val="21"/>
              </w:rPr>
              <w:t>排放减量替代办法</w:t>
            </w:r>
            <w:r>
              <w:rPr>
                <w:sz w:val="21"/>
              </w:rPr>
              <w:t>（试行</w:t>
            </w:r>
            <w:r>
              <w:rPr>
                <w:spacing w:val="-25"/>
                <w:sz w:val="21"/>
              </w:rPr>
              <w:t>）</w:t>
            </w:r>
            <w:r>
              <w:rPr>
                <w:spacing w:val="-7"/>
                <w:sz w:val="21"/>
              </w:rPr>
              <w:t>》要求。开展二氧化碳排放达</w:t>
            </w:r>
          </w:p>
          <w:p>
            <w:pPr>
              <w:pStyle w:val="TableParagraph"/>
              <w:spacing w:before="3"/>
              <w:ind w:left="111"/>
              <w:rPr>
                <w:sz w:val="21"/>
              </w:rPr>
            </w:pPr>
            <w:r>
              <w:rPr>
                <w:spacing w:val="-11"/>
                <w:w w:val="95"/>
                <w:sz w:val="21"/>
              </w:rPr>
              <w:t>峰行动，深入推进绿色低碳发展，构建清洁低碳安全高效</w:t>
            </w:r>
          </w:p>
        </w:tc>
        <w:tc>
          <w:tcPr>
            <w:tcW w:w="1084" w:type="dxa"/>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787" w:type="dxa"/>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113" w:type="dxa"/>
            <w:tcBorders>
              <w:left w:val="single" w:sz="4" w:space="0" w:color="000000"/>
            </w:tcBorders>
          </w:tcPr>
          <w:p>
            <w:pPr>
              <w:pStyle w:val="TableParagraph"/>
              <w:rPr>
                <w:rFonts w:ascii="Times New Roman"/>
                <w:sz w:val="20"/>
              </w:rPr>
            </w:pPr>
          </w:p>
        </w:tc>
      </w:tr>
    </w:tbl>
    <w:p>
      <w:pPr>
        <w:pStyle w:val="BodyText"/>
        <w:rPr>
          <w:sz w:val="20"/>
        </w:rPr>
      </w:pPr>
    </w:p>
    <w:p>
      <w:pPr>
        <w:pStyle w:val="BodyText"/>
        <w:rPr>
          <w:sz w:val="20"/>
        </w:rPr>
      </w:pPr>
    </w:p>
    <w:p>
      <w:pPr>
        <w:spacing w:before="222"/>
        <w:ind w:left="0" w:right="649" w:firstLine="0"/>
        <w:jc w:val="right"/>
        <w:rPr>
          <w:sz w:val="28"/>
        </w:rPr>
      </w:pPr>
      <w:r>
        <w:rPr>
          <w:sz w:val="28"/>
        </w:rPr>
        <w:t xml:space="preserve">— </w:t>
      </w:r>
      <w:r>
        <w:rPr>
          <w:sz w:val="26"/>
        </w:rPr>
        <w:t xml:space="preserve">11 </w:t>
      </w:r>
      <w:r>
        <w:rPr>
          <w:sz w:val="28"/>
        </w:rPr>
        <w:t>—</w:t>
      </w:r>
    </w:p>
    <w:p>
      <w:pPr>
        <w:spacing w:after="0"/>
        <w:jc w:val="right"/>
        <w:rPr>
          <w:sz w:val="28"/>
        </w:rPr>
        <w:sectPr>
          <w:pgSz w:w="11910" w:h="16840"/>
          <w:pgMar w:top="1580" w:right="879" w:bottom="280" w:left="900" w:header="720" w:footer="720" w:gutter="0"/>
          <w:pgNumType w:start="12"/>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797"/>
        <w:gridCol w:w="455"/>
        <w:gridCol w:w="5371"/>
        <w:gridCol w:w="1084"/>
        <w:gridCol w:w="787"/>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624"/>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797" w:type="dxa"/>
            <w:vMerge w:val="restart"/>
            <w:tcBorders>
              <w:left w:val="single" w:sz="4" w:space="0" w:color="000000"/>
              <w:bottom w:val="thickThinMediumGap" w:sz="4" w:space="0" w:color="000000"/>
              <w:right w:val="single" w:sz="4" w:space="0" w:color="000000"/>
            </w:tcBorders>
          </w:tcPr>
          <w:p>
            <w:pPr>
              <w:pStyle w:val="TableParagraph"/>
              <w:rPr>
                <w:rFonts w:ascii="Times New Roman"/>
                <w:sz w:val="20"/>
              </w:rPr>
            </w:pPr>
          </w:p>
        </w:tc>
        <w:tc>
          <w:tcPr>
            <w:tcW w:w="455"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5371" w:type="dxa"/>
            <w:tcBorders>
              <w:left w:val="single" w:sz="4" w:space="0" w:color="000000"/>
              <w:bottom w:val="single" w:sz="4" w:space="0" w:color="000000"/>
              <w:right w:val="single" w:sz="4" w:space="0" w:color="000000"/>
            </w:tcBorders>
          </w:tcPr>
          <w:p>
            <w:pPr>
              <w:pStyle w:val="TableParagraph"/>
              <w:spacing w:before="2" w:line="288" w:lineRule="auto"/>
              <w:ind w:left="111" w:right="91"/>
              <w:rPr>
                <w:sz w:val="21"/>
              </w:rPr>
            </w:pPr>
            <w:r>
              <w:rPr>
                <w:spacing w:val="-10"/>
                <w:w w:val="95"/>
                <w:sz w:val="21"/>
              </w:rPr>
              <w:t xml:space="preserve">能源体系，深化工业领域绿色低碳转型，推动建筑领域绿 </w:t>
            </w:r>
            <w:r>
              <w:rPr>
                <w:spacing w:val="-10"/>
                <w:sz w:val="21"/>
              </w:rPr>
              <w:t>色低碳建设，推进低碳交通运输体系构建。</w:t>
            </w:r>
          </w:p>
          <w:p>
            <w:pPr>
              <w:pStyle w:val="TableParagraph"/>
              <w:spacing w:before="7" w:line="290" w:lineRule="auto"/>
              <w:ind w:left="111" w:right="-15"/>
              <w:rPr>
                <w:sz w:val="21"/>
              </w:rPr>
            </w:pPr>
            <w:r>
              <w:rPr>
                <w:rFonts w:ascii="Times New Roman" w:eastAsia="Times New Roman"/>
                <w:sz w:val="21"/>
              </w:rPr>
              <w:t>12</w:t>
            </w:r>
            <w:r>
              <w:rPr>
                <w:spacing w:val="-11"/>
                <w:sz w:val="21"/>
              </w:rPr>
              <w:t>、符合城市规划要求的乡镇及街道应设立工业园区或工业集中区，新建工业项目应进入工业园区或工业集中区，</w:t>
            </w:r>
          </w:p>
          <w:p>
            <w:pPr>
              <w:pStyle w:val="TableParagraph"/>
              <w:spacing w:before="2"/>
              <w:ind w:left="111"/>
              <w:rPr>
                <w:sz w:val="21"/>
              </w:rPr>
            </w:pPr>
            <w:r>
              <w:rPr>
                <w:sz w:val="21"/>
              </w:rPr>
              <w:t>现有工业企业应逐步向工业园区或工业集中区搬迁。</w:t>
            </w:r>
          </w:p>
        </w:tc>
        <w:tc>
          <w:tcPr>
            <w:tcW w:w="1084"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78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1431"/>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thickThinMediumGap" w:sz="4" w:space="0" w:color="000000"/>
              <w:right w:val="single" w:sz="4" w:space="0" w:color="000000"/>
            </w:tcBorders>
          </w:tcPr>
          <w:p>
            <w:pPr>
              <w:rPr>
                <w:sz w:val="2"/>
                <w:szCs w:val="2"/>
              </w:rPr>
            </w:pPr>
          </w:p>
        </w:tc>
        <w:tc>
          <w:tcPr>
            <w:tcW w:w="455"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7"/>
              <w:rPr>
                <w:sz w:val="21"/>
              </w:rPr>
            </w:pPr>
          </w:p>
          <w:p>
            <w:pPr>
              <w:pStyle w:val="TableParagraph"/>
              <w:spacing w:line="290" w:lineRule="auto"/>
              <w:ind w:left="125" w:right="108"/>
              <w:jc w:val="both"/>
              <w:rPr>
                <w:sz w:val="21"/>
              </w:rPr>
            </w:pPr>
            <w:r>
              <w:rPr>
                <w:sz w:val="21"/>
              </w:rPr>
              <w:t>不符合空间布局要求活动的退出要求</w:t>
            </w:r>
          </w:p>
        </w:tc>
        <w:tc>
          <w:tcPr>
            <w:tcW w:w="5371" w:type="dxa"/>
            <w:tcBorders>
              <w:top w:val="single" w:sz="4" w:space="0" w:color="000000"/>
              <w:left w:val="single" w:sz="4" w:space="0" w:color="000000"/>
              <w:bottom w:val="thickThinMediumGap" w:sz="4" w:space="0" w:color="000000"/>
              <w:right w:val="single" w:sz="4" w:space="0" w:color="000000"/>
            </w:tcBorders>
          </w:tcPr>
          <w:p>
            <w:pPr>
              <w:pStyle w:val="TableParagraph"/>
              <w:spacing w:line="261" w:lineRule="exact"/>
              <w:ind w:left="111"/>
              <w:rPr>
                <w:sz w:val="21"/>
              </w:rPr>
            </w:pPr>
            <w:r>
              <w:rPr>
                <w:sz w:val="21"/>
              </w:rPr>
              <w:t>逐步调整退出（退出地方、退出产能）：</w:t>
            </w:r>
          </w:p>
          <w:p>
            <w:pPr>
              <w:pStyle w:val="TableParagraph"/>
              <w:spacing w:before="55" w:line="292" w:lineRule="auto"/>
              <w:ind w:left="111" w:right="-15"/>
              <w:rPr>
                <w:sz w:val="21"/>
              </w:rPr>
            </w:pPr>
            <w:r>
              <w:rPr>
                <w:rFonts w:ascii="Times New Roman" w:eastAsia="Times New Roman" w:hAnsi="Times New Roman"/>
                <w:w w:val="95"/>
                <w:sz w:val="21"/>
              </w:rPr>
              <w:t>1</w:t>
            </w:r>
            <w:r>
              <w:rPr>
                <w:spacing w:val="-11"/>
                <w:w w:val="95"/>
                <w:sz w:val="21"/>
              </w:rPr>
              <w:t xml:space="preserve">、位于生态红线区域、饮用水水源保护区、风景名胜区、 </w:t>
            </w:r>
            <w:r>
              <w:rPr>
                <w:spacing w:val="-15"/>
                <w:sz w:val="21"/>
              </w:rPr>
              <w:t>南水北调工程核心保护区及重点保护区等敏感区域，不符</w:t>
            </w:r>
            <w:r>
              <w:rPr>
                <w:spacing w:val="-18"/>
                <w:sz w:val="21"/>
              </w:rPr>
              <w:t>合区域定位和相关规定的企业，通过搬迁入园、限期整改等措施进行整顿，逾期整改不到位的企业予以关闭退出。</w:t>
            </w:r>
            <w:r>
              <w:rPr>
                <w:rFonts w:ascii="Times New Roman" w:eastAsia="Times New Roman" w:hAnsi="Times New Roman"/>
                <w:spacing w:val="-18"/>
                <w:w w:val="95"/>
                <w:sz w:val="21"/>
              </w:rPr>
              <w:t>2</w:t>
            </w:r>
            <w:r>
              <w:rPr>
                <w:spacing w:val="-11"/>
                <w:w w:val="95"/>
                <w:sz w:val="21"/>
              </w:rPr>
              <w:t xml:space="preserve">、未按规定进入省政府公布的化工园区、专业化工园区， </w:t>
            </w:r>
            <w:r>
              <w:rPr>
                <w:spacing w:val="-15"/>
                <w:sz w:val="21"/>
              </w:rPr>
              <w:t>也未列入重点监控点，经山东省化工生产企业评级评价结果为</w:t>
            </w:r>
            <w:r>
              <w:rPr>
                <w:rFonts w:ascii="Times New Roman" w:eastAsia="Times New Roman" w:hAnsi="Times New Roman"/>
                <w:spacing w:val="-15"/>
                <w:sz w:val="21"/>
              </w:rPr>
              <w:t>“</w:t>
            </w:r>
            <w:r>
              <w:rPr>
                <w:spacing w:val="-15"/>
                <w:sz w:val="21"/>
              </w:rPr>
              <w:t>差</w:t>
            </w:r>
            <w:r>
              <w:rPr>
                <w:rFonts w:ascii="Times New Roman" w:eastAsia="Times New Roman" w:hAnsi="Times New Roman"/>
                <w:spacing w:val="-15"/>
                <w:sz w:val="21"/>
              </w:rPr>
              <w:t>”</w:t>
            </w:r>
            <w:r>
              <w:rPr>
                <w:spacing w:val="-13"/>
                <w:sz w:val="21"/>
              </w:rPr>
              <w:t>的化工企业，限期整改，逾期整改不到位的企业</w:t>
            </w:r>
            <w:r>
              <w:rPr>
                <w:spacing w:val="-14"/>
                <w:sz w:val="21"/>
              </w:rPr>
              <w:t>予以关闭退出。不在化工园区、专业化工园区、重点监控</w:t>
            </w:r>
            <w:r>
              <w:rPr>
                <w:spacing w:val="-16"/>
                <w:sz w:val="21"/>
              </w:rPr>
              <w:t>点区域的重点化工项目，不符合安全和卫生防护距离要求的，必须搬迁入园。</w:t>
            </w:r>
          </w:p>
          <w:p>
            <w:pPr>
              <w:pStyle w:val="TableParagraph"/>
              <w:spacing w:line="255" w:lineRule="exact"/>
              <w:ind w:left="111"/>
              <w:rPr>
                <w:sz w:val="21"/>
              </w:rPr>
            </w:pPr>
            <w:r>
              <w:rPr>
                <w:rFonts w:ascii="Times New Roman" w:eastAsia="Times New Roman"/>
                <w:sz w:val="21"/>
              </w:rPr>
              <w:t>3</w:t>
            </w:r>
            <w:r>
              <w:rPr>
                <w:sz w:val="21"/>
              </w:rPr>
              <w:t>、对无项目核准备案、建设用地、规划、环评、安评等</w:t>
            </w:r>
          </w:p>
          <w:p>
            <w:pPr>
              <w:pStyle w:val="TableParagraph"/>
              <w:spacing w:before="57" w:line="292" w:lineRule="auto"/>
              <w:ind w:left="111" w:right="91"/>
              <w:rPr>
                <w:sz w:val="21"/>
              </w:rPr>
            </w:pPr>
            <w:r>
              <w:rPr>
                <w:spacing w:val="-9"/>
                <w:w w:val="95"/>
                <w:sz w:val="21"/>
              </w:rPr>
              <w:t xml:space="preserve">法定手续的企业，由有关部门依法限期整改，逾期未整改 </w:t>
            </w:r>
            <w:r>
              <w:rPr>
                <w:spacing w:val="-9"/>
                <w:sz w:val="21"/>
              </w:rPr>
              <w:t>的予以关闭退出。</w:t>
            </w:r>
          </w:p>
          <w:p>
            <w:pPr>
              <w:pStyle w:val="TableParagraph"/>
              <w:spacing w:line="290" w:lineRule="auto"/>
              <w:ind w:left="111" w:right="90"/>
              <w:jc w:val="both"/>
              <w:rPr>
                <w:sz w:val="21"/>
              </w:rPr>
            </w:pPr>
            <w:r>
              <w:rPr>
                <w:rFonts w:ascii="Times New Roman" w:eastAsia="Times New Roman"/>
                <w:sz w:val="21"/>
              </w:rPr>
              <w:t>4</w:t>
            </w:r>
            <w:r>
              <w:rPr>
                <w:sz w:val="21"/>
              </w:rPr>
              <w:t>、城市建成区内及主要人口密集区周边石化、钢铁、火</w:t>
            </w:r>
            <w:r>
              <w:rPr>
                <w:spacing w:val="-10"/>
                <w:sz w:val="21"/>
              </w:rPr>
              <w:t>电、水泥、危险废物经营处置等重污染企业应搬迁。</w:t>
            </w:r>
            <w:r>
              <w:rPr>
                <w:rFonts w:ascii="Times New Roman" w:eastAsia="Times New Roman"/>
                <w:sz w:val="21"/>
              </w:rPr>
              <w:t xml:space="preserve">2025 </w:t>
            </w:r>
            <w:r>
              <w:rPr>
                <w:spacing w:val="-11"/>
                <w:w w:val="95"/>
                <w:sz w:val="21"/>
              </w:rPr>
              <w:t xml:space="preserve">年，城镇人口密集区现有不符合安全和卫生防护距离要求 </w:t>
            </w:r>
            <w:r>
              <w:rPr>
                <w:spacing w:val="-16"/>
                <w:w w:val="95"/>
                <w:sz w:val="21"/>
              </w:rPr>
              <w:t xml:space="preserve">的危险化学品生产企业就地改造达标、搬迁进入规范化工 </w:t>
            </w:r>
            <w:r>
              <w:rPr>
                <w:spacing w:val="-16"/>
                <w:sz w:val="21"/>
              </w:rPr>
              <w:t>园区或关闭退出。</w:t>
            </w:r>
          </w:p>
          <w:p>
            <w:pPr>
              <w:pStyle w:val="TableParagraph"/>
              <w:spacing w:before="5" w:line="290" w:lineRule="auto"/>
              <w:ind w:left="111" w:right="-15"/>
              <w:rPr>
                <w:sz w:val="21"/>
              </w:rPr>
            </w:pPr>
            <w:r>
              <w:rPr>
                <w:rFonts w:ascii="Times New Roman" w:eastAsia="Times New Roman"/>
                <w:w w:val="95"/>
                <w:sz w:val="21"/>
              </w:rPr>
              <w:t>5</w:t>
            </w:r>
            <w:r>
              <w:rPr>
                <w:spacing w:val="-10"/>
                <w:w w:val="95"/>
                <w:sz w:val="21"/>
              </w:rPr>
              <w:t xml:space="preserve">、淘汰《产业结构调整指导目录》中淘汰类工艺、技术、 </w:t>
            </w:r>
            <w:r>
              <w:rPr>
                <w:spacing w:val="-10"/>
                <w:sz w:val="21"/>
              </w:rPr>
              <w:t>装备及产品。</w:t>
            </w:r>
          </w:p>
          <w:p>
            <w:pPr>
              <w:pStyle w:val="TableParagraph"/>
              <w:spacing w:before="2" w:line="290" w:lineRule="auto"/>
              <w:ind w:left="111" w:right="94"/>
              <w:rPr>
                <w:sz w:val="21"/>
              </w:rPr>
            </w:pPr>
            <w:r>
              <w:rPr>
                <w:rFonts w:ascii="Times New Roman" w:eastAsia="Times New Roman"/>
                <w:sz w:val="21"/>
              </w:rPr>
              <w:t>6</w:t>
            </w:r>
            <w:r>
              <w:rPr>
                <w:sz w:val="21"/>
              </w:rPr>
              <w:t>、落实《关于进一步加强危险化学品安全生产管理工作的若干意见》，关闭不具备安全生产条件企业。</w:t>
            </w:r>
          </w:p>
          <w:p>
            <w:pPr>
              <w:pStyle w:val="TableParagraph"/>
              <w:spacing w:before="2" w:line="290" w:lineRule="auto"/>
              <w:ind w:left="111" w:right="-15"/>
              <w:rPr>
                <w:sz w:val="21"/>
              </w:rPr>
            </w:pPr>
            <w:r>
              <w:rPr>
                <w:rFonts w:ascii="Times New Roman" w:eastAsia="Times New Roman"/>
                <w:sz w:val="21"/>
              </w:rPr>
              <w:t>7</w:t>
            </w:r>
            <w:r>
              <w:rPr>
                <w:sz w:val="21"/>
              </w:rPr>
              <w:t>、淘汰不达标工业炉窑，逐步取缔燃煤热风炉，淘汰热电联产供热管网覆盖范围内的燃煤加热、烘干炉（窑）； 淘汰炉膛直径</w:t>
            </w:r>
            <w:r>
              <w:rPr>
                <w:rFonts w:ascii="Times New Roman" w:eastAsia="Times New Roman"/>
                <w:sz w:val="21"/>
              </w:rPr>
              <w:t>3</w:t>
            </w:r>
            <w:r>
              <w:rPr>
                <w:sz w:val="21"/>
              </w:rPr>
              <w:t xml:space="preserve">米（不含）以下燃料类煤气发生炉；对热效率低下、敞开未封闭，装备简易落后、自动化程度低， </w:t>
            </w:r>
            <w:r>
              <w:rPr>
                <w:spacing w:val="-10"/>
                <w:sz w:val="21"/>
              </w:rPr>
              <w:t>无组织排放突出，以及无治理设施或治理设施工艺落后等严重污染环境的工业炉窑，责令停业关闭。</w:t>
            </w:r>
          </w:p>
          <w:p>
            <w:pPr>
              <w:pStyle w:val="TableParagraph"/>
              <w:spacing w:before="7" w:line="292" w:lineRule="auto"/>
              <w:ind w:left="111" w:right="91"/>
              <w:jc w:val="both"/>
              <w:rPr>
                <w:sz w:val="21"/>
              </w:rPr>
            </w:pPr>
            <w:r>
              <w:rPr>
                <w:rFonts w:ascii="Times New Roman" w:eastAsia="Times New Roman"/>
                <w:sz w:val="21"/>
              </w:rPr>
              <w:t>8</w:t>
            </w:r>
            <w:r>
              <w:rPr>
                <w:sz w:val="21"/>
              </w:rPr>
              <w:t>、优化燃煤机组发电组合，提升高效大容量机组发电利</w:t>
            </w:r>
            <w:r>
              <w:rPr>
                <w:spacing w:val="-10"/>
                <w:w w:val="95"/>
                <w:sz w:val="21"/>
              </w:rPr>
              <w:t xml:space="preserve">用率，减少低效机组运行时间。逐步推进现役燃煤发电机 </w:t>
            </w:r>
            <w:r>
              <w:rPr>
                <w:spacing w:val="-11"/>
                <w:w w:val="95"/>
                <w:sz w:val="21"/>
              </w:rPr>
              <w:t xml:space="preserve">组改造，加大落后机组淘汰力度，除所在地区唯一、不可 </w:t>
            </w:r>
            <w:r>
              <w:rPr>
                <w:spacing w:val="-15"/>
                <w:w w:val="95"/>
                <w:sz w:val="21"/>
              </w:rPr>
              <w:t>替代民生热源机组外，逐步关停单机容量</w:t>
            </w:r>
            <w:r>
              <w:rPr>
                <w:rFonts w:ascii="Times New Roman" w:eastAsia="Times New Roman"/>
                <w:w w:val="95"/>
                <w:sz w:val="21"/>
              </w:rPr>
              <w:t>30</w:t>
            </w:r>
            <w:r>
              <w:rPr>
                <w:w w:val="95"/>
                <w:sz w:val="21"/>
              </w:rPr>
              <w:t xml:space="preserve">万千瓦以下燃 </w:t>
            </w:r>
            <w:r>
              <w:rPr>
                <w:sz w:val="21"/>
              </w:rPr>
              <w:t>煤机组及配套锅炉。</w:t>
            </w:r>
          </w:p>
          <w:p>
            <w:pPr>
              <w:pStyle w:val="TableParagraph"/>
              <w:spacing w:line="262" w:lineRule="exact"/>
              <w:ind w:left="111"/>
              <w:rPr>
                <w:sz w:val="21"/>
              </w:rPr>
            </w:pPr>
            <w:r>
              <w:rPr>
                <w:rFonts w:ascii="Times New Roman" w:eastAsia="Times New Roman"/>
                <w:sz w:val="21"/>
              </w:rPr>
              <w:t>9</w:t>
            </w:r>
            <w:r>
              <w:rPr>
                <w:sz w:val="21"/>
              </w:rPr>
              <w:t>、加强监管工业用地控制线范围以外区域已建排放重金</w:t>
            </w:r>
          </w:p>
        </w:tc>
        <w:tc>
          <w:tcPr>
            <w:tcW w:w="1084"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7"/>
              </w:rPr>
            </w:pPr>
          </w:p>
          <w:p>
            <w:pPr>
              <w:pStyle w:val="TableParagraph"/>
              <w:spacing w:line="290" w:lineRule="auto"/>
              <w:ind w:left="126" w:right="107"/>
              <w:jc w:val="both"/>
              <w:rPr>
                <w:sz w:val="21"/>
              </w:rPr>
            </w:pPr>
            <w:r>
              <w:rPr>
                <w:sz w:val="21"/>
              </w:rPr>
              <w:t>项目不涉及左侧所述内容。</w:t>
            </w:r>
          </w:p>
        </w:tc>
        <w:tc>
          <w:tcPr>
            <w:tcW w:w="787"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64"/>
              <w:ind w:left="187"/>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pStyle w:val="BodyText"/>
        <w:rPr>
          <w:sz w:val="20"/>
        </w:rPr>
      </w:pPr>
    </w:p>
    <w:p>
      <w:pPr>
        <w:pStyle w:val="BodyText"/>
        <w:rPr>
          <w:sz w:val="20"/>
        </w:rPr>
      </w:pPr>
    </w:p>
    <w:p>
      <w:pPr>
        <w:tabs>
          <w:tab w:val="left" w:pos="1571"/>
        </w:tabs>
        <w:spacing w:before="212"/>
        <w:ind w:left="631" w:right="0" w:firstLine="0"/>
        <w:jc w:val="left"/>
        <w:rPr>
          <w:sz w:val="28"/>
        </w:rPr>
      </w:pPr>
      <w:r>
        <w:rPr>
          <w:sz w:val="28"/>
        </w:rPr>
        <w:t>—</w:t>
      </w:r>
      <w:r>
        <w:rPr>
          <w:spacing w:val="59"/>
          <w:sz w:val="28"/>
        </w:rPr>
        <w:t xml:space="preserve"> </w:t>
      </w:r>
      <w:r>
        <w:rPr>
          <w:sz w:val="26"/>
        </w:rPr>
        <w:t>12</w:t>
      </w:r>
      <w:r>
        <w:rPr>
          <w:sz w:val="26"/>
        </w:rPr>
        <w:tab/>
      </w:r>
      <w:r>
        <w:rPr>
          <w:sz w:val="28"/>
        </w:rPr>
        <w:t>—</w:t>
      </w:r>
    </w:p>
    <w:p>
      <w:pPr>
        <w:spacing w:after="0"/>
        <w:jc w:val="left"/>
        <w:rPr>
          <w:sz w:val="28"/>
        </w:rPr>
        <w:sectPr>
          <w:pgSz w:w="11910" w:h="16840"/>
          <w:pgMar w:top="1580" w:right="879" w:bottom="280" w:left="900" w:header="720" w:footer="720" w:gutter="0"/>
          <w:pgNumType w:start="13"/>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797"/>
        <w:gridCol w:w="455"/>
        <w:gridCol w:w="5371"/>
        <w:gridCol w:w="1084"/>
        <w:gridCol w:w="787"/>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85"/>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797"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455"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5371" w:type="dxa"/>
            <w:tcBorders>
              <w:left w:val="single" w:sz="4" w:space="0" w:color="000000"/>
              <w:bottom w:val="nil"/>
              <w:right w:val="single" w:sz="4" w:space="0" w:color="000000"/>
            </w:tcBorders>
          </w:tcPr>
          <w:p>
            <w:pPr>
              <w:pStyle w:val="TableParagraph"/>
              <w:spacing w:before="2" w:line="264" w:lineRule="exact"/>
              <w:ind w:left="111"/>
              <w:rPr>
                <w:sz w:val="21"/>
              </w:rPr>
            </w:pPr>
            <w:r>
              <w:rPr>
                <w:sz w:val="21"/>
              </w:rPr>
              <w:t>属污染物的项目，逐步实施搬迁、转产、转型。</w:t>
            </w:r>
          </w:p>
        </w:tc>
        <w:tc>
          <w:tcPr>
            <w:tcW w:w="1084"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787"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645"/>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20"/>
              <w:ind w:left="111"/>
              <w:rPr>
                <w:sz w:val="21"/>
              </w:rPr>
            </w:pPr>
            <w:r>
              <w:rPr>
                <w:rFonts w:ascii="Times New Roman" w:eastAsia="Times New Roman"/>
                <w:w w:val="95"/>
                <w:sz w:val="21"/>
              </w:rPr>
              <w:t>10</w:t>
            </w:r>
            <w:r>
              <w:rPr>
                <w:spacing w:val="-49"/>
                <w:w w:val="95"/>
                <w:sz w:val="21"/>
              </w:rPr>
              <w:t>、</w:t>
            </w:r>
            <w:r>
              <w:rPr>
                <w:rFonts w:ascii="Times New Roman" w:eastAsia="Times New Roman"/>
                <w:w w:val="95"/>
                <w:sz w:val="21"/>
              </w:rPr>
              <w:t>2022</w:t>
            </w:r>
            <w:r>
              <w:rPr>
                <w:spacing w:val="-7"/>
                <w:w w:val="95"/>
                <w:sz w:val="21"/>
              </w:rPr>
              <w:t>年年底，阳煤平原化工完成产业升级搬迁改造一</w:t>
            </w:r>
          </w:p>
          <w:p>
            <w:pPr>
              <w:pStyle w:val="TableParagraph"/>
              <w:spacing w:before="60"/>
              <w:ind w:left="111"/>
              <w:rPr>
                <w:rFonts w:ascii="Times New Roman" w:eastAsia="Times New Roman"/>
                <w:sz w:val="21"/>
              </w:rPr>
            </w:pPr>
            <w:r>
              <w:rPr>
                <w:spacing w:val="-18"/>
                <w:w w:val="99"/>
                <w:sz w:val="21"/>
              </w:rPr>
              <w:t>期建设项目，</w:t>
            </w:r>
            <w:r>
              <w:rPr>
                <w:rFonts w:ascii="Times New Roman" w:eastAsia="Times New Roman"/>
                <w:spacing w:val="1"/>
                <w:w w:val="99"/>
                <w:sz w:val="21"/>
              </w:rPr>
              <w:t>20</w:t>
            </w:r>
            <w:r>
              <w:rPr>
                <w:rFonts w:ascii="Times New Roman" w:eastAsia="Times New Roman"/>
                <w:spacing w:val="-2"/>
                <w:w w:val="99"/>
                <w:sz w:val="21"/>
              </w:rPr>
              <w:t>2</w:t>
            </w:r>
            <w:r>
              <w:rPr>
                <w:rFonts w:ascii="Times New Roman" w:eastAsia="Times New Roman"/>
                <w:spacing w:val="1"/>
                <w:w w:val="99"/>
                <w:sz w:val="21"/>
              </w:rPr>
              <w:t>5</w:t>
            </w:r>
            <w:r>
              <w:rPr>
                <w:spacing w:val="-10"/>
                <w:w w:val="99"/>
                <w:sz w:val="21"/>
              </w:rPr>
              <w:t>年底前完成二期建设项目，淘汰现有</w:t>
            </w:r>
            <w:r>
              <w:rPr>
                <w:rFonts w:ascii="Times New Roman" w:eastAsia="Times New Roman"/>
                <w:spacing w:val="1"/>
                <w:w w:val="99"/>
                <w:sz w:val="21"/>
              </w:rPr>
              <w:t>10</w:t>
            </w:r>
            <w:r>
              <w:rPr>
                <w:rFonts w:ascii="Times New Roman" w:eastAsia="Times New Roman"/>
                <w:w w:val="99"/>
                <w:sz w:val="21"/>
              </w:rPr>
              <w:t>0</w:t>
            </w:r>
          </w:p>
        </w:tc>
        <w:tc>
          <w:tcPr>
            <w:tcW w:w="1084" w:type="dxa"/>
            <w:vMerge/>
            <w:tcBorders>
              <w:top w:val="nil"/>
              <w:left w:val="single" w:sz="4" w:space="0" w:color="000000"/>
              <w:bottom w:val="single" w:sz="4" w:space="0" w:color="000000"/>
              <w:right w:val="single" w:sz="4" w:space="0" w:color="000000"/>
            </w:tcBorders>
          </w:tcPr>
          <w:p>
            <w:pPr>
              <w:rPr>
                <w:sz w:val="2"/>
                <w:szCs w:val="2"/>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31"/>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single" w:sz="4" w:space="0" w:color="000000"/>
              <w:right w:val="single" w:sz="4" w:space="0" w:color="000000"/>
            </w:tcBorders>
          </w:tcPr>
          <w:p>
            <w:pPr>
              <w:pStyle w:val="TableParagraph"/>
              <w:spacing w:before="10"/>
              <w:ind w:left="111"/>
              <w:rPr>
                <w:sz w:val="21"/>
              </w:rPr>
            </w:pPr>
            <w:r>
              <w:rPr>
                <w:sz w:val="21"/>
              </w:rPr>
              <w:t>万吨落后工艺的氨醇装置。</w:t>
            </w:r>
          </w:p>
        </w:tc>
        <w:tc>
          <w:tcPr>
            <w:tcW w:w="1084" w:type="dxa"/>
            <w:vMerge/>
            <w:tcBorders>
              <w:top w:val="nil"/>
              <w:left w:val="single" w:sz="4" w:space="0" w:color="000000"/>
              <w:bottom w:val="single" w:sz="4" w:space="0" w:color="000000"/>
              <w:right w:val="single" w:sz="4" w:space="0" w:color="000000"/>
            </w:tcBorders>
          </w:tcPr>
          <w:p>
            <w:pPr>
              <w:rPr>
                <w:sz w:val="2"/>
                <w:szCs w:val="2"/>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80"/>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455"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2"/>
              <w:rPr>
                <w:sz w:val="28"/>
              </w:rPr>
            </w:pPr>
          </w:p>
          <w:p>
            <w:pPr>
              <w:pStyle w:val="TableParagraph"/>
              <w:spacing w:line="290" w:lineRule="auto"/>
              <w:ind w:left="125" w:right="108"/>
              <w:jc w:val="both"/>
              <w:rPr>
                <w:sz w:val="21"/>
              </w:rPr>
            </w:pPr>
            <w:r>
              <w:rPr>
                <w:sz w:val="21"/>
              </w:rPr>
              <w:t>允许排放量要求</w:t>
            </w:r>
          </w:p>
        </w:tc>
        <w:tc>
          <w:tcPr>
            <w:tcW w:w="5371" w:type="dxa"/>
            <w:tcBorders>
              <w:top w:val="single" w:sz="4" w:space="0" w:color="000000"/>
              <w:left w:val="single" w:sz="4" w:space="0" w:color="000000"/>
              <w:bottom w:val="nil"/>
              <w:right w:val="single" w:sz="4" w:space="0" w:color="000000"/>
            </w:tcBorders>
          </w:tcPr>
          <w:p>
            <w:pPr>
              <w:pStyle w:val="TableParagraph"/>
              <w:spacing w:line="260" w:lineRule="exact"/>
              <w:ind w:left="111"/>
              <w:rPr>
                <w:sz w:val="21"/>
              </w:rPr>
            </w:pPr>
            <w:r>
              <w:rPr>
                <w:sz w:val="21"/>
              </w:rPr>
              <w:t>大气污染物允许排放要求：</w:t>
            </w:r>
          </w:p>
        </w:tc>
        <w:tc>
          <w:tcPr>
            <w:tcW w:w="1084"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78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604"/>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8"/>
              <w:ind w:left="111"/>
              <w:rPr>
                <w:sz w:val="21"/>
              </w:rPr>
            </w:pPr>
            <w:r>
              <w:rPr>
                <w:rFonts w:ascii="Times New Roman" w:eastAsia="Times New Roman"/>
                <w:position w:val="2"/>
                <w:sz w:val="21"/>
              </w:rPr>
              <w:t>1</w:t>
            </w:r>
            <w:r>
              <w:rPr>
                <w:position w:val="2"/>
                <w:sz w:val="21"/>
              </w:rPr>
              <w:t>、</w:t>
            </w:r>
            <w:r>
              <w:rPr>
                <w:rFonts w:ascii="Times New Roman" w:eastAsia="Times New Roman"/>
                <w:position w:val="2"/>
                <w:sz w:val="21"/>
              </w:rPr>
              <w:t>2025</w:t>
            </w:r>
            <w:r>
              <w:rPr>
                <w:position w:val="2"/>
                <w:sz w:val="21"/>
              </w:rPr>
              <w:t>年：区域内相比</w:t>
            </w:r>
            <w:r>
              <w:rPr>
                <w:rFonts w:ascii="Times New Roman" w:eastAsia="Times New Roman"/>
                <w:position w:val="2"/>
                <w:sz w:val="21"/>
              </w:rPr>
              <w:t>2017</w:t>
            </w:r>
            <w:r>
              <w:rPr>
                <w:position w:val="2"/>
                <w:sz w:val="21"/>
              </w:rPr>
              <w:t>年，</w:t>
            </w:r>
            <w:r>
              <w:rPr>
                <w:rFonts w:ascii="Times New Roman" w:eastAsia="Times New Roman"/>
                <w:position w:val="2"/>
                <w:sz w:val="21"/>
              </w:rPr>
              <w:t>SO</w:t>
            </w:r>
            <w:r>
              <w:rPr>
                <w:rFonts w:ascii="Times New Roman" w:eastAsia="Times New Roman"/>
                <w:position w:val="2"/>
                <w:sz w:val="21"/>
                <w:vertAlign w:val="subscript"/>
              </w:rPr>
              <w:t>2</w:t>
            </w:r>
            <w:r>
              <w:rPr>
                <w:position w:val="2"/>
                <w:sz w:val="21"/>
                <w:vertAlign w:val="baseline"/>
              </w:rPr>
              <w:t>削减比例不低于</w:t>
            </w:r>
          </w:p>
          <w:p>
            <w:pPr>
              <w:pStyle w:val="TableParagraph"/>
              <w:spacing w:before="54" w:line="292" w:lineRule="auto"/>
              <w:ind w:left="111" w:right="94"/>
              <w:jc w:val="both"/>
              <w:rPr>
                <w:sz w:val="21"/>
              </w:rPr>
            </w:pPr>
            <w:r>
              <w:rPr>
                <w:rFonts w:ascii="Times New Roman" w:eastAsia="Times New Roman"/>
                <w:w w:val="95"/>
                <w:sz w:val="21"/>
              </w:rPr>
              <w:t>12.9%</w:t>
            </w:r>
            <w:r>
              <w:rPr>
                <w:w w:val="95"/>
                <w:sz w:val="21"/>
              </w:rPr>
              <w:t>；</w:t>
            </w:r>
            <w:r>
              <w:rPr>
                <w:rFonts w:ascii="Times New Roman" w:eastAsia="Times New Roman"/>
                <w:w w:val="95"/>
                <w:sz w:val="21"/>
              </w:rPr>
              <w:t>NOx</w:t>
            </w:r>
            <w:r>
              <w:rPr>
                <w:w w:val="95"/>
                <w:sz w:val="21"/>
              </w:rPr>
              <w:t>削减比例不低于</w:t>
            </w:r>
            <w:r>
              <w:rPr>
                <w:rFonts w:ascii="Times New Roman" w:eastAsia="Times New Roman"/>
                <w:w w:val="95"/>
                <w:sz w:val="21"/>
              </w:rPr>
              <w:t>18.7%</w:t>
            </w:r>
            <w:r>
              <w:rPr>
                <w:w w:val="95"/>
                <w:sz w:val="21"/>
              </w:rPr>
              <w:t>；</w:t>
            </w:r>
            <w:r>
              <w:rPr>
                <w:rFonts w:ascii="Times New Roman" w:eastAsia="Times New Roman"/>
                <w:w w:val="95"/>
                <w:sz w:val="21"/>
              </w:rPr>
              <w:t>PM10</w:t>
            </w:r>
            <w:r>
              <w:rPr>
                <w:w w:val="95"/>
                <w:sz w:val="21"/>
              </w:rPr>
              <w:t xml:space="preserve">削减比例不低 </w:t>
            </w:r>
            <w:r>
              <w:rPr>
                <w:spacing w:val="4"/>
                <w:sz w:val="21"/>
              </w:rPr>
              <w:t>于</w:t>
            </w:r>
            <w:r>
              <w:rPr>
                <w:rFonts w:ascii="Times New Roman" w:eastAsia="Times New Roman"/>
                <w:sz w:val="21"/>
              </w:rPr>
              <w:t>23.6%</w:t>
            </w:r>
            <w:r>
              <w:rPr>
                <w:sz w:val="21"/>
              </w:rPr>
              <w:t>；</w:t>
            </w:r>
            <w:r>
              <w:rPr>
                <w:rFonts w:ascii="Times New Roman" w:eastAsia="Times New Roman"/>
                <w:sz w:val="21"/>
              </w:rPr>
              <w:t>PM2.5</w:t>
            </w:r>
            <w:r>
              <w:rPr>
                <w:sz w:val="21"/>
              </w:rPr>
              <w:t>削减比例不低于</w:t>
            </w:r>
            <w:r>
              <w:rPr>
                <w:rFonts w:ascii="Times New Roman" w:eastAsia="Times New Roman"/>
                <w:sz w:val="21"/>
              </w:rPr>
              <w:t>15.1%</w:t>
            </w:r>
            <w:r>
              <w:rPr>
                <w:sz w:val="21"/>
              </w:rPr>
              <w:t>；</w:t>
            </w:r>
            <w:r>
              <w:rPr>
                <w:rFonts w:ascii="Times New Roman" w:eastAsia="Times New Roman"/>
                <w:sz w:val="21"/>
              </w:rPr>
              <w:t>VOCs</w:t>
            </w:r>
            <w:r>
              <w:rPr>
                <w:sz w:val="21"/>
              </w:rPr>
              <w:t>削减比例不低于</w:t>
            </w:r>
            <w:r>
              <w:rPr>
                <w:rFonts w:ascii="Times New Roman" w:eastAsia="Times New Roman"/>
                <w:sz w:val="21"/>
              </w:rPr>
              <w:t>18.0%</w:t>
            </w:r>
            <w:r>
              <w:rPr>
                <w:sz w:val="21"/>
              </w:rPr>
              <w:t>；</w:t>
            </w:r>
            <w:r>
              <w:rPr>
                <w:rFonts w:ascii="Times New Roman" w:eastAsia="Times New Roman"/>
                <w:sz w:val="21"/>
              </w:rPr>
              <w:t>NH3</w:t>
            </w:r>
            <w:r>
              <w:rPr>
                <w:sz w:val="21"/>
              </w:rPr>
              <w:t>削减比例不低于</w:t>
            </w:r>
            <w:r>
              <w:rPr>
                <w:rFonts w:ascii="Times New Roman" w:eastAsia="Times New Roman"/>
                <w:sz w:val="21"/>
              </w:rPr>
              <w:t>10.6%</w:t>
            </w:r>
            <w:r>
              <w:rPr>
                <w:sz w:val="21"/>
              </w:rPr>
              <w:t>。</w:t>
            </w:r>
          </w:p>
          <w:p>
            <w:pPr>
              <w:pStyle w:val="TableParagraph"/>
              <w:spacing w:line="285" w:lineRule="auto"/>
              <w:ind w:left="111" w:right="90"/>
              <w:jc w:val="both"/>
              <w:rPr>
                <w:rFonts w:ascii="Times New Roman" w:eastAsia="Times New Roman"/>
                <w:sz w:val="21"/>
              </w:rPr>
            </w:pPr>
            <w:r>
              <w:rPr>
                <w:rFonts w:ascii="Times New Roman" w:eastAsia="Times New Roman"/>
                <w:w w:val="95"/>
                <w:position w:val="2"/>
                <w:sz w:val="21"/>
              </w:rPr>
              <w:t>2</w:t>
            </w:r>
            <w:r>
              <w:rPr>
                <w:spacing w:val="-5"/>
                <w:w w:val="95"/>
                <w:position w:val="2"/>
                <w:sz w:val="21"/>
              </w:rPr>
              <w:t>、</w:t>
            </w:r>
            <w:r>
              <w:rPr>
                <w:rFonts w:ascii="Times New Roman" w:eastAsia="Times New Roman"/>
                <w:w w:val="95"/>
                <w:position w:val="2"/>
                <w:sz w:val="21"/>
              </w:rPr>
              <w:t>2035</w:t>
            </w:r>
            <w:r>
              <w:rPr>
                <w:spacing w:val="-2"/>
                <w:w w:val="95"/>
                <w:position w:val="2"/>
                <w:sz w:val="21"/>
              </w:rPr>
              <w:t>年：区域内</w:t>
            </w:r>
            <w:r>
              <w:rPr>
                <w:rFonts w:ascii="Times New Roman" w:eastAsia="Times New Roman"/>
                <w:w w:val="95"/>
                <w:position w:val="2"/>
                <w:sz w:val="21"/>
              </w:rPr>
              <w:t>SO</w:t>
            </w:r>
            <w:r>
              <w:rPr>
                <w:rFonts w:ascii="Times New Roman" w:eastAsia="Times New Roman"/>
                <w:w w:val="95"/>
                <w:position w:val="2"/>
                <w:sz w:val="21"/>
                <w:vertAlign w:val="subscript"/>
              </w:rPr>
              <w:t>2</w:t>
            </w:r>
            <w:r>
              <w:rPr>
                <w:w w:val="95"/>
                <w:position w:val="2"/>
                <w:sz w:val="21"/>
                <w:vertAlign w:val="baseline"/>
              </w:rPr>
              <w:t>削减比例不低于</w:t>
            </w:r>
            <w:r>
              <w:rPr>
                <w:rFonts w:ascii="Times New Roman" w:eastAsia="Times New Roman"/>
                <w:w w:val="95"/>
                <w:position w:val="2"/>
                <w:sz w:val="21"/>
                <w:vertAlign w:val="baseline"/>
              </w:rPr>
              <w:t>26.2%</w:t>
            </w:r>
            <w:r>
              <w:rPr>
                <w:w w:val="95"/>
                <w:position w:val="2"/>
                <w:sz w:val="21"/>
                <w:vertAlign w:val="baseline"/>
              </w:rPr>
              <w:t>；</w:t>
            </w:r>
            <w:r>
              <w:rPr>
                <w:rFonts w:ascii="Times New Roman" w:eastAsia="Times New Roman"/>
                <w:w w:val="95"/>
                <w:position w:val="2"/>
                <w:sz w:val="21"/>
                <w:vertAlign w:val="baseline"/>
              </w:rPr>
              <w:t>NOx</w:t>
            </w:r>
            <w:r>
              <w:rPr>
                <w:w w:val="95"/>
                <w:position w:val="2"/>
                <w:sz w:val="21"/>
                <w:vertAlign w:val="baseline"/>
              </w:rPr>
              <w:t xml:space="preserve">削减 </w:t>
            </w:r>
            <w:r>
              <w:rPr>
                <w:position w:val="2"/>
                <w:sz w:val="21"/>
                <w:vertAlign w:val="baseline"/>
              </w:rPr>
              <w:t>比例不低于</w:t>
            </w:r>
            <w:r>
              <w:rPr>
                <w:rFonts w:ascii="Times New Roman" w:eastAsia="Times New Roman"/>
                <w:position w:val="2"/>
                <w:sz w:val="21"/>
                <w:vertAlign w:val="baseline"/>
              </w:rPr>
              <w:t>37.9%</w:t>
            </w:r>
            <w:r>
              <w:rPr>
                <w:position w:val="2"/>
                <w:sz w:val="21"/>
                <w:vertAlign w:val="baseline"/>
              </w:rPr>
              <w:t>；</w:t>
            </w:r>
            <w:r>
              <w:rPr>
                <w:rFonts w:ascii="Times New Roman" w:eastAsia="Times New Roman"/>
                <w:position w:val="2"/>
                <w:sz w:val="21"/>
                <w:vertAlign w:val="baseline"/>
              </w:rPr>
              <w:t>PM</w:t>
            </w:r>
            <w:r>
              <w:rPr>
                <w:rFonts w:ascii="Times New Roman" w:eastAsia="Times New Roman"/>
                <w:position w:val="2"/>
                <w:sz w:val="21"/>
                <w:vertAlign w:val="subscript"/>
              </w:rPr>
              <w:t>10</w:t>
            </w:r>
            <w:r>
              <w:rPr>
                <w:position w:val="2"/>
                <w:sz w:val="21"/>
                <w:vertAlign w:val="baseline"/>
              </w:rPr>
              <w:t>削减比例不低于</w:t>
            </w:r>
            <w:r>
              <w:rPr>
                <w:rFonts w:ascii="Times New Roman" w:eastAsia="Times New Roman"/>
                <w:position w:val="2"/>
                <w:sz w:val="21"/>
                <w:vertAlign w:val="baseline"/>
              </w:rPr>
              <w:t>47.9%</w:t>
            </w:r>
            <w:r>
              <w:rPr>
                <w:position w:val="2"/>
                <w:sz w:val="21"/>
                <w:vertAlign w:val="baseline"/>
              </w:rPr>
              <w:t>；</w:t>
            </w:r>
            <w:r>
              <w:rPr>
                <w:rFonts w:ascii="Times New Roman" w:eastAsia="Times New Roman"/>
                <w:position w:val="2"/>
                <w:sz w:val="21"/>
                <w:vertAlign w:val="baseline"/>
              </w:rPr>
              <w:t>PM</w:t>
            </w:r>
            <w:r>
              <w:rPr>
                <w:rFonts w:ascii="Times New Roman" w:eastAsia="Times New Roman"/>
                <w:position w:val="2"/>
                <w:sz w:val="21"/>
                <w:vertAlign w:val="subscript"/>
              </w:rPr>
              <w:t>2.5</w:t>
            </w:r>
            <w:r>
              <w:rPr>
                <w:spacing w:val="-14"/>
                <w:position w:val="2"/>
                <w:sz w:val="21"/>
                <w:vertAlign w:val="baseline"/>
              </w:rPr>
              <w:t>削</w:t>
            </w:r>
            <w:r>
              <w:rPr>
                <w:position w:val="2"/>
                <w:sz w:val="21"/>
                <w:vertAlign w:val="baseline"/>
              </w:rPr>
              <w:t>减比例不低于</w:t>
            </w:r>
            <w:r>
              <w:rPr>
                <w:rFonts w:ascii="Times New Roman" w:eastAsia="Times New Roman"/>
                <w:position w:val="2"/>
                <w:sz w:val="21"/>
                <w:vertAlign w:val="baseline"/>
              </w:rPr>
              <w:t>30.7%</w:t>
            </w:r>
            <w:r>
              <w:rPr>
                <w:position w:val="2"/>
                <w:sz w:val="21"/>
                <w:vertAlign w:val="baseline"/>
              </w:rPr>
              <w:t>；</w:t>
            </w:r>
            <w:r>
              <w:rPr>
                <w:rFonts w:ascii="Times New Roman" w:eastAsia="Times New Roman"/>
                <w:position w:val="2"/>
                <w:sz w:val="21"/>
                <w:vertAlign w:val="baseline"/>
              </w:rPr>
              <w:t>VOCs</w:t>
            </w:r>
            <w:r>
              <w:rPr>
                <w:position w:val="2"/>
                <w:sz w:val="21"/>
                <w:vertAlign w:val="baseline"/>
              </w:rPr>
              <w:t>削减比例不低于</w:t>
            </w:r>
            <w:r>
              <w:rPr>
                <w:rFonts w:ascii="Times New Roman" w:eastAsia="Times New Roman"/>
                <w:position w:val="2"/>
                <w:sz w:val="21"/>
                <w:vertAlign w:val="baseline"/>
              </w:rPr>
              <w:t>36.7%</w:t>
            </w:r>
            <w:r>
              <w:rPr>
                <w:position w:val="2"/>
                <w:sz w:val="21"/>
                <w:vertAlign w:val="baseline"/>
              </w:rPr>
              <w:t>；</w:t>
            </w:r>
            <w:r>
              <w:rPr>
                <w:rFonts w:ascii="Times New Roman" w:eastAsia="Times New Roman"/>
                <w:position w:val="2"/>
                <w:sz w:val="21"/>
                <w:vertAlign w:val="baseline"/>
              </w:rPr>
              <w:t>NH</w:t>
            </w:r>
            <w:r>
              <w:rPr>
                <w:rFonts w:ascii="Times New Roman" w:eastAsia="Times New Roman"/>
                <w:position w:val="2"/>
                <w:sz w:val="21"/>
                <w:vertAlign w:val="subscript"/>
              </w:rPr>
              <w:t>3</w:t>
            </w:r>
          </w:p>
          <w:p>
            <w:pPr>
              <w:pStyle w:val="TableParagraph"/>
              <w:ind w:left="111"/>
              <w:rPr>
                <w:sz w:val="21"/>
              </w:rPr>
            </w:pPr>
            <w:r>
              <w:rPr>
                <w:sz w:val="21"/>
              </w:rPr>
              <w:t>削减比例不低于</w:t>
            </w:r>
            <w:r>
              <w:rPr>
                <w:rFonts w:ascii="Times New Roman" w:eastAsia="Times New Roman"/>
                <w:sz w:val="21"/>
              </w:rPr>
              <w:t>21.5%</w:t>
            </w:r>
            <w:r>
              <w:rPr>
                <w:sz w:val="21"/>
              </w:rPr>
              <w:t>。</w:t>
            </w:r>
          </w:p>
        </w:tc>
        <w:tc>
          <w:tcPr>
            <w:tcW w:w="1084" w:type="dxa"/>
            <w:tcBorders>
              <w:top w:val="nil"/>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spacing w:before="164" w:line="290" w:lineRule="auto"/>
              <w:ind w:left="126" w:right="107"/>
              <w:jc w:val="both"/>
              <w:rPr>
                <w:sz w:val="21"/>
              </w:rPr>
            </w:pPr>
            <w:r>
              <w:rPr>
                <w:spacing w:val="-4"/>
                <w:sz w:val="21"/>
              </w:rPr>
              <w:t>本项目产生的颗粒物、二氧化硫、氮</w:t>
            </w:r>
            <w:r>
              <w:rPr>
                <w:spacing w:val="-4"/>
                <w:w w:val="95"/>
                <w:sz w:val="21"/>
              </w:rPr>
              <w:t>氧化物、</w:t>
            </w:r>
          </w:p>
          <w:p>
            <w:pPr>
              <w:pStyle w:val="TableParagraph"/>
              <w:spacing w:before="4"/>
              <w:ind w:left="179"/>
              <w:rPr>
                <w:sz w:val="21"/>
              </w:rPr>
            </w:pPr>
            <w:r>
              <w:rPr>
                <w:rFonts w:ascii="Times New Roman" w:eastAsia="Times New Roman"/>
                <w:spacing w:val="-1"/>
                <w:w w:val="95"/>
                <w:sz w:val="21"/>
              </w:rPr>
              <w:t>VOCs</w:t>
            </w:r>
            <w:r>
              <w:rPr>
                <w:w w:val="95"/>
                <w:sz w:val="21"/>
              </w:rPr>
              <w:t>实</w:t>
            </w:r>
          </w:p>
        </w:tc>
        <w:tc>
          <w:tcPr>
            <w:tcW w:w="787" w:type="dxa"/>
            <w:tcBorders>
              <w:top w:val="nil"/>
              <w:left w:val="single" w:sz="4" w:space="0" w:color="000000"/>
              <w:bottom w:val="nil"/>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21"/>
              </w:rPr>
            </w:pPr>
          </w:p>
          <w:p>
            <w:pPr>
              <w:pStyle w:val="TableParagraph"/>
              <w:ind w:right="169"/>
              <w:jc w:val="right"/>
              <w:rPr>
                <w:sz w:val="21"/>
              </w:rPr>
            </w:pPr>
            <w:r>
              <w:rPr>
                <w:w w:val="95"/>
                <w:sz w:val="21"/>
              </w:rPr>
              <w:t>符合</w:t>
            </w: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3" w:line="265" w:lineRule="exact"/>
              <w:ind w:left="111"/>
              <w:rPr>
                <w:sz w:val="21"/>
              </w:rPr>
            </w:pPr>
            <w:r>
              <w:rPr>
                <w:sz w:val="21"/>
              </w:rPr>
              <w:t>水环境污染物允许排放量要求：</w:t>
            </w:r>
          </w:p>
        </w:tc>
        <w:tc>
          <w:tcPr>
            <w:tcW w:w="1084" w:type="dxa"/>
            <w:tcBorders>
              <w:top w:val="nil"/>
              <w:left w:val="single" w:sz="4" w:space="0" w:color="000000"/>
              <w:bottom w:val="nil"/>
              <w:right w:val="single" w:sz="4" w:space="0" w:color="000000"/>
            </w:tcBorders>
          </w:tcPr>
          <w:p>
            <w:pPr>
              <w:pStyle w:val="TableParagraph"/>
              <w:spacing w:before="10" w:line="267" w:lineRule="exact"/>
              <w:ind w:left="100" w:right="84"/>
              <w:jc w:val="center"/>
              <w:rPr>
                <w:sz w:val="21"/>
              </w:rPr>
            </w:pPr>
            <w:r>
              <w:rPr>
                <w:sz w:val="21"/>
              </w:rPr>
              <w:t>行倍量替</w:t>
            </w: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1323"/>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single" w:sz="4" w:space="0" w:color="000000"/>
              <w:right w:val="single" w:sz="4" w:space="0" w:color="000000"/>
            </w:tcBorders>
          </w:tcPr>
          <w:p>
            <w:pPr>
              <w:pStyle w:val="TableParagraph"/>
              <w:spacing w:before="21" w:line="290" w:lineRule="auto"/>
              <w:ind w:left="111" w:right="94"/>
              <w:rPr>
                <w:sz w:val="21"/>
              </w:rPr>
            </w:pPr>
            <w:r>
              <w:rPr>
                <w:rFonts w:ascii="Times New Roman" w:eastAsia="Times New Roman"/>
                <w:sz w:val="21"/>
              </w:rPr>
              <w:t>3</w:t>
            </w:r>
            <w:r>
              <w:rPr>
                <w:sz w:val="21"/>
              </w:rPr>
              <w:t>、</w:t>
            </w:r>
            <w:r>
              <w:rPr>
                <w:rFonts w:ascii="Times New Roman" w:eastAsia="Times New Roman"/>
                <w:sz w:val="21"/>
              </w:rPr>
              <w:t>2025</w:t>
            </w:r>
            <w:r>
              <w:rPr>
                <w:sz w:val="21"/>
              </w:rPr>
              <w:t>年：区域内总氮最大允许排放量为</w:t>
            </w:r>
            <w:r>
              <w:rPr>
                <w:rFonts w:ascii="Times New Roman" w:eastAsia="Times New Roman"/>
                <w:sz w:val="21"/>
              </w:rPr>
              <w:t>322.99</w:t>
            </w:r>
            <w:r>
              <w:rPr>
                <w:sz w:val="21"/>
              </w:rPr>
              <w:t>吨；总磷最大允许排放量为</w:t>
            </w:r>
            <w:r>
              <w:rPr>
                <w:rFonts w:ascii="Times New Roman" w:eastAsia="Times New Roman"/>
                <w:sz w:val="21"/>
              </w:rPr>
              <w:t>64.58</w:t>
            </w:r>
            <w:r>
              <w:rPr>
                <w:sz w:val="21"/>
              </w:rPr>
              <w:t>吨。</w:t>
            </w:r>
          </w:p>
          <w:p>
            <w:pPr>
              <w:pStyle w:val="TableParagraph"/>
              <w:spacing w:before="2"/>
              <w:ind w:left="111"/>
              <w:rPr>
                <w:sz w:val="21"/>
              </w:rPr>
            </w:pPr>
            <w:r>
              <w:rPr>
                <w:rFonts w:ascii="Times New Roman" w:eastAsia="Times New Roman"/>
                <w:sz w:val="21"/>
              </w:rPr>
              <w:t>4</w:t>
            </w:r>
            <w:r>
              <w:rPr>
                <w:sz w:val="21"/>
              </w:rPr>
              <w:t>、</w:t>
            </w:r>
            <w:r>
              <w:rPr>
                <w:rFonts w:ascii="Times New Roman" w:eastAsia="Times New Roman"/>
                <w:sz w:val="21"/>
              </w:rPr>
              <w:t>2035</w:t>
            </w:r>
            <w:r>
              <w:rPr>
                <w:sz w:val="21"/>
              </w:rPr>
              <w:t>年：区域内总氮最大允许排放量为</w:t>
            </w:r>
            <w:r>
              <w:rPr>
                <w:rFonts w:ascii="Times New Roman" w:eastAsia="Times New Roman"/>
                <w:sz w:val="21"/>
              </w:rPr>
              <w:t>305.41</w:t>
            </w:r>
            <w:r>
              <w:rPr>
                <w:sz w:val="21"/>
              </w:rPr>
              <w:t>吨；总</w:t>
            </w:r>
          </w:p>
          <w:p>
            <w:pPr>
              <w:pStyle w:val="TableParagraph"/>
              <w:spacing w:before="57"/>
              <w:ind w:left="111"/>
              <w:rPr>
                <w:sz w:val="21"/>
              </w:rPr>
            </w:pPr>
            <w:r>
              <w:rPr>
                <w:sz w:val="21"/>
              </w:rPr>
              <w:t>磷最大允许排放量为</w:t>
            </w:r>
            <w:r>
              <w:rPr>
                <w:rFonts w:ascii="Times New Roman" w:eastAsia="Times New Roman"/>
                <w:sz w:val="21"/>
              </w:rPr>
              <w:t>61.08</w:t>
            </w:r>
            <w:r>
              <w:rPr>
                <w:sz w:val="21"/>
              </w:rPr>
              <w:t>吨。</w:t>
            </w:r>
          </w:p>
        </w:tc>
        <w:tc>
          <w:tcPr>
            <w:tcW w:w="1084" w:type="dxa"/>
            <w:tcBorders>
              <w:top w:val="nil"/>
              <w:left w:val="single" w:sz="4" w:space="0" w:color="000000"/>
              <w:bottom w:val="single" w:sz="4" w:space="0" w:color="000000"/>
              <w:right w:val="single" w:sz="4" w:space="0" w:color="000000"/>
            </w:tcBorders>
          </w:tcPr>
          <w:p>
            <w:pPr>
              <w:pStyle w:val="TableParagraph"/>
              <w:spacing w:before="21"/>
              <w:ind w:left="17"/>
              <w:jc w:val="center"/>
              <w:rPr>
                <w:sz w:val="21"/>
              </w:rPr>
            </w:pPr>
            <w:r>
              <w:rPr>
                <w:w w:val="99"/>
                <w:sz w:val="21"/>
              </w:rPr>
              <w:t>代</w:t>
            </w:r>
          </w:p>
        </w:tc>
        <w:tc>
          <w:tcPr>
            <w:tcW w:w="787"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430"/>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8"/>
              <w:rPr>
                <w:sz w:val="16"/>
              </w:rPr>
            </w:pPr>
          </w:p>
          <w:p>
            <w:pPr>
              <w:pStyle w:val="TableParagraph"/>
              <w:spacing w:before="1" w:line="290" w:lineRule="auto"/>
              <w:ind w:left="125" w:right="108"/>
              <w:jc w:val="both"/>
              <w:rPr>
                <w:sz w:val="21"/>
              </w:rPr>
            </w:pPr>
            <w:r>
              <w:rPr>
                <w:sz w:val="21"/>
              </w:rPr>
              <w:t>现有源提标升级改造</w:t>
            </w:r>
          </w:p>
        </w:tc>
        <w:tc>
          <w:tcPr>
            <w:tcW w:w="5371" w:type="dxa"/>
            <w:tcBorders>
              <w:top w:val="single" w:sz="4" w:space="0" w:color="000000"/>
              <w:left w:val="single" w:sz="4" w:space="0" w:color="000000"/>
              <w:bottom w:val="nil"/>
              <w:right w:val="single" w:sz="4" w:space="0" w:color="000000"/>
            </w:tcBorders>
          </w:tcPr>
          <w:p>
            <w:pPr>
              <w:pStyle w:val="TableParagraph"/>
              <w:spacing w:before="139"/>
              <w:ind w:left="111"/>
              <w:rPr>
                <w:sz w:val="21"/>
              </w:rPr>
            </w:pPr>
            <w:r>
              <w:rPr>
                <w:rFonts w:ascii="Times New Roman" w:eastAsia="Times New Roman"/>
                <w:sz w:val="21"/>
              </w:rPr>
              <w:t>1</w:t>
            </w:r>
            <w:r>
              <w:rPr>
                <w:sz w:val="21"/>
              </w:rPr>
              <w:t>、工业炉窑升级改造，执行《工业炉窑大气污染综合治</w:t>
            </w:r>
          </w:p>
        </w:tc>
        <w:tc>
          <w:tcPr>
            <w:tcW w:w="1084"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spacing w:line="290" w:lineRule="auto"/>
              <w:ind w:left="126" w:right="107"/>
              <w:jc w:val="center"/>
              <w:rPr>
                <w:sz w:val="21"/>
              </w:rPr>
            </w:pPr>
            <w:r>
              <w:rPr>
                <w:spacing w:val="-4"/>
                <w:sz w:val="21"/>
              </w:rPr>
              <w:t>本项目属于金属表面处理及热处理加工，有组织排放的颗粒物、</w:t>
            </w:r>
            <w:r>
              <w:rPr>
                <w:sz w:val="21"/>
              </w:rPr>
              <w:t xml:space="preserve">二氧化 </w:t>
            </w:r>
            <w:r>
              <w:rPr>
                <w:spacing w:val="-4"/>
                <w:sz w:val="21"/>
              </w:rPr>
              <w:t>硫、氮氧化物废气执行《区域性大气污染物综合排放标</w:t>
            </w:r>
            <w:r>
              <w:rPr>
                <w:sz w:val="21"/>
              </w:rPr>
              <w:t>准》</w:t>
            </w:r>
          </w:p>
          <w:p>
            <w:pPr>
              <w:pStyle w:val="TableParagraph"/>
              <w:spacing w:before="13" w:line="290" w:lineRule="auto"/>
              <w:ind w:left="143" w:right="123" w:firstLine="1"/>
              <w:jc w:val="center"/>
              <w:rPr>
                <w:rFonts w:ascii="Times New Roman" w:eastAsia="Times New Roman"/>
                <w:sz w:val="21"/>
              </w:rPr>
            </w:pPr>
            <w:r>
              <w:rPr>
                <w:sz w:val="21"/>
              </w:rPr>
              <w:t>（</w:t>
            </w:r>
            <w:r>
              <w:rPr>
                <w:rFonts w:ascii="Times New Roman" w:eastAsia="Times New Roman"/>
                <w:sz w:val="21"/>
              </w:rPr>
              <w:t>DB37/ 2376-201</w:t>
            </w:r>
          </w:p>
          <w:p>
            <w:pPr>
              <w:pStyle w:val="TableParagraph"/>
              <w:spacing w:line="292" w:lineRule="auto"/>
              <w:ind w:left="126" w:right="107" w:firstLine="52"/>
              <w:jc w:val="both"/>
              <w:rPr>
                <w:sz w:val="21"/>
              </w:rPr>
            </w:pPr>
            <w:r>
              <w:rPr>
                <w:rFonts w:ascii="Times New Roman" w:eastAsia="Times New Roman" w:hAnsi="Times New Roman"/>
                <w:sz w:val="21"/>
              </w:rPr>
              <w:t>9</w:t>
            </w:r>
            <w:r>
              <w:rPr>
                <w:sz w:val="21"/>
              </w:rPr>
              <w:t>）</w:t>
            </w:r>
            <w:r>
              <w:rPr>
                <w:spacing w:val="-1"/>
                <w:sz w:val="21"/>
              </w:rPr>
              <w:t xml:space="preserve">表 </w:t>
            </w:r>
            <w:r>
              <w:rPr>
                <w:rFonts w:ascii="Times New Roman" w:eastAsia="Times New Roman" w:hAnsi="Times New Roman"/>
                <w:sz w:val="21"/>
              </w:rPr>
              <w:t xml:space="preserve">1 </w:t>
            </w:r>
            <w:r>
              <w:rPr>
                <w:spacing w:val="-4"/>
                <w:sz w:val="21"/>
              </w:rPr>
              <w:t xml:space="preserve">“重点控制区”标准要求； </w:t>
            </w:r>
            <w:r>
              <w:rPr>
                <w:spacing w:val="-4"/>
                <w:w w:val="95"/>
                <w:sz w:val="21"/>
              </w:rPr>
              <w:t>有组织排</w:t>
            </w:r>
          </w:p>
          <w:p>
            <w:pPr>
              <w:pStyle w:val="TableParagraph"/>
              <w:spacing w:line="262" w:lineRule="exact"/>
              <w:ind w:left="100" w:right="86"/>
              <w:jc w:val="center"/>
              <w:rPr>
                <w:sz w:val="21"/>
              </w:rPr>
            </w:pPr>
            <w:r>
              <w:rPr>
                <w:sz w:val="21"/>
              </w:rPr>
              <w:t>放的</w:t>
            </w:r>
          </w:p>
        </w:tc>
        <w:tc>
          <w:tcPr>
            <w:tcW w:w="78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8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5" w:line="261" w:lineRule="exact"/>
              <w:ind w:left="111" w:right="-15"/>
              <w:rPr>
                <w:sz w:val="21"/>
              </w:rPr>
            </w:pPr>
            <w:r>
              <w:rPr>
                <w:sz w:val="21"/>
              </w:rPr>
              <w:t>理方案》《山东省工业炉窑大气污染综合治理实施方案》</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spacing w:before="11" w:line="265" w:lineRule="exact"/>
              <w:ind w:left="171" w:right="155"/>
              <w:jc w:val="center"/>
              <w:rPr>
                <w:sz w:val="21"/>
              </w:rPr>
            </w:pPr>
            <w:r>
              <w:rPr>
                <w:sz w:val="21"/>
              </w:rPr>
              <w:t>污染</w:t>
            </w: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5" w:line="261" w:lineRule="exact"/>
              <w:ind w:left="111" w:right="-15"/>
              <w:rPr>
                <w:sz w:val="21"/>
              </w:rPr>
            </w:pPr>
            <w:r>
              <w:rPr>
                <w:sz w:val="21"/>
              </w:rPr>
              <w:t>中相关规定。进行燃料清洁能源替代对，以煤、石油焦、</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spacing w:before="11" w:line="265" w:lineRule="exact"/>
              <w:ind w:left="171" w:right="155"/>
              <w:jc w:val="center"/>
              <w:rPr>
                <w:sz w:val="21"/>
              </w:rPr>
            </w:pPr>
            <w:r>
              <w:rPr>
                <w:sz w:val="21"/>
              </w:rPr>
              <w:t>物排</w:t>
            </w: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5" w:line="261" w:lineRule="exact"/>
              <w:ind w:left="111"/>
              <w:rPr>
                <w:sz w:val="21"/>
              </w:rPr>
            </w:pPr>
            <w:r>
              <w:rPr>
                <w:sz w:val="21"/>
              </w:rPr>
              <w:t>渣油、重油等为燃料的工业炉窑，加快使用清洁低碳能源</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spacing w:before="11" w:line="266" w:lineRule="exact"/>
              <w:ind w:left="171" w:right="155"/>
              <w:jc w:val="center"/>
              <w:rPr>
                <w:sz w:val="21"/>
              </w:rPr>
            </w:pPr>
            <w:r>
              <w:rPr>
                <w:sz w:val="21"/>
              </w:rPr>
              <w:t>放管</w:t>
            </w: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5" w:line="261" w:lineRule="exact"/>
              <w:ind w:left="111"/>
              <w:rPr>
                <w:sz w:val="21"/>
              </w:rPr>
            </w:pPr>
            <w:r>
              <w:rPr>
                <w:sz w:val="21"/>
              </w:rPr>
              <w:t>以及利用工厂余热、电厂热力等进行替代；禁止掺烧高硫</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623"/>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spacing w:before="11"/>
              <w:ind w:left="18"/>
              <w:jc w:val="center"/>
              <w:rPr>
                <w:sz w:val="21"/>
              </w:rPr>
            </w:pPr>
            <w:r>
              <w:rPr>
                <w:w w:val="99"/>
                <w:sz w:val="21"/>
              </w:rPr>
              <w:t>控</w:t>
            </w: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8"/>
              <w:ind w:left="111"/>
              <w:rPr>
                <w:sz w:val="21"/>
              </w:rPr>
            </w:pPr>
            <w:r>
              <w:rPr>
                <w:sz w:val="21"/>
              </w:rPr>
              <w:t>石油焦（硫含量大于</w:t>
            </w:r>
            <w:r>
              <w:rPr>
                <w:rFonts w:ascii="Times New Roman" w:eastAsia="Times New Roman"/>
                <w:sz w:val="21"/>
              </w:rPr>
              <w:t>3%</w:t>
            </w:r>
            <w:r>
              <w:rPr>
                <w:sz w:val="21"/>
              </w:rPr>
              <w:t>）；加快推动铸造（</w:t>
            </w:r>
            <w:r>
              <w:rPr>
                <w:rFonts w:ascii="Times New Roman" w:eastAsia="Times New Roman"/>
                <w:sz w:val="21"/>
              </w:rPr>
              <w:t>10</w:t>
            </w:r>
            <w:r>
              <w:rPr>
                <w:sz w:val="21"/>
              </w:rPr>
              <w:t>吨</w:t>
            </w:r>
            <w:r>
              <w:rPr>
                <w:rFonts w:ascii="Times New Roman" w:eastAsia="Times New Roman"/>
                <w:sz w:val="21"/>
              </w:rPr>
              <w:t>/</w:t>
            </w:r>
            <w:r>
              <w:rPr>
                <w:sz w:val="21"/>
              </w:rPr>
              <w:t>小时及</w:t>
            </w:r>
          </w:p>
          <w:p>
            <w:pPr>
              <w:pStyle w:val="TableParagraph"/>
              <w:spacing w:before="55" w:line="261" w:lineRule="exact"/>
              <w:ind w:left="111"/>
              <w:rPr>
                <w:sz w:val="21"/>
              </w:rPr>
            </w:pPr>
            <w:r>
              <w:rPr>
                <w:sz w:val="21"/>
              </w:rPr>
              <w:t>以下）、岩棉等行业冲天炉改为电炉。</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8"/>
              <w:ind w:left="111"/>
              <w:rPr>
                <w:sz w:val="21"/>
              </w:rPr>
            </w:pPr>
            <w:r>
              <w:rPr>
                <w:rFonts w:ascii="Times New Roman" w:eastAsia="Times New Roman"/>
                <w:sz w:val="21"/>
              </w:rPr>
              <w:t>2</w:t>
            </w:r>
            <w:r>
              <w:rPr>
                <w:sz w:val="21"/>
              </w:rPr>
              <w:t>、工业炉窑全面达标排放，加大热残极冷却过程无组织</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8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5" w:line="263" w:lineRule="exact"/>
              <w:ind w:left="111"/>
              <w:rPr>
                <w:sz w:val="21"/>
              </w:rPr>
            </w:pPr>
            <w:r>
              <w:rPr>
                <w:sz w:val="21"/>
              </w:rPr>
              <w:t>排放治理力度，建设封闭高效的烟气收集系统，实现残极</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3" w:line="263" w:lineRule="exact"/>
              <w:ind w:left="111"/>
              <w:rPr>
                <w:sz w:val="21"/>
              </w:rPr>
            </w:pPr>
            <w:r>
              <w:rPr>
                <w:sz w:val="21"/>
              </w:rPr>
              <w:t>冷却烟气有效处理；逐步取消平板玻璃、建筑陶瓷企业脱</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622"/>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3"/>
              <w:ind w:left="111"/>
              <w:rPr>
                <w:sz w:val="21"/>
              </w:rPr>
            </w:pPr>
            <w:r>
              <w:rPr>
                <w:spacing w:val="-6"/>
                <w:w w:val="95"/>
                <w:sz w:val="21"/>
              </w:rPr>
              <w:t>硫脱硝旁路或设置备用脱硫脱硝设施；鼓励水泥企业实施</w:t>
            </w:r>
          </w:p>
          <w:p>
            <w:pPr>
              <w:pStyle w:val="TableParagraph"/>
              <w:spacing w:before="57" w:line="263" w:lineRule="exact"/>
              <w:ind w:left="111"/>
              <w:rPr>
                <w:sz w:val="21"/>
              </w:rPr>
            </w:pPr>
            <w:r>
              <w:rPr>
                <w:spacing w:val="-10"/>
                <w:w w:val="95"/>
                <w:sz w:val="21"/>
              </w:rPr>
              <w:t>全流程污染深度治理。现有工业炉窑和新建工业炉窑项目</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spacing w:before="179"/>
              <w:ind w:right="169"/>
              <w:jc w:val="right"/>
              <w:rPr>
                <w:sz w:val="21"/>
              </w:rPr>
            </w:pPr>
            <w:r>
              <w:rPr>
                <w:w w:val="95"/>
                <w:sz w:val="21"/>
              </w:rPr>
              <w:t>符合</w:t>
            </w: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4"/>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3" w:line="261" w:lineRule="exact"/>
              <w:ind w:left="111"/>
              <w:rPr>
                <w:sz w:val="21"/>
              </w:rPr>
            </w:pPr>
            <w:r>
              <w:rPr>
                <w:spacing w:val="-30"/>
                <w:sz w:val="21"/>
              </w:rPr>
              <w:t>除 应 执 行 《 工 业 窑 炉 大 气 污 染 物 排 放 标 准 》</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8"/>
              <w:ind w:left="111"/>
              <w:rPr>
                <w:sz w:val="21"/>
              </w:rPr>
            </w:pPr>
            <w:r>
              <w:rPr>
                <w:sz w:val="21"/>
              </w:rPr>
              <w:t>（</w:t>
            </w:r>
            <w:r>
              <w:rPr>
                <w:rFonts w:ascii="Times New Roman" w:eastAsia="Times New Roman"/>
                <w:sz w:val="21"/>
              </w:rPr>
              <w:t>DB37/2375-2019</w:t>
            </w:r>
            <w:r>
              <w:rPr>
                <w:sz w:val="21"/>
              </w:rPr>
              <w:t>）外，还应按规定达到国家标准中特别</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8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5" w:line="263" w:lineRule="exact"/>
              <w:ind w:left="111"/>
              <w:rPr>
                <w:sz w:val="21"/>
              </w:rPr>
            </w:pPr>
            <w:r>
              <w:rPr>
                <w:sz w:val="21"/>
              </w:rPr>
              <w:t>排放限值。铸造行业烧结、高炉工序污染物排放控制按照</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3"/>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3" w:line="260" w:lineRule="exact"/>
              <w:ind w:left="111"/>
              <w:rPr>
                <w:sz w:val="21"/>
              </w:rPr>
            </w:pPr>
            <w:r>
              <w:rPr>
                <w:sz w:val="21"/>
              </w:rPr>
              <w:t>钢铁行业相关标准要求执行。</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6"/>
              <w:ind w:left="111"/>
              <w:rPr>
                <w:sz w:val="21"/>
              </w:rPr>
            </w:pPr>
            <w:r>
              <w:rPr>
                <w:rFonts w:ascii="Times New Roman" w:eastAsia="Times New Roman"/>
                <w:sz w:val="21"/>
              </w:rPr>
              <w:t>3</w:t>
            </w:r>
            <w:r>
              <w:rPr>
                <w:sz w:val="21"/>
              </w:rPr>
              <w:t>、钢铁行业升级改造，执行《山东省钢铁行业超低排放</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89"/>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5" w:line="264" w:lineRule="exact"/>
              <w:ind w:left="111"/>
              <w:rPr>
                <w:sz w:val="21"/>
              </w:rPr>
            </w:pPr>
            <w:r>
              <w:rPr>
                <w:sz w:val="21"/>
              </w:rPr>
              <w:t>改造实施方案》《关于加快六大高耗能行业高质量发展的</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4" w:line="263" w:lineRule="exact"/>
              <w:ind w:left="111"/>
              <w:rPr>
                <w:sz w:val="21"/>
              </w:rPr>
            </w:pPr>
            <w:r>
              <w:rPr>
                <w:sz w:val="21"/>
              </w:rPr>
              <w:t>实施方案》中相关规定，推动现有（含新建和搬迁）钢铁</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3" w:line="263" w:lineRule="exact"/>
              <w:ind w:left="111"/>
              <w:rPr>
                <w:sz w:val="21"/>
              </w:rPr>
            </w:pPr>
            <w:r>
              <w:rPr>
                <w:sz w:val="21"/>
              </w:rPr>
              <w:t>企业超低排放改造，确保大气污染物有组织排放、无组织</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3"/>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3" w:line="260" w:lineRule="exact"/>
              <w:ind w:left="111" w:right="-15"/>
              <w:rPr>
                <w:sz w:val="21"/>
              </w:rPr>
            </w:pPr>
            <w:r>
              <w:rPr>
                <w:sz w:val="21"/>
              </w:rPr>
              <w:t>排放符合特别排放限值要求；钢铁冶炼流程进一步优化。</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492"/>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thickThinMediumGap" w:sz="4" w:space="0" w:color="000000"/>
              <w:right w:val="single" w:sz="4" w:space="0" w:color="000000"/>
            </w:tcBorders>
          </w:tcPr>
          <w:p>
            <w:pPr>
              <w:pStyle w:val="TableParagraph"/>
              <w:spacing w:before="16"/>
              <w:ind w:left="111"/>
              <w:rPr>
                <w:sz w:val="21"/>
              </w:rPr>
            </w:pPr>
            <w:r>
              <w:rPr>
                <w:rFonts w:ascii="Times New Roman" w:eastAsia="Times New Roman"/>
                <w:sz w:val="21"/>
              </w:rPr>
              <w:t>4</w:t>
            </w:r>
            <w:r>
              <w:rPr>
                <w:sz w:val="21"/>
              </w:rPr>
              <w:t>、加快焦化行业、水泥行业升级改造，到</w:t>
            </w:r>
            <w:r>
              <w:rPr>
                <w:rFonts w:ascii="Times New Roman" w:eastAsia="Times New Roman"/>
                <w:sz w:val="21"/>
              </w:rPr>
              <w:t>2023</w:t>
            </w:r>
            <w:r>
              <w:rPr>
                <w:sz w:val="21"/>
              </w:rPr>
              <w:t>年</w:t>
            </w:r>
            <w:r>
              <w:rPr>
                <w:rFonts w:ascii="Times New Roman" w:eastAsia="Times New Roman"/>
                <w:sz w:val="21"/>
              </w:rPr>
              <w:t>9</w:t>
            </w:r>
            <w:r>
              <w:rPr>
                <w:sz w:val="21"/>
              </w:rPr>
              <w:t>月前完</w:t>
            </w:r>
          </w:p>
        </w:tc>
        <w:tc>
          <w:tcPr>
            <w:tcW w:w="1084" w:type="dxa"/>
            <w:vMerge/>
            <w:tcBorders>
              <w:top w:val="nil"/>
              <w:left w:val="single" w:sz="4" w:space="0" w:color="000000"/>
              <w:bottom w:val="thickThinMediumGap" w:sz="4" w:space="0" w:color="000000"/>
              <w:right w:val="single" w:sz="4" w:space="0" w:color="000000"/>
            </w:tcBorders>
          </w:tcPr>
          <w:p>
            <w:pPr>
              <w:rPr>
                <w:sz w:val="2"/>
                <w:szCs w:val="2"/>
              </w:rPr>
            </w:pPr>
          </w:p>
        </w:tc>
        <w:tc>
          <w:tcPr>
            <w:tcW w:w="787"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bl>
    <w:p>
      <w:pPr>
        <w:pStyle w:val="BodyText"/>
        <w:spacing w:before="5"/>
        <w:rPr>
          <w:sz w:val="28"/>
        </w:rPr>
      </w:pPr>
    </w:p>
    <w:p>
      <w:pPr>
        <w:spacing w:before="62"/>
        <w:ind w:left="0" w:right="649" w:firstLine="0"/>
        <w:jc w:val="right"/>
        <w:rPr>
          <w:sz w:val="28"/>
        </w:rPr>
      </w:pPr>
      <w:r>
        <w:rPr>
          <w:sz w:val="28"/>
        </w:rPr>
        <w:t xml:space="preserve">— </w:t>
      </w:r>
      <w:r>
        <w:rPr>
          <w:sz w:val="26"/>
        </w:rPr>
        <w:t xml:space="preserve">13 </w:t>
      </w:r>
      <w:r>
        <w:rPr>
          <w:sz w:val="28"/>
        </w:rPr>
        <w:t>—</w:t>
      </w:r>
    </w:p>
    <w:p>
      <w:pPr>
        <w:spacing w:after="0"/>
        <w:jc w:val="right"/>
        <w:rPr>
          <w:sz w:val="28"/>
        </w:rPr>
        <w:sectPr>
          <w:pgSz w:w="11910" w:h="16840"/>
          <w:pgMar w:top="1580" w:right="879" w:bottom="280" w:left="900" w:header="720" w:footer="720" w:gutter="0"/>
          <w:pgNumType w:start="14"/>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797"/>
        <w:gridCol w:w="455"/>
        <w:gridCol w:w="5371"/>
        <w:gridCol w:w="1084"/>
        <w:gridCol w:w="787"/>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623"/>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797"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455"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5371" w:type="dxa"/>
            <w:tcBorders>
              <w:left w:val="single" w:sz="4" w:space="0" w:color="000000"/>
              <w:bottom w:val="nil"/>
              <w:right w:val="single" w:sz="4" w:space="0" w:color="000000"/>
            </w:tcBorders>
          </w:tcPr>
          <w:p>
            <w:pPr>
              <w:pStyle w:val="TableParagraph"/>
              <w:spacing w:before="2"/>
              <w:ind w:left="111"/>
              <w:rPr>
                <w:sz w:val="21"/>
              </w:rPr>
            </w:pPr>
            <w:r>
              <w:rPr>
                <w:sz w:val="21"/>
              </w:rPr>
              <w:t>成超低排放改造。</w:t>
            </w:r>
          </w:p>
          <w:p>
            <w:pPr>
              <w:pStyle w:val="TableParagraph"/>
              <w:spacing w:before="55"/>
              <w:ind w:left="111"/>
              <w:rPr>
                <w:sz w:val="21"/>
              </w:rPr>
            </w:pPr>
            <w:r>
              <w:rPr>
                <w:rFonts w:ascii="Times New Roman" w:eastAsia="Times New Roman"/>
                <w:sz w:val="21"/>
              </w:rPr>
              <w:t>5</w:t>
            </w:r>
            <w:r>
              <w:rPr>
                <w:sz w:val="21"/>
              </w:rPr>
              <w:t>、化工行业升级改造，执行《关于加快六大高耗能行业</w:t>
            </w:r>
          </w:p>
        </w:tc>
        <w:tc>
          <w:tcPr>
            <w:tcW w:w="1084" w:type="dxa"/>
            <w:tcBorders>
              <w:left w:val="single" w:sz="4" w:space="0" w:color="000000"/>
              <w:bottom w:val="nil"/>
              <w:right w:val="single" w:sz="4" w:space="0" w:color="000000"/>
            </w:tcBorders>
          </w:tcPr>
          <w:p>
            <w:pPr>
              <w:pStyle w:val="TableParagraph"/>
              <w:spacing w:before="2"/>
              <w:ind w:left="179"/>
              <w:rPr>
                <w:sz w:val="21"/>
              </w:rPr>
            </w:pPr>
            <w:r>
              <w:rPr>
                <w:rFonts w:ascii="Times New Roman" w:eastAsia="Times New Roman"/>
                <w:sz w:val="21"/>
              </w:rPr>
              <w:t>VOCs</w:t>
            </w:r>
            <w:r>
              <w:rPr>
                <w:sz w:val="21"/>
              </w:rPr>
              <w:t>废</w:t>
            </w:r>
          </w:p>
          <w:p>
            <w:pPr>
              <w:pStyle w:val="TableParagraph"/>
              <w:spacing w:before="55"/>
              <w:ind w:left="232"/>
              <w:rPr>
                <w:sz w:val="21"/>
              </w:rPr>
            </w:pPr>
            <w:r>
              <w:rPr>
                <w:sz w:val="21"/>
              </w:rPr>
              <w:t>气执行</w:t>
            </w:r>
          </w:p>
        </w:tc>
        <w:tc>
          <w:tcPr>
            <w:tcW w:w="787"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99"/>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1" w:line="268" w:lineRule="exact"/>
              <w:ind w:left="111"/>
              <w:rPr>
                <w:sz w:val="21"/>
              </w:rPr>
            </w:pPr>
            <w:r>
              <w:rPr>
                <w:sz w:val="21"/>
              </w:rPr>
              <w:t>高质量发展的实施方案》中相关规定，合成氨和尿素产能</w:t>
            </w:r>
          </w:p>
        </w:tc>
        <w:tc>
          <w:tcPr>
            <w:tcW w:w="1084" w:type="dxa"/>
            <w:tcBorders>
              <w:top w:val="nil"/>
              <w:left w:val="single" w:sz="4" w:space="0" w:color="000000"/>
              <w:bottom w:val="nil"/>
              <w:right w:val="single" w:sz="4" w:space="0" w:color="000000"/>
            </w:tcBorders>
          </w:tcPr>
          <w:p>
            <w:pPr>
              <w:pStyle w:val="TableParagraph"/>
              <w:spacing w:before="11" w:line="268" w:lineRule="exact"/>
              <w:ind w:left="126"/>
              <w:rPr>
                <w:sz w:val="21"/>
              </w:rPr>
            </w:pPr>
            <w:r>
              <w:rPr>
                <w:sz w:val="21"/>
              </w:rPr>
              <w:t>《挥发性</w:t>
            </w: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3"/>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8" w:line="265" w:lineRule="exact"/>
              <w:ind w:left="111"/>
              <w:rPr>
                <w:sz w:val="21"/>
              </w:rPr>
            </w:pPr>
            <w:r>
              <w:rPr>
                <w:sz w:val="21"/>
              </w:rPr>
              <w:t>控制在现有水平，洁净煤气化占合成氨总产能的比重提高</w:t>
            </w:r>
          </w:p>
        </w:tc>
        <w:tc>
          <w:tcPr>
            <w:tcW w:w="1084" w:type="dxa"/>
            <w:tcBorders>
              <w:top w:val="nil"/>
              <w:left w:val="single" w:sz="4" w:space="0" w:color="000000"/>
              <w:bottom w:val="nil"/>
              <w:right w:val="single" w:sz="4" w:space="0" w:color="000000"/>
            </w:tcBorders>
          </w:tcPr>
          <w:p>
            <w:pPr>
              <w:pStyle w:val="TableParagraph"/>
              <w:spacing w:before="18" w:line="265" w:lineRule="exact"/>
              <w:ind w:left="126"/>
              <w:rPr>
                <w:sz w:val="21"/>
              </w:rPr>
            </w:pPr>
            <w:r>
              <w:rPr>
                <w:sz w:val="21"/>
              </w:rPr>
              <w:t>有机物排</w:t>
            </w: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14"/>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21"/>
              <w:ind w:left="111"/>
              <w:rPr>
                <w:sz w:val="21"/>
              </w:rPr>
            </w:pPr>
            <w:r>
              <w:rPr>
                <w:sz w:val="21"/>
              </w:rPr>
              <w:t>到</w:t>
            </w:r>
            <w:r>
              <w:rPr>
                <w:rFonts w:ascii="Times New Roman" w:eastAsia="Times New Roman"/>
                <w:sz w:val="21"/>
              </w:rPr>
              <w:t>90%</w:t>
            </w:r>
            <w:r>
              <w:rPr>
                <w:sz w:val="21"/>
              </w:rPr>
              <w:t>左右，固定床气化炉淘汰率达到</w:t>
            </w:r>
            <w:r>
              <w:rPr>
                <w:rFonts w:ascii="Times New Roman" w:eastAsia="Times New Roman"/>
                <w:sz w:val="21"/>
              </w:rPr>
              <w:t>90%</w:t>
            </w:r>
            <w:r>
              <w:rPr>
                <w:sz w:val="21"/>
              </w:rPr>
              <w:t>以上，尿素生</w:t>
            </w:r>
          </w:p>
        </w:tc>
        <w:tc>
          <w:tcPr>
            <w:tcW w:w="1084" w:type="dxa"/>
            <w:tcBorders>
              <w:top w:val="nil"/>
              <w:left w:val="single" w:sz="4" w:space="0" w:color="000000"/>
              <w:bottom w:val="nil"/>
              <w:right w:val="single" w:sz="4" w:space="0" w:color="000000"/>
            </w:tcBorders>
          </w:tcPr>
          <w:p>
            <w:pPr>
              <w:pStyle w:val="TableParagraph"/>
              <w:spacing w:before="21"/>
              <w:ind w:left="232"/>
              <w:rPr>
                <w:sz w:val="21"/>
              </w:rPr>
            </w:pPr>
            <w:r>
              <w:rPr>
                <w:sz w:val="21"/>
              </w:rPr>
              <w:t>放标准</w:t>
            </w: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9"/>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3"/>
              <w:ind w:left="111"/>
              <w:rPr>
                <w:sz w:val="21"/>
              </w:rPr>
            </w:pPr>
            <w:r>
              <w:rPr>
                <w:sz w:val="21"/>
              </w:rPr>
              <w:t>产企业固定床气化炉全部予以淘汰，氮肥行业基本实现第</w:t>
            </w:r>
          </w:p>
        </w:tc>
        <w:tc>
          <w:tcPr>
            <w:tcW w:w="1084" w:type="dxa"/>
            <w:tcBorders>
              <w:top w:val="nil"/>
              <w:left w:val="single" w:sz="4" w:space="0" w:color="000000"/>
              <w:bottom w:val="nil"/>
              <w:right w:val="single" w:sz="4" w:space="0" w:color="000000"/>
            </w:tcBorders>
          </w:tcPr>
          <w:p>
            <w:pPr>
              <w:pStyle w:val="TableParagraph"/>
              <w:spacing w:before="13"/>
              <w:ind w:left="112"/>
              <w:rPr>
                <w:sz w:val="21"/>
              </w:rPr>
            </w:pPr>
            <w:r>
              <w:rPr>
                <w:sz w:val="21"/>
              </w:rPr>
              <w:t>第</w:t>
            </w:r>
            <w:r>
              <w:rPr>
                <w:rFonts w:ascii="Times New Roman" w:eastAsia="Times New Roman"/>
                <w:sz w:val="21"/>
              </w:rPr>
              <w:t>5</w:t>
            </w:r>
            <w:r>
              <w:rPr>
                <w:sz w:val="21"/>
              </w:rPr>
              <w:t>部分：</w:t>
            </w: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5"/>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0" w:line="265" w:lineRule="exact"/>
              <w:ind w:left="111"/>
              <w:rPr>
                <w:sz w:val="21"/>
              </w:rPr>
            </w:pPr>
            <w:r>
              <w:rPr>
                <w:sz w:val="21"/>
              </w:rPr>
              <w:t>三代洁净煤气化，煤气化制氨和精细化学品工艺达到国际</w:t>
            </w:r>
          </w:p>
        </w:tc>
        <w:tc>
          <w:tcPr>
            <w:tcW w:w="1084" w:type="dxa"/>
            <w:tcBorders>
              <w:top w:val="nil"/>
              <w:left w:val="single" w:sz="4" w:space="0" w:color="000000"/>
              <w:bottom w:val="nil"/>
              <w:right w:val="single" w:sz="4" w:space="0" w:color="000000"/>
            </w:tcBorders>
          </w:tcPr>
          <w:p>
            <w:pPr>
              <w:pStyle w:val="TableParagraph"/>
              <w:spacing w:before="10" w:line="265" w:lineRule="exact"/>
              <w:ind w:left="126"/>
              <w:rPr>
                <w:sz w:val="21"/>
              </w:rPr>
            </w:pPr>
            <w:r>
              <w:rPr>
                <w:sz w:val="21"/>
              </w:rPr>
              <w:t>表面涂装</w:t>
            </w: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1299"/>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21" w:line="292" w:lineRule="auto"/>
              <w:ind w:left="111" w:right="91"/>
              <w:jc w:val="both"/>
              <w:rPr>
                <w:sz w:val="21"/>
              </w:rPr>
            </w:pPr>
            <w:r>
              <w:rPr>
                <w:spacing w:val="-4"/>
                <w:w w:val="95"/>
                <w:sz w:val="21"/>
              </w:rPr>
              <w:t>先进水平；废气排放总量减少</w:t>
            </w:r>
            <w:r>
              <w:rPr>
                <w:rFonts w:ascii="Times New Roman" w:eastAsia="Times New Roman"/>
                <w:spacing w:val="-5"/>
                <w:w w:val="95"/>
                <w:sz w:val="21"/>
              </w:rPr>
              <w:t>50%</w:t>
            </w:r>
            <w:r>
              <w:rPr>
                <w:spacing w:val="-3"/>
                <w:w w:val="95"/>
                <w:sz w:val="21"/>
              </w:rPr>
              <w:t>；到</w:t>
            </w:r>
            <w:r>
              <w:rPr>
                <w:rFonts w:ascii="Times New Roman" w:eastAsia="Times New Roman"/>
                <w:w w:val="95"/>
                <w:sz w:val="21"/>
              </w:rPr>
              <w:t>2022</w:t>
            </w:r>
            <w:r>
              <w:rPr>
                <w:spacing w:val="-5"/>
                <w:w w:val="95"/>
                <w:sz w:val="21"/>
              </w:rPr>
              <w:t xml:space="preserve">年，氯碱行业 </w:t>
            </w:r>
            <w:r>
              <w:rPr>
                <w:spacing w:val="4"/>
                <w:w w:val="95"/>
                <w:sz w:val="21"/>
              </w:rPr>
              <w:t>电解单元吨碱能耗强度由</w:t>
            </w:r>
            <w:r>
              <w:rPr>
                <w:rFonts w:ascii="Times New Roman" w:eastAsia="Times New Roman"/>
                <w:spacing w:val="2"/>
                <w:w w:val="95"/>
                <w:sz w:val="21"/>
              </w:rPr>
              <w:t>360</w:t>
            </w:r>
            <w:r>
              <w:rPr>
                <w:spacing w:val="4"/>
                <w:w w:val="95"/>
                <w:sz w:val="21"/>
              </w:rPr>
              <w:t>千克标准煤下降到</w:t>
            </w:r>
            <w:r>
              <w:rPr>
                <w:rFonts w:ascii="Times New Roman" w:eastAsia="Times New Roman"/>
                <w:spacing w:val="2"/>
                <w:w w:val="95"/>
                <w:sz w:val="21"/>
              </w:rPr>
              <w:t>325</w:t>
            </w:r>
            <w:r>
              <w:rPr>
                <w:spacing w:val="-2"/>
                <w:w w:val="95"/>
                <w:sz w:val="21"/>
              </w:rPr>
              <w:t xml:space="preserve">千克 </w:t>
            </w:r>
            <w:r>
              <w:rPr>
                <w:spacing w:val="-10"/>
                <w:w w:val="95"/>
                <w:sz w:val="21"/>
              </w:rPr>
              <w:t>标准煤，对能耗达不到标准的电解槽予以淘汰，确保行业</w:t>
            </w:r>
          </w:p>
          <w:p>
            <w:pPr>
              <w:pStyle w:val="TableParagraph"/>
              <w:spacing w:line="266" w:lineRule="exact"/>
              <w:ind w:left="111"/>
              <w:rPr>
                <w:sz w:val="21"/>
              </w:rPr>
            </w:pPr>
            <w:r>
              <w:rPr>
                <w:spacing w:val="9"/>
                <w:w w:val="95"/>
                <w:sz w:val="21"/>
              </w:rPr>
              <w:t>能耗总量减少</w:t>
            </w:r>
            <w:r>
              <w:rPr>
                <w:rFonts w:ascii="Times New Roman" w:eastAsia="Times New Roman"/>
                <w:spacing w:val="3"/>
                <w:w w:val="95"/>
                <w:sz w:val="21"/>
              </w:rPr>
              <w:t>10%</w:t>
            </w:r>
            <w:r>
              <w:rPr>
                <w:spacing w:val="9"/>
                <w:w w:val="95"/>
                <w:sz w:val="21"/>
              </w:rPr>
              <w:t>左右；液氯就地消化率提高到</w:t>
            </w:r>
            <w:r>
              <w:rPr>
                <w:rFonts w:ascii="Times New Roman" w:eastAsia="Times New Roman"/>
                <w:spacing w:val="3"/>
                <w:w w:val="95"/>
                <w:sz w:val="21"/>
              </w:rPr>
              <w:t>85%</w:t>
            </w:r>
            <w:r>
              <w:rPr>
                <w:w w:val="95"/>
                <w:sz w:val="21"/>
              </w:rPr>
              <w:t>以</w:t>
            </w:r>
          </w:p>
        </w:tc>
        <w:tc>
          <w:tcPr>
            <w:tcW w:w="1084" w:type="dxa"/>
            <w:tcBorders>
              <w:top w:val="nil"/>
              <w:left w:val="single" w:sz="4" w:space="0" w:color="000000"/>
              <w:bottom w:val="nil"/>
              <w:right w:val="single" w:sz="4" w:space="0" w:color="000000"/>
            </w:tcBorders>
          </w:tcPr>
          <w:p>
            <w:pPr>
              <w:pStyle w:val="TableParagraph"/>
              <w:spacing w:before="21"/>
              <w:ind w:left="100" w:right="86"/>
              <w:jc w:val="center"/>
              <w:rPr>
                <w:sz w:val="21"/>
              </w:rPr>
            </w:pPr>
            <w:r>
              <w:rPr>
                <w:sz w:val="21"/>
              </w:rPr>
              <w:t>业》</w:t>
            </w:r>
          </w:p>
          <w:p>
            <w:pPr>
              <w:pStyle w:val="TableParagraph"/>
              <w:spacing w:before="60" w:line="290" w:lineRule="auto"/>
              <w:ind w:left="116" w:right="99" w:firstLine="4"/>
              <w:jc w:val="center"/>
              <w:rPr>
                <w:rFonts w:ascii="Times New Roman" w:eastAsia="Times New Roman"/>
                <w:sz w:val="21"/>
              </w:rPr>
            </w:pPr>
            <w:r>
              <w:rPr>
                <w:sz w:val="21"/>
              </w:rPr>
              <w:t>（</w:t>
            </w:r>
            <w:r>
              <w:rPr>
                <w:rFonts w:ascii="Times New Roman" w:eastAsia="Times New Roman"/>
                <w:sz w:val="21"/>
              </w:rPr>
              <w:t xml:space="preserve">DB37/ </w:t>
            </w:r>
            <w:r>
              <w:rPr>
                <w:rFonts w:ascii="Times New Roman" w:eastAsia="Times New Roman"/>
                <w:w w:val="95"/>
                <w:sz w:val="21"/>
              </w:rPr>
              <w:t>2801.5-20</w:t>
            </w:r>
          </w:p>
          <w:p>
            <w:pPr>
              <w:pStyle w:val="TableParagraph"/>
              <w:spacing w:line="268" w:lineRule="exact"/>
              <w:ind w:left="100" w:right="81"/>
              <w:jc w:val="center"/>
              <w:rPr>
                <w:sz w:val="21"/>
              </w:rPr>
            </w:pPr>
            <w:r>
              <w:rPr>
                <w:rFonts w:ascii="Times New Roman" w:eastAsia="Times New Roman"/>
                <w:sz w:val="21"/>
              </w:rPr>
              <w:t>18</w:t>
            </w:r>
            <w:r>
              <w:rPr>
                <w:sz w:val="21"/>
              </w:rPr>
              <w:t>）。</w:t>
            </w: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5"/>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0" w:line="265" w:lineRule="exact"/>
              <w:ind w:left="111"/>
              <w:rPr>
                <w:sz w:val="21"/>
              </w:rPr>
            </w:pPr>
            <w:r>
              <w:rPr>
                <w:sz w:val="21"/>
              </w:rPr>
              <w:t>上，显著降低液氯道路运输安全风险；烧碱电解装备技术</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64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21"/>
              <w:ind w:left="111"/>
              <w:rPr>
                <w:sz w:val="21"/>
              </w:rPr>
            </w:pPr>
            <w:r>
              <w:rPr>
                <w:sz w:val="21"/>
              </w:rPr>
              <w:t>达到世界先进水平，膜极距改造率达到</w:t>
            </w:r>
            <w:r>
              <w:rPr>
                <w:rFonts w:ascii="Times New Roman" w:eastAsia="Times New Roman"/>
                <w:sz w:val="21"/>
              </w:rPr>
              <w:t>100%</w:t>
            </w:r>
            <w:r>
              <w:rPr>
                <w:sz w:val="21"/>
              </w:rPr>
              <w:t>。</w:t>
            </w:r>
          </w:p>
          <w:p>
            <w:pPr>
              <w:pStyle w:val="TableParagraph"/>
              <w:spacing w:before="60"/>
              <w:ind w:left="111"/>
              <w:rPr>
                <w:sz w:val="21"/>
              </w:rPr>
            </w:pPr>
            <w:r>
              <w:rPr>
                <w:rFonts w:ascii="Times New Roman" w:eastAsia="Times New Roman"/>
                <w:sz w:val="21"/>
              </w:rPr>
              <w:t>6</w:t>
            </w:r>
            <w:r>
              <w:rPr>
                <w:sz w:val="21"/>
              </w:rPr>
              <w:t>、涉挥发性有机物行业升级改造，执行《山东省涉挥发</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0" w:line="268" w:lineRule="exact"/>
              <w:ind w:left="111" w:right="-15"/>
              <w:rPr>
                <w:sz w:val="21"/>
              </w:rPr>
            </w:pPr>
            <w:r>
              <w:rPr>
                <w:sz w:val="21"/>
              </w:rPr>
              <w:t>性有机物企业分行业治理指导意见》等相关规定，石化、</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8" w:line="268" w:lineRule="exact"/>
              <w:ind w:left="111"/>
              <w:rPr>
                <w:sz w:val="21"/>
              </w:rPr>
            </w:pPr>
            <w:r>
              <w:rPr>
                <w:sz w:val="21"/>
              </w:rPr>
              <w:t>化工、工业涂装、包装印刷等重点行业推行源头替代、加</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3"/>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8" w:line="265" w:lineRule="exact"/>
              <w:ind w:left="111"/>
              <w:rPr>
                <w:sz w:val="21"/>
              </w:rPr>
            </w:pPr>
            <w:r>
              <w:rPr>
                <w:sz w:val="21"/>
              </w:rPr>
              <w:t>强过程控制和末端治理，新、改、扩建工业涂装、包装印</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645"/>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21"/>
              <w:ind w:left="111"/>
              <w:rPr>
                <w:sz w:val="21"/>
              </w:rPr>
            </w:pPr>
            <w:r>
              <w:rPr>
                <w:w w:val="95"/>
                <w:sz w:val="21"/>
              </w:rPr>
              <w:t>刷等含</w:t>
            </w:r>
            <w:r>
              <w:rPr>
                <w:rFonts w:ascii="Times New Roman" w:eastAsia="Times New Roman"/>
                <w:w w:val="95"/>
                <w:sz w:val="21"/>
              </w:rPr>
              <w:t>VOCs</w:t>
            </w:r>
            <w:r>
              <w:rPr>
                <w:w w:val="95"/>
                <w:sz w:val="21"/>
              </w:rPr>
              <w:t>原辅材料使用的项目，原则上使用低（无）</w:t>
            </w:r>
          </w:p>
          <w:p>
            <w:pPr>
              <w:pStyle w:val="TableParagraph"/>
              <w:spacing w:before="58"/>
              <w:ind w:left="111"/>
              <w:rPr>
                <w:sz w:val="21"/>
              </w:rPr>
            </w:pPr>
            <w:r>
              <w:rPr>
                <w:rFonts w:ascii="Times New Roman" w:eastAsia="Times New Roman"/>
                <w:w w:val="95"/>
                <w:sz w:val="21"/>
              </w:rPr>
              <w:t>VOCs</w:t>
            </w:r>
            <w:r>
              <w:rPr>
                <w:spacing w:val="-14"/>
                <w:w w:val="95"/>
                <w:sz w:val="21"/>
              </w:rPr>
              <w:t>含量产品。现有高</w:t>
            </w:r>
            <w:r>
              <w:rPr>
                <w:rFonts w:ascii="Times New Roman" w:eastAsia="Times New Roman"/>
                <w:w w:val="95"/>
                <w:sz w:val="21"/>
              </w:rPr>
              <w:t>VOCs</w:t>
            </w:r>
            <w:r>
              <w:rPr>
                <w:w w:val="95"/>
                <w:sz w:val="21"/>
              </w:rPr>
              <w:t>含量产品生产企业要加快产</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1" w:line="265" w:lineRule="exact"/>
              <w:ind w:left="111"/>
              <w:rPr>
                <w:sz w:val="21"/>
              </w:rPr>
            </w:pPr>
            <w:r>
              <w:rPr>
                <w:sz w:val="21"/>
              </w:rPr>
              <w:t>品升级转型，提高水性、高固体分、无溶剂、粉末等低</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27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21" w:line="290" w:lineRule="auto"/>
              <w:ind w:left="111" w:right="91"/>
              <w:jc w:val="both"/>
              <w:rPr>
                <w:sz w:val="21"/>
              </w:rPr>
            </w:pPr>
            <w:r>
              <w:rPr>
                <w:rFonts w:ascii="Times New Roman" w:eastAsia="Times New Roman"/>
                <w:w w:val="95"/>
                <w:sz w:val="21"/>
              </w:rPr>
              <w:t>VOCs</w:t>
            </w:r>
            <w:r>
              <w:rPr>
                <w:spacing w:val="-10"/>
                <w:w w:val="95"/>
                <w:sz w:val="21"/>
              </w:rPr>
              <w:t>含量产品的比重。加大重点行业低</w:t>
            </w:r>
            <w:r>
              <w:rPr>
                <w:rFonts w:ascii="Times New Roman" w:eastAsia="Times New Roman"/>
                <w:w w:val="95"/>
                <w:sz w:val="21"/>
              </w:rPr>
              <w:t>VOCs</w:t>
            </w:r>
            <w:r>
              <w:rPr>
                <w:w w:val="95"/>
                <w:sz w:val="21"/>
              </w:rPr>
              <w:t xml:space="preserve">含量原辅材 </w:t>
            </w:r>
            <w:r>
              <w:rPr>
                <w:sz w:val="21"/>
              </w:rPr>
              <w:t>料的源头替代力度。加强挥发性有机物（</w:t>
            </w:r>
            <w:r>
              <w:rPr>
                <w:rFonts w:ascii="Times New Roman" w:eastAsia="Times New Roman"/>
                <w:sz w:val="21"/>
              </w:rPr>
              <w:t>VOCs</w:t>
            </w:r>
            <w:r>
              <w:rPr>
                <w:sz w:val="21"/>
              </w:rPr>
              <w:t>）废气收集与治理，建设有效的废气收集系统和</w:t>
            </w:r>
            <w:r>
              <w:rPr>
                <w:rFonts w:ascii="Times New Roman" w:eastAsia="Times New Roman"/>
                <w:sz w:val="21"/>
              </w:rPr>
              <w:t>VOCs</w:t>
            </w:r>
            <w:r>
              <w:rPr>
                <w:sz w:val="21"/>
              </w:rPr>
              <w:t>处理设施， 所有涉</w:t>
            </w:r>
            <w:r>
              <w:rPr>
                <w:rFonts w:ascii="Times New Roman" w:eastAsia="Times New Roman"/>
                <w:sz w:val="21"/>
              </w:rPr>
              <w:t>VOCs</w:t>
            </w:r>
            <w:r>
              <w:rPr>
                <w:sz w:val="21"/>
              </w:rPr>
              <w:t>排放企业应全面执行《挥发性有机物无组织排放控制标准》（</w:t>
            </w:r>
            <w:r>
              <w:rPr>
                <w:rFonts w:ascii="Times New Roman" w:eastAsia="Times New Roman"/>
                <w:sz w:val="21"/>
              </w:rPr>
              <w:t>GB37822</w:t>
            </w:r>
            <w:r>
              <w:rPr>
                <w:sz w:val="21"/>
              </w:rPr>
              <w:t>），重点排放源确保</w:t>
            </w:r>
            <w:r>
              <w:rPr>
                <w:rFonts w:ascii="Times New Roman" w:eastAsia="Times New Roman"/>
                <w:sz w:val="21"/>
              </w:rPr>
              <w:t>VOCs</w:t>
            </w:r>
            <w:r>
              <w:rPr>
                <w:sz w:val="21"/>
              </w:rPr>
              <w:t>处理效率均达到</w:t>
            </w:r>
            <w:r>
              <w:rPr>
                <w:rFonts w:ascii="Times New Roman" w:eastAsia="Times New Roman"/>
                <w:sz w:val="21"/>
              </w:rPr>
              <w:t>80%</w:t>
            </w:r>
            <w:r>
              <w:rPr>
                <w:sz w:val="21"/>
              </w:rPr>
              <w:t>以上，确保</w:t>
            </w:r>
            <w:r>
              <w:rPr>
                <w:rFonts w:ascii="Times New Roman" w:eastAsia="Times New Roman"/>
                <w:sz w:val="21"/>
              </w:rPr>
              <w:t>VOCs</w:t>
            </w:r>
            <w:r>
              <w:rPr>
                <w:sz w:val="21"/>
              </w:rPr>
              <w:t>达标排放。</w:t>
            </w:r>
          </w:p>
          <w:p>
            <w:pPr>
              <w:pStyle w:val="TableParagraph"/>
              <w:spacing w:before="8"/>
              <w:ind w:left="111"/>
              <w:rPr>
                <w:sz w:val="21"/>
              </w:rPr>
            </w:pPr>
            <w:r>
              <w:rPr>
                <w:rFonts w:ascii="Times New Roman" w:eastAsia="Times New Roman"/>
                <w:sz w:val="21"/>
              </w:rPr>
              <w:t>7</w:t>
            </w:r>
            <w:r>
              <w:rPr>
                <w:sz w:val="21"/>
              </w:rPr>
              <w:t>、涉重金属重点行业企业升级改造，执行《土壤污染防</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0" w:line="268" w:lineRule="exact"/>
              <w:ind w:left="111"/>
              <w:rPr>
                <w:sz w:val="21"/>
              </w:rPr>
            </w:pPr>
            <w:r>
              <w:rPr>
                <w:sz w:val="21"/>
              </w:rPr>
              <w:t>治计划》《关于加强涉重金属行业污染防控的意见》《山</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8" w:line="268" w:lineRule="exact"/>
              <w:ind w:left="111"/>
              <w:rPr>
                <w:sz w:val="21"/>
              </w:rPr>
            </w:pPr>
            <w:r>
              <w:rPr>
                <w:sz w:val="21"/>
              </w:rPr>
              <w:t>东省土壤污染防治工作方案》中相关规定，推进化工、焦</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8"/>
              <w:ind w:left="111"/>
              <w:rPr>
                <w:sz w:val="21"/>
              </w:rPr>
            </w:pPr>
            <w:r>
              <w:rPr>
                <w:sz w:val="21"/>
              </w:rPr>
              <w:t>化、电镀、制革、铅蓄电池制造、聚氯乙烯（电石法工艺</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9" w:line="268" w:lineRule="exact"/>
              <w:ind w:left="111"/>
              <w:rPr>
                <w:sz w:val="21"/>
              </w:rPr>
            </w:pPr>
            <w:r>
              <w:rPr>
                <w:sz w:val="21"/>
              </w:rPr>
              <w:t>使用含汞催化剂</w:t>
            </w:r>
            <w:r>
              <w:rPr>
                <w:spacing w:val="-94"/>
                <w:sz w:val="21"/>
              </w:rPr>
              <w:t>）</w:t>
            </w:r>
            <w:r>
              <w:rPr>
                <w:sz w:val="21"/>
              </w:rPr>
              <w:t>等涉重金属重点行业实施清洁生产技术</w:t>
            </w:r>
          </w:p>
        </w:tc>
        <w:tc>
          <w:tcPr>
            <w:tcW w:w="1084" w:type="dxa"/>
            <w:tcBorders>
              <w:top w:val="nil"/>
              <w:left w:val="single" w:sz="4" w:space="0" w:color="000000"/>
              <w:bottom w:val="nil"/>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3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vMerge/>
            <w:tcBorders>
              <w:top w:val="nil"/>
              <w:left w:val="single" w:sz="4" w:space="0" w:color="000000"/>
              <w:bottom w:val="single" w:sz="4" w:space="0" w:color="000000"/>
              <w:right w:val="single" w:sz="4" w:space="0" w:color="000000"/>
            </w:tcBorders>
          </w:tcPr>
          <w:p>
            <w:pPr>
              <w:rPr>
                <w:sz w:val="2"/>
                <w:szCs w:val="2"/>
              </w:rPr>
            </w:pPr>
          </w:p>
        </w:tc>
        <w:tc>
          <w:tcPr>
            <w:tcW w:w="5371" w:type="dxa"/>
            <w:tcBorders>
              <w:top w:val="nil"/>
              <w:left w:val="single" w:sz="4" w:space="0" w:color="000000"/>
              <w:bottom w:val="single" w:sz="4" w:space="0" w:color="000000"/>
              <w:right w:val="single" w:sz="4" w:space="0" w:color="000000"/>
            </w:tcBorders>
          </w:tcPr>
          <w:p>
            <w:pPr>
              <w:pStyle w:val="TableParagraph"/>
              <w:spacing w:before="18"/>
              <w:ind w:left="111"/>
              <w:rPr>
                <w:sz w:val="21"/>
              </w:rPr>
            </w:pPr>
            <w:r>
              <w:rPr>
                <w:sz w:val="21"/>
              </w:rPr>
              <w:t>改造。</w:t>
            </w:r>
          </w:p>
        </w:tc>
        <w:tc>
          <w:tcPr>
            <w:tcW w:w="1084"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8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8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455"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spacing w:before="1"/>
              <w:rPr>
                <w:sz w:val="25"/>
              </w:rPr>
            </w:pPr>
          </w:p>
          <w:p>
            <w:pPr>
              <w:pStyle w:val="TableParagraph"/>
              <w:spacing w:line="290" w:lineRule="auto"/>
              <w:ind w:left="125" w:right="108"/>
              <w:jc w:val="both"/>
              <w:rPr>
                <w:sz w:val="21"/>
              </w:rPr>
            </w:pPr>
            <w:r>
              <w:rPr>
                <w:sz w:val="21"/>
              </w:rPr>
              <w:t>联防联控要求</w:t>
            </w:r>
          </w:p>
        </w:tc>
        <w:tc>
          <w:tcPr>
            <w:tcW w:w="5371" w:type="dxa"/>
            <w:tcBorders>
              <w:top w:val="single" w:sz="4" w:space="0" w:color="000000"/>
              <w:left w:val="single" w:sz="4" w:space="0" w:color="000000"/>
              <w:bottom w:val="nil"/>
              <w:right w:val="single" w:sz="4" w:space="0" w:color="000000"/>
            </w:tcBorders>
          </w:tcPr>
          <w:p>
            <w:pPr>
              <w:pStyle w:val="TableParagraph"/>
              <w:spacing w:line="265" w:lineRule="exact"/>
              <w:ind w:left="111"/>
              <w:rPr>
                <w:sz w:val="21"/>
              </w:rPr>
            </w:pPr>
            <w:r>
              <w:rPr>
                <w:rFonts w:ascii="Times New Roman" w:eastAsia="Times New Roman"/>
                <w:sz w:val="21"/>
              </w:rPr>
              <w:t>1</w:t>
            </w:r>
            <w:r>
              <w:rPr>
                <w:sz w:val="21"/>
              </w:rPr>
              <w:t>、建立自然资源（规划）、发改、工信、住建、交通运</w:t>
            </w:r>
          </w:p>
        </w:tc>
        <w:tc>
          <w:tcPr>
            <w:tcW w:w="1084" w:type="dxa"/>
            <w:tcBorders>
              <w:top w:val="single" w:sz="4" w:space="0" w:color="000000"/>
              <w:left w:val="single" w:sz="4" w:space="0" w:color="000000"/>
              <w:bottom w:val="nil"/>
              <w:right w:val="single" w:sz="4" w:space="0" w:color="000000"/>
            </w:tcBorders>
          </w:tcPr>
          <w:p>
            <w:pPr>
              <w:pStyle w:val="TableParagraph"/>
              <w:spacing w:line="265" w:lineRule="exact"/>
              <w:ind w:left="126"/>
              <w:rPr>
                <w:sz w:val="21"/>
              </w:rPr>
            </w:pPr>
            <w:r>
              <w:rPr>
                <w:sz w:val="21"/>
              </w:rPr>
              <w:t>项目建立</w:t>
            </w:r>
          </w:p>
        </w:tc>
        <w:tc>
          <w:tcPr>
            <w:tcW w:w="78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8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5" w:line="263" w:lineRule="exact"/>
              <w:ind w:left="111"/>
              <w:rPr>
                <w:sz w:val="21"/>
              </w:rPr>
            </w:pPr>
            <w:r>
              <w:rPr>
                <w:sz w:val="21"/>
              </w:rPr>
              <w:t>输、生态环境、公安、应急等部门间的信息沟通机制，实</w:t>
            </w:r>
          </w:p>
        </w:tc>
        <w:tc>
          <w:tcPr>
            <w:tcW w:w="1084" w:type="dxa"/>
            <w:tcBorders>
              <w:top w:val="nil"/>
              <w:left w:val="single" w:sz="4" w:space="0" w:color="000000"/>
              <w:bottom w:val="nil"/>
              <w:right w:val="single" w:sz="4" w:space="0" w:color="000000"/>
            </w:tcBorders>
          </w:tcPr>
          <w:p>
            <w:pPr>
              <w:pStyle w:val="TableParagraph"/>
              <w:spacing w:before="5" w:line="263" w:lineRule="exact"/>
              <w:ind w:left="126"/>
              <w:rPr>
                <w:sz w:val="21"/>
              </w:rPr>
            </w:pPr>
            <w:r>
              <w:rPr>
                <w:sz w:val="21"/>
              </w:rPr>
              <w:t>土壤和地</w:t>
            </w: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127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spacing w:before="176" w:line="290" w:lineRule="auto"/>
              <w:ind w:left="192" w:right="174"/>
              <w:jc w:val="both"/>
              <w:rPr>
                <w:sz w:val="21"/>
              </w:rPr>
            </w:pPr>
            <w:r>
              <w:rPr>
                <w:sz w:val="21"/>
              </w:rPr>
              <w:t>环境风险控制</w:t>
            </w: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3"/>
              <w:ind w:left="111"/>
              <w:rPr>
                <w:sz w:val="21"/>
              </w:rPr>
            </w:pPr>
            <w:r>
              <w:rPr>
                <w:sz w:val="21"/>
              </w:rPr>
              <w:t>行联动监管。</w:t>
            </w:r>
          </w:p>
          <w:p>
            <w:pPr>
              <w:pStyle w:val="TableParagraph"/>
              <w:spacing w:before="9" w:line="320" w:lineRule="atLeast"/>
              <w:ind w:left="111" w:right="94"/>
              <w:jc w:val="both"/>
              <w:rPr>
                <w:sz w:val="21"/>
              </w:rPr>
            </w:pPr>
            <w:r>
              <w:rPr>
                <w:rFonts w:ascii="Times New Roman" w:eastAsia="Times New Roman"/>
                <w:sz w:val="21"/>
              </w:rPr>
              <w:t>2</w:t>
            </w:r>
            <w:r>
              <w:rPr>
                <w:sz w:val="21"/>
              </w:rPr>
              <w:t>、与山东省济南市、聊城市、滨州市及河北省衡水市、</w:t>
            </w:r>
            <w:r>
              <w:rPr>
                <w:w w:val="95"/>
                <w:sz w:val="21"/>
              </w:rPr>
              <w:t>沧州市等城市建立统一的空气重污染预警会商和应急联 动协调机制，逐步实现预警分级标准、应急措施力度的统</w:t>
            </w:r>
          </w:p>
        </w:tc>
        <w:tc>
          <w:tcPr>
            <w:tcW w:w="1084" w:type="dxa"/>
            <w:tcBorders>
              <w:top w:val="nil"/>
              <w:left w:val="single" w:sz="4" w:space="0" w:color="000000"/>
              <w:bottom w:val="nil"/>
              <w:right w:val="single" w:sz="4" w:space="0" w:color="000000"/>
            </w:tcBorders>
          </w:tcPr>
          <w:p>
            <w:pPr>
              <w:pStyle w:val="TableParagraph"/>
              <w:spacing w:before="13" w:line="292" w:lineRule="auto"/>
              <w:ind w:left="126" w:right="107"/>
              <w:jc w:val="both"/>
              <w:rPr>
                <w:sz w:val="21"/>
              </w:rPr>
            </w:pPr>
            <w:r>
              <w:rPr>
                <w:spacing w:val="-4"/>
                <w:sz w:val="21"/>
              </w:rPr>
              <w:t>下水污染隐患排查</w:t>
            </w:r>
            <w:r>
              <w:rPr>
                <w:spacing w:val="-4"/>
                <w:w w:val="95"/>
                <w:sz w:val="21"/>
              </w:rPr>
              <w:t>制度、风</w:t>
            </w:r>
          </w:p>
          <w:p>
            <w:pPr>
              <w:pStyle w:val="TableParagraph"/>
              <w:spacing w:line="260" w:lineRule="exact"/>
              <w:ind w:left="126"/>
              <w:rPr>
                <w:sz w:val="21"/>
              </w:rPr>
            </w:pPr>
            <w:r>
              <w:rPr>
                <w:w w:val="95"/>
                <w:sz w:val="21"/>
              </w:rPr>
              <w:t>险防控体</w:t>
            </w:r>
          </w:p>
        </w:tc>
        <w:tc>
          <w:tcPr>
            <w:tcW w:w="787" w:type="dxa"/>
            <w:tcBorders>
              <w:top w:val="nil"/>
              <w:left w:val="single" w:sz="4" w:space="0" w:color="000000"/>
              <w:bottom w:val="nil"/>
              <w:right w:val="single" w:sz="4" w:space="0" w:color="000000"/>
            </w:tcBorders>
          </w:tcPr>
          <w:p>
            <w:pPr>
              <w:pStyle w:val="TableParagraph"/>
              <w:rPr>
                <w:sz w:val="20"/>
              </w:rPr>
            </w:pPr>
          </w:p>
          <w:p>
            <w:pPr>
              <w:pStyle w:val="TableParagraph"/>
              <w:spacing w:before="3"/>
              <w:rPr>
                <w:sz w:val="19"/>
              </w:rPr>
            </w:pPr>
          </w:p>
          <w:p>
            <w:pPr>
              <w:pStyle w:val="TableParagraph"/>
              <w:ind w:left="187"/>
              <w:rPr>
                <w:sz w:val="21"/>
              </w:rPr>
            </w:pPr>
            <w:r>
              <w:rPr>
                <w:sz w:val="21"/>
              </w:rPr>
              <w:t>符合</w:t>
            </w: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nil"/>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nil"/>
              <w:right w:val="single" w:sz="4" w:space="0" w:color="000000"/>
            </w:tcBorders>
          </w:tcPr>
          <w:p>
            <w:pPr>
              <w:pStyle w:val="TableParagraph"/>
              <w:spacing w:before="13" w:line="263" w:lineRule="exact"/>
              <w:ind w:left="111" w:right="-15"/>
              <w:rPr>
                <w:sz w:val="21"/>
              </w:rPr>
            </w:pPr>
            <w:r>
              <w:rPr>
                <w:spacing w:val="-17"/>
                <w:w w:val="95"/>
                <w:sz w:val="21"/>
              </w:rPr>
              <w:t>一，共同提前采取措施，应对区域性、大范围重污染天气，</w:t>
            </w:r>
          </w:p>
        </w:tc>
        <w:tc>
          <w:tcPr>
            <w:tcW w:w="1084" w:type="dxa"/>
            <w:tcBorders>
              <w:top w:val="nil"/>
              <w:left w:val="single" w:sz="4" w:space="0" w:color="000000"/>
              <w:bottom w:val="nil"/>
              <w:right w:val="single" w:sz="4" w:space="0" w:color="000000"/>
            </w:tcBorders>
          </w:tcPr>
          <w:p>
            <w:pPr>
              <w:pStyle w:val="TableParagraph"/>
              <w:spacing w:before="13" w:line="263" w:lineRule="exact"/>
              <w:ind w:left="126"/>
              <w:rPr>
                <w:sz w:val="21"/>
              </w:rPr>
            </w:pPr>
            <w:r>
              <w:rPr>
                <w:sz w:val="21"/>
              </w:rPr>
              <w:t>系和长效</w:t>
            </w:r>
          </w:p>
        </w:tc>
        <w:tc>
          <w:tcPr>
            <w:tcW w:w="787"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43"/>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455" w:type="dxa"/>
            <w:vMerge/>
            <w:tcBorders>
              <w:top w:val="nil"/>
              <w:left w:val="single" w:sz="4" w:space="0" w:color="000000"/>
              <w:bottom w:val="thickThinMediumGap" w:sz="4" w:space="0" w:color="000000"/>
              <w:right w:val="single" w:sz="4" w:space="0" w:color="000000"/>
            </w:tcBorders>
          </w:tcPr>
          <w:p>
            <w:pPr>
              <w:rPr>
                <w:sz w:val="2"/>
                <w:szCs w:val="2"/>
              </w:rPr>
            </w:pPr>
          </w:p>
        </w:tc>
        <w:tc>
          <w:tcPr>
            <w:tcW w:w="5371" w:type="dxa"/>
            <w:tcBorders>
              <w:top w:val="nil"/>
              <w:left w:val="single" w:sz="4" w:space="0" w:color="000000"/>
              <w:bottom w:val="thickThinMediumGap" w:sz="4" w:space="0" w:color="000000"/>
              <w:right w:val="single" w:sz="4" w:space="0" w:color="000000"/>
            </w:tcBorders>
          </w:tcPr>
          <w:p>
            <w:pPr>
              <w:pStyle w:val="TableParagraph"/>
              <w:spacing w:before="13"/>
              <w:ind w:left="111"/>
              <w:rPr>
                <w:sz w:val="21"/>
              </w:rPr>
            </w:pPr>
            <w:r>
              <w:rPr>
                <w:sz w:val="21"/>
              </w:rPr>
              <w:t>最大限度减缓不利扩散条件下污染物的累积速度，有效遏</w:t>
            </w:r>
          </w:p>
        </w:tc>
        <w:tc>
          <w:tcPr>
            <w:tcW w:w="1084" w:type="dxa"/>
            <w:tcBorders>
              <w:top w:val="nil"/>
              <w:left w:val="single" w:sz="4" w:space="0" w:color="000000"/>
              <w:bottom w:val="thickThinMediumGap" w:sz="4" w:space="0" w:color="000000"/>
              <w:right w:val="single" w:sz="4" w:space="0" w:color="000000"/>
            </w:tcBorders>
          </w:tcPr>
          <w:p>
            <w:pPr>
              <w:pStyle w:val="TableParagraph"/>
              <w:spacing w:before="13"/>
              <w:ind w:left="232"/>
              <w:rPr>
                <w:sz w:val="21"/>
              </w:rPr>
            </w:pPr>
            <w:r>
              <w:rPr>
                <w:sz w:val="21"/>
              </w:rPr>
              <w:t>监管机</w:t>
            </w:r>
          </w:p>
        </w:tc>
        <w:tc>
          <w:tcPr>
            <w:tcW w:w="787"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bl>
    <w:p>
      <w:pPr>
        <w:pStyle w:val="BodyText"/>
        <w:rPr>
          <w:sz w:val="20"/>
        </w:rPr>
      </w:pPr>
    </w:p>
    <w:p>
      <w:pPr>
        <w:pStyle w:val="BodyText"/>
        <w:rPr>
          <w:sz w:val="20"/>
        </w:rPr>
      </w:pPr>
    </w:p>
    <w:p>
      <w:pPr>
        <w:tabs>
          <w:tab w:val="left" w:pos="1571"/>
        </w:tabs>
        <w:spacing w:before="212"/>
        <w:ind w:left="631" w:right="0" w:firstLine="0"/>
        <w:jc w:val="left"/>
        <w:rPr>
          <w:sz w:val="28"/>
        </w:rPr>
      </w:pPr>
      <w:r>
        <w:rPr>
          <w:sz w:val="28"/>
        </w:rPr>
        <w:t>—</w:t>
      </w:r>
      <w:r>
        <w:rPr>
          <w:spacing w:val="59"/>
          <w:sz w:val="28"/>
        </w:rPr>
        <w:t xml:space="preserve"> </w:t>
      </w:r>
      <w:r>
        <w:rPr>
          <w:sz w:val="26"/>
        </w:rPr>
        <w:t>14</w:t>
      </w:r>
      <w:r>
        <w:rPr>
          <w:sz w:val="26"/>
        </w:rPr>
        <w:tab/>
      </w:r>
      <w:r>
        <w:rPr>
          <w:sz w:val="28"/>
        </w:rPr>
        <w:t>—</w:t>
      </w:r>
    </w:p>
    <w:p>
      <w:pPr>
        <w:spacing w:after="0"/>
        <w:jc w:val="left"/>
        <w:rPr>
          <w:sz w:val="28"/>
        </w:rPr>
        <w:sectPr>
          <w:pgSz w:w="11910" w:h="16840"/>
          <w:pgMar w:top="1580" w:right="879" w:bottom="280" w:left="900" w:header="720" w:footer="720" w:gutter="0"/>
          <w:pgNumType w:start="15"/>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797"/>
        <w:gridCol w:w="455"/>
        <w:gridCol w:w="5371"/>
        <w:gridCol w:w="1084"/>
        <w:gridCol w:w="787"/>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185"/>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79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455"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5371" w:type="dxa"/>
            <w:tcBorders>
              <w:left w:val="single" w:sz="4" w:space="0" w:color="000000"/>
              <w:bottom w:val="single" w:sz="4" w:space="0" w:color="000000"/>
              <w:right w:val="single" w:sz="4" w:space="0" w:color="000000"/>
            </w:tcBorders>
          </w:tcPr>
          <w:p>
            <w:pPr>
              <w:pStyle w:val="TableParagraph"/>
              <w:spacing w:before="2" w:line="290" w:lineRule="auto"/>
              <w:ind w:left="111" w:right="-15"/>
              <w:rPr>
                <w:sz w:val="21"/>
              </w:rPr>
            </w:pPr>
            <w:r>
              <w:rPr>
                <w:spacing w:val="-15"/>
                <w:w w:val="95"/>
                <w:sz w:val="21"/>
              </w:rPr>
              <w:t xml:space="preserve">制污染程度，保障公众健康。以大气污染联防联控为重点， </w:t>
            </w:r>
            <w:r>
              <w:rPr>
                <w:spacing w:val="3"/>
                <w:sz w:val="21"/>
              </w:rPr>
              <w:t>针对跨区域环境污染等问题组织环保执法力量开展联合执法、跨区域执法、交叉执法，共同打击违法排污行动。针对可能对区域大气环境产生重大影响的重点行业规划、园区建设规划和重大工程项目进行会商。</w:t>
            </w:r>
          </w:p>
          <w:p>
            <w:pPr>
              <w:pStyle w:val="TableParagraph"/>
              <w:spacing w:before="4" w:line="292" w:lineRule="auto"/>
              <w:ind w:left="111" w:right="91"/>
              <w:jc w:val="both"/>
              <w:rPr>
                <w:sz w:val="21"/>
              </w:rPr>
            </w:pPr>
            <w:r>
              <w:rPr>
                <w:rFonts w:ascii="Times New Roman" w:eastAsia="Times New Roman"/>
                <w:sz w:val="21"/>
              </w:rPr>
              <w:t>3</w:t>
            </w:r>
            <w:r>
              <w:rPr>
                <w:sz w:val="21"/>
              </w:rPr>
              <w:t>、加强风险源监管，完善应急管理体系，通过智能化利</w:t>
            </w:r>
            <w:r>
              <w:rPr>
                <w:spacing w:val="-8"/>
                <w:w w:val="95"/>
                <w:sz w:val="21"/>
              </w:rPr>
              <w:t xml:space="preserve">用环境应急值守、风险隐患排查治理、风险源管理、事故 </w:t>
            </w:r>
            <w:r>
              <w:rPr>
                <w:spacing w:val="-13"/>
                <w:w w:val="95"/>
                <w:sz w:val="21"/>
              </w:rPr>
              <w:t xml:space="preserve">应急指挥等模块全面提高环保部门应急管理、风险防控和 </w:t>
            </w:r>
            <w:r>
              <w:rPr>
                <w:spacing w:val="-13"/>
                <w:sz w:val="21"/>
              </w:rPr>
              <w:t>应急处置工作水平，有效预防各类环境事件。</w:t>
            </w:r>
          </w:p>
          <w:p>
            <w:pPr>
              <w:pStyle w:val="TableParagraph"/>
              <w:spacing w:line="290" w:lineRule="auto"/>
              <w:ind w:left="111" w:right="94"/>
              <w:rPr>
                <w:sz w:val="21"/>
              </w:rPr>
            </w:pPr>
            <w:r>
              <w:rPr>
                <w:rFonts w:ascii="Times New Roman" w:eastAsia="Times New Roman"/>
                <w:sz w:val="21"/>
              </w:rPr>
              <w:t>4</w:t>
            </w:r>
            <w:r>
              <w:rPr>
                <w:sz w:val="21"/>
              </w:rPr>
              <w:t>、合理布局，严格管控高环境风险项目特别是高环境风险工业项目建设。</w:t>
            </w:r>
          </w:p>
          <w:p>
            <w:pPr>
              <w:pStyle w:val="TableParagraph"/>
              <w:spacing w:line="290" w:lineRule="auto"/>
              <w:ind w:left="111" w:right="94"/>
              <w:rPr>
                <w:sz w:val="21"/>
              </w:rPr>
            </w:pPr>
            <w:r>
              <w:rPr>
                <w:rFonts w:ascii="Times New Roman" w:eastAsia="Times New Roman"/>
                <w:sz w:val="21"/>
              </w:rPr>
              <w:t>5</w:t>
            </w:r>
            <w:r>
              <w:rPr>
                <w:sz w:val="21"/>
              </w:rPr>
              <w:t>、加强对危险化学品及危废暂存、运输、处置或利用的管理，最大限度控制环境风险的产生。</w:t>
            </w:r>
          </w:p>
          <w:p>
            <w:pPr>
              <w:pStyle w:val="TableParagraph"/>
              <w:spacing w:before="1"/>
              <w:ind w:left="111" w:right="-15"/>
              <w:rPr>
                <w:sz w:val="21"/>
              </w:rPr>
            </w:pPr>
            <w:r>
              <w:rPr>
                <w:rFonts w:ascii="Times New Roman" w:eastAsia="Times New Roman"/>
                <w:w w:val="95"/>
                <w:sz w:val="21"/>
              </w:rPr>
              <w:t>6</w:t>
            </w:r>
            <w:r>
              <w:rPr>
                <w:spacing w:val="-16"/>
                <w:w w:val="95"/>
                <w:sz w:val="21"/>
              </w:rPr>
              <w:t>、化工园区严格按照《山东省化工园区管理办法</w:t>
            </w:r>
            <w:r>
              <w:rPr>
                <w:w w:val="95"/>
                <w:sz w:val="21"/>
              </w:rPr>
              <w:t>（试行</w:t>
            </w:r>
            <w:r>
              <w:rPr>
                <w:spacing w:val="-106"/>
                <w:w w:val="95"/>
                <w:sz w:val="21"/>
              </w:rPr>
              <w:t>）</w:t>
            </w:r>
            <w:r>
              <w:rPr>
                <w:w w:val="95"/>
                <w:sz w:val="21"/>
              </w:rPr>
              <w:t>》</w:t>
            </w:r>
          </w:p>
          <w:p>
            <w:pPr>
              <w:pStyle w:val="TableParagraph"/>
              <w:spacing w:before="57" w:line="290" w:lineRule="auto"/>
              <w:ind w:left="111" w:right="91"/>
              <w:jc w:val="both"/>
              <w:rPr>
                <w:sz w:val="21"/>
              </w:rPr>
            </w:pPr>
            <w:r>
              <w:rPr>
                <w:sz w:val="21"/>
              </w:rPr>
              <w:t>（</w:t>
            </w:r>
            <w:r>
              <w:rPr>
                <w:spacing w:val="-4"/>
                <w:sz w:val="21"/>
              </w:rPr>
              <w:t>鲁工信化工〔</w:t>
            </w:r>
            <w:r>
              <w:rPr>
                <w:rFonts w:ascii="Times New Roman" w:eastAsia="Times New Roman"/>
                <w:sz w:val="21"/>
              </w:rPr>
              <w:t>2020</w:t>
            </w:r>
            <w:r>
              <w:rPr>
                <w:spacing w:val="-25"/>
                <w:sz w:val="21"/>
              </w:rPr>
              <w:t>〕</w:t>
            </w:r>
            <w:r>
              <w:rPr>
                <w:rFonts w:ascii="Times New Roman" w:eastAsia="Times New Roman"/>
                <w:sz w:val="21"/>
              </w:rPr>
              <w:t xml:space="preserve">141 </w:t>
            </w:r>
            <w:r>
              <w:rPr>
                <w:sz w:val="21"/>
              </w:rPr>
              <w:t>号</w:t>
            </w:r>
            <w:r>
              <w:rPr>
                <w:spacing w:val="-25"/>
                <w:sz w:val="21"/>
              </w:rPr>
              <w:t>）</w:t>
            </w:r>
            <w:r>
              <w:rPr>
                <w:spacing w:val="-4"/>
                <w:sz w:val="21"/>
              </w:rPr>
              <w:t>具体要求执行，推进化工</w:t>
            </w:r>
            <w:r>
              <w:rPr>
                <w:spacing w:val="-9"/>
                <w:w w:val="95"/>
                <w:sz w:val="21"/>
              </w:rPr>
              <w:t xml:space="preserve">园区安全生产和环境管理信息化智能平台建设，实现对园 </w:t>
            </w:r>
            <w:r>
              <w:rPr>
                <w:spacing w:val="-12"/>
                <w:w w:val="95"/>
                <w:sz w:val="21"/>
              </w:rPr>
              <w:t xml:space="preserve">区内企业、重点场所、重大污染源、重大危险源和基础设 </w:t>
            </w:r>
            <w:r>
              <w:rPr>
                <w:spacing w:val="3"/>
                <w:w w:val="95"/>
                <w:sz w:val="21"/>
              </w:rPr>
              <w:t xml:space="preserve">施实行风险监控预警。各乡镇现有的具有风险的化工企 </w:t>
            </w:r>
            <w:r>
              <w:rPr>
                <w:spacing w:val="3"/>
                <w:sz w:val="21"/>
              </w:rPr>
              <w:t>业，禁止进行改建和扩建，并加强监管力度。</w:t>
            </w:r>
          </w:p>
          <w:p>
            <w:pPr>
              <w:pStyle w:val="TableParagraph"/>
              <w:spacing w:before="7" w:line="290" w:lineRule="auto"/>
              <w:ind w:left="111" w:right="91"/>
              <w:rPr>
                <w:sz w:val="21"/>
              </w:rPr>
            </w:pPr>
            <w:r>
              <w:rPr>
                <w:rFonts w:ascii="Times New Roman" w:eastAsia="Times New Roman"/>
                <w:sz w:val="21"/>
              </w:rPr>
              <w:t>7</w:t>
            </w:r>
            <w:r>
              <w:rPr>
                <w:sz w:val="21"/>
              </w:rPr>
              <w:t>、建立土壤和地下水污染隐患排查制度、风险防控体系</w:t>
            </w:r>
            <w:r>
              <w:rPr>
                <w:w w:val="95"/>
                <w:sz w:val="21"/>
              </w:rPr>
              <w:t>和长效监管机制。加强对化工、农药等类型企业（包括已</w:t>
            </w:r>
          </w:p>
          <w:p>
            <w:pPr>
              <w:pStyle w:val="TableParagraph"/>
              <w:spacing w:before="1"/>
              <w:ind w:left="111"/>
              <w:rPr>
                <w:sz w:val="21"/>
              </w:rPr>
            </w:pPr>
            <w:r>
              <w:rPr>
                <w:sz w:val="21"/>
              </w:rPr>
              <w:t>经停产）场地土壤污染环境风险的防控力度。</w:t>
            </w:r>
          </w:p>
        </w:tc>
        <w:tc>
          <w:tcPr>
            <w:tcW w:w="1084" w:type="dxa"/>
            <w:tcBorders>
              <w:left w:val="single" w:sz="4" w:space="0" w:color="000000"/>
              <w:bottom w:val="single" w:sz="4" w:space="0" w:color="000000"/>
              <w:right w:val="single" w:sz="4" w:space="0" w:color="000000"/>
            </w:tcBorders>
          </w:tcPr>
          <w:p>
            <w:pPr>
              <w:pStyle w:val="TableParagraph"/>
              <w:spacing w:before="2" w:line="290" w:lineRule="auto"/>
              <w:ind w:left="126" w:right="107"/>
              <w:jc w:val="center"/>
              <w:rPr>
                <w:sz w:val="21"/>
              </w:rPr>
            </w:pPr>
            <w:r>
              <w:rPr>
                <w:sz w:val="21"/>
              </w:rPr>
              <w:t>制。对本项产生的危险废物严格按照标准要求进行暂存存。</w:t>
            </w:r>
          </w:p>
        </w:tc>
        <w:tc>
          <w:tcPr>
            <w:tcW w:w="78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5880"/>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
              <w:rPr>
                <w:sz w:val="18"/>
              </w:rPr>
            </w:pPr>
          </w:p>
          <w:p>
            <w:pPr>
              <w:pStyle w:val="TableParagraph"/>
              <w:spacing w:line="290" w:lineRule="auto"/>
              <w:ind w:left="192" w:right="174"/>
              <w:jc w:val="both"/>
              <w:rPr>
                <w:sz w:val="21"/>
              </w:rPr>
            </w:pPr>
            <w:r>
              <w:rPr>
                <w:sz w:val="21"/>
              </w:rPr>
              <w:t>资源利用效率要求</w:t>
            </w:r>
          </w:p>
        </w:tc>
        <w:tc>
          <w:tcPr>
            <w:tcW w:w="455"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5"/>
              <w:rPr>
                <w:sz w:val="14"/>
              </w:rPr>
            </w:pPr>
          </w:p>
          <w:p>
            <w:pPr>
              <w:pStyle w:val="TableParagraph"/>
              <w:spacing w:line="290" w:lineRule="auto"/>
              <w:ind w:left="125" w:right="108"/>
              <w:jc w:val="both"/>
              <w:rPr>
                <w:sz w:val="21"/>
              </w:rPr>
            </w:pPr>
            <w:r>
              <w:rPr>
                <w:sz w:val="21"/>
              </w:rPr>
              <w:t>水资源利用总量要求</w:t>
            </w:r>
          </w:p>
        </w:tc>
        <w:tc>
          <w:tcPr>
            <w:tcW w:w="5371" w:type="dxa"/>
            <w:tcBorders>
              <w:top w:val="single" w:sz="4" w:space="0" w:color="000000"/>
              <w:left w:val="single" w:sz="4" w:space="0" w:color="000000"/>
              <w:bottom w:val="thickThinMediumGap" w:sz="4" w:space="0" w:color="000000"/>
              <w:right w:val="single" w:sz="4" w:space="0" w:color="000000"/>
            </w:tcBorders>
          </w:tcPr>
          <w:p>
            <w:pPr>
              <w:pStyle w:val="TableParagraph"/>
              <w:spacing w:line="290" w:lineRule="auto"/>
              <w:ind w:left="111" w:right="91"/>
              <w:jc w:val="both"/>
              <w:rPr>
                <w:sz w:val="21"/>
              </w:rPr>
            </w:pPr>
            <w:r>
              <w:rPr>
                <w:rFonts w:ascii="Times New Roman" w:eastAsia="Times New Roman"/>
                <w:sz w:val="21"/>
              </w:rPr>
              <w:t>1</w:t>
            </w:r>
            <w:r>
              <w:rPr>
                <w:sz w:val="21"/>
              </w:rPr>
              <w:t xml:space="preserve">、统筹全市地表水等各类水资源，优先保证生活用水， </w:t>
            </w:r>
            <w:r>
              <w:rPr>
                <w:spacing w:val="-7"/>
                <w:w w:val="95"/>
                <w:sz w:val="21"/>
              </w:rPr>
              <w:t xml:space="preserve">合理安排农业用水和工业用水，实行最严格的水资源管理 </w:t>
            </w:r>
            <w:r>
              <w:rPr>
                <w:spacing w:val="-11"/>
                <w:w w:val="95"/>
                <w:sz w:val="21"/>
              </w:rPr>
              <w:t xml:space="preserve">制度，把水资源作为最大的刚性约束，加强水资源的开发 </w:t>
            </w:r>
            <w:r>
              <w:rPr>
                <w:spacing w:val="-12"/>
                <w:w w:val="95"/>
                <w:sz w:val="21"/>
              </w:rPr>
              <w:t xml:space="preserve">利用管理。积极开展再生水利用，提高再生水利用率。严 </w:t>
            </w:r>
            <w:r>
              <w:rPr>
                <w:spacing w:val="-15"/>
                <w:w w:val="95"/>
                <w:sz w:val="21"/>
              </w:rPr>
              <w:t xml:space="preserve">格落实水资源双控制度，健全市县行政区域规划期及年度 </w:t>
            </w:r>
            <w:r>
              <w:rPr>
                <w:spacing w:val="-14"/>
                <w:w w:val="95"/>
                <w:sz w:val="21"/>
              </w:rPr>
              <w:t xml:space="preserve">用水总量、用水强度控制指标体系，县级以上行政区制定 </w:t>
            </w:r>
            <w:r>
              <w:rPr>
                <w:spacing w:val="-14"/>
                <w:sz w:val="21"/>
              </w:rPr>
              <w:t>年度用水控制目标，规模以上用水户实行计划用水。</w:t>
            </w:r>
          </w:p>
          <w:p>
            <w:pPr>
              <w:pStyle w:val="TableParagraph"/>
              <w:spacing w:before="3" w:line="292" w:lineRule="auto"/>
              <w:ind w:left="111" w:right="91"/>
              <w:jc w:val="both"/>
              <w:rPr>
                <w:sz w:val="21"/>
              </w:rPr>
            </w:pPr>
            <w:r>
              <w:rPr>
                <w:rFonts w:ascii="Times New Roman" w:eastAsia="Times New Roman"/>
                <w:sz w:val="21"/>
              </w:rPr>
              <w:t>2</w:t>
            </w:r>
            <w:r>
              <w:rPr>
                <w:sz w:val="21"/>
              </w:rPr>
              <w:t>、根据水资源承载能力合理规划区域发展和产业布局。</w:t>
            </w:r>
            <w:r>
              <w:rPr>
                <w:spacing w:val="-5"/>
                <w:w w:val="95"/>
                <w:sz w:val="21"/>
              </w:rPr>
              <w:t xml:space="preserve">控制高耗水行业发展和高耗水工业项目建设，加强固定资 </w:t>
            </w:r>
            <w:r>
              <w:rPr>
                <w:spacing w:val="-12"/>
                <w:w w:val="95"/>
                <w:sz w:val="21"/>
              </w:rPr>
              <w:t xml:space="preserve">产投资项目节能节水审查，严格建设项目水资源论证审查 </w:t>
            </w:r>
            <w:r>
              <w:rPr>
                <w:spacing w:val="-12"/>
                <w:sz w:val="21"/>
              </w:rPr>
              <w:t>把关。</w:t>
            </w:r>
          </w:p>
          <w:p>
            <w:pPr>
              <w:pStyle w:val="TableParagraph"/>
              <w:spacing w:line="290" w:lineRule="auto"/>
              <w:ind w:left="111" w:right="94"/>
              <w:rPr>
                <w:sz w:val="21"/>
              </w:rPr>
            </w:pPr>
            <w:r>
              <w:rPr>
                <w:rFonts w:ascii="Times New Roman" w:eastAsia="Times New Roman"/>
                <w:sz w:val="21"/>
              </w:rPr>
              <w:t>3</w:t>
            </w:r>
            <w:r>
              <w:rPr>
                <w:sz w:val="21"/>
              </w:rPr>
              <w:t>、创新水权交易措施，用好财税杠杆，实施水价综合改革，倒逼提升节水效果。</w:t>
            </w:r>
          </w:p>
          <w:p>
            <w:pPr>
              <w:pStyle w:val="TableParagraph"/>
              <w:spacing w:line="292" w:lineRule="auto"/>
              <w:ind w:left="111" w:right="91"/>
              <w:jc w:val="both"/>
              <w:rPr>
                <w:sz w:val="21"/>
              </w:rPr>
            </w:pPr>
            <w:r>
              <w:rPr>
                <w:rFonts w:ascii="Times New Roman" w:eastAsia="Times New Roman"/>
                <w:spacing w:val="3"/>
                <w:sz w:val="21"/>
              </w:rPr>
              <w:t>4</w:t>
            </w:r>
            <w:r>
              <w:rPr>
                <w:sz w:val="21"/>
              </w:rPr>
              <w:t>、到</w:t>
            </w:r>
            <w:r>
              <w:rPr>
                <w:rFonts w:ascii="Times New Roman" w:eastAsia="Times New Roman"/>
                <w:sz w:val="21"/>
              </w:rPr>
              <w:t>2025</w:t>
            </w:r>
            <w:r>
              <w:rPr>
                <w:sz w:val="21"/>
              </w:rPr>
              <w:t>年，万元</w:t>
            </w:r>
            <w:r>
              <w:rPr>
                <w:rFonts w:ascii="Times New Roman" w:eastAsia="Times New Roman"/>
                <w:sz w:val="21"/>
              </w:rPr>
              <w:t>GDP</w:t>
            </w:r>
            <w:r>
              <w:rPr>
                <w:spacing w:val="1"/>
                <w:sz w:val="21"/>
              </w:rPr>
              <w:t>用水量比</w:t>
            </w:r>
            <w:r>
              <w:rPr>
                <w:rFonts w:ascii="Times New Roman" w:eastAsia="Times New Roman"/>
                <w:sz w:val="21"/>
              </w:rPr>
              <w:t>2020</w:t>
            </w:r>
            <w:r>
              <w:rPr>
                <w:spacing w:val="1"/>
                <w:sz w:val="21"/>
              </w:rPr>
              <w:t>年下降</w:t>
            </w:r>
            <w:r>
              <w:rPr>
                <w:rFonts w:ascii="Times New Roman" w:eastAsia="Times New Roman"/>
                <w:sz w:val="21"/>
              </w:rPr>
              <w:t>10%</w:t>
            </w:r>
            <w:r>
              <w:rPr>
                <w:spacing w:val="1"/>
                <w:sz w:val="21"/>
              </w:rPr>
              <w:t xml:space="preserve">以上； </w:t>
            </w:r>
            <w:r>
              <w:rPr>
                <w:spacing w:val="1"/>
                <w:w w:val="95"/>
                <w:sz w:val="21"/>
              </w:rPr>
              <w:t>农田灌溉水有效利用系数达到</w:t>
            </w:r>
            <w:r>
              <w:rPr>
                <w:rFonts w:ascii="Times New Roman" w:eastAsia="Times New Roman"/>
                <w:spacing w:val="1"/>
                <w:w w:val="95"/>
                <w:sz w:val="21"/>
              </w:rPr>
              <w:t>0.6381</w:t>
            </w:r>
            <w:r>
              <w:rPr>
                <w:spacing w:val="-6"/>
                <w:w w:val="95"/>
                <w:sz w:val="21"/>
              </w:rPr>
              <w:t>左右。到</w:t>
            </w:r>
            <w:r>
              <w:rPr>
                <w:rFonts w:ascii="Times New Roman" w:eastAsia="Times New Roman"/>
                <w:w w:val="95"/>
                <w:sz w:val="21"/>
              </w:rPr>
              <w:t>2035</w:t>
            </w:r>
            <w:r>
              <w:rPr>
                <w:spacing w:val="-7"/>
                <w:w w:val="95"/>
                <w:sz w:val="21"/>
              </w:rPr>
              <w:t>年，万 元</w:t>
            </w:r>
            <w:r>
              <w:rPr>
                <w:rFonts w:ascii="Times New Roman" w:eastAsia="Times New Roman"/>
                <w:spacing w:val="-7"/>
                <w:w w:val="95"/>
                <w:sz w:val="21"/>
              </w:rPr>
              <w:t>GDP</w:t>
            </w:r>
            <w:r>
              <w:rPr>
                <w:spacing w:val="-7"/>
                <w:w w:val="95"/>
                <w:sz w:val="21"/>
              </w:rPr>
              <w:t>用水量比</w:t>
            </w:r>
            <w:r>
              <w:rPr>
                <w:rFonts w:ascii="Times New Roman" w:eastAsia="Times New Roman"/>
                <w:spacing w:val="-7"/>
                <w:w w:val="95"/>
                <w:sz w:val="21"/>
              </w:rPr>
              <w:t>2020</w:t>
            </w:r>
            <w:r>
              <w:rPr>
                <w:spacing w:val="-7"/>
                <w:w w:val="95"/>
                <w:sz w:val="21"/>
              </w:rPr>
              <w:t>年下降</w:t>
            </w:r>
            <w:r>
              <w:rPr>
                <w:rFonts w:ascii="Times New Roman" w:eastAsia="Times New Roman"/>
                <w:spacing w:val="-7"/>
                <w:w w:val="95"/>
                <w:sz w:val="21"/>
              </w:rPr>
              <w:t>21%</w:t>
            </w:r>
            <w:r>
              <w:rPr>
                <w:spacing w:val="-9"/>
                <w:w w:val="95"/>
                <w:sz w:val="21"/>
              </w:rPr>
              <w:t xml:space="preserve">以上；农田灌溉水有效利 </w:t>
            </w:r>
            <w:r>
              <w:rPr>
                <w:spacing w:val="-9"/>
                <w:sz w:val="21"/>
              </w:rPr>
              <w:t>用系数达到</w:t>
            </w:r>
            <w:r>
              <w:rPr>
                <w:rFonts w:ascii="Times New Roman" w:eastAsia="Times New Roman"/>
                <w:spacing w:val="-9"/>
                <w:sz w:val="21"/>
              </w:rPr>
              <w:t>0.6411</w:t>
            </w:r>
            <w:r>
              <w:rPr>
                <w:spacing w:val="-9"/>
                <w:sz w:val="21"/>
              </w:rPr>
              <w:t>左右。</w:t>
            </w:r>
          </w:p>
          <w:p>
            <w:pPr>
              <w:pStyle w:val="TableParagraph"/>
              <w:spacing w:line="264" w:lineRule="exact"/>
              <w:ind w:left="111"/>
              <w:rPr>
                <w:sz w:val="21"/>
              </w:rPr>
            </w:pPr>
            <w:r>
              <w:rPr>
                <w:sz w:val="21"/>
              </w:rPr>
              <w:t>加强水资源利用管控，对于城镇建设和生活用水：</w:t>
            </w:r>
          </w:p>
        </w:tc>
        <w:tc>
          <w:tcPr>
            <w:tcW w:w="1084" w:type="dxa"/>
            <w:tcBorders>
              <w:top w:val="single" w:sz="4" w:space="0" w:color="000000"/>
              <w:left w:val="single" w:sz="4" w:space="0" w:color="000000"/>
              <w:bottom w:val="thickThinMediumGap"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2"/>
              <w:rPr>
                <w:sz w:val="31"/>
              </w:rPr>
            </w:pPr>
          </w:p>
          <w:p>
            <w:pPr>
              <w:pStyle w:val="TableParagraph"/>
              <w:spacing w:line="290" w:lineRule="auto"/>
              <w:ind w:left="126" w:right="107"/>
              <w:jc w:val="both"/>
              <w:rPr>
                <w:rFonts w:ascii="Times New Roman" w:eastAsia="Times New Roman"/>
                <w:sz w:val="21"/>
              </w:rPr>
            </w:pPr>
            <w:r>
              <w:rPr>
                <w:spacing w:val="-4"/>
                <w:sz w:val="21"/>
              </w:rPr>
              <w:t>本项目生产耗水量</w:t>
            </w:r>
            <w:r>
              <w:rPr>
                <w:rFonts w:ascii="Times New Roman" w:eastAsia="Times New Roman"/>
                <w:sz w:val="21"/>
              </w:rPr>
              <w:t>10030.64</w:t>
            </w:r>
          </w:p>
          <w:p>
            <w:pPr>
              <w:pStyle w:val="TableParagraph"/>
              <w:spacing w:line="292" w:lineRule="auto"/>
              <w:ind w:left="126" w:right="107" w:firstLine="16"/>
              <w:jc w:val="both"/>
              <w:rPr>
                <w:sz w:val="21"/>
              </w:rPr>
            </w:pPr>
            <w:r>
              <w:rPr>
                <w:rFonts w:ascii="Times New Roman" w:eastAsia="Times New Roman"/>
                <w:sz w:val="21"/>
              </w:rPr>
              <w:t>m</w:t>
            </w:r>
            <w:r>
              <w:rPr>
                <w:rFonts w:ascii="Times New Roman" w:eastAsia="Times New Roman"/>
                <w:position w:val="7"/>
                <w:sz w:val="13"/>
              </w:rPr>
              <w:t>3</w:t>
            </w:r>
            <w:r>
              <w:rPr>
                <w:rFonts w:ascii="Times New Roman" w:eastAsia="Times New Roman"/>
                <w:sz w:val="21"/>
              </w:rPr>
              <w:t>/a</w:t>
            </w:r>
            <w:r>
              <w:rPr>
                <w:sz w:val="21"/>
              </w:rPr>
              <w:t>，不</w:t>
            </w:r>
            <w:r>
              <w:rPr>
                <w:spacing w:val="-4"/>
                <w:sz w:val="21"/>
              </w:rPr>
              <w:t>属于水耗较大的工</w:t>
            </w:r>
            <w:r>
              <w:rPr>
                <w:spacing w:val="-4"/>
                <w:w w:val="95"/>
                <w:sz w:val="21"/>
              </w:rPr>
              <w:t>业项目。</w:t>
            </w:r>
          </w:p>
        </w:tc>
        <w:tc>
          <w:tcPr>
            <w:tcW w:w="787"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16"/>
              </w:rPr>
            </w:pPr>
          </w:p>
          <w:p>
            <w:pPr>
              <w:pStyle w:val="TableParagraph"/>
              <w:ind w:left="187"/>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pStyle w:val="BodyText"/>
        <w:rPr>
          <w:sz w:val="20"/>
        </w:rPr>
      </w:pPr>
    </w:p>
    <w:p>
      <w:pPr>
        <w:pStyle w:val="BodyText"/>
        <w:rPr>
          <w:sz w:val="20"/>
        </w:rPr>
      </w:pPr>
    </w:p>
    <w:p>
      <w:pPr>
        <w:spacing w:before="212"/>
        <w:ind w:left="0" w:right="649" w:firstLine="0"/>
        <w:jc w:val="right"/>
        <w:rPr>
          <w:sz w:val="28"/>
        </w:rPr>
      </w:pPr>
      <w:r>
        <w:rPr>
          <w:sz w:val="28"/>
        </w:rPr>
        <w:t xml:space="preserve">— </w:t>
      </w:r>
      <w:r>
        <w:rPr>
          <w:sz w:val="26"/>
        </w:rPr>
        <w:t xml:space="preserve">15 </w:t>
      </w:r>
      <w:r>
        <w:rPr>
          <w:sz w:val="28"/>
        </w:rPr>
        <w:t>—</w:t>
      </w:r>
    </w:p>
    <w:p>
      <w:pPr>
        <w:spacing w:after="0"/>
        <w:jc w:val="right"/>
        <w:rPr>
          <w:sz w:val="28"/>
        </w:rPr>
        <w:sectPr>
          <w:pgSz w:w="11910" w:h="16840"/>
          <w:pgMar w:top="1580" w:right="879" w:bottom="280" w:left="900" w:header="720" w:footer="720" w:gutter="0"/>
          <w:pgNumType w:start="16"/>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797"/>
        <w:gridCol w:w="455"/>
        <w:gridCol w:w="5371"/>
        <w:gridCol w:w="1084"/>
        <w:gridCol w:w="787"/>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165"/>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79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455"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5371" w:type="dxa"/>
            <w:tcBorders>
              <w:left w:val="single" w:sz="4" w:space="0" w:color="000000"/>
              <w:bottom w:val="single" w:sz="4" w:space="0" w:color="000000"/>
              <w:right w:val="single" w:sz="4" w:space="0" w:color="000000"/>
            </w:tcBorders>
          </w:tcPr>
          <w:p>
            <w:pPr>
              <w:pStyle w:val="TableParagraph"/>
              <w:spacing w:before="2" w:line="288" w:lineRule="auto"/>
              <w:ind w:left="111" w:right="-15"/>
              <w:rPr>
                <w:sz w:val="21"/>
              </w:rPr>
            </w:pPr>
            <w:r>
              <w:rPr>
                <w:rFonts w:ascii="Times New Roman" w:eastAsia="Times New Roman"/>
                <w:w w:val="95"/>
                <w:sz w:val="21"/>
              </w:rPr>
              <w:t>1</w:t>
            </w:r>
            <w:r>
              <w:rPr>
                <w:spacing w:val="-10"/>
                <w:w w:val="95"/>
                <w:sz w:val="21"/>
              </w:rPr>
              <w:t xml:space="preserve">、深入推进城市建成区雨污分流，建设雨水收集、调蓄、 </w:t>
            </w:r>
            <w:r>
              <w:rPr>
                <w:spacing w:val="-10"/>
                <w:sz w:val="21"/>
              </w:rPr>
              <w:t>利用设施；</w:t>
            </w:r>
          </w:p>
          <w:p>
            <w:pPr>
              <w:pStyle w:val="TableParagraph"/>
              <w:spacing w:before="7" w:line="290" w:lineRule="auto"/>
              <w:ind w:left="111" w:right="91"/>
              <w:jc w:val="both"/>
              <w:rPr>
                <w:sz w:val="21"/>
              </w:rPr>
            </w:pPr>
            <w:r>
              <w:rPr>
                <w:rFonts w:ascii="Times New Roman" w:eastAsia="Times New Roman"/>
                <w:sz w:val="21"/>
              </w:rPr>
              <w:t>2</w:t>
            </w:r>
            <w:r>
              <w:rPr>
                <w:sz w:val="21"/>
              </w:rPr>
              <w:t>、在具备条件的城镇污水处理厂排污口下游建设水质深</w:t>
            </w:r>
            <w:r>
              <w:rPr>
                <w:spacing w:val="-9"/>
                <w:w w:val="95"/>
                <w:sz w:val="21"/>
              </w:rPr>
              <w:t xml:space="preserve">度净化工程，完善再生水利用的基础设施和政策措施，提 </w:t>
            </w:r>
            <w:r>
              <w:rPr>
                <w:spacing w:val="-13"/>
                <w:w w:val="95"/>
                <w:sz w:val="21"/>
              </w:rPr>
              <w:t xml:space="preserve">高再生水利用率，城市建成区景观绿化、市政清洁等原则 </w:t>
            </w:r>
            <w:r>
              <w:rPr>
                <w:spacing w:val="-13"/>
                <w:sz w:val="21"/>
              </w:rPr>
              <w:t>上应使用再生水；</w:t>
            </w:r>
          </w:p>
          <w:p>
            <w:pPr>
              <w:pStyle w:val="TableParagraph"/>
              <w:spacing w:before="3"/>
              <w:ind w:left="111"/>
              <w:rPr>
                <w:sz w:val="21"/>
              </w:rPr>
            </w:pPr>
            <w:r>
              <w:rPr>
                <w:rFonts w:ascii="Times New Roman" w:eastAsia="Times New Roman"/>
                <w:sz w:val="21"/>
              </w:rPr>
              <w:t>3</w:t>
            </w:r>
            <w:r>
              <w:rPr>
                <w:sz w:val="21"/>
              </w:rPr>
              <w:t>、引导和推动合同节水管理，实行节水奖励补贴制度；</w:t>
            </w:r>
          </w:p>
          <w:p>
            <w:pPr>
              <w:pStyle w:val="TableParagraph"/>
              <w:spacing w:before="58" w:line="292" w:lineRule="auto"/>
              <w:ind w:left="111" w:right="94"/>
              <w:rPr>
                <w:sz w:val="21"/>
              </w:rPr>
            </w:pPr>
            <w:r>
              <w:rPr>
                <w:rFonts w:ascii="Times New Roman" w:eastAsia="Times New Roman"/>
                <w:sz w:val="21"/>
              </w:rPr>
              <w:t>4</w:t>
            </w:r>
            <w:r>
              <w:rPr>
                <w:sz w:val="21"/>
              </w:rPr>
              <w:t>、以学校、医院、景区、体育馆等为重点，开展节水改造，普及节水器具；</w:t>
            </w:r>
          </w:p>
          <w:p>
            <w:pPr>
              <w:pStyle w:val="TableParagraph"/>
              <w:spacing w:line="290" w:lineRule="auto"/>
              <w:ind w:left="111" w:right="-15"/>
              <w:rPr>
                <w:sz w:val="21"/>
              </w:rPr>
            </w:pPr>
            <w:r>
              <w:rPr>
                <w:rFonts w:ascii="Times New Roman" w:eastAsia="Times New Roman"/>
                <w:w w:val="95"/>
                <w:sz w:val="21"/>
              </w:rPr>
              <w:t>5</w:t>
            </w:r>
            <w:r>
              <w:rPr>
                <w:spacing w:val="-11"/>
                <w:w w:val="95"/>
                <w:sz w:val="21"/>
              </w:rPr>
              <w:t xml:space="preserve">、加强公共供水系统运行监督管理，健全管网检漏机制， </w:t>
            </w:r>
            <w:r>
              <w:rPr>
                <w:spacing w:val="-11"/>
                <w:sz w:val="21"/>
              </w:rPr>
              <w:t>推进老旧破损管网更新改造。</w:t>
            </w:r>
          </w:p>
          <w:p>
            <w:pPr>
              <w:pStyle w:val="TableParagraph"/>
              <w:ind w:left="111"/>
              <w:rPr>
                <w:sz w:val="21"/>
              </w:rPr>
            </w:pPr>
            <w:r>
              <w:rPr>
                <w:sz w:val="21"/>
              </w:rPr>
              <w:t>对于农业用水：</w:t>
            </w:r>
          </w:p>
          <w:p>
            <w:pPr>
              <w:pStyle w:val="TableParagraph"/>
              <w:spacing w:before="57"/>
              <w:ind w:left="111"/>
              <w:rPr>
                <w:sz w:val="21"/>
              </w:rPr>
            </w:pPr>
            <w:r>
              <w:rPr>
                <w:rFonts w:ascii="Times New Roman" w:eastAsia="Times New Roman"/>
                <w:sz w:val="21"/>
              </w:rPr>
              <w:t>1</w:t>
            </w:r>
            <w:r>
              <w:rPr>
                <w:sz w:val="21"/>
              </w:rPr>
              <w:t>、坚持因水施种，降低农业水耗；</w:t>
            </w:r>
          </w:p>
          <w:p>
            <w:pPr>
              <w:pStyle w:val="TableParagraph"/>
              <w:spacing w:before="60"/>
              <w:ind w:left="111"/>
              <w:rPr>
                <w:sz w:val="21"/>
              </w:rPr>
            </w:pPr>
            <w:r>
              <w:rPr>
                <w:rFonts w:ascii="Times New Roman" w:eastAsia="Times New Roman"/>
                <w:sz w:val="21"/>
              </w:rPr>
              <w:t>2</w:t>
            </w:r>
            <w:r>
              <w:rPr>
                <w:sz w:val="21"/>
              </w:rPr>
              <w:t>、积极推广水肥一体化和测墒灌溉；</w:t>
            </w:r>
          </w:p>
          <w:p>
            <w:pPr>
              <w:pStyle w:val="TableParagraph"/>
              <w:spacing w:before="57" w:line="290" w:lineRule="auto"/>
              <w:ind w:left="111" w:right="94"/>
              <w:rPr>
                <w:sz w:val="21"/>
              </w:rPr>
            </w:pPr>
            <w:r>
              <w:rPr>
                <w:rFonts w:ascii="Times New Roman" w:eastAsia="Times New Roman"/>
                <w:sz w:val="21"/>
              </w:rPr>
              <w:t>3</w:t>
            </w:r>
            <w:r>
              <w:rPr>
                <w:sz w:val="21"/>
              </w:rPr>
              <w:t>、推行农业灌溉超定额累进加价制度，建立农业用水精准补贴和节水奖励机制；</w:t>
            </w:r>
          </w:p>
          <w:p>
            <w:pPr>
              <w:pStyle w:val="TableParagraph"/>
              <w:spacing w:before="2" w:line="290" w:lineRule="auto"/>
              <w:ind w:left="111" w:right="103"/>
              <w:rPr>
                <w:sz w:val="21"/>
              </w:rPr>
            </w:pPr>
            <w:r>
              <w:rPr>
                <w:rFonts w:ascii="Times New Roman" w:eastAsia="Times New Roman"/>
                <w:w w:val="95"/>
                <w:sz w:val="21"/>
              </w:rPr>
              <w:t>4</w:t>
            </w:r>
            <w:r>
              <w:rPr>
                <w:w w:val="95"/>
                <w:sz w:val="21"/>
              </w:rPr>
              <w:t xml:space="preserve">、大中型养殖场推行节水改造，普及节水型养殖方式。 </w:t>
            </w:r>
            <w:r>
              <w:rPr>
                <w:sz w:val="21"/>
              </w:rPr>
              <w:t>对于工业用水：</w:t>
            </w:r>
          </w:p>
          <w:p>
            <w:pPr>
              <w:pStyle w:val="TableParagraph"/>
              <w:spacing w:before="2" w:line="292" w:lineRule="auto"/>
              <w:ind w:left="111" w:right="94"/>
              <w:rPr>
                <w:sz w:val="21"/>
              </w:rPr>
            </w:pPr>
            <w:r>
              <w:rPr>
                <w:rFonts w:ascii="Times New Roman" w:eastAsia="Times New Roman"/>
                <w:sz w:val="21"/>
              </w:rPr>
              <w:t>1</w:t>
            </w:r>
            <w:r>
              <w:rPr>
                <w:sz w:val="21"/>
              </w:rPr>
              <w:t>、严控工业项目新鲜水使用量，新建主要耗水工业项目应优先使用再生水；</w:t>
            </w:r>
          </w:p>
          <w:p>
            <w:pPr>
              <w:pStyle w:val="TableParagraph"/>
              <w:spacing w:line="290" w:lineRule="auto"/>
              <w:ind w:left="111" w:right="94"/>
              <w:jc w:val="both"/>
              <w:rPr>
                <w:sz w:val="21"/>
              </w:rPr>
            </w:pPr>
            <w:r>
              <w:rPr>
                <w:rFonts w:ascii="Times New Roman" w:eastAsia="Times New Roman"/>
                <w:sz w:val="21"/>
              </w:rPr>
              <w:t>2</w:t>
            </w:r>
            <w:r>
              <w:rPr>
                <w:sz w:val="21"/>
              </w:rPr>
              <w:t>、推广高效冷却、洗涤、循环用水、再生水利用、高耗</w:t>
            </w:r>
            <w:r>
              <w:rPr>
                <w:spacing w:val="-8"/>
                <w:w w:val="95"/>
                <w:sz w:val="21"/>
              </w:rPr>
              <w:t xml:space="preserve">水工艺替代等先进节水工艺，在主要高耗水行业开展水效 </w:t>
            </w:r>
            <w:r>
              <w:rPr>
                <w:spacing w:val="-8"/>
                <w:sz w:val="21"/>
              </w:rPr>
              <w:t>领跑者引领行动，推进工业废水资源化利用；</w:t>
            </w:r>
          </w:p>
          <w:p>
            <w:pPr>
              <w:pStyle w:val="TableParagraph"/>
              <w:spacing w:before="1"/>
              <w:ind w:left="111"/>
              <w:rPr>
                <w:sz w:val="21"/>
              </w:rPr>
            </w:pPr>
            <w:r>
              <w:rPr>
                <w:rFonts w:ascii="Times New Roman" w:eastAsia="Times New Roman"/>
                <w:sz w:val="21"/>
              </w:rPr>
              <w:t>3</w:t>
            </w:r>
            <w:r>
              <w:rPr>
                <w:sz w:val="21"/>
              </w:rPr>
              <w:t>、加强水资源管控，区域黄河干流水资源超载地区销号</w:t>
            </w:r>
          </w:p>
          <w:p>
            <w:pPr>
              <w:pStyle w:val="TableParagraph"/>
              <w:spacing w:before="57"/>
              <w:ind w:left="111"/>
              <w:rPr>
                <w:sz w:val="21"/>
              </w:rPr>
            </w:pPr>
            <w:r>
              <w:rPr>
                <w:sz w:val="21"/>
              </w:rPr>
              <w:t>前原则暂停新增以黄河水为水源的取水许可。</w:t>
            </w:r>
          </w:p>
        </w:tc>
        <w:tc>
          <w:tcPr>
            <w:tcW w:w="1084"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78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4900"/>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97"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line="290" w:lineRule="auto"/>
              <w:ind w:left="192" w:right="174"/>
              <w:jc w:val="both"/>
              <w:rPr>
                <w:sz w:val="21"/>
              </w:rPr>
            </w:pPr>
            <w:r>
              <w:rPr>
                <w:sz w:val="21"/>
              </w:rPr>
              <w:t>资源利用效率要求</w:t>
            </w:r>
          </w:p>
        </w:tc>
        <w:tc>
          <w:tcPr>
            <w:tcW w:w="455"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7"/>
              <w:rPr>
                <w:sz w:val="21"/>
              </w:rPr>
            </w:pPr>
          </w:p>
          <w:p>
            <w:pPr>
              <w:pStyle w:val="TableParagraph"/>
              <w:spacing w:before="1" w:line="290" w:lineRule="auto"/>
              <w:ind w:left="125" w:right="108"/>
              <w:jc w:val="both"/>
              <w:rPr>
                <w:sz w:val="21"/>
              </w:rPr>
            </w:pPr>
            <w:r>
              <w:rPr>
                <w:sz w:val="21"/>
              </w:rPr>
              <w:t>地下水开采要求</w:t>
            </w:r>
          </w:p>
        </w:tc>
        <w:tc>
          <w:tcPr>
            <w:tcW w:w="5371" w:type="dxa"/>
            <w:tcBorders>
              <w:top w:val="single" w:sz="4" w:space="0" w:color="000000"/>
              <w:left w:val="single" w:sz="4" w:space="0" w:color="000000"/>
              <w:bottom w:val="thickThinMediumGap" w:sz="4" w:space="0" w:color="000000"/>
              <w:right w:val="single" w:sz="4" w:space="0" w:color="000000"/>
            </w:tcBorders>
          </w:tcPr>
          <w:p>
            <w:pPr>
              <w:pStyle w:val="TableParagraph"/>
              <w:spacing w:line="290" w:lineRule="auto"/>
              <w:ind w:left="111" w:right="-15"/>
              <w:rPr>
                <w:sz w:val="21"/>
              </w:rPr>
            </w:pPr>
            <w:r>
              <w:rPr>
                <w:rFonts w:ascii="Times New Roman" w:eastAsia="Times New Roman"/>
                <w:sz w:val="21"/>
              </w:rPr>
              <w:t>1</w:t>
            </w:r>
            <w:r>
              <w:rPr>
                <w:sz w:val="21"/>
              </w:rPr>
              <w:t>、实行总量与水位双调控制度，区域内取用地下水总量</w:t>
            </w:r>
            <w:r>
              <w:rPr>
                <w:spacing w:val="-7"/>
                <w:sz w:val="21"/>
              </w:rPr>
              <w:t>已达到或超过控制指标的地区，暂停审批其建设项目新增</w:t>
            </w:r>
            <w:r>
              <w:rPr>
                <w:spacing w:val="-13"/>
                <w:sz w:val="21"/>
              </w:rPr>
              <w:t>取用地下水。在地下水超采区内，除居民生活用水与应急供水外，严禁新增地下水取水量。在超采区内确需取用地下水的，要在现有地下水开采总量控制指标内调剂解决， 并逐步削减地下水开采量。</w:t>
            </w:r>
          </w:p>
          <w:p>
            <w:pPr>
              <w:pStyle w:val="TableParagraph"/>
              <w:spacing w:before="4" w:line="290" w:lineRule="auto"/>
              <w:ind w:left="111" w:right="94"/>
              <w:jc w:val="both"/>
              <w:rPr>
                <w:sz w:val="21"/>
              </w:rPr>
            </w:pPr>
            <w:r>
              <w:rPr>
                <w:rFonts w:ascii="Times New Roman" w:eastAsia="Times New Roman"/>
                <w:sz w:val="21"/>
              </w:rPr>
              <w:t>2</w:t>
            </w:r>
            <w:r>
              <w:rPr>
                <w:sz w:val="21"/>
              </w:rPr>
              <w:t>、对区域内具备使用再生水条件但未充分利用的钢铁、</w:t>
            </w:r>
            <w:r>
              <w:rPr>
                <w:spacing w:val="-10"/>
                <w:w w:val="95"/>
                <w:sz w:val="21"/>
              </w:rPr>
              <w:t xml:space="preserve">火电、化工、制浆造纸、印染等项目，不得批准其新增取 </w:t>
            </w:r>
            <w:r>
              <w:rPr>
                <w:spacing w:val="-10"/>
                <w:sz w:val="21"/>
              </w:rPr>
              <w:t>用地下水。</w:t>
            </w:r>
          </w:p>
          <w:p>
            <w:pPr>
              <w:pStyle w:val="TableParagraph"/>
              <w:spacing w:before="2" w:line="292" w:lineRule="auto"/>
              <w:ind w:left="111" w:right="94"/>
              <w:jc w:val="both"/>
              <w:rPr>
                <w:sz w:val="21"/>
              </w:rPr>
            </w:pPr>
            <w:r>
              <w:rPr>
                <w:rFonts w:ascii="Times New Roman" w:eastAsia="Times New Roman"/>
                <w:sz w:val="21"/>
              </w:rPr>
              <w:t>3</w:t>
            </w:r>
            <w:r>
              <w:rPr>
                <w:sz w:val="21"/>
              </w:rPr>
              <w:t>、深层地下水：深层承压水超采区全部划为禁采区，现</w:t>
            </w:r>
            <w:r>
              <w:rPr>
                <w:spacing w:val="-5"/>
                <w:w w:val="95"/>
                <w:sz w:val="21"/>
              </w:rPr>
              <w:t xml:space="preserve">状深层承压水开采井要结合替代水源建设逐步封停。逐步 </w:t>
            </w:r>
            <w:r>
              <w:rPr>
                <w:spacing w:val="3"/>
                <w:w w:val="95"/>
                <w:sz w:val="21"/>
              </w:rPr>
              <w:t xml:space="preserve">关停非生活用水和部分有水源替代条件的深层承压水开 </w:t>
            </w:r>
            <w:r>
              <w:rPr>
                <w:sz w:val="21"/>
              </w:rPr>
              <w:t>采井，</w:t>
            </w:r>
            <w:r>
              <w:rPr>
                <w:rFonts w:ascii="Times New Roman" w:eastAsia="Times New Roman"/>
                <w:sz w:val="21"/>
              </w:rPr>
              <w:t>2025</w:t>
            </w:r>
            <w:r>
              <w:rPr>
                <w:rFonts w:ascii="Times New Roman" w:eastAsia="Times New Roman"/>
                <w:spacing w:val="51"/>
                <w:sz w:val="21"/>
              </w:rPr>
              <w:t xml:space="preserve"> </w:t>
            </w:r>
            <w:r>
              <w:rPr>
                <w:sz w:val="21"/>
              </w:rPr>
              <w:t>年前全部关停深层承压水开采井（饮用水按照相关要求执行）。</w:t>
            </w:r>
          </w:p>
          <w:p>
            <w:pPr>
              <w:pStyle w:val="TableParagraph"/>
              <w:spacing w:line="262" w:lineRule="exact"/>
              <w:ind w:left="111"/>
              <w:rPr>
                <w:sz w:val="21"/>
              </w:rPr>
            </w:pPr>
            <w:r>
              <w:rPr>
                <w:rFonts w:ascii="Times New Roman" w:eastAsia="Times New Roman"/>
                <w:sz w:val="21"/>
              </w:rPr>
              <w:t>4</w:t>
            </w:r>
            <w:r>
              <w:rPr>
                <w:sz w:val="21"/>
              </w:rPr>
              <w:t>、浅层地下水：浅层地下水超采区全部划定为限采区，</w:t>
            </w:r>
          </w:p>
        </w:tc>
        <w:tc>
          <w:tcPr>
            <w:tcW w:w="1084"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63" w:line="290" w:lineRule="auto"/>
              <w:ind w:left="126" w:right="107"/>
              <w:jc w:val="center"/>
              <w:rPr>
                <w:sz w:val="21"/>
              </w:rPr>
            </w:pPr>
            <w:r>
              <w:rPr>
                <w:spacing w:val="-4"/>
                <w:sz w:val="21"/>
              </w:rPr>
              <w:t>项目不开</w:t>
            </w:r>
            <w:r>
              <w:rPr>
                <w:sz w:val="21"/>
              </w:rPr>
              <w:t>采地下 水。</w:t>
            </w:r>
          </w:p>
        </w:tc>
        <w:tc>
          <w:tcPr>
            <w:tcW w:w="787"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2"/>
              <w:rPr>
                <w:sz w:val="18"/>
              </w:rPr>
            </w:pPr>
          </w:p>
          <w:p>
            <w:pPr>
              <w:pStyle w:val="TableParagraph"/>
              <w:spacing w:before="1"/>
              <w:ind w:left="187"/>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pStyle w:val="BodyText"/>
        <w:rPr>
          <w:sz w:val="20"/>
        </w:rPr>
      </w:pPr>
    </w:p>
    <w:p>
      <w:pPr>
        <w:pStyle w:val="BodyText"/>
        <w:rPr>
          <w:sz w:val="20"/>
        </w:rPr>
      </w:pPr>
    </w:p>
    <w:p>
      <w:pPr>
        <w:tabs>
          <w:tab w:val="left" w:pos="1571"/>
        </w:tabs>
        <w:spacing w:before="212"/>
        <w:ind w:left="631" w:right="0" w:firstLine="0"/>
        <w:jc w:val="left"/>
        <w:rPr>
          <w:sz w:val="28"/>
        </w:rPr>
      </w:pPr>
      <w:r>
        <w:rPr>
          <w:sz w:val="28"/>
        </w:rPr>
        <w:t>—</w:t>
      </w:r>
      <w:r>
        <w:rPr>
          <w:spacing w:val="59"/>
          <w:sz w:val="28"/>
        </w:rPr>
        <w:t xml:space="preserve"> </w:t>
      </w:r>
      <w:r>
        <w:rPr>
          <w:sz w:val="26"/>
        </w:rPr>
        <w:t>16</w:t>
      </w:r>
      <w:r>
        <w:rPr>
          <w:sz w:val="26"/>
        </w:rPr>
        <w:tab/>
      </w:r>
      <w:r>
        <w:rPr>
          <w:sz w:val="28"/>
        </w:rPr>
        <w:t>—</w:t>
      </w:r>
    </w:p>
    <w:p>
      <w:pPr>
        <w:spacing w:after="0"/>
        <w:jc w:val="left"/>
        <w:rPr>
          <w:sz w:val="28"/>
        </w:rPr>
        <w:sectPr>
          <w:pgSz w:w="11910" w:h="16840"/>
          <w:pgMar w:top="1580" w:right="879" w:bottom="280" w:left="900" w:header="720" w:footer="720" w:gutter="0"/>
          <w:pgNumType w:start="17"/>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797"/>
        <w:gridCol w:w="356"/>
        <w:gridCol w:w="99"/>
        <w:gridCol w:w="4586"/>
        <w:gridCol w:w="785"/>
        <w:gridCol w:w="761"/>
        <w:gridCol w:w="323"/>
        <w:gridCol w:w="787"/>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629"/>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797"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455"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tc>
        <w:tc>
          <w:tcPr>
            <w:tcW w:w="5371" w:type="dxa"/>
            <w:gridSpan w:val="2"/>
            <w:tcBorders>
              <w:left w:val="single" w:sz="4" w:space="0" w:color="000000"/>
              <w:bottom w:val="single" w:sz="4" w:space="0" w:color="000000"/>
              <w:right w:val="single" w:sz="4" w:space="0" w:color="000000"/>
            </w:tcBorders>
          </w:tcPr>
          <w:p>
            <w:pPr>
              <w:pStyle w:val="TableParagraph"/>
              <w:spacing w:before="2" w:line="290" w:lineRule="auto"/>
              <w:ind w:left="111" w:right="-15"/>
              <w:rPr>
                <w:sz w:val="21"/>
              </w:rPr>
            </w:pPr>
            <w:r>
              <w:rPr>
                <w:sz w:val="21"/>
              </w:rPr>
              <w:t>超采区内工业公共供水管网内浅层地下水分期全部封填。</w:t>
            </w:r>
            <w:r>
              <w:rPr>
                <w:spacing w:val="-7"/>
                <w:sz w:val="21"/>
              </w:rPr>
              <w:t>工业公共供水管网外应逐步关停；农业公共供水管网覆盖</w:t>
            </w:r>
            <w:r>
              <w:rPr>
                <w:spacing w:val="3"/>
                <w:sz w:val="21"/>
              </w:rPr>
              <w:t>地区的自备井要分期全部封填，井灌区主要通过节水灌</w:t>
            </w:r>
            <w:r>
              <w:rPr>
                <w:spacing w:val="-9"/>
                <w:sz w:val="21"/>
              </w:rPr>
              <w:t>溉、地表水源替代等措施压减地下水开采量，农灌机井不</w:t>
            </w:r>
          </w:p>
          <w:p>
            <w:pPr>
              <w:pStyle w:val="TableParagraph"/>
              <w:spacing w:before="3"/>
              <w:ind w:left="111"/>
              <w:rPr>
                <w:sz w:val="21"/>
              </w:rPr>
            </w:pPr>
            <w:r>
              <w:rPr>
                <w:sz w:val="21"/>
              </w:rPr>
              <w:t>要求封填，作为干旱年份的备用水源以确保粮食安全。</w:t>
            </w:r>
          </w:p>
        </w:tc>
        <w:tc>
          <w:tcPr>
            <w:tcW w:w="1084"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tc>
        <w:tc>
          <w:tcPr>
            <w:tcW w:w="78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3911"/>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58" w:line="290" w:lineRule="auto"/>
              <w:ind w:left="125" w:right="108"/>
              <w:jc w:val="both"/>
              <w:rPr>
                <w:sz w:val="21"/>
              </w:rPr>
            </w:pPr>
            <w:r>
              <w:rPr>
                <w:sz w:val="21"/>
              </w:rPr>
              <w:t>能源利用总量及效率要求</w:t>
            </w:r>
          </w:p>
        </w:tc>
        <w:tc>
          <w:tcPr>
            <w:tcW w:w="5371" w:type="dxa"/>
            <w:gridSpan w:val="2"/>
            <w:tcBorders>
              <w:top w:val="single" w:sz="4" w:space="0" w:color="000000"/>
              <w:left w:val="single" w:sz="4" w:space="0" w:color="000000"/>
              <w:bottom w:val="single" w:sz="4" w:space="0" w:color="000000"/>
              <w:right w:val="single" w:sz="4" w:space="0" w:color="000000"/>
            </w:tcBorders>
          </w:tcPr>
          <w:p>
            <w:pPr>
              <w:pStyle w:val="TableParagraph"/>
              <w:spacing w:line="290" w:lineRule="auto"/>
              <w:ind w:left="111" w:right="91"/>
              <w:jc w:val="both"/>
              <w:rPr>
                <w:sz w:val="21"/>
              </w:rPr>
            </w:pPr>
            <w:r>
              <w:rPr>
                <w:rFonts w:ascii="Times New Roman" w:eastAsia="Times New Roman"/>
                <w:sz w:val="21"/>
              </w:rPr>
              <w:t>1</w:t>
            </w:r>
            <w:r>
              <w:rPr>
                <w:sz w:val="21"/>
              </w:rPr>
              <w:t>、限制高耗能项目特别是高耗能工业项目建设，严格控</w:t>
            </w:r>
            <w:r>
              <w:rPr>
                <w:spacing w:val="-6"/>
                <w:w w:val="95"/>
                <w:sz w:val="21"/>
              </w:rPr>
              <w:t>制新增煤耗项目，新</w:t>
            </w:r>
            <w:r>
              <w:rPr>
                <w:w w:val="95"/>
                <w:sz w:val="21"/>
              </w:rPr>
              <w:t>（</w:t>
            </w:r>
            <w:r>
              <w:rPr>
                <w:spacing w:val="-9"/>
                <w:w w:val="95"/>
                <w:sz w:val="21"/>
              </w:rPr>
              <w:t>改、扩</w:t>
            </w:r>
            <w:r>
              <w:rPr>
                <w:spacing w:val="-22"/>
                <w:w w:val="95"/>
                <w:sz w:val="21"/>
              </w:rPr>
              <w:t>）</w:t>
            </w:r>
            <w:r>
              <w:rPr>
                <w:w w:val="95"/>
                <w:sz w:val="21"/>
              </w:rPr>
              <w:t xml:space="preserve">建耗煤项目须取得煤炭消 </w:t>
            </w:r>
            <w:r>
              <w:rPr>
                <w:sz w:val="21"/>
              </w:rPr>
              <w:t>费总量控制部门出具的审查意见。</w:t>
            </w:r>
          </w:p>
          <w:p>
            <w:pPr>
              <w:pStyle w:val="TableParagraph"/>
              <w:spacing w:line="290" w:lineRule="auto"/>
              <w:ind w:left="111" w:right="91"/>
              <w:rPr>
                <w:sz w:val="21"/>
              </w:rPr>
            </w:pPr>
            <w:r>
              <w:rPr>
                <w:rFonts w:ascii="Times New Roman" w:eastAsia="Times New Roman" w:hAnsi="Times New Roman"/>
                <w:sz w:val="21"/>
              </w:rPr>
              <w:t>2</w:t>
            </w:r>
            <w:r>
              <w:rPr>
                <w:sz w:val="21"/>
              </w:rPr>
              <w:t>、按照能源消费强度和消费总量</w:t>
            </w:r>
            <w:r>
              <w:rPr>
                <w:rFonts w:ascii="Times New Roman" w:eastAsia="Times New Roman" w:hAnsi="Times New Roman"/>
                <w:sz w:val="21"/>
              </w:rPr>
              <w:t>“</w:t>
            </w:r>
            <w:r>
              <w:rPr>
                <w:spacing w:val="2"/>
                <w:sz w:val="21"/>
              </w:rPr>
              <w:t>双控</w:t>
            </w:r>
            <w:r>
              <w:rPr>
                <w:rFonts w:ascii="Times New Roman" w:eastAsia="Times New Roman" w:hAnsi="Times New Roman"/>
                <w:sz w:val="21"/>
              </w:rPr>
              <w:t>”</w:t>
            </w:r>
            <w:r>
              <w:rPr>
                <w:sz w:val="21"/>
              </w:rPr>
              <w:t xml:space="preserve">机制要求，制定实施全市煤炭消费压减工作方案，完成省定减压任务。 </w:t>
            </w:r>
            <w:r>
              <w:rPr>
                <w:rFonts w:ascii="Times New Roman" w:eastAsia="Times New Roman" w:hAnsi="Times New Roman"/>
                <w:sz w:val="21"/>
              </w:rPr>
              <w:t>3</w:t>
            </w:r>
            <w:r>
              <w:rPr>
                <w:sz w:val="21"/>
              </w:rPr>
              <w:t>、各类工业园区与工业集中区应实施热电联产或集中供</w:t>
            </w:r>
            <w:r>
              <w:rPr>
                <w:spacing w:val="-11"/>
                <w:w w:val="95"/>
                <w:sz w:val="21"/>
              </w:rPr>
              <w:t xml:space="preserve">热改造，全面取消分散的自备燃煤锅炉。在供热供气管网 </w:t>
            </w:r>
            <w:r>
              <w:rPr>
                <w:spacing w:val="-11"/>
                <w:sz w:val="21"/>
              </w:rPr>
              <w:t>覆盖不到的其他地区，应使用清洁能源。</w:t>
            </w:r>
          </w:p>
          <w:p>
            <w:pPr>
              <w:pStyle w:val="TableParagraph"/>
              <w:spacing w:before="6"/>
              <w:ind w:left="111"/>
              <w:rPr>
                <w:sz w:val="21"/>
              </w:rPr>
            </w:pPr>
            <w:r>
              <w:rPr>
                <w:rFonts w:ascii="Times New Roman" w:eastAsia="Times New Roman"/>
                <w:sz w:val="21"/>
              </w:rPr>
              <w:t>4</w:t>
            </w:r>
            <w:r>
              <w:rPr>
                <w:sz w:val="21"/>
              </w:rPr>
              <w:t>、逐步提高城镇建成区集中供暖率，减少散煤消耗量。</w:t>
            </w:r>
          </w:p>
          <w:p>
            <w:pPr>
              <w:pStyle w:val="TableParagraph"/>
              <w:spacing w:before="6" w:line="320" w:lineRule="atLeast"/>
              <w:ind w:left="111" w:right="91"/>
              <w:jc w:val="both"/>
              <w:rPr>
                <w:sz w:val="21"/>
              </w:rPr>
            </w:pPr>
            <w:r>
              <w:rPr>
                <w:rFonts w:ascii="Times New Roman" w:eastAsia="Times New Roman" w:hAnsi="Times New Roman"/>
                <w:w w:val="95"/>
                <w:sz w:val="21"/>
              </w:rPr>
              <w:t>5</w:t>
            </w:r>
            <w:r>
              <w:rPr>
                <w:w w:val="95"/>
                <w:sz w:val="21"/>
              </w:rPr>
              <w:t>、坚决淘汰落后产能，落实能耗双控措施，严控</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 xml:space="preserve">’  </w:t>
            </w:r>
            <w:r>
              <w:rPr>
                <w:w w:val="95"/>
                <w:sz w:val="21"/>
              </w:rPr>
              <w:t>项目建设，严格执行</w:t>
            </w:r>
            <w:r>
              <w:rPr>
                <w:rFonts w:ascii="Times New Roman" w:eastAsia="Times New Roman" w:hAnsi="Times New Roman"/>
                <w:w w:val="95"/>
                <w:sz w:val="21"/>
              </w:rPr>
              <w:t>‘</w:t>
            </w:r>
            <w:r>
              <w:rPr>
                <w:w w:val="95"/>
                <w:sz w:val="21"/>
              </w:rPr>
              <w:t>五个减量替代</w:t>
            </w:r>
            <w:r>
              <w:rPr>
                <w:rFonts w:ascii="Times New Roman" w:eastAsia="Times New Roman" w:hAnsi="Times New Roman"/>
                <w:w w:val="95"/>
                <w:sz w:val="21"/>
              </w:rPr>
              <w:t>’</w:t>
            </w:r>
            <w:r>
              <w:rPr>
                <w:w w:val="95"/>
                <w:sz w:val="21"/>
              </w:rPr>
              <w:t xml:space="preserve">，全市煤炭消耗量只 </w:t>
            </w:r>
            <w:r>
              <w:rPr>
                <w:sz w:val="21"/>
              </w:rPr>
              <w:t>减不增，</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行业能耗只减不增。</w:t>
            </w:r>
          </w:p>
        </w:tc>
        <w:tc>
          <w:tcPr>
            <w:tcW w:w="1084"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5"/>
              <w:rPr>
                <w:sz w:val="14"/>
              </w:rPr>
            </w:pPr>
          </w:p>
          <w:p>
            <w:pPr>
              <w:pStyle w:val="TableParagraph"/>
              <w:spacing w:line="290" w:lineRule="auto"/>
              <w:ind w:left="126" w:right="107"/>
              <w:jc w:val="both"/>
              <w:rPr>
                <w:sz w:val="21"/>
              </w:rPr>
            </w:pPr>
            <w:r>
              <w:rPr>
                <w:sz w:val="21"/>
              </w:rPr>
              <w:t>项目生产过程不使用煤。</w:t>
            </w:r>
          </w:p>
        </w:tc>
        <w:tc>
          <w:tcPr>
            <w:tcW w:w="787"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19"/>
              </w:rPr>
            </w:pPr>
          </w:p>
          <w:p>
            <w:pPr>
              <w:pStyle w:val="TableParagraph"/>
              <w:ind w:right="169"/>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27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gridSpan w:val="2"/>
            <w:tcBorders>
              <w:top w:val="single" w:sz="4" w:space="0" w:color="000000"/>
              <w:left w:val="single" w:sz="4" w:space="0" w:color="000000"/>
              <w:bottom w:val="single" w:sz="4" w:space="0" w:color="000000"/>
              <w:right w:val="single" w:sz="4" w:space="0" w:color="000000"/>
            </w:tcBorders>
          </w:tcPr>
          <w:p>
            <w:pPr>
              <w:pStyle w:val="TableParagraph"/>
              <w:rPr>
                <w:sz w:val="25"/>
              </w:rPr>
            </w:pPr>
          </w:p>
          <w:p>
            <w:pPr>
              <w:pStyle w:val="TableParagraph"/>
              <w:spacing w:line="292" w:lineRule="auto"/>
              <w:ind w:left="125" w:right="108"/>
              <w:jc w:val="both"/>
              <w:rPr>
                <w:sz w:val="21"/>
              </w:rPr>
            </w:pPr>
            <w:r>
              <w:rPr>
                <w:sz w:val="21"/>
              </w:rPr>
              <w:t>禁燃区要求</w:t>
            </w:r>
          </w:p>
        </w:tc>
        <w:tc>
          <w:tcPr>
            <w:tcW w:w="537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57" w:line="290" w:lineRule="auto"/>
              <w:ind w:left="111" w:right="94"/>
              <w:rPr>
                <w:sz w:val="21"/>
              </w:rPr>
            </w:pPr>
            <w:r>
              <w:rPr>
                <w:rFonts w:ascii="Times New Roman" w:eastAsia="Times New Roman"/>
                <w:sz w:val="21"/>
              </w:rPr>
              <w:t>1</w:t>
            </w:r>
            <w:r>
              <w:rPr>
                <w:sz w:val="21"/>
              </w:rPr>
              <w:t>、各县市区根据实际情况及时调整公布本行政区域高污染燃料禁燃区。</w:t>
            </w:r>
          </w:p>
          <w:p>
            <w:pPr>
              <w:pStyle w:val="TableParagraph"/>
              <w:spacing w:before="2" w:line="292" w:lineRule="auto"/>
              <w:ind w:left="111" w:right="94"/>
              <w:rPr>
                <w:sz w:val="21"/>
              </w:rPr>
            </w:pPr>
            <w:r>
              <w:rPr>
                <w:rFonts w:ascii="Times New Roman" w:eastAsia="Times New Roman"/>
                <w:sz w:val="21"/>
              </w:rPr>
              <w:t>2</w:t>
            </w:r>
            <w:r>
              <w:rPr>
                <w:sz w:val="21"/>
              </w:rPr>
              <w:t>、各县市区调整划定的禁燃区应明确管理要求，禁燃区内禁止生产和销售高污染燃料。</w:t>
            </w:r>
          </w:p>
          <w:p>
            <w:pPr>
              <w:pStyle w:val="TableParagraph"/>
              <w:spacing w:line="290" w:lineRule="auto"/>
              <w:ind w:left="111" w:right="94"/>
              <w:rPr>
                <w:sz w:val="21"/>
              </w:rPr>
            </w:pPr>
            <w:r>
              <w:rPr>
                <w:rFonts w:ascii="Times New Roman" w:eastAsia="Times New Roman"/>
                <w:sz w:val="21"/>
              </w:rPr>
              <w:t>3</w:t>
            </w:r>
            <w:r>
              <w:rPr>
                <w:sz w:val="21"/>
              </w:rPr>
              <w:t>、各县市区禁燃区内禁止新建、扩建、改建使用高污染燃料的项目。</w:t>
            </w:r>
          </w:p>
        </w:tc>
        <w:tc>
          <w:tcPr>
            <w:tcW w:w="1084" w:type="dxa"/>
            <w:gridSpan w:val="2"/>
            <w:tcBorders>
              <w:top w:val="single" w:sz="4" w:space="0" w:color="000000"/>
              <w:left w:val="single" w:sz="4" w:space="0" w:color="000000"/>
              <w:bottom w:val="single" w:sz="4" w:space="0" w:color="000000"/>
              <w:right w:val="single" w:sz="4" w:space="0" w:color="000000"/>
            </w:tcBorders>
          </w:tcPr>
          <w:p>
            <w:pPr>
              <w:pStyle w:val="TableParagraph"/>
              <w:spacing w:line="290" w:lineRule="auto"/>
              <w:ind w:left="126" w:right="107"/>
              <w:jc w:val="both"/>
              <w:rPr>
                <w:sz w:val="21"/>
              </w:rPr>
            </w:pPr>
            <w:r>
              <w:rPr>
                <w:sz w:val="21"/>
              </w:rPr>
              <w:t>本项目主要能源为电、天然气，不涉及高污染燃料的使</w:t>
            </w:r>
          </w:p>
          <w:p>
            <w:pPr>
              <w:pStyle w:val="TableParagraph"/>
              <w:spacing w:before="1"/>
              <w:ind w:left="17"/>
              <w:jc w:val="center"/>
              <w:rPr>
                <w:sz w:val="21"/>
              </w:rPr>
            </w:pPr>
            <w:r>
              <w:rPr>
                <w:w w:val="99"/>
                <w:sz w:val="21"/>
              </w:rPr>
              <w:t>用</w:t>
            </w:r>
          </w:p>
        </w:tc>
        <w:tc>
          <w:tcPr>
            <w:tcW w:w="787"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
              <w:rPr>
                <w:sz w:val="16"/>
              </w:rPr>
            </w:pPr>
          </w:p>
          <w:p>
            <w:pPr>
              <w:pStyle w:val="TableParagraph"/>
              <w:spacing w:before="1"/>
              <w:ind w:right="169"/>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950"/>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97" w:type="dxa"/>
            <w:vMerge/>
            <w:tcBorders>
              <w:top w:val="nil"/>
              <w:left w:val="single" w:sz="4" w:space="0" w:color="000000"/>
              <w:bottom w:val="single" w:sz="4" w:space="0" w:color="000000"/>
              <w:right w:val="single" w:sz="4" w:space="0" w:color="000000"/>
            </w:tcBorders>
          </w:tcPr>
          <w:p>
            <w:pPr>
              <w:rPr>
                <w:sz w:val="2"/>
                <w:szCs w:val="2"/>
              </w:rPr>
            </w:pPr>
          </w:p>
        </w:tc>
        <w:tc>
          <w:tcPr>
            <w:tcW w:w="45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
              <w:rPr>
                <w:sz w:val="25"/>
              </w:rPr>
            </w:pPr>
          </w:p>
          <w:p>
            <w:pPr>
              <w:pStyle w:val="TableParagraph"/>
              <w:spacing w:line="290" w:lineRule="auto"/>
              <w:ind w:left="125" w:right="108"/>
              <w:jc w:val="both"/>
              <w:rPr>
                <w:sz w:val="21"/>
              </w:rPr>
            </w:pPr>
            <w:r>
              <w:rPr>
                <w:sz w:val="21"/>
              </w:rPr>
              <w:t>土地资源</w:t>
            </w:r>
          </w:p>
        </w:tc>
        <w:tc>
          <w:tcPr>
            <w:tcW w:w="5371" w:type="dxa"/>
            <w:gridSpan w:val="2"/>
            <w:tcBorders>
              <w:top w:val="single" w:sz="4" w:space="0" w:color="000000"/>
              <w:left w:val="single" w:sz="4" w:space="0" w:color="000000"/>
              <w:bottom w:val="single" w:sz="4" w:space="0" w:color="000000"/>
              <w:right w:val="single" w:sz="4" w:space="0" w:color="000000"/>
            </w:tcBorders>
          </w:tcPr>
          <w:p>
            <w:pPr>
              <w:pStyle w:val="TableParagraph"/>
              <w:spacing w:line="292" w:lineRule="auto"/>
              <w:ind w:left="111" w:right="94"/>
              <w:rPr>
                <w:sz w:val="21"/>
              </w:rPr>
            </w:pPr>
            <w:r>
              <w:rPr>
                <w:rFonts w:ascii="Times New Roman" w:eastAsia="Times New Roman"/>
                <w:sz w:val="21"/>
              </w:rPr>
              <w:t>1</w:t>
            </w:r>
            <w:r>
              <w:rPr>
                <w:sz w:val="21"/>
              </w:rPr>
              <w:t xml:space="preserve">、制定建设项目特别是工业项目土地建设投资强度等限制要求，提高土地利用率。推广共享工厂、共享车间。 </w:t>
            </w:r>
            <w:r>
              <w:rPr>
                <w:rFonts w:ascii="Times New Roman" w:eastAsia="Times New Roman"/>
                <w:sz w:val="21"/>
              </w:rPr>
              <w:t>2</w:t>
            </w:r>
            <w:r>
              <w:rPr>
                <w:sz w:val="21"/>
              </w:rPr>
              <w:t>、推进工业园区或工业集中区建设，乡镇及街道新等新</w:t>
            </w:r>
            <w:r>
              <w:rPr>
                <w:spacing w:val="-5"/>
                <w:w w:val="95"/>
                <w:sz w:val="21"/>
              </w:rPr>
              <w:t xml:space="preserve">建工业项目应进入工业园区或工业集中区，现有工业企业 </w:t>
            </w:r>
            <w:r>
              <w:rPr>
                <w:spacing w:val="-11"/>
                <w:w w:val="95"/>
                <w:sz w:val="21"/>
              </w:rPr>
              <w:t>应逐步向工业园区或工业集中区搬迁，以提高建设用地利</w:t>
            </w:r>
          </w:p>
          <w:p>
            <w:pPr>
              <w:pStyle w:val="TableParagraph"/>
              <w:spacing w:line="262" w:lineRule="exact"/>
              <w:ind w:left="111"/>
              <w:rPr>
                <w:sz w:val="21"/>
              </w:rPr>
            </w:pPr>
            <w:r>
              <w:rPr>
                <w:sz w:val="21"/>
              </w:rPr>
              <w:t>用率。</w:t>
            </w:r>
          </w:p>
        </w:tc>
        <w:tc>
          <w:tcPr>
            <w:tcW w:w="108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
              <w:rPr>
                <w:sz w:val="25"/>
              </w:rPr>
            </w:pPr>
          </w:p>
          <w:p>
            <w:pPr>
              <w:pStyle w:val="TableParagraph"/>
              <w:spacing w:line="290" w:lineRule="auto"/>
              <w:ind w:left="126" w:right="107"/>
              <w:jc w:val="center"/>
              <w:rPr>
                <w:sz w:val="21"/>
              </w:rPr>
            </w:pPr>
            <w:r>
              <w:rPr>
                <w:spacing w:val="-4"/>
                <w:sz w:val="21"/>
              </w:rPr>
              <w:t>本项目位于宁津东</w:t>
            </w:r>
            <w:r>
              <w:rPr>
                <w:sz w:val="21"/>
              </w:rPr>
              <w:t>部产业 区。</w:t>
            </w:r>
          </w:p>
        </w:tc>
        <w:tc>
          <w:tcPr>
            <w:tcW w:w="787"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4"/>
              <w:rPr>
                <w:sz w:val="23"/>
              </w:rPr>
            </w:pPr>
          </w:p>
          <w:p>
            <w:pPr>
              <w:pStyle w:val="TableParagraph"/>
              <w:ind w:right="169"/>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445"/>
        </w:trPr>
        <w:tc>
          <w:tcPr>
            <w:tcW w:w="594" w:type="dxa"/>
            <w:vMerge/>
            <w:tcBorders>
              <w:top w:val="nil"/>
              <w:right w:val="single" w:sz="4" w:space="0" w:color="000000"/>
            </w:tcBorders>
          </w:tcPr>
          <w:p>
            <w:pPr>
              <w:rPr>
                <w:sz w:val="2"/>
                <w:szCs w:val="2"/>
              </w:rPr>
            </w:pPr>
          </w:p>
        </w:tc>
        <w:tc>
          <w:tcPr>
            <w:tcW w:w="8720" w:type="dxa"/>
            <w:gridSpan w:val="10"/>
            <w:tcBorders>
              <w:top w:val="single" w:sz="4" w:space="0" w:color="000000"/>
              <w:left w:val="single" w:sz="4" w:space="0" w:color="000000"/>
              <w:bottom w:val="single" w:sz="4" w:space="0" w:color="000000"/>
            </w:tcBorders>
          </w:tcPr>
          <w:p>
            <w:pPr>
              <w:pStyle w:val="TableParagraph"/>
              <w:tabs>
                <w:tab w:val="left" w:pos="863"/>
              </w:tabs>
              <w:spacing w:before="68"/>
              <w:ind w:left="23"/>
              <w:jc w:val="center"/>
              <w:rPr>
                <w:b/>
                <w:sz w:val="24"/>
              </w:rPr>
            </w:pPr>
            <w:r>
              <w:rPr>
                <w:b/>
                <w:sz w:val="24"/>
              </w:rPr>
              <w:t>表</w:t>
            </w:r>
            <w:r>
              <w:rPr>
                <w:b/>
                <w:spacing w:val="-62"/>
                <w:sz w:val="24"/>
              </w:rPr>
              <w:t xml:space="preserve"> </w:t>
            </w:r>
            <w:r>
              <w:rPr>
                <w:rFonts w:ascii="Times New Roman" w:eastAsia="Times New Roman"/>
                <w:b/>
                <w:sz w:val="24"/>
              </w:rPr>
              <w:t>6.</w:t>
            </w:r>
            <w:r>
              <w:rPr>
                <w:rFonts w:ascii="Times New Roman" w:eastAsia="Times New Roman"/>
                <w:b/>
                <w:sz w:val="24"/>
              </w:rPr>
              <w:tab/>
            </w:r>
            <w:r>
              <w:rPr>
                <w:b/>
                <w:sz w:val="24"/>
              </w:rPr>
              <w:t>生态环境准入清单符合性分析（宁城街道单元）</w:t>
            </w:r>
          </w:p>
        </w:tc>
      </w:tr>
      <w:tr>
        <w:tblPrEx>
          <w:tblW w:w="0" w:type="auto"/>
          <w:tblInd w:w="406" w:type="dxa"/>
          <w:tblLayout w:type="fixed"/>
          <w:tblCellMar>
            <w:top w:w="0" w:type="dxa"/>
            <w:left w:w="0" w:type="dxa"/>
            <w:bottom w:w="0" w:type="dxa"/>
            <w:right w:w="0" w:type="dxa"/>
          </w:tblCellMar>
        </w:tblPrEx>
        <w:trPr>
          <w:trHeight w:val="316"/>
        </w:trPr>
        <w:tc>
          <w:tcPr>
            <w:tcW w:w="594"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0"/>
              </w:rPr>
            </w:pPr>
          </w:p>
        </w:tc>
        <w:tc>
          <w:tcPr>
            <w:tcW w:w="115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370"/>
              <w:rPr>
                <w:b/>
                <w:sz w:val="21"/>
              </w:rPr>
            </w:pPr>
            <w:r>
              <w:rPr>
                <w:b/>
                <w:sz w:val="21"/>
              </w:rPr>
              <w:t>方面</w:t>
            </w:r>
          </w:p>
        </w:tc>
        <w:tc>
          <w:tcPr>
            <w:tcW w:w="468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1903" w:right="1887"/>
              <w:jc w:val="center"/>
              <w:rPr>
                <w:b/>
                <w:sz w:val="21"/>
              </w:rPr>
            </w:pPr>
            <w:r>
              <w:rPr>
                <w:b/>
                <w:sz w:val="21"/>
              </w:rPr>
              <w:t>相关要求</w:t>
            </w:r>
          </w:p>
        </w:tc>
        <w:tc>
          <w:tcPr>
            <w:tcW w:w="1546" w:type="dxa"/>
            <w:gridSpan w:val="2"/>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251"/>
              <w:rPr>
                <w:b/>
                <w:sz w:val="21"/>
              </w:rPr>
            </w:pPr>
            <w:r>
              <w:rPr>
                <w:b/>
                <w:sz w:val="21"/>
              </w:rPr>
              <w:t>本项目情况</w:t>
            </w:r>
          </w:p>
        </w:tc>
        <w:tc>
          <w:tcPr>
            <w:tcW w:w="1110" w:type="dxa"/>
            <w:gridSpan w:val="2"/>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243"/>
              <w:rPr>
                <w:b/>
                <w:sz w:val="21"/>
              </w:rPr>
            </w:pPr>
            <w:r>
              <w:rPr>
                <w:b/>
                <w:sz w:val="21"/>
              </w:rPr>
              <w:t>符合性</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89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153"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4" w:line="242" w:lineRule="auto"/>
              <w:ind w:left="370" w:right="141" w:hanging="209"/>
              <w:rPr>
                <w:sz w:val="21"/>
              </w:rPr>
            </w:pPr>
            <w:r>
              <w:rPr>
                <w:sz w:val="21"/>
              </w:rPr>
              <w:t>空间布局约束</w:t>
            </w:r>
          </w:p>
        </w:tc>
        <w:tc>
          <w:tcPr>
            <w:tcW w:w="4685" w:type="dxa"/>
            <w:gridSpan w:val="2"/>
            <w:tcBorders>
              <w:top w:val="single" w:sz="4" w:space="0" w:color="000000"/>
              <w:left w:val="single" w:sz="4" w:space="0" w:color="000000"/>
              <w:bottom w:val="single" w:sz="4" w:space="0" w:color="000000"/>
              <w:right w:val="single" w:sz="4" w:space="0" w:color="000000"/>
            </w:tcBorders>
          </w:tcPr>
          <w:p>
            <w:pPr>
              <w:pStyle w:val="TableParagraph"/>
              <w:numPr>
                <w:ilvl w:val="0"/>
                <w:numId w:val="1"/>
              </w:numPr>
              <w:tabs>
                <w:tab w:val="left" w:pos="272"/>
              </w:tabs>
              <w:spacing w:before="0" w:after="0" w:line="264" w:lineRule="exact"/>
              <w:ind w:left="271" w:right="0" w:hanging="160"/>
              <w:jc w:val="left"/>
              <w:rPr>
                <w:sz w:val="21"/>
              </w:rPr>
            </w:pPr>
            <w:r>
              <w:rPr>
                <w:sz w:val="21"/>
              </w:rPr>
              <w:t>执行全市空间布局约束要求。</w:t>
            </w:r>
          </w:p>
          <w:p>
            <w:pPr>
              <w:pStyle w:val="TableParagraph"/>
              <w:numPr>
                <w:ilvl w:val="0"/>
                <w:numId w:val="1"/>
              </w:numPr>
              <w:tabs>
                <w:tab w:val="left" w:pos="272"/>
              </w:tabs>
              <w:spacing w:before="4" w:after="0" w:line="242" w:lineRule="auto"/>
              <w:ind w:left="112" w:right="91" w:firstLine="0"/>
              <w:jc w:val="both"/>
              <w:rPr>
                <w:sz w:val="21"/>
              </w:rPr>
            </w:pPr>
            <w:r>
              <w:rPr>
                <w:spacing w:val="-9"/>
                <w:w w:val="95"/>
                <w:sz w:val="21"/>
              </w:rPr>
              <w:t xml:space="preserve">禁止制浆造纸、印染、制革、电镀、碳素等工业 </w:t>
            </w:r>
            <w:r>
              <w:rPr>
                <w:spacing w:val="-8"/>
                <w:w w:val="95"/>
                <w:sz w:val="21"/>
              </w:rPr>
              <w:t>项目建设；控制涉</w:t>
            </w:r>
            <w:r>
              <w:rPr>
                <w:rFonts w:ascii="Times New Roman" w:eastAsia="Times New Roman"/>
                <w:w w:val="95"/>
                <w:sz w:val="21"/>
              </w:rPr>
              <w:t>VOCs</w:t>
            </w:r>
            <w:r>
              <w:rPr>
                <w:spacing w:val="-4"/>
                <w:w w:val="95"/>
                <w:sz w:val="21"/>
              </w:rPr>
              <w:t>重点行业</w:t>
            </w:r>
            <w:r>
              <w:rPr>
                <w:w w:val="95"/>
                <w:sz w:val="21"/>
              </w:rPr>
              <w:t>（</w:t>
            </w:r>
            <w:r>
              <w:rPr>
                <w:spacing w:val="-3"/>
                <w:w w:val="95"/>
                <w:sz w:val="21"/>
              </w:rPr>
              <w:t xml:space="preserve">包装印刷、工 </w:t>
            </w:r>
            <w:r>
              <w:rPr>
                <w:spacing w:val="2"/>
                <w:w w:val="95"/>
                <w:sz w:val="21"/>
              </w:rPr>
              <w:t>业涂装等</w:t>
            </w:r>
            <w:r>
              <w:rPr>
                <w:spacing w:val="4"/>
                <w:w w:val="95"/>
                <w:sz w:val="21"/>
              </w:rPr>
              <w:t>）</w:t>
            </w:r>
            <w:r>
              <w:rPr>
                <w:w w:val="95"/>
                <w:sz w:val="21"/>
              </w:rPr>
              <w:t>项目建设。限制废气污染物排放量较 大的工业项目建设，禁止机制砂、机制石子项目 建设。控制高污染、高水耗、高环境风险工业项</w:t>
            </w:r>
          </w:p>
          <w:p>
            <w:pPr>
              <w:pStyle w:val="TableParagraph"/>
              <w:spacing w:before="2" w:line="247" w:lineRule="exact"/>
              <w:ind w:left="112"/>
              <w:rPr>
                <w:sz w:val="21"/>
              </w:rPr>
            </w:pPr>
            <w:r>
              <w:rPr>
                <w:sz w:val="21"/>
              </w:rPr>
              <w:t>目建设。</w:t>
            </w:r>
          </w:p>
        </w:tc>
        <w:tc>
          <w:tcPr>
            <w:tcW w:w="154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
              <w:rPr>
                <w:sz w:val="20"/>
              </w:rPr>
            </w:pPr>
          </w:p>
          <w:p>
            <w:pPr>
              <w:pStyle w:val="TableParagraph"/>
              <w:spacing w:line="242" w:lineRule="auto"/>
              <w:ind w:left="148" w:right="127"/>
              <w:jc w:val="center"/>
              <w:rPr>
                <w:sz w:val="21"/>
              </w:rPr>
            </w:pPr>
            <w:r>
              <w:rPr>
                <w:spacing w:val="-3"/>
                <w:sz w:val="21"/>
              </w:rPr>
              <w:t>本项目符合空间布局约束要求；本项目不</w:t>
            </w:r>
            <w:r>
              <w:rPr>
                <w:sz w:val="21"/>
              </w:rPr>
              <w:t>属于左述范 围。</w:t>
            </w:r>
          </w:p>
        </w:tc>
        <w:tc>
          <w:tcPr>
            <w:tcW w:w="1110" w:type="dxa"/>
            <w:gridSpan w:val="2"/>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4"/>
              <w:rPr>
                <w:sz w:val="23"/>
              </w:rPr>
            </w:pPr>
          </w:p>
          <w:p>
            <w:pPr>
              <w:pStyle w:val="TableParagraph"/>
              <w:ind w:left="349"/>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814"/>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153"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30" w:line="244" w:lineRule="auto"/>
              <w:ind w:left="264" w:right="141" w:hanging="104"/>
              <w:rPr>
                <w:sz w:val="21"/>
              </w:rPr>
            </w:pPr>
            <w:r>
              <w:rPr>
                <w:sz w:val="21"/>
              </w:rPr>
              <w:t>污染物排放管控</w:t>
            </w:r>
          </w:p>
        </w:tc>
        <w:tc>
          <w:tcPr>
            <w:tcW w:w="4685" w:type="dxa"/>
            <w:gridSpan w:val="2"/>
            <w:tcBorders>
              <w:top w:val="single" w:sz="4" w:space="0" w:color="000000"/>
              <w:left w:val="single" w:sz="4" w:space="0" w:color="000000"/>
              <w:bottom w:val="thickThinMediumGap" w:sz="4" w:space="0" w:color="000000"/>
              <w:right w:val="single" w:sz="4" w:space="0" w:color="000000"/>
            </w:tcBorders>
          </w:tcPr>
          <w:p>
            <w:pPr>
              <w:pStyle w:val="TableParagraph"/>
              <w:numPr>
                <w:ilvl w:val="0"/>
                <w:numId w:val="2"/>
              </w:numPr>
              <w:tabs>
                <w:tab w:val="left" w:pos="300"/>
              </w:tabs>
              <w:spacing w:before="0" w:after="0" w:line="265" w:lineRule="exact"/>
              <w:ind w:left="299" w:right="0" w:hanging="188"/>
              <w:jc w:val="left"/>
              <w:rPr>
                <w:sz w:val="21"/>
              </w:rPr>
            </w:pPr>
            <w:r>
              <w:rPr>
                <w:spacing w:val="26"/>
                <w:sz w:val="21"/>
              </w:rPr>
              <w:t>执行《区域性大气污染物综合排放标准》</w:t>
            </w:r>
          </w:p>
          <w:p>
            <w:pPr>
              <w:pStyle w:val="TableParagraph"/>
              <w:spacing w:before="2"/>
              <w:ind w:left="112" w:right="-15"/>
              <w:rPr>
                <w:sz w:val="21"/>
              </w:rPr>
            </w:pPr>
            <w:r>
              <w:rPr>
                <w:spacing w:val="-3"/>
                <w:sz w:val="21"/>
              </w:rPr>
              <w:t>（</w:t>
            </w:r>
            <w:r>
              <w:rPr>
                <w:rFonts w:ascii="Times New Roman" w:eastAsia="Times New Roman"/>
                <w:spacing w:val="-3"/>
                <w:sz w:val="21"/>
              </w:rPr>
              <w:t>DB37/2376-2019</w:t>
            </w:r>
            <w:r>
              <w:rPr>
                <w:spacing w:val="-3"/>
                <w:sz w:val="21"/>
              </w:rPr>
              <w:t>）</w:t>
            </w:r>
            <w:r>
              <w:rPr>
                <w:sz w:val="21"/>
              </w:rPr>
              <w:t>规定的重点控制区排放标准。</w:t>
            </w:r>
          </w:p>
          <w:p>
            <w:pPr>
              <w:pStyle w:val="TableParagraph"/>
              <w:numPr>
                <w:ilvl w:val="0"/>
                <w:numId w:val="2"/>
              </w:numPr>
              <w:tabs>
                <w:tab w:val="left" w:pos="281"/>
              </w:tabs>
              <w:spacing w:before="2" w:after="0" w:line="257" w:lineRule="exact"/>
              <w:ind w:left="280" w:right="0" w:hanging="169"/>
              <w:jc w:val="left"/>
              <w:rPr>
                <w:sz w:val="21"/>
              </w:rPr>
            </w:pPr>
            <w:r>
              <w:rPr>
                <w:spacing w:val="11"/>
                <w:sz w:val="21"/>
              </w:rPr>
              <w:t>严格控制</w:t>
            </w:r>
            <w:r>
              <w:rPr>
                <w:rFonts w:ascii="Times New Roman" w:eastAsia="Times New Roman"/>
                <w:spacing w:val="3"/>
                <w:sz w:val="21"/>
              </w:rPr>
              <w:t>VOCs</w:t>
            </w:r>
            <w:r>
              <w:rPr>
                <w:spacing w:val="10"/>
                <w:sz w:val="21"/>
              </w:rPr>
              <w:t>排放重点行业新增污染物排放</w:t>
            </w:r>
          </w:p>
        </w:tc>
        <w:tc>
          <w:tcPr>
            <w:tcW w:w="1546"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48" w:right="127"/>
              <w:rPr>
                <w:sz w:val="21"/>
              </w:rPr>
            </w:pPr>
            <w:r>
              <w:rPr>
                <w:spacing w:val="-3"/>
                <w:sz w:val="21"/>
              </w:rPr>
              <w:t>本项目执行污</w:t>
            </w:r>
            <w:r>
              <w:rPr>
                <w:spacing w:val="-3"/>
                <w:w w:val="95"/>
                <w:sz w:val="21"/>
              </w:rPr>
              <w:t>染物排放管控</w:t>
            </w:r>
          </w:p>
          <w:p>
            <w:pPr>
              <w:pStyle w:val="TableParagraph"/>
              <w:spacing w:line="255" w:lineRule="exact"/>
              <w:ind w:left="148"/>
              <w:rPr>
                <w:sz w:val="21"/>
              </w:rPr>
            </w:pPr>
            <w:r>
              <w:rPr>
                <w:w w:val="95"/>
                <w:sz w:val="21"/>
              </w:rPr>
              <w:t>准入要求；废</w:t>
            </w:r>
          </w:p>
        </w:tc>
        <w:tc>
          <w:tcPr>
            <w:tcW w:w="1110"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0"/>
              <w:rPr>
                <w:sz w:val="20"/>
              </w:rPr>
            </w:pPr>
          </w:p>
          <w:p>
            <w:pPr>
              <w:pStyle w:val="TableParagraph"/>
              <w:ind w:left="349"/>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pStyle w:val="BodyText"/>
        <w:spacing w:before="7"/>
        <w:rPr>
          <w:sz w:val="28"/>
        </w:rPr>
      </w:pPr>
    </w:p>
    <w:p>
      <w:pPr>
        <w:spacing w:before="62"/>
        <w:ind w:left="0" w:right="649" w:firstLine="0"/>
        <w:jc w:val="right"/>
        <w:rPr>
          <w:sz w:val="28"/>
        </w:rPr>
      </w:pPr>
      <w:r>
        <w:rPr>
          <w:sz w:val="28"/>
        </w:rPr>
        <w:t xml:space="preserve">— </w:t>
      </w:r>
      <w:r>
        <w:rPr>
          <w:sz w:val="26"/>
        </w:rPr>
        <w:t xml:space="preserve">17 </w:t>
      </w:r>
      <w:r>
        <w:rPr>
          <w:sz w:val="28"/>
        </w:rPr>
        <w:t>—</w:t>
      </w:r>
    </w:p>
    <w:p>
      <w:pPr>
        <w:spacing w:after="0"/>
        <w:jc w:val="right"/>
        <w:rPr>
          <w:sz w:val="28"/>
        </w:rPr>
        <w:sectPr>
          <w:pgSz w:w="11910" w:h="16840"/>
          <w:pgMar w:top="1580" w:right="879" w:bottom="280" w:left="900" w:header="720" w:footer="720" w:gutter="0"/>
          <w:pgNumType w:start="18"/>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1153"/>
        <w:gridCol w:w="4685"/>
        <w:gridCol w:w="1546"/>
        <w:gridCol w:w="1110"/>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6804"/>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1153"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4685" w:type="dxa"/>
            <w:tcBorders>
              <w:left w:val="single" w:sz="4" w:space="0" w:color="000000"/>
              <w:bottom w:val="single" w:sz="4" w:space="0" w:color="000000"/>
              <w:right w:val="single" w:sz="4" w:space="0" w:color="000000"/>
            </w:tcBorders>
          </w:tcPr>
          <w:p>
            <w:pPr>
              <w:pStyle w:val="TableParagraph"/>
              <w:spacing w:before="2" w:line="242" w:lineRule="auto"/>
              <w:ind w:left="112" w:right="91"/>
              <w:rPr>
                <w:sz w:val="21"/>
              </w:rPr>
            </w:pPr>
            <w:r>
              <w:rPr>
                <w:w w:val="95"/>
                <w:sz w:val="21"/>
              </w:rPr>
              <w:t>量，单元内涉及挥发性有机物排放的行业应严格 遵守山东省地方标准《挥发性有机物排放标准》</w:t>
            </w:r>
          </w:p>
          <w:p>
            <w:pPr>
              <w:pStyle w:val="TableParagraph"/>
              <w:spacing w:line="244" w:lineRule="auto"/>
              <w:ind w:left="112" w:right="91"/>
              <w:rPr>
                <w:sz w:val="21"/>
              </w:rPr>
            </w:pPr>
            <w:r>
              <w:rPr>
                <w:spacing w:val="-4"/>
                <w:sz w:val="21"/>
              </w:rPr>
              <w:t>（</w:t>
            </w:r>
            <w:r>
              <w:rPr>
                <w:rFonts w:ascii="Times New Roman" w:eastAsia="Times New Roman"/>
                <w:spacing w:val="-4"/>
                <w:sz w:val="21"/>
              </w:rPr>
              <w:t>DB37/2801</w:t>
            </w:r>
            <w:r>
              <w:rPr>
                <w:spacing w:val="-4"/>
                <w:sz w:val="21"/>
              </w:rPr>
              <w:t>）</w:t>
            </w:r>
            <w:r>
              <w:rPr>
                <w:spacing w:val="-17"/>
                <w:sz w:val="21"/>
              </w:rPr>
              <w:t xml:space="preserve">。涉 </w:t>
            </w:r>
            <w:r>
              <w:rPr>
                <w:rFonts w:ascii="Times New Roman" w:eastAsia="Times New Roman"/>
                <w:sz w:val="21"/>
              </w:rPr>
              <w:t>VOCs</w:t>
            </w:r>
            <w:r>
              <w:rPr>
                <w:sz w:val="21"/>
              </w:rPr>
              <w:t>企业无组织排放控制执</w:t>
            </w:r>
            <w:r>
              <w:rPr>
                <w:spacing w:val="-31"/>
                <w:sz w:val="21"/>
              </w:rPr>
              <w:t>行 《 挥 发 性 有 机 物 无 组 织 排 放 控 制 标 准</w:t>
            </w:r>
          </w:p>
          <w:p>
            <w:pPr>
              <w:pStyle w:val="TableParagraph"/>
              <w:spacing w:line="242" w:lineRule="auto"/>
              <w:ind w:left="112" w:right="91"/>
              <w:rPr>
                <w:sz w:val="21"/>
              </w:rPr>
            </w:pPr>
            <w:r>
              <w:rPr>
                <w:sz w:val="21"/>
              </w:rPr>
              <w:t>（</w:t>
            </w:r>
            <w:r>
              <w:rPr>
                <w:rFonts w:ascii="Times New Roman" w:eastAsia="Times New Roman"/>
                <w:sz w:val="21"/>
              </w:rPr>
              <w:t>GB37822-2019</w:t>
            </w:r>
            <w:r>
              <w:rPr>
                <w:sz w:val="21"/>
              </w:rPr>
              <w:t>）》。家具、工业涂装、印刷行</w:t>
            </w:r>
            <w:r>
              <w:rPr>
                <w:w w:val="95"/>
                <w:sz w:val="21"/>
              </w:rPr>
              <w:t xml:space="preserve">业等执行《山东省涉挥发性有机物企业分行业治 理指导意见》，推行源头替代、加强过程控制和 </w:t>
            </w:r>
            <w:r>
              <w:rPr>
                <w:spacing w:val="-4"/>
                <w:w w:val="95"/>
                <w:sz w:val="21"/>
              </w:rPr>
              <w:t>末端治理，加强挥发性有机物</w:t>
            </w:r>
            <w:r>
              <w:rPr>
                <w:spacing w:val="-3"/>
                <w:w w:val="95"/>
                <w:sz w:val="21"/>
              </w:rPr>
              <w:t>（</w:t>
            </w:r>
            <w:r>
              <w:rPr>
                <w:rFonts w:ascii="Times New Roman" w:eastAsia="Times New Roman"/>
                <w:spacing w:val="-3"/>
                <w:w w:val="95"/>
                <w:sz w:val="21"/>
              </w:rPr>
              <w:t>VOCs</w:t>
            </w:r>
            <w:r>
              <w:rPr>
                <w:spacing w:val="-3"/>
                <w:w w:val="95"/>
                <w:sz w:val="21"/>
              </w:rPr>
              <w:t>）</w:t>
            </w:r>
            <w:r>
              <w:rPr>
                <w:w w:val="95"/>
                <w:sz w:val="21"/>
              </w:rPr>
              <w:t xml:space="preserve">废气收集 </w:t>
            </w:r>
            <w:r>
              <w:rPr>
                <w:spacing w:val="-7"/>
                <w:w w:val="95"/>
                <w:sz w:val="21"/>
              </w:rPr>
              <w:t>与治理，建设有效的废气收集系统和</w:t>
            </w:r>
            <w:r>
              <w:rPr>
                <w:rFonts w:ascii="Times New Roman" w:eastAsia="Times New Roman"/>
                <w:w w:val="95"/>
                <w:sz w:val="21"/>
              </w:rPr>
              <w:t>VOCs</w:t>
            </w:r>
            <w:r>
              <w:rPr>
                <w:w w:val="95"/>
                <w:sz w:val="21"/>
              </w:rPr>
              <w:t xml:space="preserve">处理设 </w:t>
            </w:r>
            <w:r>
              <w:rPr>
                <w:spacing w:val="-1"/>
                <w:sz w:val="21"/>
              </w:rPr>
              <w:t xml:space="preserve">施。重点排放源 </w:t>
            </w:r>
            <w:r>
              <w:rPr>
                <w:rFonts w:ascii="Times New Roman" w:eastAsia="Times New Roman"/>
                <w:sz w:val="21"/>
              </w:rPr>
              <w:t>VOCs</w:t>
            </w:r>
            <w:r>
              <w:rPr>
                <w:sz w:val="21"/>
              </w:rPr>
              <w:t>处理效率达到</w:t>
            </w:r>
            <w:r>
              <w:rPr>
                <w:rFonts w:ascii="Times New Roman" w:eastAsia="Times New Roman"/>
                <w:sz w:val="21"/>
              </w:rPr>
              <w:t>80%</w:t>
            </w:r>
            <w:r>
              <w:rPr>
                <w:sz w:val="21"/>
              </w:rPr>
              <w:t>以上。</w:t>
            </w:r>
            <w:r>
              <w:rPr>
                <w:rFonts w:ascii="Times New Roman" w:eastAsia="Times New Roman"/>
                <w:sz w:val="21"/>
              </w:rPr>
              <w:t>3.</w:t>
            </w:r>
            <w:r>
              <w:rPr>
                <w:sz w:val="21"/>
              </w:rPr>
              <w:t>执行《流域水污染物综合排放标准第</w:t>
            </w:r>
            <w:r>
              <w:rPr>
                <w:rFonts w:ascii="Times New Roman" w:eastAsia="Times New Roman"/>
                <w:sz w:val="21"/>
              </w:rPr>
              <w:t>4</w:t>
            </w:r>
            <w:r>
              <w:rPr>
                <w:sz w:val="21"/>
              </w:rPr>
              <w:t>部分：海河流域》标准。</w:t>
            </w:r>
          </w:p>
          <w:p>
            <w:pPr>
              <w:pStyle w:val="TableParagraph"/>
              <w:numPr>
                <w:ilvl w:val="0"/>
                <w:numId w:val="3"/>
              </w:numPr>
              <w:tabs>
                <w:tab w:val="left" w:pos="276"/>
              </w:tabs>
              <w:spacing w:before="0" w:after="0" w:line="242" w:lineRule="auto"/>
              <w:ind w:left="112" w:right="-15" w:firstLine="0"/>
              <w:jc w:val="left"/>
              <w:rPr>
                <w:sz w:val="21"/>
              </w:rPr>
            </w:pPr>
            <w:r>
              <w:rPr>
                <w:spacing w:val="3"/>
                <w:sz w:val="21"/>
              </w:rPr>
              <w:t>餐饮服务经营场所安装油烟净化设施并强化运</w:t>
            </w:r>
            <w:r>
              <w:rPr>
                <w:spacing w:val="-7"/>
                <w:sz w:val="21"/>
              </w:rPr>
              <w:t xml:space="preserve">行监管，餐饮业油烟净化装置配备率达到 </w:t>
            </w:r>
            <w:r>
              <w:rPr>
                <w:rFonts w:ascii="Times New Roman" w:eastAsia="Times New Roman"/>
                <w:sz w:val="21"/>
              </w:rPr>
              <w:t>100</w:t>
            </w:r>
            <w:r>
              <w:rPr>
                <w:sz w:val="21"/>
              </w:rPr>
              <w:t>％， 油烟废气排放达到《山东省饮食油烟排放标准》</w:t>
            </w:r>
          </w:p>
          <w:p>
            <w:pPr>
              <w:pStyle w:val="TableParagraph"/>
              <w:spacing w:before="3"/>
              <w:ind w:left="112"/>
              <w:rPr>
                <w:sz w:val="21"/>
              </w:rPr>
            </w:pPr>
            <w:r>
              <w:rPr>
                <w:sz w:val="21"/>
              </w:rPr>
              <w:t>（</w:t>
            </w:r>
            <w:r>
              <w:rPr>
                <w:rFonts w:ascii="Times New Roman" w:eastAsia="Times New Roman"/>
                <w:sz w:val="21"/>
              </w:rPr>
              <w:t>DB37/ 597-2006</w:t>
            </w:r>
            <w:r>
              <w:rPr>
                <w:sz w:val="21"/>
              </w:rPr>
              <w:t>）要求。</w:t>
            </w:r>
          </w:p>
          <w:p>
            <w:pPr>
              <w:pStyle w:val="TableParagraph"/>
              <w:numPr>
                <w:ilvl w:val="0"/>
                <w:numId w:val="3"/>
              </w:numPr>
              <w:tabs>
                <w:tab w:val="left" w:pos="272"/>
              </w:tabs>
              <w:spacing w:before="2" w:after="0" w:line="242" w:lineRule="auto"/>
              <w:ind w:left="112" w:right="91" w:firstLine="0"/>
              <w:jc w:val="both"/>
              <w:rPr>
                <w:sz w:val="21"/>
              </w:rPr>
            </w:pPr>
            <w:r>
              <w:rPr>
                <w:spacing w:val="-8"/>
                <w:w w:val="95"/>
                <w:sz w:val="21"/>
              </w:rPr>
              <w:t>防治扬尘污染，建设工程施工、建</w:t>
            </w:r>
            <w:r>
              <w:rPr>
                <w:w w:val="95"/>
                <w:sz w:val="21"/>
              </w:rPr>
              <w:t>（构</w:t>
            </w:r>
            <w:r>
              <w:rPr>
                <w:spacing w:val="-22"/>
                <w:w w:val="95"/>
                <w:sz w:val="21"/>
              </w:rPr>
              <w:t>）</w:t>
            </w:r>
            <w:r>
              <w:rPr>
                <w:w w:val="95"/>
                <w:sz w:val="21"/>
              </w:rPr>
              <w:t xml:space="preserve">筑物拆 除、物料运输和堆存、道路保洁、绿化作业等活 </w:t>
            </w:r>
            <w:r>
              <w:rPr>
                <w:sz w:val="21"/>
              </w:rPr>
              <w:t>动执行《德州市扬尘污染防治条例》要求。</w:t>
            </w:r>
          </w:p>
        </w:tc>
        <w:tc>
          <w:tcPr>
            <w:tcW w:w="1546" w:type="dxa"/>
            <w:tcBorders>
              <w:left w:val="single" w:sz="4" w:space="0" w:color="000000"/>
              <w:bottom w:val="single" w:sz="4" w:space="0" w:color="000000"/>
              <w:right w:val="single" w:sz="4" w:space="0" w:color="000000"/>
            </w:tcBorders>
          </w:tcPr>
          <w:p>
            <w:pPr>
              <w:pStyle w:val="TableParagraph"/>
              <w:spacing w:before="2" w:line="242" w:lineRule="auto"/>
              <w:ind w:left="148" w:right="127"/>
              <w:jc w:val="both"/>
              <w:rPr>
                <w:sz w:val="21"/>
              </w:rPr>
            </w:pPr>
            <w:r>
              <w:rPr>
                <w:sz w:val="21"/>
              </w:rPr>
              <w:t>气达标排放， 生产废水（预清洗废水、电泳后清洗废</w:t>
            </w:r>
          </w:p>
          <w:p>
            <w:pPr>
              <w:pStyle w:val="TableParagraph"/>
              <w:spacing w:line="244" w:lineRule="auto"/>
              <w:ind w:left="251" w:right="-15" w:hanging="140"/>
              <w:rPr>
                <w:sz w:val="21"/>
              </w:rPr>
            </w:pPr>
            <w:r>
              <w:rPr>
                <w:spacing w:val="-8"/>
                <w:sz w:val="21"/>
              </w:rPr>
              <w:t>水、酸洗废水、</w:t>
            </w:r>
            <w:r>
              <w:rPr>
                <w:sz w:val="21"/>
              </w:rPr>
              <w:t>电磁抛光废</w:t>
            </w:r>
          </w:p>
          <w:p>
            <w:pPr>
              <w:pStyle w:val="TableParagraph"/>
              <w:spacing w:line="242" w:lineRule="auto"/>
              <w:ind w:left="148" w:right="127"/>
              <w:jc w:val="both"/>
              <w:rPr>
                <w:sz w:val="21"/>
              </w:rPr>
            </w:pPr>
            <w:r>
              <w:rPr>
                <w:sz w:val="21"/>
              </w:rPr>
              <w:t>水）进入厂区自建污水处理设施预处理后排入宁津县嘉诚水质净化有限公司深度处理。纯水装置产生的浓水排入市政管网后宁津县嘉诚水质净化有限公司进行处理。生活污水经化粪池处理后， 排入市政管网后宁津县嘉诚水质净化有限</w:t>
            </w:r>
          </w:p>
          <w:p>
            <w:pPr>
              <w:pStyle w:val="TableParagraph"/>
              <w:spacing w:before="5" w:line="270" w:lineRule="atLeast"/>
              <w:ind w:left="568" w:right="233" w:hanging="317"/>
              <w:rPr>
                <w:sz w:val="21"/>
              </w:rPr>
            </w:pPr>
            <w:r>
              <w:rPr>
                <w:sz w:val="21"/>
              </w:rPr>
              <w:t>公司进行处理。</w:t>
            </w:r>
          </w:p>
        </w:tc>
        <w:tc>
          <w:tcPr>
            <w:tcW w:w="1110"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712"/>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7"/>
              <w:rPr>
                <w:sz w:val="24"/>
              </w:rPr>
            </w:pPr>
          </w:p>
          <w:p>
            <w:pPr>
              <w:pStyle w:val="TableParagraph"/>
              <w:spacing w:line="242" w:lineRule="auto"/>
              <w:ind w:left="370" w:right="141" w:hanging="209"/>
              <w:rPr>
                <w:sz w:val="21"/>
              </w:rPr>
            </w:pPr>
            <w:r>
              <w:rPr>
                <w:sz w:val="21"/>
              </w:rPr>
              <w:t>环境风险防控</w:t>
            </w:r>
          </w:p>
        </w:tc>
        <w:tc>
          <w:tcPr>
            <w:tcW w:w="4685" w:type="dxa"/>
            <w:tcBorders>
              <w:top w:val="single" w:sz="4" w:space="0" w:color="000000"/>
              <w:left w:val="single" w:sz="4" w:space="0" w:color="000000"/>
              <w:bottom w:val="single" w:sz="4" w:space="0" w:color="000000"/>
              <w:right w:val="single" w:sz="4" w:space="0" w:color="000000"/>
            </w:tcBorders>
          </w:tcPr>
          <w:p>
            <w:pPr>
              <w:pStyle w:val="TableParagraph"/>
              <w:numPr>
                <w:ilvl w:val="0"/>
                <w:numId w:val="4"/>
              </w:numPr>
              <w:tabs>
                <w:tab w:val="left" w:pos="272"/>
              </w:tabs>
              <w:spacing w:before="0" w:after="0" w:line="263" w:lineRule="exact"/>
              <w:ind w:left="271" w:right="0" w:hanging="160"/>
              <w:jc w:val="left"/>
              <w:rPr>
                <w:sz w:val="21"/>
              </w:rPr>
            </w:pPr>
            <w:r>
              <w:rPr>
                <w:sz w:val="21"/>
              </w:rPr>
              <w:t>生产、使用、存储、运输危险化学品</w:t>
            </w:r>
          </w:p>
          <w:p>
            <w:pPr>
              <w:pStyle w:val="TableParagraph"/>
              <w:spacing w:before="4" w:line="242" w:lineRule="auto"/>
              <w:ind w:left="112" w:right="91"/>
              <w:jc w:val="both"/>
              <w:rPr>
                <w:sz w:val="21"/>
              </w:rPr>
            </w:pPr>
            <w:r>
              <w:rPr>
                <w:w w:val="95"/>
                <w:sz w:val="21"/>
              </w:rPr>
              <w:t xml:space="preserve">的企业事业单位，应当采取风险防范措施，编制 突发环境事件应急预案并定期开展演练，预防环 </w:t>
            </w:r>
            <w:r>
              <w:rPr>
                <w:sz w:val="21"/>
              </w:rPr>
              <w:t>境污染事故的发生。</w:t>
            </w:r>
          </w:p>
          <w:p>
            <w:pPr>
              <w:pStyle w:val="TableParagraph"/>
              <w:numPr>
                <w:ilvl w:val="0"/>
                <w:numId w:val="4"/>
              </w:numPr>
              <w:tabs>
                <w:tab w:val="left" w:pos="272"/>
              </w:tabs>
              <w:spacing w:before="1" w:after="0" w:line="242" w:lineRule="auto"/>
              <w:ind w:left="112" w:right="91" w:firstLine="0"/>
              <w:jc w:val="both"/>
              <w:rPr>
                <w:sz w:val="21"/>
              </w:rPr>
            </w:pPr>
            <w:r>
              <w:rPr>
                <w:spacing w:val="-8"/>
                <w:w w:val="95"/>
                <w:sz w:val="21"/>
              </w:rPr>
              <w:t xml:space="preserve">建立企业危险废物的贮存、申报、经营许可、转 </w:t>
            </w:r>
            <w:r>
              <w:rPr>
                <w:w w:val="95"/>
                <w:sz w:val="21"/>
              </w:rPr>
              <w:t xml:space="preserve">移和处置管理制度，并负责对危废相应活动的全 </w:t>
            </w:r>
            <w:r>
              <w:rPr>
                <w:sz w:val="21"/>
              </w:rPr>
              <w:t>程监管和环境安全保障。</w:t>
            </w:r>
          </w:p>
          <w:p>
            <w:pPr>
              <w:pStyle w:val="TableParagraph"/>
              <w:numPr>
                <w:ilvl w:val="0"/>
                <w:numId w:val="4"/>
              </w:numPr>
              <w:tabs>
                <w:tab w:val="left" w:pos="272"/>
              </w:tabs>
              <w:spacing w:before="3" w:after="0" w:line="242" w:lineRule="auto"/>
              <w:ind w:left="112" w:right="91" w:firstLine="0"/>
              <w:jc w:val="left"/>
              <w:rPr>
                <w:sz w:val="21"/>
              </w:rPr>
            </w:pPr>
            <w:r>
              <w:rPr>
                <w:spacing w:val="-11"/>
                <w:w w:val="95"/>
                <w:sz w:val="21"/>
              </w:rPr>
              <w:t xml:space="preserve">涉酸、涉重等土壤、地下水高污染风险企业的车 </w:t>
            </w:r>
            <w:r>
              <w:rPr>
                <w:w w:val="95"/>
                <w:sz w:val="21"/>
              </w:rPr>
              <w:t>间、危废间、污水处理站、储罐等重点管控区进</w:t>
            </w:r>
          </w:p>
          <w:p>
            <w:pPr>
              <w:pStyle w:val="TableParagraph"/>
              <w:spacing w:before="1" w:line="246" w:lineRule="exact"/>
              <w:ind w:left="112"/>
              <w:rPr>
                <w:sz w:val="21"/>
              </w:rPr>
            </w:pPr>
            <w:r>
              <w:rPr>
                <w:sz w:val="21"/>
              </w:rPr>
              <w:t>行重点防渗</w:t>
            </w:r>
          </w:p>
        </w:tc>
        <w:tc>
          <w:tcPr>
            <w:tcW w:w="154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2"/>
              </w:rPr>
            </w:pPr>
          </w:p>
          <w:p>
            <w:pPr>
              <w:pStyle w:val="TableParagraph"/>
              <w:spacing w:before="1" w:line="242" w:lineRule="auto"/>
              <w:ind w:left="148" w:right="127"/>
              <w:jc w:val="both"/>
              <w:rPr>
                <w:sz w:val="21"/>
              </w:rPr>
            </w:pPr>
            <w:r>
              <w:rPr>
                <w:sz w:val="21"/>
              </w:rPr>
              <w:t>项目建立完善的风险防控体系，并编制突发环境事件应急预案并定期开展演练。</w:t>
            </w:r>
          </w:p>
        </w:tc>
        <w:tc>
          <w:tcPr>
            <w:tcW w:w="1110"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3"/>
              <w:rPr>
                <w:sz w:val="15"/>
              </w:rPr>
            </w:pPr>
          </w:p>
          <w:p>
            <w:pPr>
              <w:pStyle w:val="TableParagraph"/>
              <w:ind w:right="330"/>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98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53"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15"/>
              </w:rPr>
            </w:pPr>
          </w:p>
          <w:p>
            <w:pPr>
              <w:pStyle w:val="TableParagraph"/>
              <w:spacing w:line="242" w:lineRule="auto"/>
              <w:ind w:left="161" w:right="141"/>
              <w:rPr>
                <w:sz w:val="21"/>
              </w:rPr>
            </w:pPr>
            <w:r>
              <w:rPr>
                <w:sz w:val="21"/>
              </w:rPr>
              <w:t>资源开发效率要求</w:t>
            </w:r>
          </w:p>
        </w:tc>
        <w:tc>
          <w:tcPr>
            <w:tcW w:w="4685" w:type="dxa"/>
            <w:tcBorders>
              <w:top w:val="single" w:sz="4" w:space="0" w:color="000000"/>
              <w:left w:val="single" w:sz="4" w:space="0" w:color="000000"/>
              <w:bottom w:val="single" w:sz="4" w:space="0" w:color="000000"/>
              <w:right w:val="single" w:sz="4" w:space="0" w:color="000000"/>
            </w:tcBorders>
          </w:tcPr>
          <w:p>
            <w:pPr>
              <w:pStyle w:val="TableParagraph"/>
              <w:numPr>
                <w:ilvl w:val="0"/>
                <w:numId w:val="5"/>
              </w:numPr>
              <w:tabs>
                <w:tab w:val="left" w:pos="272"/>
              </w:tabs>
              <w:spacing w:before="0" w:after="0" w:line="242" w:lineRule="auto"/>
              <w:ind w:left="112" w:right="91" w:firstLine="0"/>
              <w:jc w:val="both"/>
              <w:rPr>
                <w:sz w:val="21"/>
              </w:rPr>
            </w:pPr>
            <w:r>
              <w:rPr>
                <w:spacing w:val="-11"/>
                <w:w w:val="95"/>
                <w:sz w:val="21"/>
              </w:rPr>
              <w:t xml:space="preserve">建筑施工、城市环境卫生、园林绿化等可使用低 </w:t>
            </w:r>
            <w:r>
              <w:rPr>
                <w:w w:val="95"/>
                <w:sz w:val="21"/>
              </w:rPr>
              <w:t xml:space="preserve">质水的，应当充分使用工程排水或经过处理后的 </w:t>
            </w:r>
            <w:r>
              <w:rPr>
                <w:sz w:val="21"/>
              </w:rPr>
              <w:t>再生水、雨水。</w:t>
            </w:r>
          </w:p>
          <w:p>
            <w:pPr>
              <w:pStyle w:val="TableParagraph"/>
              <w:numPr>
                <w:ilvl w:val="0"/>
                <w:numId w:val="5"/>
              </w:numPr>
              <w:tabs>
                <w:tab w:val="left" w:pos="272"/>
              </w:tabs>
              <w:spacing w:before="0" w:after="0" w:line="242" w:lineRule="auto"/>
              <w:ind w:left="112" w:right="91" w:firstLine="0"/>
              <w:jc w:val="both"/>
              <w:rPr>
                <w:sz w:val="21"/>
              </w:rPr>
            </w:pPr>
            <w:r>
              <w:rPr>
                <w:spacing w:val="-7"/>
                <w:w w:val="95"/>
                <w:sz w:val="21"/>
              </w:rPr>
              <w:t xml:space="preserve">改进高耗水行业的生产工艺，推行少水、无水新 </w:t>
            </w:r>
            <w:r>
              <w:rPr>
                <w:w w:val="95"/>
                <w:sz w:val="21"/>
              </w:rPr>
              <w:t xml:space="preserve">工艺，提高工业用水重复利用率。鼓励高耗水企 </w:t>
            </w:r>
            <w:r>
              <w:rPr>
                <w:sz w:val="21"/>
              </w:rPr>
              <w:t>业开展清洁生产审核。</w:t>
            </w:r>
          </w:p>
          <w:p>
            <w:pPr>
              <w:pStyle w:val="TableParagraph"/>
              <w:numPr>
                <w:ilvl w:val="0"/>
                <w:numId w:val="5"/>
              </w:numPr>
              <w:tabs>
                <w:tab w:val="left" w:pos="272"/>
              </w:tabs>
              <w:spacing w:before="0" w:after="0" w:line="242" w:lineRule="auto"/>
              <w:ind w:left="112" w:right="91" w:firstLine="0"/>
              <w:jc w:val="both"/>
              <w:rPr>
                <w:sz w:val="21"/>
              </w:rPr>
            </w:pPr>
            <w:r>
              <w:rPr>
                <w:spacing w:val="-7"/>
                <w:w w:val="95"/>
                <w:sz w:val="21"/>
              </w:rPr>
              <w:t xml:space="preserve">加大节水型器具的推广普及力度，推进建筑用水 </w:t>
            </w:r>
            <w:r>
              <w:rPr>
                <w:w w:val="95"/>
                <w:sz w:val="21"/>
              </w:rPr>
              <w:t xml:space="preserve">器具的更新改造，新建和改扩建的民用建筑一律 使用节水型器具，现有建筑中使用淘汰型用水器 </w:t>
            </w:r>
            <w:r>
              <w:rPr>
                <w:sz w:val="21"/>
              </w:rPr>
              <w:t>具的分批分期更换。</w:t>
            </w:r>
          </w:p>
          <w:p>
            <w:pPr>
              <w:pStyle w:val="TableParagraph"/>
              <w:numPr>
                <w:ilvl w:val="0"/>
                <w:numId w:val="5"/>
              </w:numPr>
              <w:tabs>
                <w:tab w:val="left" w:pos="272"/>
              </w:tabs>
              <w:spacing w:before="1" w:after="0" w:line="247" w:lineRule="exact"/>
              <w:ind w:left="271" w:right="0" w:hanging="160"/>
              <w:jc w:val="left"/>
              <w:rPr>
                <w:sz w:val="21"/>
              </w:rPr>
            </w:pPr>
            <w:r>
              <w:rPr>
                <w:sz w:val="21"/>
              </w:rPr>
              <w:t>执行高污染燃料禁燃区要求。</w:t>
            </w:r>
          </w:p>
        </w:tc>
        <w:tc>
          <w:tcPr>
            <w:tcW w:w="154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8"/>
              <w:rPr>
                <w:sz w:val="24"/>
              </w:rPr>
            </w:pPr>
          </w:p>
          <w:p>
            <w:pPr>
              <w:pStyle w:val="TableParagraph"/>
              <w:spacing w:line="242" w:lineRule="auto"/>
              <w:ind w:left="148" w:right="127"/>
              <w:jc w:val="center"/>
              <w:rPr>
                <w:sz w:val="21"/>
              </w:rPr>
            </w:pPr>
            <w:r>
              <w:rPr>
                <w:sz w:val="21"/>
              </w:rPr>
              <w:t>本项目满足资源利用效率准入要求</w:t>
            </w:r>
          </w:p>
        </w:tc>
        <w:tc>
          <w:tcPr>
            <w:tcW w:w="1110"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25"/>
              </w:rPr>
            </w:pPr>
          </w:p>
          <w:p>
            <w:pPr>
              <w:pStyle w:val="TableParagraph"/>
              <w:ind w:right="330"/>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487"/>
        </w:trPr>
        <w:tc>
          <w:tcPr>
            <w:tcW w:w="594" w:type="dxa"/>
            <w:vMerge/>
            <w:tcBorders>
              <w:top w:val="nil"/>
              <w:right w:val="single" w:sz="4" w:space="0" w:color="000000"/>
            </w:tcBorders>
          </w:tcPr>
          <w:p>
            <w:pPr>
              <w:rPr>
                <w:sz w:val="2"/>
                <w:szCs w:val="2"/>
              </w:rPr>
            </w:pPr>
          </w:p>
        </w:tc>
        <w:tc>
          <w:tcPr>
            <w:tcW w:w="8720" w:type="dxa"/>
            <w:gridSpan w:val="6"/>
            <w:tcBorders>
              <w:top w:val="single" w:sz="4" w:space="0" w:color="000000"/>
              <w:left w:val="single" w:sz="4" w:space="0" w:color="000000"/>
            </w:tcBorders>
          </w:tcPr>
          <w:p>
            <w:pPr>
              <w:pStyle w:val="TableParagraph"/>
              <w:spacing w:line="307" w:lineRule="exact"/>
              <w:ind w:left="322"/>
              <w:rPr>
                <w:b/>
                <w:sz w:val="24"/>
              </w:rPr>
            </w:pPr>
            <w:bookmarkStart w:id="3" w:name="（一）、环保政策的符合性"/>
            <w:bookmarkEnd w:id="3"/>
            <w:r>
              <w:rPr>
                <w:b/>
                <w:sz w:val="24"/>
              </w:rPr>
              <w:t>（一）、环保政策的符合性</w:t>
            </w:r>
          </w:p>
        </w:tc>
      </w:tr>
    </w:tbl>
    <w:p>
      <w:pPr>
        <w:pStyle w:val="BodyText"/>
        <w:rPr>
          <w:sz w:val="20"/>
        </w:rPr>
      </w:pPr>
    </w:p>
    <w:p>
      <w:pPr>
        <w:pStyle w:val="BodyText"/>
        <w:rPr>
          <w:sz w:val="20"/>
        </w:rPr>
      </w:pPr>
    </w:p>
    <w:p>
      <w:pPr>
        <w:pStyle w:val="BodyText"/>
        <w:spacing w:before="11"/>
        <w:rPr>
          <w:sz w:val="14"/>
        </w:rPr>
      </w:pPr>
    </w:p>
    <w:p>
      <w:pPr>
        <w:tabs>
          <w:tab w:val="left" w:pos="1571"/>
        </w:tabs>
        <w:spacing w:before="62"/>
        <w:ind w:left="631" w:right="0" w:firstLine="0"/>
        <w:jc w:val="left"/>
        <w:rPr>
          <w:sz w:val="28"/>
        </w:rPr>
      </w:pPr>
      <w:r>
        <w:rPr>
          <w:sz w:val="28"/>
        </w:rPr>
        <w:t>—</w:t>
      </w:r>
      <w:r>
        <w:rPr>
          <w:spacing w:val="59"/>
          <w:sz w:val="28"/>
        </w:rPr>
        <w:t xml:space="preserve"> </w:t>
      </w:r>
      <w:r>
        <w:rPr>
          <w:sz w:val="26"/>
        </w:rPr>
        <w:t>18</w:t>
      </w:r>
      <w:r>
        <w:rPr>
          <w:sz w:val="26"/>
        </w:rPr>
        <w:tab/>
      </w:r>
      <w:r>
        <w:rPr>
          <w:sz w:val="28"/>
        </w:rPr>
        <w:t>—</w:t>
      </w:r>
    </w:p>
    <w:p>
      <w:pPr>
        <w:spacing w:after="0"/>
        <w:jc w:val="left"/>
        <w:rPr>
          <w:sz w:val="28"/>
        </w:rPr>
        <w:sectPr>
          <w:pgSz w:w="11910" w:h="16840"/>
          <w:pgMar w:top="1580" w:right="879" w:bottom="280" w:left="900" w:header="720" w:footer="720" w:gutter="0"/>
          <w:pgNumType w:start="19"/>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599"/>
        <w:gridCol w:w="5004"/>
        <w:gridCol w:w="1986"/>
        <w:gridCol w:w="905"/>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64"/>
        </w:trPr>
        <w:tc>
          <w:tcPr>
            <w:tcW w:w="594" w:type="dxa"/>
            <w:vMerge w:val="restart"/>
            <w:tcBorders>
              <w:right w:val="single" w:sz="4" w:space="0" w:color="000000"/>
            </w:tcBorders>
          </w:tcPr>
          <w:p>
            <w:pPr>
              <w:pStyle w:val="TableParagraph"/>
              <w:rPr>
                <w:rFonts w:ascii="Times New Roman"/>
                <w:sz w:val="20"/>
              </w:rPr>
            </w:pPr>
          </w:p>
        </w:tc>
        <w:tc>
          <w:tcPr>
            <w:tcW w:w="8720" w:type="dxa"/>
            <w:gridSpan w:val="6"/>
            <w:tcBorders>
              <w:left w:val="single" w:sz="4" w:space="0" w:color="000000"/>
              <w:bottom w:val="nil"/>
            </w:tcBorders>
          </w:tcPr>
          <w:p>
            <w:pPr>
              <w:pStyle w:val="TableParagraph"/>
              <w:spacing w:line="299" w:lineRule="exact"/>
              <w:ind w:left="591"/>
              <w:rPr>
                <w:b/>
                <w:sz w:val="24"/>
              </w:rPr>
            </w:pPr>
            <w:bookmarkStart w:id="4" w:name="1．本项目与《山东省环境保护条例》《山东省深入打好蓝天保卫战行动计划（2021—"/>
            <w:bookmarkEnd w:id="4"/>
            <w:r>
              <w:rPr>
                <w:b/>
                <w:sz w:val="24"/>
              </w:rPr>
              <w:t>1．本项目与《山东省环境保护条例》《山东省深入打好蓝天保卫战行动计划</w:t>
            </w:r>
          </w:p>
        </w:tc>
      </w:tr>
      <w:tr>
        <w:tblPrEx>
          <w:tblW w:w="0" w:type="auto"/>
          <w:tblInd w:w="406" w:type="dxa"/>
          <w:tblLayout w:type="fixed"/>
          <w:tblCellMar>
            <w:top w:w="0" w:type="dxa"/>
            <w:left w:w="0" w:type="dxa"/>
            <w:bottom w:w="0" w:type="dxa"/>
            <w:right w:w="0" w:type="dxa"/>
          </w:tblCellMar>
        </w:tblPrEx>
        <w:trPr>
          <w:trHeight w:val="455"/>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73"/>
              <w:ind w:left="111"/>
              <w:rPr>
                <w:b/>
                <w:sz w:val="24"/>
              </w:rPr>
            </w:pPr>
            <w:r>
              <w:rPr>
                <w:b/>
                <w:sz w:val="24"/>
              </w:rPr>
              <w:t>（</w:t>
            </w:r>
            <w:r>
              <w:rPr>
                <w:rFonts w:ascii="Times New Roman" w:eastAsia="Times New Roman" w:hAnsi="Times New Roman"/>
                <w:b/>
                <w:sz w:val="24"/>
              </w:rPr>
              <w:t>2021</w:t>
            </w:r>
            <w:r>
              <w:rPr>
                <w:b/>
                <w:sz w:val="24"/>
              </w:rPr>
              <w:t>—</w:t>
            </w:r>
            <w:r>
              <w:rPr>
                <w:rFonts w:ascii="Times New Roman" w:eastAsia="Times New Roman" w:hAnsi="Times New Roman"/>
                <w:b/>
                <w:sz w:val="24"/>
              </w:rPr>
              <w:t xml:space="preserve">2025 </w:t>
            </w:r>
            <w:r>
              <w:rPr>
                <w:b/>
                <w:sz w:val="24"/>
              </w:rPr>
              <w:t>年）》《山东省深入打好碧水保卫战行动计划（</w:t>
            </w:r>
            <w:r>
              <w:rPr>
                <w:rFonts w:ascii="Times New Roman" w:eastAsia="Times New Roman" w:hAnsi="Times New Roman"/>
                <w:b/>
                <w:sz w:val="24"/>
              </w:rPr>
              <w:t>2021</w:t>
            </w:r>
            <w:r>
              <w:rPr>
                <w:b/>
                <w:sz w:val="24"/>
              </w:rPr>
              <w:t>—</w:t>
            </w:r>
            <w:r>
              <w:rPr>
                <w:rFonts w:ascii="Times New Roman" w:eastAsia="Times New Roman" w:hAnsi="Times New Roman"/>
                <w:b/>
                <w:sz w:val="24"/>
              </w:rPr>
              <w:t xml:space="preserve">2025 </w:t>
            </w:r>
            <w:r>
              <w:rPr>
                <w:b/>
                <w:sz w:val="24"/>
              </w:rPr>
              <w:t>年）》</w:t>
            </w:r>
          </w:p>
        </w:tc>
      </w:tr>
      <w:tr>
        <w:tblPrEx>
          <w:tblW w:w="0" w:type="auto"/>
          <w:tblInd w:w="406" w:type="dxa"/>
          <w:tblLayout w:type="fixed"/>
          <w:tblCellMar>
            <w:top w:w="0" w:type="dxa"/>
            <w:left w:w="0" w:type="dxa"/>
            <w:bottom w:w="0" w:type="dxa"/>
            <w:right w:w="0" w:type="dxa"/>
          </w:tblCellMar>
        </w:tblPrEx>
        <w:trPr>
          <w:trHeight w:val="451"/>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65"/>
              <w:ind w:left="111"/>
              <w:rPr>
                <w:b/>
                <w:sz w:val="24"/>
              </w:rPr>
            </w:pPr>
            <w:r>
              <w:rPr>
                <w:b/>
                <w:sz w:val="24"/>
              </w:rPr>
              <w:t>《山东省深入打好净土保卫战行动计划（</w:t>
            </w:r>
            <w:r>
              <w:rPr>
                <w:rFonts w:ascii="Times New Roman" w:eastAsia="Times New Roman" w:hAnsi="Times New Roman"/>
                <w:b/>
                <w:sz w:val="24"/>
              </w:rPr>
              <w:t>2021</w:t>
            </w:r>
            <w:r>
              <w:rPr>
                <w:b/>
                <w:sz w:val="24"/>
              </w:rPr>
              <w:t>—</w:t>
            </w:r>
            <w:r>
              <w:rPr>
                <w:rFonts w:ascii="Times New Roman" w:eastAsia="Times New Roman" w:hAnsi="Times New Roman"/>
                <w:b/>
                <w:sz w:val="24"/>
              </w:rPr>
              <w:t xml:space="preserve">2025 </w:t>
            </w:r>
            <w:r>
              <w:rPr>
                <w:b/>
                <w:sz w:val="24"/>
              </w:rPr>
              <w:t>年）》《山东省“十四五”</w:t>
            </w:r>
          </w:p>
        </w:tc>
      </w:tr>
      <w:tr>
        <w:tblPrEx>
          <w:tblW w:w="0" w:type="auto"/>
          <w:tblInd w:w="406" w:type="dxa"/>
          <w:tblLayout w:type="fixed"/>
          <w:tblCellMar>
            <w:top w:w="0" w:type="dxa"/>
            <w:left w:w="0" w:type="dxa"/>
            <w:bottom w:w="0" w:type="dxa"/>
            <w:right w:w="0" w:type="dxa"/>
          </w:tblCellMar>
        </w:tblPrEx>
        <w:trPr>
          <w:trHeight w:val="433"/>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61"/>
              <w:ind w:left="111"/>
              <w:rPr>
                <w:b/>
                <w:sz w:val="24"/>
              </w:rPr>
            </w:pPr>
            <w:r>
              <w:rPr>
                <w:b/>
                <w:sz w:val="24"/>
              </w:rPr>
              <w:t>生态环境保护规划》《关于“两高”项目管理有关事项的补充通知》（鲁发改工</w:t>
            </w:r>
          </w:p>
        </w:tc>
      </w:tr>
      <w:tr>
        <w:tblPrEx>
          <w:tblW w:w="0" w:type="auto"/>
          <w:tblInd w:w="406" w:type="dxa"/>
          <w:tblLayout w:type="fixed"/>
          <w:tblCellMar>
            <w:top w:w="0" w:type="dxa"/>
            <w:left w:w="0" w:type="dxa"/>
            <w:bottom w:w="0" w:type="dxa"/>
            <w:right w:w="0" w:type="dxa"/>
          </w:tblCellMar>
        </w:tblPrEx>
        <w:trPr>
          <w:trHeight w:val="454"/>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73"/>
              <w:ind w:left="111" w:right="-44"/>
              <w:rPr>
                <w:b/>
                <w:sz w:val="24"/>
              </w:rPr>
            </w:pPr>
            <w:r>
              <w:rPr>
                <w:b/>
                <w:spacing w:val="-9"/>
                <w:sz w:val="24"/>
              </w:rPr>
              <w:t>业〔</w:t>
            </w:r>
            <w:r>
              <w:rPr>
                <w:rFonts w:ascii="Times New Roman" w:eastAsia="Times New Roman" w:hAnsi="Times New Roman"/>
                <w:b/>
                <w:sz w:val="24"/>
              </w:rPr>
              <w:t>2023</w:t>
            </w:r>
            <w:r>
              <w:rPr>
                <w:b/>
                <w:spacing w:val="-17"/>
                <w:sz w:val="24"/>
              </w:rPr>
              <w:t>〕</w:t>
            </w:r>
            <w:r>
              <w:rPr>
                <w:rFonts w:ascii="Times New Roman" w:eastAsia="Times New Roman" w:hAnsi="Times New Roman"/>
                <w:b/>
                <w:sz w:val="24"/>
              </w:rPr>
              <w:t>34</w:t>
            </w:r>
            <w:r>
              <w:rPr>
                <w:rFonts w:ascii="Times New Roman" w:eastAsia="Times New Roman" w:hAnsi="Times New Roman"/>
                <w:b/>
                <w:spacing w:val="-9"/>
                <w:sz w:val="24"/>
              </w:rPr>
              <w:t xml:space="preserve"> </w:t>
            </w:r>
            <w:r>
              <w:rPr>
                <w:b/>
                <w:sz w:val="24"/>
              </w:rPr>
              <w:t>号</w:t>
            </w:r>
            <w:r>
              <w:rPr>
                <w:b/>
                <w:spacing w:val="-34"/>
                <w:sz w:val="24"/>
              </w:rPr>
              <w:t>）</w:t>
            </w:r>
            <w:r>
              <w:rPr>
                <w:b/>
                <w:spacing w:val="-2"/>
                <w:sz w:val="24"/>
              </w:rPr>
              <w:t>《关于严格项目审批工作坚决防止新上“散乱污”项目的通知》</w:t>
            </w:r>
          </w:p>
        </w:tc>
      </w:tr>
      <w:tr>
        <w:tblPrEx>
          <w:tblW w:w="0" w:type="auto"/>
          <w:tblInd w:w="406" w:type="dxa"/>
          <w:tblLayout w:type="fixed"/>
          <w:tblCellMar>
            <w:top w:w="0" w:type="dxa"/>
            <w:left w:w="0" w:type="dxa"/>
            <w:bottom w:w="0" w:type="dxa"/>
            <w:right w:w="0" w:type="dxa"/>
          </w:tblCellMar>
        </w:tblPrEx>
        <w:trPr>
          <w:trHeight w:val="446"/>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66"/>
              <w:ind w:left="111"/>
              <w:rPr>
                <w:b/>
                <w:sz w:val="24"/>
              </w:rPr>
            </w:pPr>
            <w:r>
              <w:rPr>
                <w:b/>
                <w:sz w:val="24"/>
              </w:rPr>
              <w:t>《山东省新一轮“四减四增”三年行动方案（</w:t>
            </w:r>
            <w:r>
              <w:rPr>
                <w:rFonts w:ascii="Times New Roman" w:eastAsia="Times New Roman" w:hAnsi="Times New Roman"/>
                <w:b/>
                <w:sz w:val="24"/>
              </w:rPr>
              <w:t>2021</w:t>
            </w:r>
            <w:r>
              <w:rPr>
                <w:b/>
                <w:sz w:val="24"/>
              </w:rPr>
              <w:t>—</w:t>
            </w:r>
            <w:r>
              <w:rPr>
                <w:rFonts w:ascii="Times New Roman" w:eastAsia="Times New Roman" w:hAnsi="Times New Roman"/>
                <w:b/>
                <w:sz w:val="24"/>
              </w:rPr>
              <w:t xml:space="preserve">2023 </w:t>
            </w:r>
            <w:r>
              <w:rPr>
                <w:b/>
                <w:sz w:val="24"/>
              </w:rPr>
              <w:t>年）》《山东省涉挥发</w:t>
            </w:r>
          </w:p>
        </w:tc>
      </w:tr>
      <w:tr>
        <w:tblPrEx>
          <w:tblW w:w="0" w:type="auto"/>
          <w:tblInd w:w="406" w:type="dxa"/>
          <w:tblLayout w:type="fixed"/>
          <w:tblCellMar>
            <w:top w:w="0" w:type="dxa"/>
            <w:left w:w="0" w:type="dxa"/>
            <w:bottom w:w="0" w:type="dxa"/>
            <w:right w:w="0" w:type="dxa"/>
          </w:tblCellMar>
        </w:tblPrEx>
        <w:trPr>
          <w:trHeight w:val="448"/>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65"/>
              <w:ind w:left="111"/>
              <w:rPr>
                <w:b/>
                <w:sz w:val="24"/>
              </w:rPr>
            </w:pPr>
            <w:r>
              <w:rPr>
                <w:b/>
                <w:spacing w:val="-3"/>
                <w:sz w:val="24"/>
              </w:rPr>
              <w:t>性有机物企业分行业治理指导意见》</w:t>
            </w:r>
            <w:r>
              <w:rPr>
                <w:b/>
                <w:sz w:val="24"/>
              </w:rPr>
              <w:t>（</w:t>
            </w:r>
            <w:r>
              <w:rPr>
                <w:b/>
                <w:spacing w:val="-5"/>
                <w:sz w:val="24"/>
              </w:rPr>
              <w:t>鲁环发〔</w:t>
            </w:r>
            <w:r>
              <w:rPr>
                <w:rFonts w:ascii="Times New Roman" w:eastAsia="Times New Roman"/>
                <w:b/>
                <w:sz w:val="24"/>
              </w:rPr>
              <w:t>2019</w:t>
            </w:r>
            <w:r>
              <w:rPr>
                <w:b/>
                <w:spacing w:val="-17"/>
                <w:sz w:val="24"/>
              </w:rPr>
              <w:t>〕</w:t>
            </w:r>
            <w:r>
              <w:rPr>
                <w:rFonts w:ascii="Times New Roman" w:eastAsia="Times New Roman"/>
                <w:b/>
                <w:sz w:val="24"/>
              </w:rPr>
              <w:t xml:space="preserve">146 </w:t>
            </w:r>
            <w:r>
              <w:rPr>
                <w:b/>
                <w:sz w:val="24"/>
              </w:rPr>
              <w:t>号</w:t>
            </w:r>
            <w:r>
              <w:rPr>
                <w:b/>
                <w:spacing w:val="-34"/>
                <w:sz w:val="24"/>
              </w:rPr>
              <w:t>）</w:t>
            </w:r>
            <w:r>
              <w:rPr>
                <w:b/>
                <w:sz w:val="24"/>
              </w:rPr>
              <w:t>《山东省工业企业</w:t>
            </w:r>
          </w:p>
        </w:tc>
      </w:tr>
      <w:tr>
        <w:tblPrEx>
          <w:tblW w:w="0" w:type="auto"/>
          <w:tblInd w:w="406" w:type="dxa"/>
          <w:tblLayout w:type="fixed"/>
          <w:tblCellMar>
            <w:top w:w="0" w:type="dxa"/>
            <w:left w:w="0" w:type="dxa"/>
            <w:bottom w:w="0" w:type="dxa"/>
            <w:right w:w="0" w:type="dxa"/>
          </w:tblCellMar>
        </w:tblPrEx>
        <w:trPr>
          <w:trHeight w:val="482"/>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nil"/>
            </w:tcBorders>
          </w:tcPr>
          <w:p>
            <w:pPr>
              <w:pStyle w:val="TableParagraph"/>
              <w:spacing w:before="65"/>
              <w:ind w:left="111"/>
              <w:rPr>
                <w:b/>
                <w:sz w:val="24"/>
              </w:rPr>
            </w:pPr>
            <w:r>
              <w:rPr>
                <w:b/>
                <w:sz w:val="24"/>
              </w:rPr>
              <w:t>无组织排放分行业管控指导意见》（鲁环发</w:t>
            </w:r>
            <w:r>
              <w:rPr>
                <w:rFonts w:ascii="Times New Roman" w:eastAsia="Times New Roman"/>
                <w:b/>
                <w:sz w:val="24"/>
              </w:rPr>
              <w:t xml:space="preserve">[2020]30 </w:t>
            </w:r>
            <w:r>
              <w:rPr>
                <w:b/>
                <w:sz w:val="24"/>
              </w:rPr>
              <w:t>号）符合性分析。</w:t>
            </w:r>
          </w:p>
        </w:tc>
      </w:tr>
      <w:tr>
        <w:tblPrEx>
          <w:tblW w:w="0" w:type="auto"/>
          <w:tblInd w:w="406" w:type="dxa"/>
          <w:tblLayout w:type="fixed"/>
          <w:tblCellMar>
            <w:top w:w="0" w:type="dxa"/>
            <w:left w:w="0" w:type="dxa"/>
            <w:bottom w:w="0" w:type="dxa"/>
            <w:right w:w="0" w:type="dxa"/>
          </w:tblCellMar>
        </w:tblPrEx>
        <w:trPr>
          <w:trHeight w:val="476"/>
        </w:trPr>
        <w:tc>
          <w:tcPr>
            <w:tcW w:w="594" w:type="dxa"/>
            <w:vMerge/>
            <w:tcBorders>
              <w:top w:val="nil"/>
              <w:right w:val="single" w:sz="4" w:space="0" w:color="000000"/>
            </w:tcBorders>
          </w:tcPr>
          <w:p>
            <w:pPr>
              <w:rPr>
                <w:sz w:val="2"/>
                <w:szCs w:val="2"/>
              </w:rPr>
            </w:pPr>
          </w:p>
        </w:tc>
        <w:tc>
          <w:tcPr>
            <w:tcW w:w="8720" w:type="dxa"/>
            <w:gridSpan w:val="6"/>
            <w:tcBorders>
              <w:top w:val="nil"/>
              <w:left w:val="single" w:sz="4" w:space="0" w:color="000000"/>
              <w:bottom w:val="single" w:sz="4" w:space="0" w:color="000000"/>
            </w:tcBorders>
          </w:tcPr>
          <w:p>
            <w:pPr>
              <w:pStyle w:val="TableParagraph"/>
              <w:tabs>
                <w:tab w:val="left" w:pos="863"/>
              </w:tabs>
              <w:spacing w:before="102"/>
              <w:ind w:left="23"/>
              <w:jc w:val="center"/>
              <w:rPr>
                <w:b/>
                <w:sz w:val="24"/>
              </w:rPr>
            </w:pPr>
            <w:r>
              <w:rPr>
                <w:b/>
                <w:sz w:val="24"/>
              </w:rPr>
              <w:t>表</w:t>
            </w:r>
            <w:r>
              <w:rPr>
                <w:b/>
                <w:spacing w:val="-62"/>
                <w:sz w:val="24"/>
              </w:rPr>
              <w:t xml:space="preserve"> </w:t>
            </w:r>
            <w:r>
              <w:rPr>
                <w:rFonts w:ascii="Times New Roman" w:eastAsia="Times New Roman"/>
                <w:b/>
                <w:sz w:val="24"/>
              </w:rPr>
              <w:t>7.</w:t>
            </w:r>
            <w:r>
              <w:rPr>
                <w:rFonts w:ascii="Times New Roman" w:eastAsia="Times New Roman"/>
                <w:b/>
                <w:sz w:val="24"/>
              </w:rPr>
              <w:tab/>
            </w:r>
            <w:r>
              <w:rPr>
                <w:b/>
                <w:sz w:val="24"/>
              </w:rPr>
              <w:t>符合性分析</w:t>
            </w:r>
          </w:p>
        </w:tc>
      </w:tr>
      <w:tr>
        <w:tblPrEx>
          <w:tblW w:w="0" w:type="auto"/>
          <w:tblInd w:w="406" w:type="dxa"/>
          <w:tblLayout w:type="fixed"/>
          <w:tblCellMar>
            <w:top w:w="0" w:type="dxa"/>
            <w:left w:w="0" w:type="dxa"/>
            <w:bottom w:w="0" w:type="dxa"/>
            <w:right w:w="0" w:type="dxa"/>
          </w:tblCellMar>
        </w:tblPrEx>
        <w:trPr>
          <w:trHeight w:val="643"/>
        </w:trPr>
        <w:tc>
          <w:tcPr>
            <w:tcW w:w="594"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0"/>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97"/>
              <w:rPr>
                <w:b/>
                <w:sz w:val="21"/>
              </w:rPr>
            </w:pPr>
            <w:r>
              <w:rPr>
                <w:b/>
                <w:w w:val="99"/>
                <w:sz w:val="21"/>
              </w:rPr>
              <w:t>序</w:t>
            </w:r>
          </w:p>
          <w:p>
            <w:pPr>
              <w:pStyle w:val="TableParagraph"/>
              <w:spacing w:before="57"/>
              <w:ind w:left="197"/>
              <w:rPr>
                <w:b/>
                <w:sz w:val="21"/>
              </w:rPr>
            </w:pPr>
            <w:r>
              <w:rPr>
                <w:b/>
                <w:w w:val="99"/>
                <w:sz w:val="21"/>
              </w:rPr>
              <w:t>号</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before="158"/>
              <w:ind w:left="109" w:right="91"/>
              <w:jc w:val="center"/>
              <w:rPr>
                <w:b/>
                <w:sz w:val="21"/>
              </w:rPr>
            </w:pPr>
            <w:r>
              <w:rPr>
                <w:b/>
                <w:sz w:val="21"/>
              </w:rPr>
              <w:t>相关要求</w:t>
            </w:r>
          </w:p>
        </w:tc>
        <w:tc>
          <w:tcPr>
            <w:tcW w:w="1986" w:type="dxa"/>
            <w:tcBorders>
              <w:top w:val="single" w:sz="4" w:space="0" w:color="000000"/>
              <w:left w:val="single" w:sz="4" w:space="0" w:color="000000"/>
              <w:bottom w:val="single" w:sz="4" w:space="0" w:color="000000"/>
              <w:right w:val="single" w:sz="4" w:space="0" w:color="000000"/>
            </w:tcBorders>
          </w:tcPr>
          <w:p>
            <w:pPr>
              <w:pStyle w:val="TableParagraph"/>
              <w:spacing w:before="158"/>
              <w:ind w:left="133" w:right="119"/>
              <w:jc w:val="center"/>
              <w:rPr>
                <w:b/>
                <w:sz w:val="21"/>
              </w:rPr>
            </w:pPr>
            <w:r>
              <w:rPr>
                <w:b/>
                <w:sz w:val="21"/>
              </w:rPr>
              <w:t>本项目情况</w:t>
            </w:r>
          </w:p>
        </w:tc>
        <w:tc>
          <w:tcPr>
            <w:tcW w:w="905" w:type="dxa"/>
            <w:tcBorders>
              <w:top w:val="single" w:sz="4" w:space="0" w:color="000000"/>
              <w:left w:val="single" w:sz="4" w:space="0" w:color="000000"/>
              <w:bottom w:val="single" w:sz="4" w:space="0" w:color="000000"/>
              <w:right w:val="single" w:sz="4" w:space="0" w:color="000000"/>
            </w:tcBorders>
          </w:tcPr>
          <w:p>
            <w:pPr>
              <w:pStyle w:val="TableParagraph"/>
              <w:spacing w:before="158"/>
              <w:ind w:left="118" w:right="103"/>
              <w:jc w:val="center"/>
              <w:rPr>
                <w:b/>
                <w:sz w:val="21"/>
              </w:rPr>
            </w:pPr>
            <w:r>
              <w:rPr>
                <w:b/>
                <w:sz w:val="21"/>
              </w:rPr>
              <w:t>符合性</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31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494" w:type="dxa"/>
            <w:gridSpan w:val="4"/>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489" w:right="1473"/>
              <w:jc w:val="center"/>
              <w:rPr>
                <w:b/>
                <w:sz w:val="21"/>
              </w:rPr>
            </w:pPr>
            <w:r>
              <w:rPr>
                <w:b/>
                <w:sz w:val="21"/>
              </w:rPr>
              <w:t>《山东省环境保护条例》</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55"/>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004"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986" w:type="dxa"/>
            <w:tcBorders>
              <w:top w:val="single" w:sz="4" w:space="0" w:color="000000"/>
              <w:left w:val="single" w:sz="4" w:space="0" w:color="000000"/>
              <w:bottom w:val="nil"/>
              <w:right w:val="single" w:sz="4" w:space="0" w:color="000000"/>
            </w:tcBorders>
          </w:tcPr>
          <w:p>
            <w:pPr>
              <w:pStyle w:val="TableParagraph"/>
              <w:spacing w:line="235" w:lineRule="exact"/>
              <w:ind w:left="136" w:right="119"/>
              <w:jc w:val="center"/>
              <w:rPr>
                <w:sz w:val="21"/>
              </w:rPr>
            </w:pPr>
            <w:r>
              <w:rPr>
                <w:sz w:val="21"/>
              </w:rPr>
              <w:t>拟建项目为新建项</w:t>
            </w:r>
          </w:p>
        </w:tc>
        <w:tc>
          <w:tcPr>
            <w:tcW w:w="905"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524"/>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spacing w:before="117"/>
              <w:ind w:left="250"/>
              <w:rPr>
                <w:rFonts w:ascii="Times New Roman"/>
                <w:sz w:val="21"/>
              </w:rPr>
            </w:pPr>
            <w:r>
              <w:rPr>
                <w:rFonts w:ascii="Times New Roman"/>
                <w:w w:val="99"/>
                <w:sz w:val="21"/>
              </w:rPr>
              <w:t>1</w:t>
            </w:r>
          </w:p>
        </w:tc>
        <w:tc>
          <w:tcPr>
            <w:tcW w:w="5004" w:type="dxa"/>
            <w:tcBorders>
              <w:top w:val="nil"/>
              <w:left w:val="single" w:sz="4" w:space="0" w:color="000000"/>
              <w:bottom w:val="nil"/>
              <w:right w:val="single" w:sz="4" w:space="0" w:color="000000"/>
            </w:tcBorders>
          </w:tcPr>
          <w:p>
            <w:pPr>
              <w:pStyle w:val="TableParagraph"/>
              <w:spacing w:line="260" w:lineRule="exact"/>
              <w:ind w:left="107" w:right="91"/>
              <w:jc w:val="center"/>
              <w:rPr>
                <w:sz w:val="21"/>
              </w:rPr>
            </w:pPr>
            <w:r>
              <w:rPr>
                <w:sz w:val="21"/>
              </w:rPr>
              <w:t>第十八条 新建、改建、扩建建设项目，应当依法进</w:t>
            </w:r>
          </w:p>
          <w:p>
            <w:pPr>
              <w:pStyle w:val="TableParagraph"/>
              <w:spacing w:before="4" w:line="240" w:lineRule="exact"/>
              <w:ind w:left="107" w:right="91"/>
              <w:jc w:val="center"/>
              <w:rPr>
                <w:sz w:val="21"/>
              </w:rPr>
            </w:pPr>
            <w:r>
              <w:rPr>
                <w:sz w:val="21"/>
              </w:rPr>
              <w:t>行环境影响评价</w:t>
            </w:r>
          </w:p>
        </w:tc>
        <w:tc>
          <w:tcPr>
            <w:tcW w:w="1986" w:type="dxa"/>
            <w:tcBorders>
              <w:top w:val="nil"/>
              <w:left w:val="single" w:sz="4" w:space="0" w:color="000000"/>
              <w:bottom w:val="nil"/>
              <w:right w:val="single" w:sz="4" w:space="0" w:color="000000"/>
            </w:tcBorders>
          </w:tcPr>
          <w:p>
            <w:pPr>
              <w:pStyle w:val="TableParagraph"/>
              <w:spacing w:line="260" w:lineRule="exact"/>
              <w:ind w:left="157"/>
              <w:rPr>
                <w:sz w:val="21"/>
              </w:rPr>
            </w:pPr>
            <w:r>
              <w:rPr>
                <w:w w:val="95"/>
                <w:sz w:val="21"/>
              </w:rPr>
              <w:t>目，正在依法进行</w:t>
            </w:r>
          </w:p>
          <w:p>
            <w:pPr>
              <w:pStyle w:val="TableParagraph"/>
              <w:spacing w:before="4" w:line="240" w:lineRule="exact"/>
              <w:ind w:left="157"/>
              <w:rPr>
                <w:sz w:val="21"/>
              </w:rPr>
            </w:pPr>
            <w:r>
              <w:rPr>
                <w:w w:val="95"/>
                <w:sz w:val="21"/>
              </w:rPr>
              <w:t>环境影响评价，编</w:t>
            </w:r>
          </w:p>
        </w:tc>
        <w:tc>
          <w:tcPr>
            <w:tcW w:w="905" w:type="dxa"/>
            <w:tcBorders>
              <w:top w:val="nil"/>
              <w:left w:val="single" w:sz="4" w:space="0" w:color="000000"/>
              <w:bottom w:val="nil"/>
              <w:right w:val="single" w:sz="4" w:space="0" w:color="000000"/>
            </w:tcBorders>
          </w:tcPr>
          <w:p>
            <w:pPr>
              <w:pStyle w:val="TableParagraph"/>
              <w:spacing w:before="101"/>
              <w:ind w:left="116" w:right="103"/>
              <w:jc w:val="center"/>
              <w:rPr>
                <w:sz w:val="21"/>
              </w:rPr>
            </w:pPr>
            <w:r>
              <w:rPr>
                <w:sz w:val="21"/>
              </w:rPr>
              <w:t>符合</w:t>
            </w: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5004"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986" w:type="dxa"/>
            <w:tcBorders>
              <w:top w:val="nil"/>
              <w:left w:val="single" w:sz="4" w:space="0" w:color="000000"/>
              <w:bottom w:val="single" w:sz="4" w:space="0" w:color="000000"/>
              <w:right w:val="single" w:sz="4" w:space="0" w:color="000000"/>
            </w:tcBorders>
          </w:tcPr>
          <w:p>
            <w:pPr>
              <w:pStyle w:val="TableParagraph"/>
              <w:spacing w:line="239" w:lineRule="exact"/>
              <w:ind w:left="133" w:right="119"/>
              <w:jc w:val="center"/>
              <w:rPr>
                <w:sz w:val="21"/>
              </w:rPr>
            </w:pPr>
            <w:r>
              <w:rPr>
                <w:sz w:val="21"/>
              </w:rPr>
              <w:t>制环评报告表</w:t>
            </w:r>
          </w:p>
        </w:tc>
        <w:tc>
          <w:tcPr>
            <w:tcW w:w="905"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5004"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22"/>
              </w:rPr>
            </w:pPr>
          </w:p>
          <w:p>
            <w:pPr>
              <w:pStyle w:val="TableParagraph"/>
              <w:spacing w:before="1" w:line="242" w:lineRule="auto"/>
              <w:ind w:left="112" w:right="-15"/>
              <w:rPr>
                <w:sz w:val="21"/>
              </w:rPr>
            </w:pPr>
            <w:r>
              <w:rPr>
                <w:spacing w:val="-3"/>
                <w:sz w:val="21"/>
              </w:rPr>
              <w:t>第四十五条排污单位应当采取措施，防治在生产建设</w:t>
            </w:r>
            <w:r>
              <w:rPr>
                <w:spacing w:val="-13"/>
                <w:w w:val="95"/>
                <w:sz w:val="21"/>
              </w:rPr>
              <w:t xml:space="preserve">或者其他活动中产生的废气、废水、废渣、医疗废物、 </w:t>
            </w:r>
            <w:r>
              <w:rPr>
                <w:spacing w:val="-9"/>
                <w:sz w:val="21"/>
              </w:rPr>
              <w:t>粉尘、恶臭气体、放射性物质以及噪声、振动、光辐</w:t>
            </w:r>
            <w:r>
              <w:rPr>
                <w:spacing w:val="-7"/>
                <w:sz w:val="21"/>
              </w:rPr>
              <w:t>射、电磁辐射等对环境的污染和危害，其污染排放不得超过排放标准和重点污染物排放总量控制指标。</w:t>
            </w:r>
          </w:p>
        </w:tc>
        <w:tc>
          <w:tcPr>
            <w:tcW w:w="1986" w:type="dxa"/>
            <w:tcBorders>
              <w:top w:val="single" w:sz="4" w:space="0" w:color="000000"/>
              <w:left w:val="single" w:sz="4" w:space="0" w:color="000000"/>
              <w:bottom w:val="nil"/>
              <w:right w:val="single" w:sz="4" w:space="0" w:color="000000"/>
            </w:tcBorders>
          </w:tcPr>
          <w:p>
            <w:pPr>
              <w:pStyle w:val="TableParagraph"/>
              <w:spacing w:line="237" w:lineRule="exact"/>
              <w:ind w:left="136" w:right="119"/>
              <w:jc w:val="center"/>
              <w:rPr>
                <w:sz w:val="21"/>
              </w:rPr>
            </w:pPr>
            <w:r>
              <w:rPr>
                <w:sz w:val="21"/>
              </w:rPr>
              <w:t>拟建项目针对运营</w:t>
            </w:r>
          </w:p>
        </w:tc>
        <w:tc>
          <w:tcPr>
            <w:tcW w:w="905"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18"/>
              </w:rPr>
            </w:pPr>
          </w:p>
        </w:tc>
        <w:tc>
          <w:tcPr>
            <w:tcW w:w="5004" w:type="dxa"/>
            <w:vMerge/>
            <w:tcBorders>
              <w:top w:val="nil"/>
              <w:left w:val="single" w:sz="4" w:space="0" w:color="000000"/>
              <w:bottom w:val="single" w:sz="4" w:space="0" w:color="000000"/>
              <w:right w:val="single" w:sz="4" w:space="0" w:color="000000"/>
            </w:tcBorders>
          </w:tcPr>
          <w:p>
            <w:pPr>
              <w:rPr>
                <w:sz w:val="2"/>
                <w:szCs w:val="2"/>
              </w:rPr>
            </w:pPr>
          </w:p>
        </w:tc>
        <w:tc>
          <w:tcPr>
            <w:tcW w:w="1986" w:type="dxa"/>
            <w:tcBorders>
              <w:top w:val="nil"/>
              <w:left w:val="single" w:sz="4" w:space="0" w:color="000000"/>
              <w:bottom w:val="nil"/>
              <w:right w:val="single" w:sz="4" w:space="0" w:color="000000"/>
            </w:tcBorders>
          </w:tcPr>
          <w:p>
            <w:pPr>
              <w:pStyle w:val="TableParagraph"/>
              <w:spacing w:line="232" w:lineRule="exact"/>
              <w:ind w:left="136" w:right="119"/>
              <w:jc w:val="center"/>
              <w:rPr>
                <w:sz w:val="21"/>
              </w:rPr>
            </w:pPr>
            <w:r>
              <w:rPr>
                <w:sz w:val="21"/>
              </w:rPr>
              <w:t>期间产生的废气、</w:t>
            </w:r>
          </w:p>
        </w:tc>
        <w:tc>
          <w:tcPr>
            <w:tcW w:w="905"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18"/>
              </w:rPr>
            </w:pPr>
          </w:p>
        </w:tc>
        <w:tc>
          <w:tcPr>
            <w:tcW w:w="5004" w:type="dxa"/>
            <w:vMerge/>
            <w:tcBorders>
              <w:top w:val="nil"/>
              <w:left w:val="single" w:sz="4" w:space="0" w:color="000000"/>
              <w:bottom w:val="single" w:sz="4" w:space="0" w:color="000000"/>
              <w:right w:val="single" w:sz="4" w:space="0" w:color="000000"/>
            </w:tcBorders>
          </w:tcPr>
          <w:p>
            <w:pPr>
              <w:rPr>
                <w:sz w:val="2"/>
                <w:szCs w:val="2"/>
              </w:rPr>
            </w:pPr>
          </w:p>
        </w:tc>
        <w:tc>
          <w:tcPr>
            <w:tcW w:w="1986" w:type="dxa"/>
            <w:tcBorders>
              <w:top w:val="nil"/>
              <w:left w:val="single" w:sz="4" w:space="0" w:color="000000"/>
              <w:bottom w:val="nil"/>
              <w:right w:val="single" w:sz="4" w:space="0" w:color="000000"/>
            </w:tcBorders>
          </w:tcPr>
          <w:p>
            <w:pPr>
              <w:pStyle w:val="TableParagraph"/>
              <w:spacing w:line="232" w:lineRule="exact"/>
              <w:ind w:left="136" w:right="119"/>
              <w:jc w:val="center"/>
              <w:rPr>
                <w:sz w:val="21"/>
              </w:rPr>
            </w:pPr>
            <w:r>
              <w:rPr>
                <w:sz w:val="21"/>
              </w:rPr>
              <w:t>废水、一般废物以</w:t>
            </w:r>
          </w:p>
        </w:tc>
        <w:tc>
          <w:tcPr>
            <w:tcW w:w="905"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3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16"/>
              </w:rPr>
            </w:pPr>
          </w:p>
        </w:tc>
        <w:tc>
          <w:tcPr>
            <w:tcW w:w="5004" w:type="dxa"/>
            <w:vMerge/>
            <w:tcBorders>
              <w:top w:val="nil"/>
              <w:left w:val="single" w:sz="4" w:space="0" w:color="000000"/>
              <w:bottom w:val="single" w:sz="4" w:space="0" w:color="000000"/>
              <w:right w:val="single" w:sz="4" w:space="0" w:color="000000"/>
            </w:tcBorders>
          </w:tcPr>
          <w:p>
            <w:pPr>
              <w:rPr>
                <w:sz w:val="2"/>
                <w:szCs w:val="2"/>
              </w:rPr>
            </w:pPr>
          </w:p>
        </w:tc>
        <w:tc>
          <w:tcPr>
            <w:tcW w:w="1986" w:type="dxa"/>
            <w:tcBorders>
              <w:top w:val="nil"/>
              <w:left w:val="single" w:sz="4" w:space="0" w:color="000000"/>
              <w:bottom w:val="nil"/>
              <w:right w:val="single" w:sz="4" w:space="0" w:color="000000"/>
            </w:tcBorders>
          </w:tcPr>
          <w:p>
            <w:pPr>
              <w:pStyle w:val="TableParagraph"/>
              <w:spacing w:line="217" w:lineRule="exact"/>
              <w:ind w:left="136" w:right="119"/>
              <w:jc w:val="center"/>
              <w:rPr>
                <w:sz w:val="21"/>
              </w:rPr>
            </w:pPr>
            <w:r>
              <w:rPr>
                <w:sz w:val="21"/>
              </w:rPr>
              <w:t>及噪声对环境的污</w:t>
            </w:r>
          </w:p>
        </w:tc>
        <w:tc>
          <w:tcPr>
            <w:tcW w:w="905"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6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spacing w:line="237" w:lineRule="exact"/>
              <w:ind w:left="250"/>
              <w:rPr>
                <w:rFonts w:ascii="Times New Roman"/>
                <w:sz w:val="21"/>
              </w:rPr>
            </w:pPr>
            <w:r>
              <w:rPr>
                <w:rFonts w:ascii="Times New Roman"/>
                <w:w w:val="99"/>
                <w:sz w:val="21"/>
              </w:rPr>
              <w:t>2</w:t>
            </w:r>
          </w:p>
        </w:tc>
        <w:tc>
          <w:tcPr>
            <w:tcW w:w="5004" w:type="dxa"/>
            <w:vMerge/>
            <w:tcBorders>
              <w:top w:val="nil"/>
              <w:left w:val="single" w:sz="4" w:space="0" w:color="000000"/>
              <w:bottom w:val="single" w:sz="4" w:space="0" w:color="000000"/>
              <w:right w:val="single" w:sz="4" w:space="0" w:color="000000"/>
            </w:tcBorders>
          </w:tcPr>
          <w:p>
            <w:pPr>
              <w:rPr>
                <w:sz w:val="2"/>
                <w:szCs w:val="2"/>
              </w:rPr>
            </w:pPr>
          </w:p>
        </w:tc>
        <w:tc>
          <w:tcPr>
            <w:tcW w:w="1986" w:type="dxa"/>
            <w:tcBorders>
              <w:top w:val="nil"/>
              <w:left w:val="single" w:sz="4" w:space="0" w:color="000000"/>
              <w:bottom w:val="nil"/>
              <w:right w:val="single" w:sz="4" w:space="0" w:color="000000"/>
            </w:tcBorders>
          </w:tcPr>
          <w:p>
            <w:pPr>
              <w:pStyle w:val="TableParagraph"/>
              <w:spacing w:before="6" w:line="240" w:lineRule="exact"/>
              <w:ind w:left="136" w:right="117"/>
              <w:jc w:val="center"/>
              <w:rPr>
                <w:sz w:val="21"/>
              </w:rPr>
            </w:pPr>
            <w:r>
              <w:rPr>
                <w:sz w:val="21"/>
              </w:rPr>
              <w:t>染和危害采取措</w:t>
            </w:r>
          </w:p>
        </w:tc>
        <w:tc>
          <w:tcPr>
            <w:tcW w:w="905" w:type="dxa"/>
            <w:tcBorders>
              <w:top w:val="nil"/>
              <w:left w:val="single" w:sz="4" w:space="0" w:color="000000"/>
              <w:bottom w:val="nil"/>
              <w:right w:val="single" w:sz="4" w:space="0" w:color="000000"/>
            </w:tcBorders>
          </w:tcPr>
          <w:p>
            <w:pPr>
              <w:pStyle w:val="TableParagraph"/>
              <w:spacing w:before="6" w:line="240" w:lineRule="exact"/>
              <w:ind w:left="116" w:right="103"/>
              <w:jc w:val="center"/>
              <w:rPr>
                <w:sz w:val="21"/>
              </w:rPr>
            </w:pPr>
            <w:r>
              <w:rPr>
                <w:sz w:val="21"/>
              </w:rPr>
              <w:t>符合</w:t>
            </w: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18"/>
              </w:rPr>
            </w:pPr>
          </w:p>
        </w:tc>
        <w:tc>
          <w:tcPr>
            <w:tcW w:w="5004" w:type="dxa"/>
            <w:vMerge/>
            <w:tcBorders>
              <w:top w:val="nil"/>
              <w:left w:val="single" w:sz="4" w:space="0" w:color="000000"/>
              <w:bottom w:val="single" w:sz="4" w:space="0" w:color="000000"/>
              <w:right w:val="single" w:sz="4" w:space="0" w:color="000000"/>
            </w:tcBorders>
          </w:tcPr>
          <w:p>
            <w:pPr>
              <w:rPr>
                <w:sz w:val="2"/>
                <w:szCs w:val="2"/>
              </w:rPr>
            </w:pPr>
          </w:p>
        </w:tc>
        <w:tc>
          <w:tcPr>
            <w:tcW w:w="1986" w:type="dxa"/>
            <w:tcBorders>
              <w:top w:val="nil"/>
              <w:left w:val="single" w:sz="4" w:space="0" w:color="000000"/>
              <w:bottom w:val="nil"/>
              <w:right w:val="single" w:sz="4" w:space="0" w:color="000000"/>
            </w:tcBorders>
          </w:tcPr>
          <w:p>
            <w:pPr>
              <w:pStyle w:val="TableParagraph"/>
              <w:spacing w:line="232" w:lineRule="exact"/>
              <w:ind w:left="136" w:right="119"/>
              <w:jc w:val="center"/>
              <w:rPr>
                <w:sz w:val="21"/>
              </w:rPr>
            </w:pPr>
            <w:r>
              <w:rPr>
                <w:sz w:val="21"/>
              </w:rPr>
              <w:t>施，确保其污染排</w:t>
            </w:r>
          </w:p>
        </w:tc>
        <w:tc>
          <w:tcPr>
            <w:tcW w:w="905"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3"/>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18"/>
              </w:rPr>
            </w:pPr>
          </w:p>
        </w:tc>
        <w:tc>
          <w:tcPr>
            <w:tcW w:w="5004" w:type="dxa"/>
            <w:vMerge/>
            <w:tcBorders>
              <w:top w:val="nil"/>
              <w:left w:val="single" w:sz="4" w:space="0" w:color="000000"/>
              <w:bottom w:val="single" w:sz="4" w:space="0" w:color="000000"/>
              <w:right w:val="single" w:sz="4" w:space="0" w:color="000000"/>
            </w:tcBorders>
          </w:tcPr>
          <w:p>
            <w:pPr>
              <w:rPr>
                <w:sz w:val="2"/>
                <w:szCs w:val="2"/>
              </w:rPr>
            </w:pPr>
          </w:p>
        </w:tc>
        <w:tc>
          <w:tcPr>
            <w:tcW w:w="1986" w:type="dxa"/>
            <w:tcBorders>
              <w:top w:val="nil"/>
              <w:left w:val="single" w:sz="4" w:space="0" w:color="000000"/>
              <w:bottom w:val="nil"/>
              <w:right w:val="single" w:sz="4" w:space="0" w:color="000000"/>
            </w:tcBorders>
          </w:tcPr>
          <w:p>
            <w:pPr>
              <w:pStyle w:val="TableParagraph"/>
              <w:spacing w:line="234" w:lineRule="exact"/>
              <w:ind w:left="136" w:right="119"/>
              <w:jc w:val="center"/>
              <w:rPr>
                <w:sz w:val="21"/>
              </w:rPr>
            </w:pPr>
            <w:r>
              <w:rPr>
                <w:sz w:val="21"/>
              </w:rPr>
              <w:t>放不得超过相关排</w:t>
            </w:r>
          </w:p>
        </w:tc>
        <w:tc>
          <w:tcPr>
            <w:tcW w:w="905"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2"/>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18"/>
              </w:rPr>
            </w:pPr>
          </w:p>
        </w:tc>
        <w:tc>
          <w:tcPr>
            <w:tcW w:w="5004" w:type="dxa"/>
            <w:vMerge/>
            <w:tcBorders>
              <w:top w:val="nil"/>
              <w:left w:val="single" w:sz="4" w:space="0" w:color="000000"/>
              <w:bottom w:val="single" w:sz="4" w:space="0" w:color="000000"/>
              <w:right w:val="single" w:sz="4" w:space="0" w:color="000000"/>
            </w:tcBorders>
          </w:tcPr>
          <w:p>
            <w:pPr>
              <w:rPr>
                <w:sz w:val="2"/>
                <w:szCs w:val="2"/>
              </w:rPr>
            </w:pPr>
          </w:p>
        </w:tc>
        <w:tc>
          <w:tcPr>
            <w:tcW w:w="1986" w:type="dxa"/>
            <w:tcBorders>
              <w:top w:val="nil"/>
              <w:left w:val="single" w:sz="4" w:space="0" w:color="000000"/>
              <w:bottom w:val="nil"/>
              <w:right w:val="single" w:sz="4" w:space="0" w:color="000000"/>
            </w:tcBorders>
          </w:tcPr>
          <w:p>
            <w:pPr>
              <w:pStyle w:val="TableParagraph"/>
              <w:spacing w:line="232" w:lineRule="exact"/>
              <w:ind w:left="136" w:right="119"/>
              <w:jc w:val="center"/>
              <w:rPr>
                <w:sz w:val="21"/>
              </w:rPr>
            </w:pPr>
            <w:r>
              <w:rPr>
                <w:sz w:val="21"/>
              </w:rPr>
              <w:t>放标准和总量控制</w:t>
            </w:r>
          </w:p>
        </w:tc>
        <w:tc>
          <w:tcPr>
            <w:tcW w:w="905"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5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5004" w:type="dxa"/>
            <w:vMerge/>
            <w:tcBorders>
              <w:top w:val="nil"/>
              <w:left w:val="single" w:sz="4" w:space="0" w:color="000000"/>
              <w:bottom w:val="single" w:sz="4" w:space="0" w:color="000000"/>
              <w:right w:val="single" w:sz="4" w:space="0" w:color="000000"/>
            </w:tcBorders>
          </w:tcPr>
          <w:p>
            <w:pPr>
              <w:rPr>
                <w:sz w:val="2"/>
                <w:szCs w:val="2"/>
              </w:rPr>
            </w:pPr>
          </w:p>
        </w:tc>
        <w:tc>
          <w:tcPr>
            <w:tcW w:w="1986" w:type="dxa"/>
            <w:tcBorders>
              <w:top w:val="nil"/>
              <w:left w:val="single" w:sz="4" w:space="0" w:color="000000"/>
              <w:bottom w:val="single" w:sz="4" w:space="0" w:color="000000"/>
              <w:right w:val="single" w:sz="4" w:space="0" w:color="000000"/>
            </w:tcBorders>
          </w:tcPr>
          <w:p>
            <w:pPr>
              <w:pStyle w:val="TableParagraph"/>
              <w:spacing w:line="237" w:lineRule="exact"/>
              <w:ind w:left="136" w:right="117"/>
              <w:jc w:val="center"/>
              <w:rPr>
                <w:sz w:val="21"/>
              </w:rPr>
            </w:pPr>
            <w:r>
              <w:rPr>
                <w:sz w:val="21"/>
              </w:rPr>
              <w:t>指标。</w:t>
            </w:r>
          </w:p>
        </w:tc>
        <w:tc>
          <w:tcPr>
            <w:tcW w:w="905"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1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494" w:type="dxa"/>
            <w:gridSpan w:val="4"/>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491" w:right="1473"/>
              <w:jc w:val="center"/>
              <w:rPr>
                <w:b/>
                <w:sz w:val="21"/>
              </w:rPr>
            </w:pPr>
            <w:r>
              <w:rPr>
                <w:b/>
                <w:sz w:val="21"/>
              </w:rPr>
              <w:t>《山东省深入打好蓝天保卫战行动计划（</w:t>
            </w:r>
            <w:r>
              <w:rPr>
                <w:rFonts w:ascii="Times New Roman" w:eastAsia="Times New Roman" w:hAnsi="Times New Roman"/>
                <w:b/>
                <w:sz w:val="21"/>
              </w:rPr>
              <w:t>2021</w:t>
            </w:r>
            <w:r>
              <w:rPr>
                <w:b/>
                <w:sz w:val="21"/>
              </w:rPr>
              <w:t>—</w:t>
            </w:r>
            <w:r>
              <w:rPr>
                <w:rFonts w:ascii="Times New Roman" w:eastAsia="Times New Roman" w:hAnsi="Times New Roman"/>
                <w:b/>
                <w:sz w:val="21"/>
              </w:rPr>
              <w:t>2025</w:t>
            </w:r>
            <w:r>
              <w:rPr>
                <w:b/>
                <w:sz w:val="21"/>
              </w:rPr>
              <w:t>年）》</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80"/>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5004" w:type="dxa"/>
            <w:tcBorders>
              <w:top w:val="single" w:sz="4" w:space="0" w:color="000000"/>
              <w:left w:val="single" w:sz="4" w:space="0" w:color="000000"/>
              <w:bottom w:val="nil"/>
              <w:right w:val="single" w:sz="4" w:space="0" w:color="000000"/>
            </w:tcBorders>
          </w:tcPr>
          <w:p>
            <w:pPr>
              <w:pStyle w:val="TableParagraph"/>
              <w:spacing w:line="260" w:lineRule="exact"/>
              <w:ind w:left="112"/>
              <w:rPr>
                <w:sz w:val="21"/>
              </w:rPr>
            </w:pPr>
            <w:r>
              <w:rPr>
                <w:sz w:val="21"/>
              </w:rPr>
              <w:t>聚焦钢铁、地炼、焦化、煤电、水泥、轮胎、煤炭、</w:t>
            </w:r>
          </w:p>
        </w:tc>
        <w:tc>
          <w:tcPr>
            <w:tcW w:w="1986"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905"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31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20"/>
              </w:rPr>
            </w:pPr>
          </w:p>
        </w:tc>
        <w:tc>
          <w:tcPr>
            <w:tcW w:w="5004" w:type="dxa"/>
            <w:tcBorders>
              <w:top w:val="nil"/>
              <w:left w:val="single" w:sz="4" w:space="0" w:color="000000"/>
              <w:bottom w:val="nil"/>
              <w:right w:val="single" w:sz="4" w:space="0" w:color="000000"/>
            </w:tcBorders>
          </w:tcPr>
          <w:p>
            <w:pPr>
              <w:pStyle w:val="TableParagraph"/>
              <w:spacing w:before="21"/>
              <w:ind w:left="143"/>
              <w:rPr>
                <w:sz w:val="21"/>
              </w:rPr>
            </w:pPr>
            <w:r>
              <w:rPr>
                <w:sz w:val="21"/>
              </w:rPr>
              <w:t>化工</w:t>
            </w:r>
            <w:r>
              <w:rPr>
                <w:rFonts w:ascii="Times New Roman" w:eastAsia="Times New Roman"/>
                <w:sz w:val="21"/>
              </w:rPr>
              <w:t>8</w:t>
            </w:r>
            <w:r>
              <w:rPr>
                <w:sz w:val="21"/>
              </w:rPr>
              <w:t>个重点行业，加快淘汰低效落后产能。严格执</w:t>
            </w:r>
          </w:p>
        </w:tc>
        <w:tc>
          <w:tcPr>
            <w:tcW w:w="1986" w:type="dxa"/>
            <w:tcBorders>
              <w:top w:val="nil"/>
              <w:left w:val="single" w:sz="4" w:space="0" w:color="000000"/>
              <w:bottom w:val="nil"/>
              <w:right w:val="single" w:sz="4" w:space="0" w:color="000000"/>
            </w:tcBorders>
          </w:tcPr>
          <w:p>
            <w:pPr>
              <w:pStyle w:val="TableParagraph"/>
              <w:rPr>
                <w:rFonts w:ascii="Times New Roman"/>
                <w:sz w:val="20"/>
              </w:rPr>
            </w:pPr>
          </w:p>
        </w:tc>
        <w:tc>
          <w:tcPr>
            <w:tcW w:w="905"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20"/>
              </w:rPr>
            </w:pPr>
          </w:p>
        </w:tc>
        <w:tc>
          <w:tcPr>
            <w:tcW w:w="5004" w:type="dxa"/>
            <w:tcBorders>
              <w:top w:val="nil"/>
              <w:left w:val="single" w:sz="4" w:space="0" w:color="000000"/>
              <w:bottom w:val="nil"/>
              <w:right w:val="single" w:sz="4" w:space="0" w:color="000000"/>
            </w:tcBorders>
          </w:tcPr>
          <w:p>
            <w:pPr>
              <w:pStyle w:val="TableParagraph"/>
              <w:spacing w:before="10" w:line="266" w:lineRule="exact"/>
              <w:ind w:left="112"/>
              <w:rPr>
                <w:sz w:val="21"/>
              </w:rPr>
            </w:pPr>
            <w:r>
              <w:rPr>
                <w:sz w:val="21"/>
              </w:rPr>
              <w:t>行质量、环保、能耗、安全等法规标准，按照《产业</w:t>
            </w:r>
          </w:p>
        </w:tc>
        <w:tc>
          <w:tcPr>
            <w:tcW w:w="1986" w:type="dxa"/>
            <w:tcBorders>
              <w:top w:val="nil"/>
              <w:left w:val="single" w:sz="4" w:space="0" w:color="000000"/>
              <w:bottom w:val="nil"/>
              <w:right w:val="single" w:sz="4" w:space="0" w:color="000000"/>
            </w:tcBorders>
          </w:tcPr>
          <w:p>
            <w:pPr>
              <w:pStyle w:val="TableParagraph"/>
              <w:spacing w:before="10" w:line="266" w:lineRule="exact"/>
              <w:ind w:left="136" w:right="119"/>
              <w:jc w:val="center"/>
              <w:rPr>
                <w:sz w:val="21"/>
              </w:rPr>
            </w:pPr>
            <w:r>
              <w:rPr>
                <w:sz w:val="21"/>
              </w:rPr>
              <w:t>本项目为金属制品</w:t>
            </w:r>
          </w:p>
        </w:tc>
        <w:tc>
          <w:tcPr>
            <w:tcW w:w="905"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1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spacing w:before="36"/>
              <w:ind w:left="250"/>
              <w:rPr>
                <w:rFonts w:ascii="Times New Roman"/>
                <w:sz w:val="21"/>
              </w:rPr>
            </w:pPr>
            <w:r>
              <w:rPr>
                <w:rFonts w:ascii="Times New Roman"/>
                <w:w w:val="99"/>
                <w:sz w:val="21"/>
              </w:rPr>
              <w:t>1</w:t>
            </w:r>
          </w:p>
        </w:tc>
        <w:tc>
          <w:tcPr>
            <w:tcW w:w="5004" w:type="dxa"/>
            <w:tcBorders>
              <w:top w:val="nil"/>
              <w:left w:val="single" w:sz="4" w:space="0" w:color="000000"/>
              <w:bottom w:val="nil"/>
              <w:right w:val="single" w:sz="4" w:space="0" w:color="000000"/>
            </w:tcBorders>
          </w:tcPr>
          <w:p>
            <w:pPr>
              <w:pStyle w:val="TableParagraph"/>
              <w:spacing w:before="20"/>
              <w:ind w:left="112"/>
              <w:rPr>
                <w:sz w:val="21"/>
              </w:rPr>
            </w:pPr>
            <w:r>
              <w:rPr>
                <w:sz w:val="21"/>
              </w:rPr>
              <w:t>结构调整指导目录》，对“淘汰类”落后生产工艺装</w:t>
            </w:r>
          </w:p>
        </w:tc>
        <w:tc>
          <w:tcPr>
            <w:tcW w:w="1986" w:type="dxa"/>
            <w:tcBorders>
              <w:top w:val="nil"/>
              <w:left w:val="single" w:sz="4" w:space="0" w:color="000000"/>
              <w:bottom w:val="nil"/>
              <w:right w:val="single" w:sz="4" w:space="0" w:color="000000"/>
            </w:tcBorders>
          </w:tcPr>
          <w:p>
            <w:pPr>
              <w:pStyle w:val="TableParagraph"/>
              <w:spacing w:before="20"/>
              <w:ind w:left="136" w:right="119"/>
              <w:jc w:val="center"/>
              <w:rPr>
                <w:sz w:val="21"/>
              </w:rPr>
            </w:pPr>
            <w:r>
              <w:rPr>
                <w:sz w:val="21"/>
              </w:rPr>
              <w:t>行业，不属于重点</w:t>
            </w:r>
          </w:p>
        </w:tc>
        <w:tc>
          <w:tcPr>
            <w:tcW w:w="905" w:type="dxa"/>
            <w:tcBorders>
              <w:top w:val="nil"/>
              <w:left w:val="single" w:sz="4" w:space="0" w:color="000000"/>
              <w:bottom w:val="nil"/>
              <w:right w:val="single" w:sz="4" w:space="0" w:color="000000"/>
            </w:tcBorders>
          </w:tcPr>
          <w:p>
            <w:pPr>
              <w:pStyle w:val="TableParagraph"/>
              <w:spacing w:before="20"/>
              <w:ind w:left="116" w:right="103"/>
              <w:jc w:val="center"/>
              <w:rPr>
                <w:sz w:val="21"/>
              </w:rPr>
            </w:pPr>
            <w:r>
              <w:rPr>
                <w:sz w:val="21"/>
              </w:rPr>
              <w:t>符合</w:t>
            </w: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20"/>
              </w:rPr>
            </w:pPr>
          </w:p>
        </w:tc>
        <w:tc>
          <w:tcPr>
            <w:tcW w:w="5004" w:type="dxa"/>
            <w:tcBorders>
              <w:top w:val="nil"/>
              <w:left w:val="single" w:sz="4" w:space="0" w:color="000000"/>
              <w:bottom w:val="nil"/>
              <w:right w:val="single" w:sz="4" w:space="0" w:color="000000"/>
            </w:tcBorders>
          </w:tcPr>
          <w:p>
            <w:pPr>
              <w:pStyle w:val="TableParagraph"/>
              <w:spacing w:before="9"/>
              <w:ind w:left="112"/>
              <w:rPr>
                <w:sz w:val="21"/>
              </w:rPr>
            </w:pPr>
            <w:r>
              <w:rPr>
                <w:sz w:val="21"/>
              </w:rPr>
              <w:t>备和落后产品全部淘汰出清。各市聚焦“高耗能、高</w:t>
            </w:r>
          </w:p>
        </w:tc>
        <w:tc>
          <w:tcPr>
            <w:tcW w:w="1986" w:type="dxa"/>
            <w:tcBorders>
              <w:top w:val="nil"/>
              <w:left w:val="single" w:sz="4" w:space="0" w:color="000000"/>
              <w:bottom w:val="nil"/>
              <w:right w:val="single" w:sz="4" w:space="0" w:color="000000"/>
            </w:tcBorders>
          </w:tcPr>
          <w:p>
            <w:pPr>
              <w:pStyle w:val="TableParagraph"/>
              <w:spacing w:before="9"/>
              <w:ind w:left="136" w:right="117"/>
              <w:jc w:val="center"/>
              <w:rPr>
                <w:sz w:val="21"/>
              </w:rPr>
            </w:pPr>
            <w:r>
              <w:rPr>
                <w:sz w:val="21"/>
              </w:rPr>
              <w:t>行业。</w:t>
            </w:r>
          </w:p>
        </w:tc>
        <w:tc>
          <w:tcPr>
            <w:tcW w:w="905"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0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20"/>
              </w:rPr>
            </w:pPr>
          </w:p>
        </w:tc>
        <w:tc>
          <w:tcPr>
            <w:tcW w:w="5004" w:type="dxa"/>
            <w:tcBorders>
              <w:top w:val="nil"/>
              <w:left w:val="single" w:sz="4" w:space="0" w:color="000000"/>
              <w:bottom w:val="nil"/>
              <w:right w:val="single" w:sz="4" w:space="0" w:color="000000"/>
            </w:tcBorders>
          </w:tcPr>
          <w:p>
            <w:pPr>
              <w:pStyle w:val="TableParagraph"/>
              <w:spacing w:before="19" w:line="267" w:lineRule="exact"/>
              <w:ind w:left="112" w:right="-15"/>
              <w:rPr>
                <w:sz w:val="21"/>
              </w:rPr>
            </w:pPr>
            <w:r>
              <w:rPr>
                <w:spacing w:val="-13"/>
                <w:w w:val="95"/>
                <w:sz w:val="21"/>
              </w:rPr>
              <w:t>污染、高排放、高风险”等行业，分类组织实施转移、</w:t>
            </w:r>
          </w:p>
        </w:tc>
        <w:tc>
          <w:tcPr>
            <w:tcW w:w="1986" w:type="dxa"/>
            <w:tcBorders>
              <w:top w:val="nil"/>
              <w:left w:val="single" w:sz="4" w:space="0" w:color="000000"/>
              <w:bottom w:val="nil"/>
              <w:right w:val="single" w:sz="4" w:space="0" w:color="000000"/>
            </w:tcBorders>
          </w:tcPr>
          <w:p>
            <w:pPr>
              <w:pStyle w:val="TableParagraph"/>
              <w:rPr>
                <w:rFonts w:ascii="Times New Roman"/>
                <w:sz w:val="20"/>
              </w:rPr>
            </w:pPr>
          </w:p>
        </w:tc>
        <w:tc>
          <w:tcPr>
            <w:tcW w:w="905"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41"/>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5004" w:type="dxa"/>
            <w:tcBorders>
              <w:top w:val="nil"/>
              <w:left w:val="single" w:sz="4" w:space="0" w:color="000000"/>
              <w:bottom w:val="single" w:sz="4" w:space="0" w:color="000000"/>
              <w:right w:val="single" w:sz="4" w:space="0" w:color="000000"/>
            </w:tcBorders>
          </w:tcPr>
          <w:p>
            <w:pPr>
              <w:pStyle w:val="TableParagraph"/>
              <w:spacing w:before="17"/>
              <w:ind w:left="1350"/>
              <w:rPr>
                <w:sz w:val="21"/>
              </w:rPr>
            </w:pPr>
            <w:r>
              <w:rPr>
                <w:sz w:val="21"/>
              </w:rPr>
              <w:t>压减、整合、关停任务。</w:t>
            </w:r>
          </w:p>
        </w:tc>
        <w:tc>
          <w:tcPr>
            <w:tcW w:w="1986"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905"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15"/>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494" w:type="dxa"/>
            <w:gridSpan w:val="4"/>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491" w:right="1473"/>
              <w:jc w:val="center"/>
              <w:rPr>
                <w:b/>
                <w:sz w:val="21"/>
              </w:rPr>
            </w:pPr>
            <w:r>
              <w:rPr>
                <w:b/>
                <w:sz w:val="21"/>
              </w:rPr>
              <w:t>《山东省深入打好碧水保卫战行动计划（</w:t>
            </w:r>
            <w:r>
              <w:rPr>
                <w:rFonts w:ascii="Times New Roman" w:eastAsia="Times New Roman" w:hAnsi="Times New Roman"/>
                <w:b/>
                <w:sz w:val="21"/>
              </w:rPr>
              <w:t>2021</w:t>
            </w:r>
            <w:r>
              <w:rPr>
                <w:b/>
                <w:sz w:val="21"/>
              </w:rPr>
              <w:t>—</w:t>
            </w:r>
            <w:r>
              <w:rPr>
                <w:rFonts w:ascii="Times New Roman" w:eastAsia="Times New Roman" w:hAnsi="Times New Roman"/>
                <w:b/>
                <w:sz w:val="21"/>
              </w:rPr>
              <w:t>2025</w:t>
            </w:r>
            <w:r>
              <w:rPr>
                <w:b/>
                <w:sz w:val="21"/>
              </w:rPr>
              <w:t>年）》</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84"/>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5004" w:type="dxa"/>
            <w:tcBorders>
              <w:top w:val="single" w:sz="4" w:space="0" w:color="000000"/>
              <w:left w:val="single" w:sz="4" w:space="0" w:color="000000"/>
              <w:bottom w:val="nil"/>
              <w:right w:val="single" w:sz="4" w:space="0" w:color="000000"/>
            </w:tcBorders>
          </w:tcPr>
          <w:p>
            <w:pPr>
              <w:pStyle w:val="TableParagraph"/>
              <w:spacing w:line="265" w:lineRule="exact"/>
              <w:ind w:left="112"/>
              <w:rPr>
                <w:sz w:val="21"/>
              </w:rPr>
            </w:pPr>
            <w:r>
              <w:rPr>
                <w:sz w:val="21"/>
              </w:rPr>
              <w:t>继续推进化工、有色金属、农副食品加工、印染、制</w:t>
            </w:r>
          </w:p>
        </w:tc>
        <w:tc>
          <w:tcPr>
            <w:tcW w:w="1986" w:type="dxa"/>
            <w:tcBorders>
              <w:top w:val="single" w:sz="4" w:space="0" w:color="000000"/>
              <w:left w:val="single" w:sz="4" w:space="0" w:color="000000"/>
              <w:bottom w:val="nil"/>
              <w:right w:val="single" w:sz="4" w:space="0" w:color="000000"/>
            </w:tcBorders>
          </w:tcPr>
          <w:p>
            <w:pPr>
              <w:pStyle w:val="TableParagraph"/>
              <w:spacing w:line="265" w:lineRule="exact"/>
              <w:ind w:left="136" w:right="119"/>
              <w:jc w:val="center"/>
              <w:rPr>
                <w:sz w:val="21"/>
              </w:rPr>
            </w:pPr>
            <w:r>
              <w:rPr>
                <w:sz w:val="21"/>
              </w:rPr>
              <w:t>生产废水进入厂区</w:t>
            </w:r>
          </w:p>
        </w:tc>
        <w:tc>
          <w:tcPr>
            <w:tcW w:w="905"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304"/>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20"/>
              </w:rPr>
            </w:pPr>
          </w:p>
        </w:tc>
        <w:tc>
          <w:tcPr>
            <w:tcW w:w="5004" w:type="dxa"/>
            <w:tcBorders>
              <w:top w:val="nil"/>
              <w:left w:val="single" w:sz="4" w:space="0" w:color="000000"/>
              <w:bottom w:val="nil"/>
              <w:right w:val="single" w:sz="4" w:space="0" w:color="000000"/>
            </w:tcBorders>
          </w:tcPr>
          <w:p>
            <w:pPr>
              <w:pStyle w:val="TableParagraph"/>
              <w:spacing w:before="18" w:line="266" w:lineRule="exact"/>
              <w:ind w:left="112"/>
              <w:rPr>
                <w:sz w:val="21"/>
              </w:rPr>
            </w:pPr>
            <w:r>
              <w:rPr>
                <w:sz w:val="21"/>
              </w:rPr>
              <w:t>革、原料药制造、电镀、冶金等行业退城入园，提高</w:t>
            </w:r>
          </w:p>
        </w:tc>
        <w:tc>
          <w:tcPr>
            <w:tcW w:w="1986" w:type="dxa"/>
            <w:tcBorders>
              <w:top w:val="nil"/>
              <w:left w:val="single" w:sz="4" w:space="0" w:color="000000"/>
              <w:bottom w:val="nil"/>
              <w:right w:val="single" w:sz="4" w:space="0" w:color="000000"/>
            </w:tcBorders>
          </w:tcPr>
          <w:p>
            <w:pPr>
              <w:pStyle w:val="TableParagraph"/>
              <w:spacing w:before="18" w:line="266" w:lineRule="exact"/>
              <w:ind w:left="136" w:right="119"/>
              <w:jc w:val="center"/>
              <w:rPr>
                <w:sz w:val="21"/>
              </w:rPr>
            </w:pPr>
            <w:r>
              <w:rPr>
                <w:sz w:val="21"/>
              </w:rPr>
              <w:t>自建污水处理设施</w:t>
            </w:r>
          </w:p>
        </w:tc>
        <w:tc>
          <w:tcPr>
            <w:tcW w:w="905"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1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spacing w:before="36"/>
              <w:ind w:left="250"/>
              <w:rPr>
                <w:rFonts w:ascii="Times New Roman"/>
                <w:sz w:val="21"/>
              </w:rPr>
            </w:pPr>
            <w:r>
              <w:rPr>
                <w:rFonts w:ascii="Times New Roman"/>
                <w:w w:val="99"/>
                <w:sz w:val="21"/>
              </w:rPr>
              <w:t>1</w:t>
            </w:r>
          </w:p>
        </w:tc>
        <w:tc>
          <w:tcPr>
            <w:tcW w:w="5004" w:type="dxa"/>
            <w:tcBorders>
              <w:top w:val="nil"/>
              <w:left w:val="single" w:sz="4" w:space="0" w:color="000000"/>
              <w:bottom w:val="nil"/>
              <w:right w:val="single" w:sz="4" w:space="0" w:color="000000"/>
            </w:tcBorders>
          </w:tcPr>
          <w:p>
            <w:pPr>
              <w:pStyle w:val="TableParagraph"/>
              <w:spacing w:before="20"/>
              <w:ind w:left="112"/>
              <w:rPr>
                <w:sz w:val="21"/>
              </w:rPr>
            </w:pPr>
            <w:r>
              <w:rPr>
                <w:sz w:val="21"/>
              </w:rPr>
              <w:t>工业园区集聚水平。指导工业园区对污水实施科学收</w:t>
            </w:r>
          </w:p>
        </w:tc>
        <w:tc>
          <w:tcPr>
            <w:tcW w:w="1986" w:type="dxa"/>
            <w:tcBorders>
              <w:top w:val="nil"/>
              <w:left w:val="single" w:sz="4" w:space="0" w:color="000000"/>
              <w:bottom w:val="nil"/>
              <w:right w:val="single" w:sz="4" w:space="0" w:color="000000"/>
            </w:tcBorders>
          </w:tcPr>
          <w:p>
            <w:pPr>
              <w:pStyle w:val="TableParagraph"/>
              <w:spacing w:before="20"/>
              <w:ind w:left="136" w:right="119"/>
              <w:jc w:val="center"/>
              <w:rPr>
                <w:sz w:val="21"/>
              </w:rPr>
            </w:pPr>
            <w:r>
              <w:rPr>
                <w:sz w:val="21"/>
              </w:rPr>
              <w:t>预处理后排入宁津</w:t>
            </w:r>
          </w:p>
        </w:tc>
        <w:tc>
          <w:tcPr>
            <w:tcW w:w="905" w:type="dxa"/>
            <w:tcBorders>
              <w:top w:val="nil"/>
              <w:left w:val="single" w:sz="4" w:space="0" w:color="000000"/>
              <w:bottom w:val="nil"/>
              <w:right w:val="single" w:sz="4" w:space="0" w:color="000000"/>
            </w:tcBorders>
          </w:tcPr>
          <w:p>
            <w:pPr>
              <w:pStyle w:val="TableParagraph"/>
              <w:spacing w:before="20"/>
              <w:ind w:left="116" w:right="103"/>
              <w:jc w:val="center"/>
              <w:rPr>
                <w:sz w:val="21"/>
              </w:rPr>
            </w:pPr>
            <w:r>
              <w:rPr>
                <w:sz w:val="21"/>
              </w:rPr>
              <w:t>符合</w:t>
            </w: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29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nil"/>
              <w:right w:val="single" w:sz="4" w:space="0" w:color="000000"/>
            </w:tcBorders>
          </w:tcPr>
          <w:p>
            <w:pPr>
              <w:pStyle w:val="TableParagraph"/>
              <w:rPr>
                <w:rFonts w:ascii="Times New Roman"/>
                <w:sz w:val="20"/>
              </w:rPr>
            </w:pPr>
          </w:p>
        </w:tc>
        <w:tc>
          <w:tcPr>
            <w:tcW w:w="5004" w:type="dxa"/>
            <w:tcBorders>
              <w:top w:val="nil"/>
              <w:left w:val="single" w:sz="4" w:space="0" w:color="000000"/>
              <w:bottom w:val="nil"/>
              <w:right w:val="single" w:sz="4" w:space="0" w:color="000000"/>
            </w:tcBorders>
          </w:tcPr>
          <w:p>
            <w:pPr>
              <w:pStyle w:val="TableParagraph"/>
              <w:spacing w:before="9" w:line="268" w:lineRule="exact"/>
              <w:ind w:left="112"/>
              <w:rPr>
                <w:sz w:val="21"/>
              </w:rPr>
            </w:pPr>
            <w:r>
              <w:rPr>
                <w:sz w:val="21"/>
              </w:rPr>
              <w:t>集、分类处理，梯级循环利用工业废水。逐步推进园</w:t>
            </w:r>
          </w:p>
        </w:tc>
        <w:tc>
          <w:tcPr>
            <w:tcW w:w="1986" w:type="dxa"/>
            <w:tcBorders>
              <w:top w:val="nil"/>
              <w:left w:val="single" w:sz="4" w:space="0" w:color="000000"/>
              <w:bottom w:val="nil"/>
              <w:right w:val="single" w:sz="4" w:space="0" w:color="000000"/>
            </w:tcBorders>
          </w:tcPr>
          <w:p>
            <w:pPr>
              <w:pStyle w:val="TableParagraph"/>
              <w:spacing w:before="9" w:line="268" w:lineRule="exact"/>
              <w:ind w:left="136" w:right="119"/>
              <w:jc w:val="center"/>
              <w:rPr>
                <w:sz w:val="21"/>
              </w:rPr>
            </w:pPr>
            <w:r>
              <w:rPr>
                <w:sz w:val="21"/>
              </w:rPr>
              <w:t>县嘉诚水质净化有</w:t>
            </w:r>
          </w:p>
        </w:tc>
        <w:tc>
          <w:tcPr>
            <w:tcW w:w="905"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34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5004" w:type="dxa"/>
            <w:tcBorders>
              <w:top w:val="nil"/>
              <w:left w:val="single" w:sz="4" w:space="0" w:color="000000"/>
              <w:bottom w:val="thickThinMediumGap" w:sz="4" w:space="0" w:color="000000"/>
              <w:right w:val="single" w:sz="4" w:space="0" w:color="000000"/>
            </w:tcBorders>
          </w:tcPr>
          <w:p>
            <w:pPr>
              <w:pStyle w:val="TableParagraph"/>
              <w:spacing w:before="18"/>
              <w:ind w:left="112"/>
              <w:rPr>
                <w:sz w:val="21"/>
              </w:rPr>
            </w:pPr>
            <w:r>
              <w:rPr>
                <w:sz w:val="21"/>
              </w:rPr>
              <w:t>区纳管企业废水“一企一管、明管输送、实时监控，</w:t>
            </w:r>
          </w:p>
        </w:tc>
        <w:tc>
          <w:tcPr>
            <w:tcW w:w="1986" w:type="dxa"/>
            <w:tcBorders>
              <w:top w:val="nil"/>
              <w:left w:val="single" w:sz="4" w:space="0" w:color="000000"/>
              <w:bottom w:val="thickThinMediumGap" w:sz="4" w:space="0" w:color="000000"/>
              <w:right w:val="single" w:sz="4" w:space="0" w:color="000000"/>
            </w:tcBorders>
          </w:tcPr>
          <w:p>
            <w:pPr>
              <w:pStyle w:val="TableParagraph"/>
              <w:spacing w:before="18"/>
              <w:ind w:left="136" w:right="119"/>
              <w:jc w:val="center"/>
              <w:rPr>
                <w:sz w:val="21"/>
              </w:rPr>
            </w:pPr>
            <w:r>
              <w:rPr>
                <w:sz w:val="21"/>
              </w:rPr>
              <w:t>限公司深度处理。</w:t>
            </w:r>
          </w:p>
        </w:tc>
        <w:tc>
          <w:tcPr>
            <w:tcW w:w="905"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bl>
    <w:p>
      <w:pPr>
        <w:pStyle w:val="BodyText"/>
        <w:rPr>
          <w:sz w:val="20"/>
        </w:rPr>
      </w:pPr>
    </w:p>
    <w:p>
      <w:pPr>
        <w:spacing w:before="194"/>
        <w:ind w:left="0" w:right="649" w:firstLine="0"/>
        <w:jc w:val="right"/>
        <w:rPr>
          <w:sz w:val="28"/>
        </w:rPr>
      </w:pPr>
      <w:r>
        <w:rPr>
          <w:sz w:val="28"/>
        </w:rPr>
        <w:t xml:space="preserve">— </w:t>
      </w:r>
      <w:r>
        <w:rPr>
          <w:sz w:val="26"/>
        </w:rPr>
        <w:t xml:space="preserve">19 </w:t>
      </w:r>
      <w:r>
        <w:rPr>
          <w:sz w:val="28"/>
        </w:rPr>
        <w:t>—</w:t>
      </w:r>
    </w:p>
    <w:p>
      <w:pPr>
        <w:spacing w:after="0"/>
        <w:jc w:val="right"/>
        <w:rPr>
          <w:sz w:val="28"/>
        </w:rPr>
        <w:sectPr>
          <w:pgSz w:w="11910" w:h="16840"/>
          <w:pgMar w:top="1580" w:right="879" w:bottom="280" w:left="900" w:header="720" w:footer="720" w:gutter="0"/>
          <w:pgNumType w:start="20"/>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599"/>
        <w:gridCol w:w="5004"/>
        <w:gridCol w:w="1986"/>
        <w:gridCol w:w="905"/>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936"/>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599"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5004" w:type="dxa"/>
            <w:tcBorders>
              <w:left w:val="single" w:sz="4" w:space="0" w:color="000000"/>
              <w:bottom w:val="single" w:sz="4" w:space="0" w:color="000000"/>
              <w:right w:val="single" w:sz="4" w:space="0" w:color="000000"/>
            </w:tcBorders>
          </w:tcPr>
          <w:p>
            <w:pPr>
              <w:pStyle w:val="TableParagraph"/>
              <w:spacing w:before="2" w:line="290" w:lineRule="auto"/>
              <w:ind w:left="112" w:right="91" w:hanging="1"/>
              <w:jc w:val="center"/>
              <w:rPr>
                <w:sz w:val="21"/>
              </w:rPr>
            </w:pPr>
            <w:r>
              <w:rPr>
                <w:spacing w:val="-6"/>
                <w:w w:val="95"/>
                <w:sz w:val="21"/>
              </w:rPr>
              <w:t xml:space="preserve">统一调度”，第一时间锁定园区集中污水处理设施超 </w:t>
            </w:r>
            <w:r>
              <w:rPr>
                <w:spacing w:val="-8"/>
                <w:w w:val="95"/>
                <w:sz w:val="21"/>
              </w:rPr>
              <w:t xml:space="preserve">标来水源头，及时有效处理处置。大力推进生态工业 </w:t>
            </w:r>
            <w:r>
              <w:rPr>
                <w:spacing w:val="-9"/>
                <w:w w:val="95"/>
                <w:sz w:val="21"/>
              </w:rPr>
              <w:t xml:space="preserve">园区建设，对获得国家和省级命名的生态工业园区给 </w:t>
            </w:r>
            <w:r>
              <w:rPr>
                <w:spacing w:val="-10"/>
                <w:w w:val="95"/>
                <w:sz w:val="21"/>
              </w:rPr>
              <w:t xml:space="preserve">予政策支持。鼓励有条件的园区引进“环保管家”服 </w:t>
            </w:r>
            <w:r>
              <w:rPr>
                <w:spacing w:val="-8"/>
                <w:w w:val="95"/>
                <w:sz w:val="21"/>
              </w:rPr>
              <w:t xml:space="preserve">务，提供定制化、全产业链的第三方环保服务，实现 </w:t>
            </w:r>
            <w:r>
              <w:rPr>
                <w:spacing w:val="-8"/>
                <w:sz w:val="21"/>
              </w:rPr>
              <w:t>园区污水精细化、专业化管理。</w:t>
            </w:r>
          </w:p>
        </w:tc>
        <w:tc>
          <w:tcPr>
            <w:tcW w:w="1986" w:type="dxa"/>
            <w:tcBorders>
              <w:left w:val="single" w:sz="4" w:space="0" w:color="000000"/>
              <w:bottom w:val="single" w:sz="4" w:space="0" w:color="000000"/>
              <w:right w:val="single" w:sz="4" w:space="0" w:color="000000"/>
            </w:tcBorders>
          </w:tcPr>
          <w:p>
            <w:pPr>
              <w:pStyle w:val="TableParagraph"/>
              <w:spacing w:before="2" w:line="290" w:lineRule="auto"/>
              <w:ind w:left="157" w:right="138"/>
              <w:jc w:val="both"/>
              <w:rPr>
                <w:sz w:val="21"/>
              </w:rPr>
            </w:pPr>
            <w:r>
              <w:rPr>
                <w:spacing w:val="-2"/>
                <w:sz w:val="21"/>
              </w:rPr>
              <w:t>纯水装置产生的浓水排入市政管网后宁津县嘉诚水质净化有限公司进行处理。生活污水经化粪池处理后，排入市政管网后宁津县</w:t>
            </w:r>
            <w:r>
              <w:rPr>
                <w:spacing w:val="-2"/>
                <w:w w:val="95"/>
                <w:sz w:val="21"/>
              </w:rPr>
              <w:t>嘉诚水质净化有限</w:t>
            </w:r>
          </w:p>
          <w:p>
            <w:pPr>
              <w:pStyle w:val="TableParagraph"/>
              <w:spacing w:before="9"/>
              <w:ind w:left="263"/>
              <w:rPr>
                <w:sz w:val="21"/>
              </w:rPr>
            </w:pPr>
            <w:r>
              <w:rPr>
                <w:w w:val="95"/>
                <w:sz w:val="21"/>
              </w:rPr>
              <w:t>公司进行处理。</w:t>
            </w:r>
          </w:p>
        </w:tc>
        <w:tc>
          <w:tcPr>
            <w:tcW w:w="905"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31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494" w:type="dxa"/>
            <w:gridSpan w:val="4"/>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489" w:right="1473"/>
              <w:jc w:val="center"/>
              <w:rPr>
                <w:b/>
                <w:sz w:val="21"/>
              </w:rPr>
            </w:pPr>
            <w:r>
              <w:rPr>
                <w:b/>
                <w:sz w:val="21"/>
              </w:rPr>
              <w:t>《山东省深入打好净土保卫战行动计划（</w:t>
            </w:r>
            <w:r>
              <w:rPr>
                <w:rFonts w:ascii="Times New Roman" w:eastAsia="Times New Roman" w:hAnsi="Times New Roman"/>
                <w:b/>
                <w:sz w:val="21"/>
              </w:rPr>
              <w:t>2021</w:t>
            </w:r>
            <w:r>
              <w:rPr>
                <w:b/>
                <w:sz w:val="21"/>
              </w:rPr>
              <w:t>—</w:t>
            </w:r>
            <w:r>
              <w:rPr>
                <w:rFonts w:ascii="Times New Roman" w:eastAsia="Times New Roman" w:hAnsi="Times New Roman"/>
                <w:b/>
                <w:sz w:val="21"/>
              </w:rPr>
              <w:t>2025</w:t>
            </w:r>
            <w:r>
              <w:rPr>
                <w:b/>
                <w:sz w:val="21"/>
              </w:rPr>
              <w:t>）》</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325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1"/>
              <w:rPr>
                <w:sz w:val="27"/>
              </w:rPr>
            </w:pPr>
          </w:p>
          <w:p>
            <w:pPr>
              <w:pStyle w:val="TableParagraph"/>
              <w:ind w:left="250"/>
              <w:rPr>
                <w:rFonts w:ascii="Times New Roman"/>
                <w:sz w:val="21"/>
              </w:rPr>
            </w:pPr>
            <w:r>
              <w:rPr>
                <w:rFonts w:ascii="Times New Roman"/>
                <w:w w:val="99"/>
                <w:sz w:val="21"/>
              </w:rPr>
              <w:t>1</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line="290" w:lineRule="auto"/>
              <w:ind w:left="112" w:right="-15"/>
              <w:rPr>
                <w:sz w:val="21"/>
              </w:rPr>
            </w:pPr>
            <w:r>
              <w:rPr>
                <w:spacing w:val="-6"/>
                <w:sz w:val="21"/>
              </w:rPr>
              <w:t>以赤泥、尾矿和共伴生矿、煤矸石、粉煤灰、建筑垃</w:t>
            </w:r>
            <w:r>
              <w:rPr>
                <w:spacing w:val="-9"/>
                <w:sz w:val="21"/>
              </w:rPr>
              <w:t>圾等为重点，推动大宗工业固体废物贮存处置总量趋零增长。推动赤泥在生产透水砖、砂石等方面的综合</w:t>
            </w:r>
            <w:r>
              <w:rPr>
                <w:spacing w:val="-7"/>
                <w:sz w:val="21"/>
              </w:rPr>
              <w:t>利用。加快黄金冶炼尾渣综合处理技术研发进程，以</w:t>
            </w:r>
            <w:r>
              <w:rPr>
                <w:spacing w:val="-10"/>
                <w:sz w:val="21"/>
              </w:rPr>
              <w:t>烟台等市为重点加强推广应用。开展非正规固体废物</w:t>
            </w:r>
            <w:r>
              <w:rPr>
                <w:spacing w:val="-17"/>
                <w:w w:val="95"/>
                <w:sz w:val="21"/>
              </w:rPr>
              <w:t xml:space="preserve">堆存场所排查整治。构建集污水、垃圾、固废、危废、 </w:t>
            </w:r>
            <w:r>
              <w:rPr>
                <w:spacing w:val="-17"/>
                <w:sz w:val="21"/>
              </w:rPr>
              <w:t xml:space="preserve">医废处理处置设施和监测监管能力于一体的环境基 </w:t>
            </w:r>
            <w:r>
              <w:rPr>
                <w:spacing w:val="-12"/>
                <w:sz w:val="21"/>
              </w:rPr>
              <w:t>础设施体系，形成由城市向建制镇和乡村延伸覆盖的环境基础设施网络。到</w:t>
            </w:r>
            <w:r>
              <w:rPr>
                <w:rFonts w:ascii="Times New Roman" w:eastAsia="Times New Roman" w:hAnsi="Times New Roman"/>
                <w:sz w:val="21"/>
              </w:rPr>
              <w:t>2025</w:t>
            </w:r>
            <w:r>
              <w:rPr>
                <w:spacing w:val="-5"/>
                <w:sz w:val="21"/>
              </w:rPr>
              <w:t>年，试点城市建立起“无</w:t>
            </w:r>
          </w:p>
          <w:p>
            <w:pPr>
              <w:pStyle w:val="TableParagraph"/>
              <w:spacing w:before="7"/>
              <w:ind w:left="616"/>
              <w:rPr>
                <w:sz w:val="21"/>
              </w:rPr>
            </w:pPr>
            <w:r>
              <w:rPr>
                <w:sz w:val="21"/>
              </w:rPr>
              <w:t>废城市”建设综合管理制度和监管体系。</w:t>
            </w:r>
          </w:p>
        </w:tc>
        <w:tc>
          <w:tcPr>
            <w:tcW w:w="198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2"/>
              <w:rPr>
                <w:sz w:val="16"/>
              </w:rPr>
            </w:pPr>
          </w:p>
          <w:p>
            <w:pPr>
              <w:pStyle w:val="TableParagraph"/>
              <w:spacing w:line="290" w:lineRule="auto"/>
              <w:ind w:left="157" w:right="138"/>
              <w:jc w:val="center"/>
              <w:rPr>
                <w:sz w:val="21"/>
              </w:rPr>
            </w:pPr>
            <w:r>
              <w:rPr>
                <w:sz w:val="21"/>
              </w:rPr>
              <w:t>项目生活垃圾由环卫部门统一清运， 固废全部得到妥善处置</w:t>
            </w:r>
          </w:p>
        </w:tc>
        <w:tc>
          <w:tcPr>
            <w:tcW w:w="90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5"/>
              <w:rPr>
                <w:sz w:val="14"/>
              </w:rPr>
            </w:pPr>
          </w:p>
          <w:p>
            <w:pPr>
              <w:pStyle w:val="TableParagraph"/>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31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494" w:type="dxa"/>
            <w:gridSpan w:val="4"/>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489" w:right="1473"/>
              <w:jc w:val="center"/>
              <w:rPr>
                <w:b/>
                <w:sz w:val="21"/>
              </w:rPr>
            </w:pPr>
            <w:r>
              <w:rPr>
                <w:b/>
                <w:sz w:val="21"/>
              </w:rPr>
              <w:t>《山东省“十四五”生态环境保护规划》</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605"/>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spacing w:before="4"/>
              <w:rPr>
                <w:sz w:val="24"/>
              </w:rPr>
            </w:pPr>
          </w:p>
          <w:p>
            <w:pPr>
              <w:pStyle w:val="TableParagraph"/>
              <w:ind w:left="250"/>
              <w:rPr>
                <w:rFonts w:ascii="Times New Roman"/>
                <w:sz w:val="21"/>
              </w:rPr>
            </w:pPr>
            <w:r>
              <w:rPr>
                <w:rFonts w:ascii="Times New Roman"/>
                <w:w w:val="99"/>
                <w:sz w:val="21"/>
              </w:rPr>
              <w:t>1</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line="290" w:lineRule="auto"/>
              <w:ind w:left="112" w:right="91"/>
              <w:jc w:val="center"/>
              <w:rPr>
                <w:sz w:val="21"/>
              </w:rPr>
            </w:pPr>
            <w:r>
              <w:rPr>
                <w:spacing w:val="-3"/>
                <w:w w:val="95"/>
                <w:sz w:val="21"/>
              </w:rPr>
              <w:t xml:space="preserve">强化危险废物全过程环境监管。建立完善危险废物环 </w:t>
            </w:r>
            <w:r>
              <w:rPr>
                <w:spacing w:val="-7"/>
                <w:w w:val="95"/>
                <w:sz w:val="21"/>
              </w:rPr>
              <w:t xml:space="preserve">境重点监管单位清单。建立与防控环境风险需求相匹 </w:t>
            </w:r>
            <w:r>
              <w:rPr>
                <w:spacing w:val="-11"/>
                <w:w w:val="95"/>
                <w:sz w:val="21"/>
              </w:rPr>
              <w:t xml:space="preserve">配的危险废物监管体系，加强危险废物监管能力与应 </w:t>
            </w:r>
            <w:r>
              <w:rPr>
                <w:spacing w:val="-13"/>
                <w:w w:val="95"/>
                <w:sz w:val="21"/>
              </w:rPr>
              <w:t xml:space="preserve">急处置技术支撑能力建设，深入开展危险废物规范化 环境管理与专项整治，严厉打击危险废物非法转移倾 </w:t>
            </w:r>
            <w:r>
              <w:rPr>
                <w:spacing w:val="-13"/>
                <w:sz w:val="21"/>
              </w:rPr>
              <w:t>倒等违法犯罪行为。加强危险废物相关从业人员培</w:t>
            </w:r>
            <w:r>
              <w:rPr>
                <w:spacing w:val="-8"/>
                <w:w w:val="95"/>
                <w:sz w:val="21"/>
              </w:rPr>
              <w:t>训，依托具备条件的危险废物相关企业建设危险废物</w:t>
            </w:r>
          </w:p>
          <w:p>
            <w:pPr>
              <w:pStyle w:val="TableParagraph"/>
              <w:spacing w:before="5"/>
              <w:ind w:left="109" w:right="91"/>
              <w:jc w:val="center"/>
              <w:rPr>
                <w:sz w:val="21"/>
              </w:rPr>
            </w:pPr>
            <w:r>
              <w:rPr>
                <w:sz w:val="21"/>
              </w:rPr>
              <w:t>管理培训实习基地。</w:t>
            </w:r>
          </w:p>
        </w:tc>
        <w:tc>
          <w:tcPr>
            <w:tcW w:w="198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5"/>
              <w:rPr>
                <w:sz w:val="23"/>
              </w:rPr>
            </w:pPr>
          </w:p>
          <w:p>
            <w:pPr>
              <w:pStyle w:val="TableParagraph"/>
              <w:spacing w:line="290" w:lineRule="auto"/>
              <w:ind w:left="157" w:right="138"/>
              <w:jc w:val="center"/>
              <w:rPr>
                <w:sz w:val="21"/>
              </w:rPr>
            </w:pPr>
            <w:r>
              <w:rPr>
                <w:sz w:val="21"/>
              </w:rPr>
              <w:t>本项目危险废物管理严格按照相关要求执行。</w:t>
            </w:r>
          </w:p>
        </w:tc>
        <w:tc>
          <w:tcPr>
            <w:tcW w:w="90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1"/>
              <w:rPr>
                <w:sz w:val="28"/>
              </w:rPr>
            </w:pPr>
          </w:p>
          <w:p>
            <w:pPr>
              <w:pStyle w:val="TableParagraph"/>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315"/>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494" w:type="dxa"/>
            <w:gridSpan w:val="4"/>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489" w:right="1473"/>
              <w:jc w:val="center"/>
              <w:rPr>
                <w:b/>
                <w:sz w:val="21"/>
              </w:rPr>
            </w:pPr>
            <w:r>
              <w:rPr>
                <w:b/>
                <w:sz w:val="21"/>
              </w:rPr>
              <w:t>《关于印发山东省“两高”项目管理目录的通知》</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89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spacing w:before="8"/>
              <w:rPr>
                <w:sz w:val="18"/>
              </w:rPr>
            </w:pPr>
          </w:p>
          <w:p>
            <w:pPr>
              <w:pStyle w:val="TableParagraph"/>
              <w:ind w:left="250"/>
              <w:rPr>
                <w:rFonts w:ascii="Times New Roman"/>
                <w:sz w:val="21"/>
              </w:rPr>
            </w:pPr>
            <w:r>
              <w:rPr>
                <w:rFonts w:ascii="Times New Roman"/>
                <w:w w:val="99"/>
                <w:sz w:val="21"/>
              </w:rPr>
              <w:t>1</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5"/>
              <w:rPr>
                <w:sz w:val="21"/>
              </w:rPr>
            </w:pPr>
            <w:r>
              <w:rPr>
                <w:rFonts w:ascii="Times New Roman" w:eastAsia="Times New Roman"/>
                <w:sz w:val="21"/>
              </w:rPr>
              <w:t>3110</w:t>
            </w:r>
            <w:r>
              <w:rPr>
                <w:rFonts w:ascii="Times New Roman" w:eastAsia="Times New Roman"/>
                <w:spacing w:val="-7"/>
                <w:sz w:val="21"/>
              </w:rPr>
              <w:t xml:space="preserve"> </w:t>
            </w:r>
            <w:r>
              <w:rPr>
                <w:spacing w:val="-4"/>
                <w:sz w:val="21"/>
              </w:rPr>
              <w:t>炼铁、</w:t>
            </w:r>
            <w:r>
              <w:rPr>
                <w:rFonts w:ascii="Times New Roman" w:eastAsia="Times New Roman"/>
                <w:sz w:val="21"/>
              </w:rPr>
              <w:t>3120</w:t>
            </w:r>
            <w:r>
              <w:rPr>
                <w:rFonts w:ascii="Times New Roman" w:eastAsia="Times New Roman"/>
                <w:spacing w:val="-3"/>
                <w:sz w:val="21"/>
              </w:rPr>
              <w:t xml:space="preserve"> </w:t>
            </w:r>
            <w:r>
              <w:rPr>
                <w:spacing w:val="-4"/>
                <w:sz w:val="21"/>
              </w:rPr>
              <w:t>炼钢、</w:t>
            </w:r>
            <w:r>
              <w:rPr>
                <w:rFonts w:ascii="Times New Roman" w:eastAsia="Times New Roman"/>
                <w:sz w:val="21"/>
              </w:rPr>
              <w:t>3140</w:t>
            </w:r>
            <w:r>
              <w:rPr>
                <w:rFonts w:ascii="Times New Roman" w:eastAsia="Times New Roman"/>
                <w:spacing w:val="-4"/>
                <w:sz w:val="21"/>
              </w:rPr>
              <w:t xml:space="preserve"> </w:t>
            </w:r>
            <w:r>
              <w:rPr>
                <w:spacing w:val="-2"/>
                <w:sz w:val="21"/>
              </w:rPr>
              <w:t>铁合金冶炼、</w:t>
            </w:r>
            <w:r>
              <w:rPr>
                <w:rFonts w:ascii="Times New Roman" w:eastAsia="Times New Roman"/>
                <w:sz w:val="21"/>
              </w:rPr>
              <w:t>3216</w:t>
            </w:r>
            <w:r>
              <w:rPr>
                <w:rFonts w:ascii="Times New Roman" w:eastAsia="Times New Roman"/>
                <w:spacing w:val="-4"/>
                <w:sz w:val="21"/>
              </w:rPr>
              <w:t xml:space="preserve"> </w:t>
            </w:r>
            <w:r>
              <w:rPr>
                <w:sz w:val="21"/>
              </w:rPr>
              <w:t>铝冶</w:t>
            </w:r>
            <w:r>
              <w:rPr>
                <w:spacing w:val="-7"/>
                <w:sz w:val="21"/>
              </w:rPr>
              <w:t>炼、</w:t>
            </w:r>
            <w:r>
              <w:rPr>
                <w:rFonts w:ascii="Times New Roman" w:eastAsia="Times New Roman"/>
                <w:sz w:val="21"/>
              </w:rPr>
              <w:t>3011</w:t>
            </w:r>
            <w:r>
              <w:rPr>
                <w:rFonts w:ascii="Times New Roman" w:eastAsia="Times New Roman"/>
                <w:spacing w:val="-6"/>
                <w:sz w:val="21"/>
              </w:rPr>
              <w:t xml:space="preserve"> </w:t>
            </w:r>
            <w:r>
              <w:rPr>
                <w:spacing w:val="-3"/>
                <w:sz w:val="21"/>
              </w:rPr>
              <w:t>水泥制造、</w:t>
            </w:r>
            <w:r>
              <w:rPr>
                <w:rFonts w:ascii="Times New Roman" w:eastAsia="Times New Roman"/>
                <w:sz w:val="21"/>
              </w:rPr>
              <w:t>3012</w:t>
            </w:r>
            <w:r>
              <w:rPr>
                <w:rFonts w:ascii="Times New Roman" w:eastAsia="Times New Roman"/>
                <w:spacing w:val="-2"/>
                <w:sz w:val="21"/>
              </w:rPr>
              <w:t xml:space="preserve"> </w:t>
            </w:r>
            <w:r>
              <w:rPr>
                <w:spacing w:val="-2"/>
                <w:sz w:val="21"/>
              </w:rPr>
              <w:t>石灰和石膏制造、</w:t>
            </w:r>
            <w:r>
              <w:rPr>
                <w:rFonts w:ascii="Times New Roman" w:eastAsia="Times New Roman"/>
                <w:sz w:val="21"/>
              </w:rPr>
              <w:t>3071</w:t>
            </w:r>
            <w:r>
              <w:rPr>
                <w:rFonts w:ascii="Times New Roman" w:eastAsia="Times New Roman"/>
                <w:spacing w:val="48"/>
                <w:sz w:val="21"/>
              </w:rPr>
              <w:t xml:space="preserve"> </w:t>
            </w:r>
            <w:r>
              <w:rPr>
                <w:sz w:val="21"/>
              </w:rPr>
              <w:t>建筑陶瓷制品制造、</w:t>
            </w:r>
            <w:r>
              <w:rPr>
                <w:rFonts w:ascii="Times New Roman" w:eastAsia="Times New Roman"/>
                <w:sz w:val="21"/>
              </w:rPr>
              <w:t>3041</w:t>
            </w:r>
            <w:r>
              <w:rPr>
                <w:rFonts w:ascii="Times New Roman" w:eastAsia="Times New Roman"/>
                <w:spacing w:val="-4"/>
                <w:sz w:val="21"/>
              </w:rPr>
              <w:t xml:space="preserve"> </w:t>
            </w:r>
            <w:r>
              <w:rPr>
                <w:sz w:val="21"/>
              </w:rPr>
              <w:t>平板玻璃制造、</w:t>
            </w:r>
            <w:r>
              <w:rPr>
                <w:rFonts w:ascii="Times New Roman" w:eastAsia="Times New Roman"/>
                <w:sz w:val="21"/>
              </w:rPr>
              <w:t>4411</w:t>
            </w:r>
            <w:r>
              <w:rPr>
                <w:rFonts w:ascii="Times New Roman" w:eastAsia="Times New Roman"/>
                <w:spacing w:val="-4"/>
                <w:sz w:val="21"/>
              </w:rPr>
              <w:t xml:space="preserve"> </w:t>
            </w:r>
            <w:r>
              <w:rPr>
                <w:sz w:val="21"/>
              </w:rPr>
              <w:t>火力发</w:t>
            </w:r>
            <w:r>
              <w:rPr>
                <w:spacing w:val="-22"/>
                <w:sz w:val="21"/>
              </w:rPr>
              <w:t>电、</w:t>
            </w:r>
            <w:r>
              <w:rPr>
                <w:rFonts w:ascii="Times New Roman" w:eastAsia="Times New Roman"/>
                <w:sz w:val="21"/>
              </w:rPr>
              <w:t>4412</w:t>
            </w:r>
            <w:r>
              <w:rPr>
                <w:rFonts w:ascii="Times New Roman" w:eastAsia="Times New Roman"/>
                <w:spacing w:val="-6"/>
                <w:sz w:val="21"/>
              </w:rPr>
              <w:t xml:space="preserve"> </w:t>
            </w:r>
            <w:r>
              <w:rPr>
                <w:spacing w:val="-9"/>
                <w:sz w:val="21"/>
              </w:rPr>
              <w:t>热电联产、</w:t>
            </w:r>
            <w:r>
              <w:rPr>
                <w:rFonts w:ascii="Times New Roman" w:eastAsia="Times New Roman"/>
                <w:sz w:val="21"/>
              </w:rPr>
              <w:t>2511</w:t>
            </w:r>
            <w:r>
              <w:rPr>
                <w:rFonts w:ascii="Times New Roman" w:eastAsia="Times New Roman"/>
                <w:spacing w:val="40"/>
                <w:sz w:val="21"/>
              </w:rPr>
              <w:t xml:space="preserve"> </w:t>
            </w:r>
            <w:r>
              <w:rPr>
                <w:sz w:val="21"/>
              </w:rPr>
              <w:t>原油加工及石油制品制造、</w:t>
            </w:r>
            <w:r>
              <w:rPr>
                <w:rFonts w:ascii="Times New Roman" w:eastAsia="Times New Roman"/>
                <w:sz w:val="21"/>
              </w:rPr>
              <w:t>2523</w:t>
            </w:r>
            <w:r>
              <w:rPr>
                <w:rFonts w:ascii="Times New Roman" w:eastAsia="Times New Roman"/>
                <w:spacing w:val="-5"/>
                <w:sz w:val="21"/>
              </w:rPr>
              <w:t xml:space="preserve"> </w:t>
            </w:r>
            <w:r>
              <w:rPr>
                <w:spacing w:val="-6"/>
                <w:sz w:val="21"/>
              </w:rPr>
              <w:t>煤制液体燃料生产、</w:t>
            </w:r>
            <w:r>
              <w:rPr>
                <w:rFonts w:ascii="Times New Roman" w:eastAsia="Times New Roman"/>
                <w:sz w:val="21"/>
              </w:rPr>
              <w:t>2521</w:t>
            </w:r>
            <w:r>
              <w:rPr>
                <w:rFonts w:ascii="Times New Roman" w:eastAsia="Times New Roman"/>
                <w:spacing w:val="-4"/>
                <w:sz w:val="21"/>
              </w:rPr>
              <w:t xml:space="preserve"> </w:t>
            </w:r>
            <w:r>
              <w:rPr>
                <w:spacing w:val="-16"/>
                <w:sz w:val="21"/>
              </w:rPr>
              <w:t>炼焦、</w:t>
            </w:r>
            <w:r>
              <w:rPr>
                <w:rFonts w:ascii="Times New Roman" w:eastAsia="Times New Roman"/>
                <w:sz w:val="21"/>
              </w:rPr>
              <w:t>2621</w:t>
            </w:r>
            <w:r>
              <w:rPr>
                <w:rFonts w:ascii="Times New Roman" w:eastAsia="Times New Roman"/>
                <w:spacing w:val="-4"/>
                <w:sz w:val="21"/>
              </w:rPr>
              <w:t xml:space="preserve"> </w:t>
            </w:r>
            <w:r>
              <w:rPr>
                <w:sz w:val="21"/>
              </w:rPr>
              <w:t>氮肥制造、</w:t>
            </w:r>
          </w:p>
          <w:p>
            <w:pPr>
              <w:pStyle w:val="TableParagraph"/>
              <w:spacing w:line="270" w:lineRule="atLeast"/>
              <w:ind w:left="904" w:right="98" w:hanging="788"/>
              <w:rPr>
                <w:sz w:val="21"/>
              </w:rPr>
            </w:pPr>
            <w:r>
              <w:rPr>
                <w:rFonts w:ascii="Times New Roman" w:eastAsia="Times New Roman"/>
                <w:sz w:val="21"/>
              </w:rPr>
              <w:t xml:space="preserve">2614 </w:t>
            </w:r>
            <w:r>
              <w:rPr>
                <w:sz w:val="21"/>
              </w:rPr>
              <w:t>有机化学原料制造、</w:t>
            </w:r>
            <w:r>
              <w:rPr>
                <w:rFonts w:ascii="Times New Roman" w:eastAsia="Times New Roman"/>
                <w:sz w:val="21"/>
              </w:rPr>
              <w:t xml:space="preserve">2612 </w:t>
            </w:r>
            <w:r>
              <w:rPr>
                <w:sz w:val="21"/>
              </w:rPr>
              <w:t>无机碱制造、</w:t>
            </w:r>
            <w:r>
              <w:rPr>
                <w:rFonts w:ascii="Times New Roman" w:eastAsia="Times New Roman"/>
                <w:sz w:val="21"/>
              </w:rPr>
              <w:t xml:space="preserve">2613 </w:t>
            </w:r>
            <w:r>
              <w:rPr>
                <w:sz w:val="21"/>
              </w:rPr>
              <w:t>无机盐制造、</w:t>
            </w:r>
            <w:r>
              <w:rPr>
                <w:rFonts w:ascii="Times New Roman" w:eastAsia="Times New Roman"/>
                <w:sz w:val="21"/>
              </w:rPr>
              <w:t xml:space="preserve">3033 </w:t>
            </w:r>
            <w:r>
              <w:rPr>
                <w:sz w:val="21"/>
              </w:rPr>
              <w:t>防水建筑材料制造</w:t>
            </w:r>
          </w:p>
        </w:tc>
        <w:tc>
          <w:tcPr>
            <w:tcW w:w="198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9" w:line="242" w:lineRule="auto"/>
              <w:ind w:left="157" w:right="138" w:hanging="2"/>
              <w:jc w:val="center"/>
              <w:rPr>
                <w:sz w:val="21"/>
              </w:rPr>
            </w:pPr>
            <w:r>
              <w:rPr>
                <w:spacing w:val="-10"/>
                <w:sz w:val="21"/>
              </w:rPr>
              <w:t xml:space="preserve">本项目属于 </w:t>
            </w:r>
            <w:r>
              <w:rPr>
                <w:rFonts w:ascii="Times New Roman" w:eastAsia="Times New Roman"/>
                <w:sz w:val="21"/>
              </w:rPr>
              <w:t xml:space="preserve">C3360 </w:t>
            </w:r>
            <w:r>
              <w:rPr>
                <w:spacing w:val="-2"/>
                <w:sz w:val="21"/>
              </w:rPr>
              <w:t>金属表面处理及热处理加工，不属于</w:t>
            </w:r>
            <w:r>
              <w:rPr>
                <w:sz w:val="21"/>
              </w:rPr>
              <w:t>以上行业</w:t>
            </w:r>
          </w:p>
        </w:tc>
        <w:tc>
          <w:tcPr>
            <w:tcW w:w="90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6"/>
              <w:rPr>
                <w:sz w:val="23"/>
              </w:rPr>
            </w:pPr>
          </w:p>
          <w:p>
            <w:pPr>
              <w:pStyle w:val="TableParagraph"/>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403"/>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494" w:type="dxa"/>
            <w:gridSpan w:val="4"/>
            <w:tcBorders>
              <w:top w:val="single" w:sz="4" w:space="0" w:color="000000"/>
              <w:left w:val="single" w:sz="4" w:space="0" w:color="000000"/>
              <w:bottom w:val="single" w:sz="4" w:space="0" w:color="000000"/>
              <w:right w:val="single" w:sz="4" w:space="0" w:color="000000"/>
            </w:tcBorders>
          </w:tcPr>
          <w:p>
            <w:pPr>
              <w:pStyle w:val="TableParagraph"/>
              <w:spacing w:before="65"/>
              <w:ind w:left="773"/>
              <w:rPr>
                <w:b/>
                <w:sz w:val="21"/>
              </w:rPr>
            </w:pPr>
            <w:r>
              <w:rPr>
                <w:b/>
                <w:sz w:val="21"/>
              </w:rPr>
              <w:t>《关于严格项目审批工作坚决防止新上“散乱污”项目的通知》符合性分析</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80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spacing w:before="1"/>
              <w:rPr>
                <w:sz w:val="20"/>
              </w:rPr>
            </w:pPr>
          </w:p>
          <w:p>
            <w:pPr>
              <w:pStyle w:val="TableParagraph"/>
              <w:ind w:left="250"/>
              <w:rPr>
                <w:rFonts w:ascii="Times New Roman"/>
                <w:sz w:val="21"/>
              </w:rPr>
            </w:pPr>
            <w:r>
              <w:rPr>
                <w:rFonts w:ascii="Times New Roman"/>
                <w:w w:val="99"/>
                <w:sz w:val="21"/>
              </w:rPr>
              <w:t>1</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12"/>
              <w:rPr>
                <w:sz w:val="21"/>
              </w:rPr>
            </w:pPr>
            <w:r>
              <w:rPr>
                <w:sz w:val="21"/>
              </w:rPr>
              <w:t>新上项目必须符合国家产业政策要求，禁止采用国家</w:t>
            </w:r>
          </w:p>
          <w:p>
            <w:pPr>
              <w:pStyle w:val="TableParagraph"/>
              <w:spacing w:before="1" w:line="270" w:lineRule="atLeast"/>
              <w:ind w:left="407" w:right="94" w:hanging="296"/>
              <w:rPr>
                <w:sz w:val="21"/>
              </w:rPr>
            </w:pPr>
            <w:r>
              <w:rPr>
                <w:spacing w:val="-3"/>
                <w:w w:val="95"/>
                <w:sz w:val="21"/>
              </w:rPr>
              <w:t xml:space="preserve">公布的淘汰工艺和落后设备，不得引进耗能高、污染 </w:t>
            </w:r>
            <w:r>
              <w:rPr>
                <w:spacing w:val="-3"/>
                <w:sz w:val="21"/>
              </w:rPr>
              <w:t>大、生产粗放、不符合国家产业政策的项目。</w:t>
            </w:r>
          </w:p>
        </w:tc>
        <w:tc>
          <w:tcPr>
            <w:tcW w:w="1986" w:type="dxa"/>
            <w:tcBorders>
              <w:top w:val="single" w:sz="4" w:space="0" w:color="000000"/>
              <w:left w:val="single" w:sz="4" w:space="0" w:color="000000"/>
              <w:bottom w:val="single" w:sz="4" w:space="0" w:color="000000"/>
              <w:right w:val="single" w:sz="4" w:space="0" w:color="000000"/>
            </w:tcBorders>
          </w:tcPr>
          <w:p>
            <w:pPr>
              <w:pStyle w:val="TableParagraph"/>
              <w:spacing w:before="131" w:line="244" w:lineRule="auto"/>
              <w:ind w:left="157" w:right="138"/>
              <w:rPr>
                <w:sz w:val="21"/>
              </w:rPr>
            </w:pPr>
            <w:r>
              <w:rPr>
                <w:sz w:val="21"/>
              </w:rPr>
              <w:t>本项目建设符合相关产业政策要求。</w:t>
            </w:r>
          </w:p>
        </w:tc>
        <w:tc>
          <w:tcPr>
            <w:tcW w:w="905" w:type="dxa"/>
            <w:tcBorders>
              <w:top w:val="single" w:sz="4" w:space="0" w:color="000000"/>
              <w:left w:val="single" w:sz="4" w:space="0" w:color="000000"/>
              <w:bottom w:val="single" w:sz="4" w:space="0" w:color="000000"/>
              <w:right w:val="single" w:sz="4" w:space="0" w:color="000000"/>
            </w:tcBorders>
          </w:tcPr>
          <w:p>
            <w:pPr>
              <w:pStyle w:val="TableParagraph"/>
              <w:spacing w:before="10"/>
              <w:rPr>
                <w:sz w:val="18"/>
              </w:rPr>
            </w:pPr>
          </w:p>
          <w:p>
            <w:pPr>
              <w:pStyle w:val="TableParagraph"/>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8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thickThinMediumGap" w:sz="4" w:space="0" w:color="000000"/>
              <w:right w:val="single" w:sz="4" w:space="0" w:color="000000"/>
            </w:tcBorders>
          </w:tcPr>
          <w:p>
            <w:pPr>
              <w:pStyle w:val="TableParagraph"/>
              <w:spacing w:line="236" w:lineRule="exact"/>
              <w:ind w:left="250"/>
              <w:rPr>
                <w:rFonts w:ascii="Times New Roman"/>
                <w:sz w:val="21"/>
              </w:rPr>
            </w:pPr>
            <w:r>
              <w:rPr>
                <w:rFonts w:ascii="Times New Roman"/>
                <w:w w:val="99"/>
                <w:sz w:val="21"/>
              </w:rPr>
              <w:t>2</w:t>
            </w:r>
          </w:p>
        </w:tc>
        <w:tc>
          <w:tcPr>
            <w:tcW w:w="5004" w:type="dxa"/>
            <w:tcBorders>
              <w:top w:val="single" w:sz="4" w:space="0" w:color="000000"/>
              <w:left w:val="single" w:sz="4" w:space="0" w:color="000000"/>
              <w:bottom w:val="thickThinMediumGap" w:sz="4" w:space="0" w:color="000000"/>
              <w:right w:val="single" w:sz="4" w:space="0" w:color="000000"/>
            </w:tcBorders>
          </w:tcPr>
          <w:p>
            <w:pPr>
              <w:pStyle w:val="TableParagraph"/>
              <w:spacing w:before="5" w:line="263" w:lineRule="exact"/>
              <w:ind w:left="112"/>
              <w:rPr>
                <w:sz w:val="21"/>
              </w:rPr>
            </w:pPr>
            <w:r>
              <w:rPr>
                <w:sz w:val="21"/>
              </w:rPr>
              <w:t>新上项目必须符合国土空间规划、产业发展规划等要</w:t>
            </w:r>
          </w:p>
        </w:tc>
        <w:tc>
          <w:tcPr>
            <w:tcW w:w="1986" w:type="dxa"/>
            <w:tcBorders>
              <w:top w:val="single" w:sz="4" w:space="0" w:color="000000"/>
              <w:left w:val="single" w:sz="4" w:space="0" w:color="000000"/>
              <w:bottom w:val="thickThinMediumGap" w:sz="4" w:space="0" w:color="000000"/>
              <w:right w:val="single" w:sz="4" w:space="0" w:color="000000"/>
            </w:tcBorders>
          </w:tcPr>
          <w:p>
            <w:pPr>
              <w:pStyle w:val="TableParagraph"/>
              <w:spacing w:before="5" w:line="263" w:lineRule="exact"/>
              <w:ind w:left="157"/>
              <w:rPr>
                <w:sz w:val="21"/>
              </w:rPr>
            </w:pPr>
            <w:r>
              <w:rPr>
                <w:sz w:val="21"/>
              </w:rPr>
              <w:t>本项目不属于散乱</w:t>
            </w:r>
          </w:p>
        </w:tc>
        <w:tc>
          <w:tcPr>
            <w:tcW w:w="905" w:type="dxa"/>
            <w:tcBorders>
              <w:top w:val="single" w:sz="4" w:space="0" w:color="000000"/>
              <w:left w:val="single" w:sz="4" w:space="0" w:color="000000"/>
              <w:bottom w:val="thickThinMediumGap" w:sz="4" w:space="0" w:color="000000"/>
              <w:right w:val="single" w:sz="4" w:space="0" w:color="000000"/>
            </w:tcBorders>
          </w:tcPr>
          <w:p>
            <w:pPr>
              <w:pStyle w:val="TableParagraph"/>
              <w:spacing w:line="264" w:lineRule="exact"/>
              <w:ind w:left="116" w:right="103"/>
              <w:jc w:val="center"/>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pStyle w:val="BodyText"/>
        <w:rPr>
          <w:sz w:val="20"/>
        </w:rPr>
      </w:pPr>
    </w:p>
    <w:p>
      <w:pPr>
        <w:tabs>
          <w:tab w:val="left" w:pos="1571"/>
        </w:tabs>
        <w:spacing w:before="227"/>
        <w:ind w:left="631" w:right="0" w:firstLine="0"/>
        <w:jc w:val="left"/>
        <w:rPr>
          <w:sz w:val="28"/>
        </w:rPr>
      </w:pPr>
      <w:r>
        <w:rPr>
          <w:sz w:val="28"/>
        </w:rPr>
        <w:t>—</w:t>
      </w:r>
      <w:r>
        <w:rPr>
          <w:spacing w:val="59"/>
          <w:sz w:val="28"/>
        </w:rPr>
        <w:t xml:space="preserve"> </w:t>
      </w:r>
      <w:r>
        <w:rPr>
          <w:sz w:val="26"/>
        </w:rPr>
        <w:t>20</w:t>
      </w:r>
      <w:r>
        <w:rPr>
          <w:sz w:val="26"/>
        </w:rPr>
        <w:tab/>
      </w:r>
      <w:r>
        <w:rPr>
          <w:sz w:val="28"/>
        </w:rPr>
        <w:t>—</w:t>
      </w:r>
    </w:p>
    <w:p>
      <w:pPr>
        <w:spacing w:after="0"/>
        <w:jc w:val="left"/>
        <w:rPr>
          <w:sz w:val="28"/>
        </w:rPr>
        <w:sectPr>
          <w:pgSz w:w="11910" w:h="16840"/>
          <w:pgMar w:top="1580" w:right="879" w:bottom="280" w:left="900" w:header="720" w:footer="720" w:gutter="0"/>
          <w:pgNumType w:start="21"/>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599"/>
        <w:gridCol w:w="5004"/>
        <w:gridCol w:w="1986"/>
        <w:gridCol w:w="905"/>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12"/>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599"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5004" w:type="dxa"/>
            <w:tcBorders>
              <w:left w:val="single" w:sz="4" w:space="0" w:color="000000"/>
              <w:bottom w:val="single" w:sz="4" w:space="0" w:color="000000"/>
              <w:right w:val="single" w:sz="4" w:space="0" w:color="000000"/>
            </w:tcBorders>
          </w:tcPr>
          <w:p>
            <w:pPr>
              <w:pStyle w:val="TableParagraph"/>
              <w:spacing w:before="1" w:line="270" w:lineRule="atLeast"/>
              <w:ind w:left="112" w:right="91"/>
              <w:jc w:val="center"/>
              <w:rPr>
                <w:sz w:val="21"/>
              </w:rPr>
            </w:pPr>
            <w:r>
              <w:rPr>
                <w:spacing w:val="-6"/>
                <w:w w:val="95"/>
                <w:sz w:val="21"/>
              </w:rPr>
              <w:t xml:space="preserve">求，积极引导产业园区外“散乱污”整治搬迁改造企 </w:t>
            </w:r>
            <w:r>
              <w:rPr>
                <w:spacing w:val="-6"/>
                <w:sz w:val="21"/>
              </w:rPr>
              <w:t>业进入产业园区或工业集聚区，并鼓励租赁标准厂房。</w:t>
            </w:r>
          </w:p>
        </w:tc>
        <w:tc>
          <w:tcPr>
            <w:tcW w:w="1986" w:type="dxa"/>
            <w:vMerge w:val="restart"/>
            <w:tcBorders>
              <w:left w:val="single" w:sz="4" w:space="0" w:color="000000"/>
              <w:bottom w:val="single" w:sz="4" w:space="0" w:color="000000"/>
              <w:right w:val="single" w:sz="4" w:space="0" w:color="000000"/>
            </w:tcBorders>
          </w:tcPr>
          <w:p>
            <w:pPr>
              <w:pStyle w:val="TableParagraph"/>
              <w:spacing w:before="2" w:line="242" w:lineRule="auto"/>
              <w:ind w:left="157" w:right="138" w:hanging="1"/>
              <w:jc w:val="center"/>
              <w:rPr>
                <w:sz w:val="21"/>
              </w:rPr>
            </w:pPr>
            <w:r>
              <w:rPr>
                <w:sz w:val="21"/>
              </w:rPr>
              <w:t>污企业行列；项目位于宁津县三岭大街与宏图路交叉口东南角。位于工业集聚地</w:t>
            </w:r>
          </w:p>
        </w:tc>
        <w:tc>
          <w:tcPr>
            <w:tcW w:w="905"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80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ind w:left="250"/>
              <w:rPr>
                <w:rFonts w:ascii="Times New Roman"/>
                <w:sz w:val="21"/>
              </w:rPr>
            </w:pPr>
            <w:r>
              <w:rPr>
                <w:rFonts w:ascii="Times New Roman"/>
                <w:w w:val="99"/>
                <w:sz w:val="21"/>
              </w:rPr>
              <w:t>3</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91"/>
              <w:jc w:val="center"/>
              <w:rPr>
                <w:sz w:val="21"/>
              </w:rPr>
            </w:pPr>
            <w:r>
              <w:rPr>
                <w:spacing w:val="-3"/>
                <w:w w:val="95"/>
                <w:sz w:val="21"/>
              </w:rPr>
              <w:t xml:space="preserve">新建有污染物排放的工业项目，除在安全生产等方面 </w:t>
            </w:r>
            <w:r>
              <w:rPr>
                <w:spacing w:val="-3"/>
                <w:sz w:val="21"/>
              </w:rPr>
              <w:t>有特殊要求的以外，应当进入工业园区或工业集聚</w:t>
            </w:r>
          </w:p>
          <w:p>
            <w:pPr>
              <w:pStyle w:val="TableParagraph"/>
              <w:spacing w:line="246" w:lineRule="exact"/>
              <w:ind w:left="107" w:right="91"/>
              <w:jc w:val="center"/>
              <w:rPr>
                <w:sz w:val="21"/>
              </w:rPr>
            </w:pPr>
            <w:r>
              <w:rPr>
                <w:sz w:val="21"/>
              </w:rPr>
              <w:t>区。</w:t>
            </w:r>
          </w:p>
        </w:tc>
        <w:tc>
          <w:tcPr>
            <w:tcW w:w="1986" w:type="dxa"/>
            <w:vMerge/>
            <w:tcBorders>
              <w:top w:val="nil"/>
              <w:left w:val="single" w:sz="4" w:space="0" w:color="000000"/>
              <w:bottom w:val="single" w:sz="4" w:space="0" w:color="000000"/>
              <w:right w:val="single" w:sz="4" w:space="0" w:color="000000"/>
            </w:tcBorders>
          </w:tcPr>
          <w:p>
            <w:pPr>
              <w:rPr>
                <w:sz w:val="2"/>
                <w:szCs w:val="2"/>
              </w:rPr>
            </w:pPr>
          </w:p>
        </w:tc>
        <w:tc>
          <w:tcPr>
            <w:tcW w:w="905"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406" w:type="dxa"/>
          <w:tblLayout w:type="fixed"/>
          <w:tblCellMar>
            <w:top w:w="0" w:type="dxa"/>
            <w:left w:w="0" w:type="dxa"/>
            <w:bottom w:w="0" w:type="dxa"/>
            <w:right w:w="0" w:type="dxa"/>
          </w:tblCellMar>
        </w:tblPrEx>
        <w:trPr>
          <w:trHeight w:val="1352"/>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spacing w:before="3"/>
              <w:rPr>
                <w:sz w:val="19"/>
              </w:rPr>
            </w:pPr>
          </w:p>
          <w:p>
            <w:pPr>
              <w:pStyle w:val="TableParagraph"/>
              <w:spacing w:before="1"/>
              <w:ind w:left="250"/>
              <w:rPr>
                <w:rFonts w:ascii="Times New Roman"/>
                <w:sz w:val="21"/>
              </w:rPr>
            </w:pPr>
            <w:r>
              <w:rPr>
                <w:rFonts w:ascii="Times New Roman"/>
                <w:w w:val="99"/>
                <w:sz w:val="21"/>
              </w:rPr>
              <w:t>4</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91"/>
              <w:jc w:val="both"/>
              <w:rPr>
                <w:sz w:val="21"/>
              </w:rPr>
            </w:pPr>
            <w:r>
              <w:rPr>
                <w:spacing w:val="-15"/>
                <w:w w:val="95"/>
                <w:sz w:val="21"/>
              </w:rPr>
              <w:t xml:space="preserve">新上项目必须严格执行环评审批“三挂钩”机制和“五 </w:t>
            </w:r>
            <w:r>
              <w:rPr>
                <w:spacing w:val="-10"/>
                <w:w w:val="95"/>
                <w:sz w:val="21"/>
              </w:rPr>
              <w:t xml:space="preserve">个不批”要求，落实“三线一单”生态环境分区管控 </w:t>
            </w:r>
            <w:r>
              <w:rPr>
                <w:spacing w:val="-8"/>
                <w:w w:val="95"/>
                <w:sz w:val="21"/>
              </w:rPr>
              <w:t xml:space="preserve">要求。强化替代约束，涉及主要污染物排放的，必须 </w:t>
            </w:r>
            <w:r>
              <w:rPr>
                <w:spacing w:val="-11"/>
                <w:w w:val="95"/>
                <w:sz w:val="21"/>
              </w:rPr>
              <w:t>落实区域污染物排放替代，确保增产减污；涉及煤炭</w:t>
            </w:r>
          </w:p>
          <w:p>
            <w:pPr>
              <w:pStyle w:val="TableParagraph"/>
              <w:spacing w:line="248" w:lineRule="exact"/>
              <w:ind w:left="721"/>
              <w:rPr>
                <w:sz w:val="21"/>
              </w:rPr>
            </w:pPr>
            <w:r>
              <w:rPr>
                <w:sz w:val="21"/>
              </w:rPr>
              <w:t>消耗的，必须落实煤炭消费减量替代。</w:t>
            </w:r>
          </w:p>
        </w:tc>
        <w:tc>
          <w:tcPr>
            <w:tcW w:w="198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5" w:firstLine="151"/>
              <w:rPr>
                <w:sz w:val="21"/>
              </w:rPr>
            </w:pPr>
            <w:r>
              <w:rPr>
                <w:sz w:val="21"/>
              </w:rPr>
              <w:t xml:space="preserve">本项目建设符合 </w:t>
            </w:r>
            <w:r>
              <w:rPr>
                <w:spacing w:val="-4"/>
                <w:sz w:val="21"/>
              </w:rPr>
              <w:t xml:space="preserve">“三线一单”要求， </w:t>
            </w:r>
            <w:r>
              <w:rPr>
                <w:sz w:val="21"/>
              </w:rPr>
              <w:t>并严格落实区域污</w:t>
            </w:r>
          </w:p>
          <w:p>
            <w:pPr>
              <w:pStyle w:val="TableParagraph"/>
              <w:ind w:left="136" w:right="117"/>
              <w:jc w:val="center"/>
              <w:rPr>
                <w:sz w:val="21"/>
              </w:rPr>
            </w:pPr>
            <w:r>
              <w:rPr>
                <w:sz w:val="21"/>
              </w:rPr>
              <w:t>染物排放替代要</w:t>
            </w:r>
          </w:p>
          <w:p>
            <w:pPr>
              <w:pStyle w:val="TableParagraph"/>
              <w:spacing w:line="248" w:lineRule="exact"/>
              <w:ind w:left="133" w:right="119"/>
              <w:jc w:val="center"/>
              <w:rPr>
                <w:sz w:val="21"/>
              </w:rPr>
            </w:pPr>
            <w:r>
              <w:rPr>
                <w:sz w:val="21"/>
              </w:rPr>
              <w:t>求。</w:t>
            </w:r>
          </w:p>
        </w:tc>
        <w:tc>
          <w:tcPr>
            <w:tcW w:w="90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31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494" w:type="dxa"/>
            <w:gridSpan w:val="4"/>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489" w:right="1473"/>
              <w:jc w:val="center"/>
              <w:rPr>
                <w:b/>
                <w:sz w:val="21"/>
              </w:rPr>
            </w:pPr>
            <w:r>
              <w:rPr>
                <w:b/>
                <w:sz w:val="21"/>
              </w:rPr>
              <w:t>《山东省新一轮四增四减》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079"/>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spacing w:before="7"/>
              <w:rPr>
                <w:sz w:val="30"/>
              </w:rPr>
            </w:pPr>
          </w:p>
          <w:p>
            <w:pPr>
              <w:pStyle w:val="TableParagraph"/>
              <w:ind w:left="250"/>
              <w:rPr>
                <w:rFonts w:ascii="Times New Roman"/>
                <w:sz w:val="21"/>
              </w:rPr>
            </w:pPr>
            <w:r>
              <w:rPr>
                <w:rFonts w:ascii="Times New Roman"/>
                <w:w w:val="99"/>
                <w:sz w:val="21"/>
              </w:rPr>
              <w:t>1</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12" w:right="50"/>
              <w:jc w:val="center"/>
              <w:rPr>
                <w:sz w:val="21"/>
              </w:rPr>
            </w:pPr>
            <w:r>
              <w:rPr>
                <w:w w:val="95"/>
                <w:sz w:val="21"/>
              </w:rPr>
              <w:t xml:space="preserve">在深入调整产业结构方面，坚决淘汰低效落后产能， </w:t>
            </w:r>
            <w:r>
              <w:rPr>
                <w:spacing w:val="-3"/>
                <w:sz w:val="21"/>
              </w:rPr>
              <w:t>严控重点行业新增产能，推动绿色循环低碳改造，加快培育壮大新动能。</w:t>
            </w:r>
          </w:p>
        </w:tc>
        <w:tc>
          <w:tcPr>
            <w:tcW w:w="198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7" w:right="121" w:hanging="20"/>
              <w:jc w:val="both"/>
              <w:rPr>
                <w:sz w:val="21"/>
              </w:rPr>
            </w:pPr>
            <w:r>
              <w:rPr>
                <w:spacing w:val="-11"/>
                <w:sz w:val="21"/>
              </w:rPr>
              <w:t xml:space="preserve">本项目为 </w:t>
            </w:r>
            <w:r>
              <w:rPr>
                <w:rFonts w:ascii="Times New Roman" w:eastAsia="Times New Roman"/>
                <w:sz w:val="21"/>
              </w:rPr>
              <w:t xml:space="preserve">C3360 </w:t>
            </w:r>
            <w:r>
              <w:rPr>
                <w:spacing w:val="-13"/>
                <w:sz w:val="21"/>
              </w:rPr>
              <w:t>金</w:t>
            </w:r>
            <w:r>
              <w:rPr>
                <w:sz w:val="21"/>
              </w:rPr>
              <w:t>属表面处理及热处理加工，非重点行</w:t>
            </w:r>
          </w:p>
          <w:p>
            <w:pPr>
              <w:pStyle w:val="TableParagraph"/>
              <w:spacing w:line="246" w:lineRule="exact"/>
              <w:ind w:left="133" w:right="119"/>
              <w:jc w:val="center"/>
              <w:rPr>
                <w:sz w:val="21"/>
              </w:rPr>
            </w:pPr>
            <w:r>
              <w:rPr>
                <w:sz w:val="21"/>
              </w:rPr>
              <w:t>业。</w:t>
            </w:r>
          </w:p>
        </w:tc>
        <w:tc>
          <w:tcPr>
            <w:tcW w:w="90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6"/>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07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spacing w:before="7"/>
              <w:rPr>
                <w:sz w:val="30"/>
              </w:rPr>
            </w:pPr>
          </w:p>
          <w:p>
            <w:pPr>
              <w:pStyle w:val="TableParagraph"/>
              <w:spacing w:before="1"/>
              <w:ind w:left="250"/>
              <w:rPr>
                <w:rFonts w:ascii="Times New Roman"/>
                <w:sz w:val="21"/>
              </w:rPr>
            </w:pPr>
            <w:r>
              <w:rPr>
                <w:rFonts w:ascii="Times New Roman"/>
                <w:w w:val="99"/>
                <w:sz w:val="21"/>
              </w:rPr>
              <w:t>2</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12" w:right="91" w:hanging="3"/>
              <w:jc w:val="center"/>
              <w:rPr>
                <w:sz w:val="21"/>
              </w:rPr>
            </w:pPr>
            <w:r>
              <w:rPr>
                <w:spacing w:val="-3"/>
                <w:w w:val="95"/>
                <w:sz w:val="21"/>
              </w:rPr>
              <w:t xml:space="preserve">在深入调整能源结构方面，严控化石能源消费，持续 </w:t>
            </w:r>
            <w:r>
              <w:rPr>
                <w:spacing w:val="-7"/>
                <w:w w:val="95"/>
                <w:sz w:val="21"/>
              </w:rPr>
              <w:t xml:space="preserve">压减煤炭使用，提高能源利用效率，壮大清洁能源规 </w:t>
            </w:r>
            <w:r>
              <w:rPr>
                <w:spacing w:val="-7"/>
                <w:sz w:val="21"/>
              </w:rPr>
              <w:t>模。</w:t>
            </w:r>
          </w:p>
        </w:tc>
        <w:tc>
          <w:tcPr>
            <w:tcW w:w="198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7" w:right="138"/>
              <w:jc w:val="both"/>
              <w:rPr>
                <w:sz w:val="21"/>
              </w:rPr>
            </w:pPr>
            <w:r>
              <w:rPr>
                <w:sz w:val="21"/>
              </w:rPr>
              <w:t>本项目主要耗能为电能、天然气，无消耗煤炭等高污染</w:t>
            </w:r>
          </w:p>
          <w:p>
            <w:pPr>
              <w:pStyle w:val="TableParagraph"/>
              <w:spacing w:line="246" w:lineRule="exact"/>
              <w:ind w:left="366"/>
              <w:rPr>
                <w:sz w:val="21"/>
              </w:rPr>
            </w:pPr>
            <w:r>
              <w:rPr>
                <w:sz w:val="21"/>
              </w:rPr>
              <w:t>物燃料工艺。</w:t>
            </w:r>
          </w:p>
        </w:tc>
        <w:tc>
          <w:tcPr>
            <w:tcW w:w="90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6"/>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263"/>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8494" w:type="dxa"/>
            <w:gridSpan w:val="4"/>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491" w:right="1473"/>
              <w:jc w:val="center"/>
              <w:rPr>
                <w:b/>
                <w:sz w:val="21"/>
              </w:rPr>
            </w:pPr>
            <w:r>
              <w:rPr>
                <w:b/>
                <w:sz w:val="21"/>
              </w:rPr>
              <w:t>《山东省涉挥发性有机物企业分行业治理指导意见》</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406" w:type="dxa"/>
          <w:tblLayout w:type="fixed"/>
          <w:tblCellMar>
            <w:top w:w="0" w:type="dxa"/>
            <w:left w:w="0" w:type="dxa"/>
            <w:bottom w:w="0" w:type="dxa"/>
            <w:right w:w="0" w:type="dxa"/>
          </w:tblCellMar>
        </w:tblPrEx>
        <w:trPr>
          <w:trHeight w:val="189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spacing w:before="8"/>
              <w:rPr>
                <w:sz w:val="18"/>
              </w:rPr>
            </w:pPr>
          </w:p>
          <w:p>
            <w:pPr>
              <w:pStyle w:val="TableParagraph"/>
              <w:ind w:left="250"/>
              <w:rPr>
                <w:rFonts w:ascii="Times New Roman"/>
                <w:sz w:val="21"/>
              </w:rPr>
            </w:pPr>
            <w:r>
              <w:rPr>
                <w:rFonts w:ascii="Times New Roman"/>
                <w:w w:val="99"/>
                <w:sz w:val="21"/>
              </w:rPr>
              <w:t>1</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5"/>
              <w:rPr>
                <w:sz w:val="21"/>
              </w:rPr>
            </w:pPr>
            <w:r>
              <w:rPr>
                <w:sz w:val="21"/>
              </w:rPr>
              <w:t>（一</w:t>
            </w:r>
            <w:r>
              <w:rPr>
                <w:spacing w:val="-10"/>
                <w:sz w:val="21"/>
              </w:rPr>
              <w:t>）</w:t>
            </w:r>
            <w:r>
              <w:rPr>
                <w:spacing w:val="-4"/>
                <w:sz w:val="21"/>
              </w:rPr>
              <w:t>推进源头替代。通过使用水性、粉末、高固体</w:t>
            </w:r>
            <w:r>
              <w:rPr>
                <w:spacing w:val="-15"/>
                <w:sz w:val="21"/>
              </w:rPr>
              <w:t xml:space="preserve">分、无溶剂、辐射固化等低 </w:t>
            </w:r>
            <w:r>
              <w:rPr>
                <w:rFonts w:ascii="Times New Roman" w:eastAsia="Times New Roman"/>
                <w:sz w:val="21"/>
              </w:rPr>
              <w:t>VOCs</w:t>
            </w:r>
            <w:r>
              <w:rPr>
                <w:rFonts w:ascii="Times New Roman" w:eastAsia="Times New Roman"/>
                <w:spacing w:val="-4"/>
                <w:sz w:val="21"/>
              </w:rPr>
              <w:t xml:space="preserve"> </w:t>
            </w:r>
            <w:r>
              <w:rPr>
                <w:spacing w:val="-7"/>
                <w:sz w:val="21"/>
              </w:rPr>
              <w:t>含量的涂料，水性、</w:t>
            </w:r>
            <w:r>
              <w:rPr>
                <w:spacing w:val="-12"/>
                <w:sz w:val="21"/>
              </w:rPr>
              <w:t xml:space="preserve">辐射固化、植物基等低 </w:t>
            </w:r>
            <w:r>
              <w:rPr>
                <w:rFonts w:ascii="Times New Roman" w:eastAsia="Times New Roman"/>
                <w:sz w:val="21"/>
              </w:rPr>
              <w:t>VOCs</w:t>
            </w:r>
            <w:r>
              <w:rPr>
                <w:rFonts w:ascii="Times New Roman" w:eastAsia="Times New Roman"/>
                <w:spacing w:val="-1"/>
                <w:sz w:val="21"/>
              </w:rPr>
              <w:t xml:space="preserve"> </w:t>
            </w:r>
            <w:r>
              <w:rPr>
                <w:spacing w:val="-5"/>
                <w:sz w:val="21"/>
              </w:rPr>
              <w:t>含量的油墨，水基、热</w:t>
            </w:r>
            <w:r>
              <w:rPr>
                <w:spacing w:val="-8"/>
                <w:sz w:val="21"/>
              </w:rPr>
              <w:t xml:space="preserve">熔、无溶剂、辐射固化、改性、生物降解等低 </w:t>
            </w:r>
            <w:r>
              <w:rPr>
                <w:rFonts w:ascii="Times New Roman" w:eastAsia="Times New Roman"/>
                <w:sz w:val="21"/>
              </w:rPr>
              <w:t xml:space="preserve">VOCs </w:t>
            </w:r>
            <w:r>
              <w:rPr>
                <w:spacing w:val="-9"/>
                <w:sz w:val="21"/>
              </w:rPr>
              <w:t xml:space="preserve">含量的胶粘剂，以及低 </w:t>
            </w:r>
            <w:r>
              <w:rPr>
                <w:rFonts w:ascii="Times New Roman" w:eastAsia="Times New Roman"/>
                <w:sz w:val="21"/>
              </w:rPr>
              <w:t>VOCs</w:t>
            </w:r>
            <w:r>
              <w:rPr>
                <w:rFonts w:ascii="Times New Roman" w:eastAsia="Times New Roman"/>
                <w:spacing w:val="-2"/>
                <w:sz w:val="21"/>
              </w:rPr>
              <w:t xml:space="preserve"> </w:t>
            </w:r>
            <w:r>
              <w:rPr>
                <w:spacing w:val="-5"/>
                <w:sz w:val="21"/>
              </w:rPr>
              <w:t>含量、低反应活性的清</w:t>
            </w:r>
            <w:r>
              <w:rPr>
                <w:spacing w:val="-15"/>
                <w:w w:val="95"/>
                <w:sz w:val="21"/>
              </w:rPr>
              <w:t>洗剂等，替代溶剂型涂料、油墨、胶粘剂、清洗剂等，</w:t>
            </w:r>
          </w:p>
          <w:p>
            <w:pPr>
              <w:pStyle w:val="TableParagraph"/>
              <w:spacing w:line="247" w:lineRule="exact"/>
              <w:ind w:left="1350"/>
              <w:rPr>
                <w:sz w:val="21"/>
              </w:rPr>
            </w:pPr>
            <w:r>
              <w:rPr>
                <w:sz w:val="21"/>
              </w:rPr>
              <w:t xml:space="preserve">从源头减少 </w:t>
            </w:r>
            <w:r>
              <w:rPr>
                <w:rFonts w:ascii="Times New Roman" w:eastAsia="Times New Roman"/>
                <w:sz w:val="21"/>
              </w:rPr>
              <w:t xml:space="preserve">VOCs </w:t>
            </w:r>
            <w:r>
              <w:rPr>
                <w:sz w:val="21"/>
              </w:rPr>
              <w:t>产生。</w:t>
            </w:r>
          </w:p>
        </w:tc>
        <w:tc>
          <w:tcPr>
            <w:tcW w:w="1986"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
              <w:rPr>
                <w:sz w:val="22"/>
              </w:rPr>
            </w:pPr>
          </w:p>
          <w:p>
            <w:pPr>
              <w:pStyle w:val="TableParagraph"/>
              <w:spacing w:line="242" w:lineRule="auto"/>
              <w:ind w:left="287" w:right="270"/>
              <w:jc w:val="center"/>
              <w:rPr>
                <w:sz w:val="21"/>
              </w:rPr>
            </w:pPr>
            <w:r>
              <w:rPr>
                <w:sz w:val="21"/>
              </w:rPr>
              <w:t>本项目使用低</w:t>
            </w:r>
            <w:r>
              <w:rPr>
                <w:rFonts w:ascii="Times New Roman" w:eastAsia="Times New Roman"/>
                <w:sz w:val="21"/>
              </w:rPr>
              <w:t xml:space="preserve">VOCs </w:t>
            </w:r>
            <w:r>
              <w:rPr>
                <w:sz w:val="21"/>
              </w:rPr>
              <w:t>含量的原料</w:t>
            </w:r>
          </w:p>
        </w:tc>
        <w:tc>
          <w:tcPr>
            <w:tcW w:w="90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3"/>
              <w:rPr>
                <w:sz w:val="23"/>
              </w:rPr>
            </w:pPr>
          </w:p>
          <w:p>
            <w:pPr>
              <w:pStyle w:val="TableParagraph"/>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896"/>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spacing w:before="7"/>
              <w:rPr>
                <w:sz w:val="18"/>
              </w:rPr>
            </w:pPr>
          </w:p>
          <w:p>
            <w:pPr>
              <w:pStyle w:val="TableParagraph"/>
              <w:spacing w:before="1"/>
              <w:ind w:left="250"/>
              <w:rPr>
                <w:rFonts w:ascii="Times New Roman"/>
                <w:sz w:val="21"/>
              </w:rPr>
            </w:pPr>
            <w:r>
              <w:rPr>
                <w:rFonts w:ascii="Times New Roman"/>
                <w:w w:val="99"/>
                <w:sz w:val="21"/>
              </w:rPr>
              <w:t>2</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50" w:firstLine="4"/>
              <w:jc w:val="both"/>
              <w:rPr>
                <w:rFonts w:ascii="Times New Roman" w:eastAsia="Times New Roman"/>
                <w:sz w:val="21"/>
              </w:rPr>
            </w:pPr>
            <w:r>
              <w:rPr>
                <w:sz w:val="21"/>
              </w:rPr>
              <w:t>（二）加强过程控制。</w:t>
            </w:r>
            <w:r>
              <w:rPr>
                <w:rFonts w:ascii="Times New Roman" w:eastAsia="Times New Roman"/>
                <w:sz w:val="21"/>
              </w:rPr>
              <w:t>1.</w:t>
            </w:r>
            <w:r>
              <w:rPr>
                <w:sz w:val="21"/>
              </w:rPr>
              <w:t>加强无组织排放控制。重点</w:t>
            </w:r>
            <w:r>
              <w:rPr>
                <w:spacing w:val="-18"/>
                <w:sz w:val="21"/>
              </w:rPr>
              <w:t xml:space="preserve">对含 </w:t>
            </w:r>
            <w:r>
              <w:rPr>
                <w:rFonts w:ascii="Times New Roman" w:eastAsia="Times New Roman"/>
                <w:sz w:val="21"/>
              </w:rPr>
              <w:t xml:space="preserve">VOCs </w:t>
            </w:r>
            <w:r>
              <w:rPr>
                <w:sz w:val="21"/>
              </w:rPr>
              <w:t>物料（</w:t>
            </w:r>
            <w:r>
              <w:rPr>
                <w:spacing w:val="-14"/>
                <w:sz w:val="21"/>
              </w:rPr>
              <w:t xml:space="preserve">包括含 </w:t>
            </w:r>
            <w:r>
              <w:rPr>
                <w:rFonts w:ascii="Times New Roman" w:eastAsia="Times New Roman"/>
                <w:sz w:val="21"/>
              </w:rPr>
              <w:t>VOCs</w:t>
            </w:r>
            <w:r>
              <w:rPr>
                <w:rFonts w:ascii="Times New Roman" w:eastAsia="Times New Roman"/>
                <w:spacing w:val="-1"/>
                <w:sz w:val="21"/>
              </w:rPr>
              <w:t xml:space="preserve"> </w:t>
            </w:r>
            <w:r>
              <w:rPr>
                <w:spacing w:val="-8"/>
                <w:sz w:val="21"/>
              </w:rPr>
              <w:t xml:space="preserve">原辅材料、含 </w:t>
            </w:r>
            <w:r>
              <w:rPr>
                <w:rFonts w:ascii="Times New Roman" w:eastAsia="Times New Roman"/>
                <w:sz w:val="21"/>
              </w:rPr>
              <w:t xml:space="preserve">VOCs </w:t>
            </w:r>
            <w:r>
              <w:rPr>
                <w:spacing w:val="-12"/>
                <w:sz w:val="21"/>
              </w:rPr>
              <w:t xml:space="preserve">产品、含 </w:t>
            </w:r>
            <w:r>
              <w:rPr>
                <w:rFonts w:ascii="Times New Roman" w:eastAsia="Times New Roman"/>
                <w:sz w:val="21"/>
              </w:rPr>
              <w:t>VOCs</w:t>
            </w:r>
            <w:r>
              <w:rPr>
                <w:rFonts w:ascii="Times New Roman" w:eastAsia="Times New Roman"/>
                <w:spacing w:val="-5"/>
                <w:sz w:val="21"/>
              </w:rPr>
              <w:t xml:space="preserve"> </w:t>
            </w:r>
            <w:r>
              <w:rPr>
                <w:sz w:val="21"/>
              </w:rPr>
              <w:t>废料以及有机聚合物材料等）储存、</w:t>
            </w:r>
            <w:r>
              <w:rPr>
                <w:w w:val="95"/>
                <w:sz w:val="21"/>
              </w:rPr>
              <w:t xml:space="preserve">转移和输送、设备与管线组件泄漏、敞开液面逸散、 </w:t>
            </w:r>
            <w:r>
              <w:rPr>
                <w:spacing w:val="-3"/>
                <w:sz w:val="21"/>
              </w:rPr>
              <w:t>工艺过程等五类排放源实施管控，通过采取设备与场</w:t>
            </w:r>
            <w:r>
              <w:rPr>
                <w:spacing w:val="-18"/>
                <w:sz w:val="21"/>
              </w:rPr>
              <w:t xml:space="preserve">所密闭、工艺改进、废气有效收集等措施，削减 </w:t>
            </w:r>
            <w:r>
              <w:rPr>
                <w:rFonts w:ascii="Times New Roman" w:eastAsia="Times New Roman"/>
                <w:sz w:val="21"/>
              </w:rPr>
              <w:t>VOCs</w:t>
            </w:r>
          </w:p>
          <w:p>
            <w:pPr>
              <w:pStyle w:val="TableParagraph"/>
              <w:spacing w:line="246" w:lineRule="exact"/>
              <w:ind w:left="107" w:right="91"/>
              <w:jc w:val="center"/>
              <w:rPr>
                <w:sz w:val="21"/>
              </w:rPr>
            </w:pPr>
            <w:r>
              <w:rPr>
                <w:sz w:val="21"/>
              </w:rPr>
              <w:t>无组织排放。</w:t>
            </w:r>
          </w:p>
        </w:tc>
        <w:tc>
          <w:tcPr>
            <w:tcW w:w="198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0"/>
              <w:rPr>
                <w:sz w:val="14"/>
              </w:rPr>
            </w:pPr>
          </w:p>
          <w:p>
            <w:pPr>
              <w:pStyle w:val="TableParagraph"/>
              <w:spacing w:line="242" w:lineRule="auto"/>
              <w:ind w:left="157" w:right="138" w:hanging="1"/>
              <w:jc w:val="center"/>
              <w:rPr>
                <w:sz w:val="21"/>
              </w:rPr>
            </w:pPr>
            <w:r>
              <w:rPr>
                <w:sz w:val="21"/>
              </w:rPr>
              <w:t xml:space="preserve">项目使用低 </w:t>
            </w:r>
            <w:r>
              <w:rPr>
                <w:rFonts w:ascii="Times New Roman" w:eastAsia="Times New Roman"/>
                <w:sz w:val="21"/>
              </w:rPr>
              <w:t xml:space="preserve">VOCs </w:t>
            </w:r>
            <w:r>
              <w:rPr>
                <w:sz w:val="21"/>
              </w:rPr>
              <w:t xml:space="preserve">含量原料，密闭包装置于车间内； </w:t>
            </w:r>
            <w:r>
              <w:rPr>
                <w:rFonts w:ascii="Times New Roman" w:eastAsia="Times New Roman"/>
                <w:sz w:val="21"/>
              </w:rPr>
              <w:t xml:space="preserve">VOCs </w:t>
            </w:r>
            <w:r>
              <w:rPr>
                <w:sz w:val="21"/>
              </w:rPr>
              <w:t>废气产生工序都设有废气收集装置收集后经有机废气处理装置处理后高空排放</w:t>
            </w:r>
          </w:p>
        </w:tc>
        <w:tc>
          <w:tcPr>
            <w:tcW w:w="90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5"/>
              <w:rPr>
                <w:sz w:val="23"/>
              </w:rPr>
            </w:pPr>
          </w:p>
          <w:p>
            <w:pPr>
              <w:pStyle w:val="TableParagraph"/>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079"/>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spacing w:before="8"/>
              <w:rPr>
                <w:sz w:val="30"/>
              </w:rPr>
            </w:pPr>
          </w:p>
          <w:p>
            <w:pPr>
              <w:pStyle w:val="TableParagraph"/>
              <w:ind w:left="250"/>
              <w:rPr>
                <w:rFonts w:ascii="Times New Roman"/>
                <w:sz w:val="21"/>
              </w:rPr>
            </w:pPr>
            <w:r>
              <w:rPr>
                <w:rFonts w:ascii="Times New Roman"/>
                <w:w w:val="99"/>
                <w:sz w:val="21"/>
              </w:rPr>
              <w:t>3</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91" w:firstLine="4"/>
              <w:jc w:val="both"/>
              <w:rPr>
                <w:sz w:val="21"/>
              </w:rPr>
            </w:pPr>
            <w:r>
              <w:rPr>
                <w:rFonts w:ascii="Times New Roman" w:eastAsia="Times New Roman"/>
                <w:sz w:val="21"/>
              </w:rPr>
              <w:t>2.</w:t>
            </w:r>
            <w:r>
              <w:rPr>
                <w:spacing w:val="-5"/>
                <w:sz w:val="21"/>
              </w:rPr>
              <w:t xml:space="preserve">加强设备与场所密闭管理。含 </w:t>
            </w:r>
            <w:r>
              <w:rPr>
                <w:rFonts w:ascii="Times New Roman" w:eastAsia="Times New Roman"/>
                <w:sz w:val="21"/>
              </w:rPr>
              <w:t xml:space="preserve">VOCs </w:t>
            </w:r>
            <w:r>
              <w:rPr>
                <w:sz w:val="21"/>
              </w:rPr>
              <w:t>物料应储存于</w:t>
            </w:r>
            <w:r>
              <w:rPr>
                <w:spacing w:val="-5"/>
                <w:w w:val="95"/>
                <w:sz w:val="21"/>
              </w:rPr>
              <w:t xml:space="preserve">密闭容器、包装袋，高效密封储罐，封闭式储库、料 </w:t>
            </w:r>
            <w:r>
              <w:rPr>
                <w:spacing w:val="-19"/>
                <w:sz w:val="21"/>
              </w:rPr>
              <w:t xml:space="preserve">仓等。含 </w:t>
            </w:r>
            <w:r>
              <w:rPr>
                <w:rFonts w:ascii="Times New Roman" w:eastAsia="Times New Roman"/>
                <w:sz w:val="21"/>
              </w:rPr>
              <w:t xml:space="preserve">VOCs </w:t>
            </w:r>
            <w:r>
              <w:rPr>
                <w:spacing w:val="-3"/>
                <w:sz w:val="21"/>
              </w:rPr>
              <w:t>物料转移和输送，应采用密闭管道或</w:t>
            </w:r>
          </w:p>
          <w:p>
            <w:pPr>
              <w:pStyle w:val="TableParagraph"/>
              <w:spacing w:line="246" w:lineRule="exact"/>
              <w:ind w:left="1561"/>
              <w:rPr>
                <w:sz w:val="21"/>
              </w:rPr>
            </w:pPr>
            <w:r>
              <w:rPr>
                <w:sz w:val="21"/>
              </w:rPr>
              <w:t>密闭容器、罐车等。</w:t>
            </w:r>
          </w:p>
        </w:tc>
        <w:tc>
          <w:tcPr>
            <w:tcW w:w="1986" w:type="dxa"/>
            <w:vMerge/>
            <w:tcBorders>
              <w:top w:val="nil"/>
              <w:left w:val="single" w:sz="4" w:space="0" w:color="000000"/>
              <w:bottom w:val="single" w:sz="4" w:space="0" w:color="000000"/>
              <w:right w:val="single" w:sz="4" w:space="0" w:color="000000"/>
            </w:tcBorders>
          </w:tcPr>
          <w:p>
            <w:pPr>
              <w:rPr>
                <w:sz w:val="2"/>
                <w:szCs w:val="2"/>
              </w:rPr>
            </w:pPr>
          </w:p>
        </w:tc>
        <w:tc>
          <w:tcPr>
            <w:tcW w:w="90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6"/>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078"/>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single" w:sz="4" w:space="0" w:color="000000"/>
              <w:right w:val="single" w:sz="4" w:space="0" w:color="000000"/>
            </w:tcBorders>
          </w:tcPr>
          <w:p>
            <w:pPr>
              <w:pStyle w:val="TableParagraph"/>
              <w:spacing w:before="8"/>
              <w:rPr>
                <w:sz w:val="30"/>
              </w:rPr>
            </w:pPr>
          </w:p>
          <w:p>
            <w:pPr>
              <w:pStyle w:val="TableParagraph"/>
              <w:ind w:left="250"/>
              <w:rPr>
                <w:rFonts w:ascii="Times New Roman"/>
                <w:sz w:val="21"/>
              </w:rPr>
            </w:pPr>
            <w:r>
              <w:rPr>
                <w:rFonts w:ascii="Times New Roman"/>
                <w:w w:val="99"/>
                <w:sz w:val="21"/>
              </w:rPr>
              <w:t>4</w:t>
            </w:r>
          </w:p>
        </w:tc>
        <w:tc>
          <w:tcPr>
            <w:tcW w:w="50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5"/>
              <w:rPr>
                <w:sz w:val="21"/>
              </w:rPr>
            </w:pPr>
            <w:r>
              <w:rPr>
                <w:rFonts w:ascii="Times New Roman" w:eastAsia="Times New Roman"/>
                <w:w w:val="95"/>
                <w:sz w:val="21"/>
              </w:rPr>
              <w:t>3.</w:t>
            </w:r>
            <w:r>
              <w:rPr>
                <w:spacing w:val="-8"/>
                <w:w w:val="95"/>
                <w:sz w:val="21"/>
              </w:rPr>
              <w:t xml:space="preserve">推进使用先进生产工艺。通过采用全密闭、连续化、 </w:t>
            </w:r>
            <w:r>
              <w:rPr>
                <w:spacing w:val="-10"/>
                <w:sz w:val="21"/>
              </w:rPr>
              <w:t>自动化等生产技术，以及高效工艺与设备等，减少工</w:t>
            </w:r>
            <w:r>
              <w:rPr>
                <w:spacing w:val="-11"/>
                <w:sz w:val="21"/>
              </w:rPr>
              <w:t>艺过程无组织排放。挥发性有机液体装载优先采用底</w:t>
            </w:r>
          </w:p>
          <w:p>
            <w:pPr>
              <w:pStyle w:val="TableParagraph"/>
              <w:spacing w:line="246" w:lineRule="exact"/>
              <w:ind w:left="1876"/>
              <w:rPr>
                <w:sz w:val="21"/>
              </w:rPr>
            </w:pPr>
            <w:r>
              <w:rPr>
                <w:sz w:val="21"/>
              </w:rPr>
              <w:t>部装载方式。</w:t>
            </w:r>
          </w:p>
        </w:tc>
        <w:tc>
          <w:tcPr>
            <w:tcW w:w="1986" w:type="dxa"/>
            <w:vMerge/>
            <w:tcBorders>
              <w:top w:val="nil"/>
              <w:left w:val="single" w:sz="4" w:space="0" w:color="000000"/>
              <w:bottom w:val="single" w:sz="4" w:space="0" w:color="000000"/>
              <w:right w:val="single" w:sz="4" w:space="0" w:color="000000"/>
            </w:tcBorders>
          </w:tcPr>
          <w:p>
            <w:pPr>
              <w:rPr>
                <w:sz w:val="2"/>
                <w:szCs w:val="2"/>
              </w:rPr>
            </w:pPr>
          </w:p>
        </w:tc>
        <w:tc>
          <w:tcPr>
            <w:tcW w:w="905"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6"/>
              <w:ind w:left="116" w:right="103"/>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1359"/>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599" w:type="dxa"/>
            <w:tcBorders>
              <w:top w:val="single" w:sz="4" w:space="0" w:color="000000"/>
              <w:left w:val="single" w:sz="4" w:space="0" w:color="000000"/>
              <w:bottom w:val="thickThinMediumGap" w:sz="4" w:space="0" w:color="000000"/>
              <w:right w:val="single" w:sz="4" w:space="0" w:color="000000"/>
            </w:tcBorders>
          </w:tcPr>
          <w:p>
            <w:pPr>
              <w:pStyle w:val="TableParagraph"/>
              <w:rPr>
                <w:sz w:val="22"/>
              </w:rPr>
            </w:pPr>
          </w:p>
          <w:p>
            <w:pPr>
              <w:pStyle w:val="TableParagraph"/>
              <w:spacing w:before="4"/>
              <w:rPr>
                <w:sz w:val="19"/>
              </w:rPr>
            </w:pPr>
          </w:p>
          <w:p>
            <w:pPr>
              <w:pStyle w:val="TableParagraph"/>
              <w:ind w:left="250"/>
              <w:rPr>
                <w:rFonts w:ascii="Times New Roman"/>
                <w:sz w:val="21"/>
              </w:rPr>
            </w:pPr>
            <w:r>
              <w:rPr>
                <w:rFonts w:ascii="Times New Roman"/>
                <w:w w:val="99"/>
                <w:sz w:val="21"/>
              </w:rPr>
              <w:t>5</w:t>
            </w:r>
          </w:p>
        </w:tc>
        <w:tc>
          <w:tcPr>
            <w:tcW w:w="5004"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2" w:right="91" w:firstLine="4"/>
              <w:jc w:val="both"/>
              <w:rPr>
                <w:sz w:val="21"/>
              </w:rPr>
            </w:pPr>
            <w:r>
              <w:rPr>
                <w:rFonts w:ascii="Times New Roman" w:eastAsia="Times New Roman" w:hAnsi="Times New Roman"/>
                <w:sz w:val="21"/>
              </w:rPr>
              <w:t>4.</w:t>
            </w:r>
            <w:r>
              <w:rPr>
                <w:sz w:val="21"/>
              </w:rPr>
              <w:t>遵循“应收尽收、分质收集”的原则，科学设计废</w:t>
            </w:r>
            <w:r>
              <w:rPr>
                <w:spacing w:val="-6"/>
                <w:w w:val="95"/>
                <w:sz w:val="21"/>
              </w:rPr>
              <w:t xml:space="preserve">气收集系统，将无组织排放转变为有组织排放进行控 </w:t>
            </w:r>
            <w:r>
              <w:rPr>
                <w:spacing w:val="-7"/>
                <w:w w:val="95"/>
                <w:sz w:val="21"/>
              </w:rPr>
              <w:t>制。采用全密闭措施的，除行业有特殊要求外，应保</w:t>
            </w:r>
          </w:p>
          <w:p>
            <w:pPr>
              <w:pStyle w:val="TableParagraph"/>
              <w:spacing w:line="270" w:lineRule="atLeast"/>
              <w:ind w:left="112" w:right="91"/>
              <w:jc w:val="both"/>
              <w:rPr>
                <w:sz w:val="21"/>
              </w:rPr>
            </w:pPr>
            <w:r>
              <w:rPr>
                <w:spacing w:val="-4"/>
                <w:w w:val="95"/>
                <w:sz w:val="21"/>
              </w:rPr>
              <w:t xml:space="preserve">持微负压状态，并根据相关规范合理设置配风量。采 </w:t>
            </w:r>
            <w:r>
              <w:rPr>
                <w:spacing w:val="-12"/>
                <w:sz w:val="21"/>
              </w:rPr>
              <w:t xml:space="preserve">用局部集气罩的，距集气罩开口面最远处的 </w:t>
            </w:r>
            <w:r>
              <w:rPr>
                <w:rFonts w:ascii="Times New Roman" w:eastAsia="Times New Roman"/>
                <w:sz w:val="21"/>
              </w:rPr>
              <w:t>VOCs</w:t>
            </w:r>
            <w:r>
              <w:rPr>
                <w:rFonts w:ascii="Times New Roman" w:eastAsia="Times New Roman"/>
                <w:spacing w:val="-4"/>
                <w:sz w:val="21"/>
              </w:rPr>
              <w:t xml:space="preserve"> </w:t>
            </w:r>
            <w:r>
              <w:rPr>
                <w:sz w:val="21"/>
              </w:rPr>
              <w:t>无</w:t>
            </w:r>
          </w:p>
        </w:tc>
        <w:tc>
          <w:tcPr>
            <w:tcW w:w="1986" w:type="dxa"/>
            <w:tcBorders>
              <w:top w:val="single" w:sz="4" w:space="0" w:color="000000"/>
              <w:left w:val="single" w:sz="4" w:space="0" w:color="000000"/>
              <w:bottom w:val="thickThinMediumGap" w:sz="4" w:space="0" w:color="000000"/>
              <w:right w:val="single" w:sz="4" w:space="0" w:color="000000"/>
            </w:tcBorders>
          </w:tcPr>
          <w:p>
            <w:pPr>
              <w:pStyle w:val="TableParagraph"/>
              <w:spacing w:before="131" w:line="242" w:lineRule="auto"/>
              <w:ind w:left="157" w:right="138"/>
              <w:jc w:val="center"/>
              <w:rPr>
                <w:sz w:val="21"/>
              </w:rPr>
            </w:pPr>
            <w:r>
              <w:rPr>
                <w:sz w:val="21"/>
              </w:rPr>
              <w:t>项目的治污设施的设计与安装应充分考虑安全性、经济性及适用性。</w:t>
            </w:r>
          </w:p>
        </w:tc>
        <w:tc>
          <w:tcPr>
            <w:tcW w:w="905"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spacing w:before="1"/>
              <w:rPr>
                <w:sz w:val="22"/>
              </w:rPr>
            </w:pPr>
          </w:p>
          <w:p>
            <w:pPr>
              <w:pStyle w:val="TableParagraph"/>
              <w:ind w:left="116" w:right="103"/>
              <w:jc w:val="center"/>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pStyle w:val="BodyText"/>
        <w:rPr>
          <w:sz w:val="20"/>
        </w:rPr>
      </w:pPr>
    </w:p>
    <w:p>
      <w:pPr>
        <w:pStyle w:val="BodyText"/>
        <w:spacing w:before="9"/>
        <w:rPr>
          <w:sz w:val="19"/>
        </w:rPr>
      </w:pPr>
    </w:p>
    <w:p>
      <w:pPr>
        <w:spacing w:before="62"/>
        <w:ind w:left="0" w:right="649" w:firstLine="0"/>
        <w:jc w:val="right"/>
        <w:rPr>
          <w:sz w:val="28"/>
        </w:rPr>
      </w:pPr>
      <w:r>
        <w:rPr>
          <w:sz w:val="28"/>
        </w:rPr>
        <w:t xml:space="preserve">— </w:t>
      </w:r>
      <w:r>
        <w:rPr>
          <w:sz w:val="26"/>
        </w:rPr>
        <w:t xml:space="preserve">21 </w:t>
      </w:r>
      <w:r>
        <w:rPr>
          <w:sz w:val="28"/>
        </w:rPr>
        <w:t>—</w:t>
      </w:r>
    </w:p>
    <w:p>
      <w:pPr>
        <w:spacing w:after="0"/>
        <w:jc w:val="right"/>
        <w:rPr>
          <w:sz w:val="28"/>
        </w:rPr>
        <w:sectPr>
          <w:pgSz w:w="11910" w:h="16840"/>
          <w:pgMar w:top="1580" w:right="879" w:bottom="280" w:left="900" w:header="720" w:footer="720" w:gutter="0"/>
          <w:pgNumType w:start="22"/>
          <w:cols w:num="1" w:space="720"/>
        </w:sectPr>
      </w:pPr>
    </w:p>
    <w:p>
      <w:pPr>
        <w:spacing w:before="125" w:line="242" w:lineRule="auto"/>
        <w:ind w:left="1809" w:right="3425" w:firstLine="0"/>
        <w:jc w:val="both"/>
        <w:rPr>
          <w:sz w:val="21"/>
        </w:rPr>
      </w:pPr>
      <w:r>
        <w:rPr>
          <w:spacing w:val="-8"/>
          <w:sz w:val="21"/>
        </w:rPr>
        <w:t xml:space="preserve">组织排放位置，控制风速应不低于 </w:t>
      </w:r>
      <w:r>
        <w:rPr>
          <w:rFonts w:ascii="Times New Roman" w:eastAsia="Times New Roman"/>
          <w:sz w:val="21"/>
        </w:rPr>
        <w:t xml:space="preserve">0.3 </w:t>
      </w:r>
      <w:r>
        <w:rPr>
          <w:sz w:val="21"/>
        </w:rPr>
        <w:t>米</w:t>
      </w:r>
      <w:r>
        <w:rPr>
          <w:rFonts w:ascii="Times New Roman" w:eastAsia="Times New Roman"/>
          <w:sz w:val="21"/>
        </w:rPr>
        <w:t>/</w:t>
      </w:r>
      <w:r>
        <w:rPr>
          <w:spacing w:val="-5"/>
          <w:sz w:val="21"/>
        </w:rPr>
        <w:t>秒，有行业</w:t>
      </w:r>
      <w:r>
        <w:rPr>
          <w:spacing w:val="-8"/>
          <w:sz w:val="21"/>
        </w:rPr>
        <w:t>要求的按照相关规定执行；集气罩的设计、安装应符</w:t>
      </w:r>
      <w:r>
        <w:rPr>
          <w:spacing w:val="-7"/>
          <w:sz w:val="21"/>
        </w:rPr>
        <w:t>合《机械安全 局部排气通风系统安全要求》</w:t>
      </w:r>
      <w:r>
        <w:rPr>
          <w:sz w:val="21"/>
        </w:rPr>
        <w:t>（</w:t>
      </w:r>
      <w:r>
        <w:rPr>
          <w:rFonts w:ascii="Times New Roman" w:eastAsia="Times New Roman"/>
          <w:sz w:val="21"/>
        </w:rPr>
        <w:t xml:space="preserve">GB/T </w:t>
      </w:r>
      <w:r>
        <w:rPr>
          <w:rFonts w:ascii="Times New Roman" w:eastAsia="Times New Roman"/>
          <w:spacing w:val="-4"/>
          <w:w w:val="95"/>
          <w:sz w:val="21"/>
        </w:rPr>
        <w:t>35077</w:t>
      </w:r>
      <w:r>
        <w:rPr>
          <w:spacing w:val="-4"/>
          <w:w w:val="95"/>
          <w:sz w:val="21"/>
        </w:rPr>
        <w:t>），通风管路设计应符合《通风管道技术规程》</w:t>
      </w:r>
    </w:p>
    <w:p>
      <w:pPr>
        <w:spacing w:before="0"/>
        <w:ind w:left="2848" w:right="0" w:firstLine="0"/>
        <w:jc w:val="left"/>
        <w:rPr>
          <w:sz w:val="21"/>
        </w:rPr>
      </w:pPr>
      <w:r>
        <w:rPr>
          <w:sz w:val="21"/>
        </w:rPr>
        <w:t>（</w:t>
      </w:r>
      <w:r>
        <w:rPr>
          <w:rFonts w:ascii="Times New Roman" w:eastAsia="Times New Roman"/>
          <w:sz w:val="21"/>
        </w:rPr>
        <w:t>JGJ/T141</w:t>
      </w:r>
      <w:r>
        <w:rPr>
          <w:sz w:val="21"/>
        </w:rPr>
        <w:t>）等相关规范要求</w:t>
      </w:r>
    </w:p>
    <w:p>
      <w:pPr>
        <w:spacing w:before="14" w:line="252" w:lineRule="auto"/>
        <w:ind w:left="1703" w:right="1309" w:firstLine="177"/>
        <w:jc w:val="left"/>
        <w:rPr>
          <w:sz w:val="21"/>
        </w:rPr>
      </w:pPr>
      <w:r>
        <w:rPr>
          <w:b/>
          <w:sz w:val="21"/>
        </w:rPr>
        <w:t>《山东省工业企业无组织排放分行业管控指导意见》（鲁环发</w:t>
      </w:r>
      <w:r>
        <w:rPr>
          <w:rFonts w:ascii="Times New Roman" w:eastAsia="Times New Roman"/>
          <w:b/>
          <w:sz w:val="21"/>
        </w:rPr>
        <w:t>[2020]30</w:t>
      </w:r>
      <w:r>
        <w:rPr>
          <w:rFonts w:ascii="Times New Roman" w:eastAsia="Times New Roman"/>
          <w:b/>
          <w:spacing w:val="-9"/>
          <w:sz w:val="21"/>
        </w:rPr>
        <w:t xml:space="preserve"> </w:t>
      </w:r>
      <w:r>
        <w:rPr>
          <w:b/>
          <w:sz w:val="21"/>
        </w:rPr>
        <w:t xml:space="preserve">号） </w:t>
      </w:r>
      <w:r>
        <w:rPr>
          <w:spacing w:val="-5"/>
          <w:sz w:val="21"/>
        </w:rPr>
        <w:t>加强生产环节管控。通过提高工艺自动化和设备密闭化</w:t>
      </w:r>
    </w:p>
    <w:p>
      <w:pPr>
        <w:spacing w:before="0" w:line="242" w:lineRule="auto"/>
        <w:ind w:left="1703" w:right="3421" w:firstLine="0"/>
        <w:jc w:val="left"/>
        <w:rPr>
          <w:sz w:val="21"/>
        </w:rPr>
      </w:pPr>
      <w:r>
        <w:rPr>
          <w:spacing w:val="-6"/>
          <w:sz w:val="21"/>
        </w:rPr>
        <w:t>水平，减少生产过程中的无组织排放。生产过程中的产</w:t>
      </w:r>
      <w:r>
        <w:rPr>
          <w:spacing w:val="3"/>
          <w:w w:val="95"/>
          <w:sz w:val="21"/>
        </w:rPr>
        <w:t>尘点和</w:t>
      </w:r>
      <w:r>
        <w:rPr>
          <w:rFonts w:ascii="Times New Roman" w:eastAsia="Times New Roman"/>
          <w:w w:val="95"/>
          <w:sz w:val="21"/>
        </w:rPr>
        <w:t>VOCs</w:t>
      </w:r>
      <w:r>
        <w:rPr>
          <w:w w:val="95"/>
          <w:sz w:val="21"/>
        </w:rPr>
        <w:t>产生点密闭、封闭或采取有效收集处理措</w:t>
      </w:r>
    </w:p>
    <w:p>
      <w:pPr>
        <w:spacing w:after="0" w:line="242" w:lineRule="auto"/>
        <w:jc w:val="left"/>
        <w:rPr>
          <w:sz w:val="21"/>
        </w:rPr>
        <w:sectPr>
          <w:pgSz w:w="11910" w:h="16840"/>
          <w:pgMar w:top="1580" w:right="879" w:bottom="280" w:left="900" w:header="720" w:footer="720" w:gutter="0"/>
          <w:pgNumType w:start="23"/>
          <w:cols w:num="1" w:space="720"/>
        </w:sectPr>
      </w:pPr>
    </w:p>
    <w:p>
      <w:pPr>
        <w:spacing w:before="0" w:line="260" w:lineRule="exact"/>
        <w:ind w:left="1703" w:right="0" w:firstLine="0"/>
        <w:jc w:val="left"/>
        <w:rPr>
          <w:sz w:val="21"/>
        </w:rPr>
      </w:pPr>
      <w:r>
        <w:rPr>
          <w:w w:val="95"/>
          <w:sz w:val="21"/>
        </w:rPr>
        <w:t>施。生产设备和废气收集处理设施同步运行，废气收集</w:t>
      </w:r>
    </w:p>
    <w:p>
      <w:pPr>
        <w:spacing w:before="125" w:line="167" w:lineRule="exact"/>
        <w:ind w:left="65" w:right="0" w:firstLine="0"/>
        <w:jc w:val="left"/>
        <w:rPr>
          <w:sz w:val="21"/>
        </w:rPr>
      </w:pPr>
      <w:r>
        <w:br w:type="column"/>
      </w:r>
      <w:r>
        <w:rPr>
          <w:sz w:val="21"/>
        </w:rPr>
        <w:t>项目使用低</w:t>
      </w:r>
      <w:r>
        <w:rPr>
          <w:rFonts w:ascii="Times New Roman" w:eastAsia="Times New Roman"/>
          <w:sz w:val="21"/>
        </w:rPr>
        <w:t>VOCs</w:t>
      </w:r>
      <w:r>
        <w:rPr>
          <w:sz w:val="21"/>
        </w:rPr>
        <w:t>含</w:t>
      </w:r>
    </w:p>
    <w:p>
      <w:pPr>
        <w:spacing w:after="0" w:line="167" w:lineRule="exact"/>
        <w:jc w:val="left"/>
        <w:rPr>
          <w:sz w:val="21"/>
        </w:rPr>
        <w:sectPr>
          <w:type w:val="continuous"/>
          <w:pgSz w:w="11910" w:h="16840"/>
          <w:pgMar w:top="1580" w:right="879" w:bottom="280" w:left="900" w:header="720" w:footer="720" w:gutter="0"/>
          <w:pgNumType w:start="24"/>
          <w:cols w:num="2" w:space="708" w:equalWidth="0">
            <w:col w:w="6701" w:space="40"/>
            <w:col w:w="3390" w:space="0"/>
          </w:cols>
        </w:sectPr>
      </w:pPr>
    </w:p>
    <w:p>
      <w:pPr>
        <w:spacing w:before="0" w:line="160" w:lineRule="auto"/>
        <w:ind w:left="1703" w:right="1439" w:firstLine="0"/>
        <w:jc w:val="left"/>
        <w:rPr>
          <w:sz w:val="21"/>
        </w:rPr>
      </w:pPr>
      <w:r>
        <w:rPr>
          <w:sz w:val="21"/>
        </w:rPr>
        <w:t xml:space="preserve">处理设施发生故障或检修时，停止运行对应的生产设 </w:t>
      </w:r>
      <w:r>
        <w:rPr>
          <w:position w:val="-13"/>
          <w:sz w:val="21"/>
        </w:rPr>
        <w:t>量原料，密闭包装置</w:t>
      </w:r>
      <w:r>
        <w:rPr>
          <w:w w:val="95"/>
          <w:sz w:val="21"/>
        </w:rPr>
        <w:t>备，待检修完毕后投入使用。生产设备不能停止或不能</w:t>
      </w:r>
      <w:r>
        <w:rPr>
          <w:w w:val="95"/>
          <w:position w:val="-12"/>
          <w:sz w:val="21"/>
        </w:rPr>
        <w:t>于车间内；</w:t>
      </w:r>
      <w:r>
        <w:rPr>
          <w:rFonts w:ascii="Times New Roman" w:eastAsia="Times New Roman"/>
          <w:w w:val="95"/>
          <w:position w:val="-12"/>
          <w:sz w:val="21"/>
        </w:rPr>
        <w:t>VOCs</w:t>
      </w:r>
      <w:r>
        <w:rPr>
          <w:w w:val="95"/>
          <w:position w:val="-12"/>
          <w:sz w:val="21"/>
        </w:rPr>
        <w:t>废气</w:t>
      </w:r>
    </w:p>
    <w:p>
      <w:pPr>
        <w:pStyle w:val="ListParagraph"/>
        <w:numPr>
          <w:ilvl w:val="0"/>
          <w:numId w:val="6"/>
        </w:numPr>
        <w:tabs>
          <w:tab w:val="left" w:pos="1703"/>
          <w:tab w:val="left" w:pos="1704"/>
          <w:tab w:val="left" w:pos="8932"/>
        </w:tabs>
        <w:spacing w:before="0" w:after="0" w:line="117" w:lineRule="auto"/>
        <w:ind w:left="1704" w:right="0" w:hanging="356"/>
        <w:jc w:val="left"/>
        <w:rPr>
          <w:sz w:val="21"/>
        </w:rPr>
      </w:pPr>
      <w:r>
        <w:rPr>
          <w:sz w:val="21"/>
        </w:rPr>
        <w:t>及时停止运行的</w:t>
      </w:r>
      <w:r>
        <w:rPr>
          <w:spacing w:val="-41"/>
          <w:sz w:val="21"/>
        </w:rPr>
        <w:t>，</w:t>
      </w:r>
      <w:r>
        <w:rPr>
          <w:sz w:val="21"/>
        </w:rPr>
        <w:t>设置废气应急处理设施或采取其他替</w:t>
      </w:r>
      <w:r>
        <w:rPr>
          <w:spacing w:val="-57"/>
          <w:sz w:val="21"/>
        </w:rPr>
        <w:t xml:space="preserve"> </w:t>
      </w:r>
      <w:r>
        <w:rPr>
          <w:position w:val="-12"/>
          <w:sz w:val="21"/>
        </w:rPr>
        <w:t>产生工序都设有废气</w:t>
      </w:r>
      <w:r>
        <w:rPr>
          <w:position w:val="-12"/>
          <w:sz w:val="21"/>
        </w:rPr>
        <w:tab/>
      </w:r>
      <w:r>
        <w:rPr>
          <w:position w:val="-12"/>
          <w:sz w:val="21"/>
        </w:rPr>
        <w:t>符合</w:t>
      </w:r>
    </w:p>
    <w:p>
      <w:pPr>
        <w:spacing w:before="0" w:line="163" w:lineRule="auto"/>
        <w:ind w:left="1703" w:right="1482" w:firstLine="0"/>
        <w:jc w:val="left"/>
        <w:rPr>
          <w:sz w:val="21"/>
        </w:rPr>
      </w:pPr>
      <w:r>
        <w:rPr>
          <w:spacing w:val="-8"/>
          <w:sz w:val="21"/>
        </w:rPr>
        <w:t xml:space="preserve">代措施。生产车间地面及生产设备表面保持清洁，除电 </w:t>
      </w:r>
      <w:r>
        <w:rPr>
          <w:position w:val="-12"/>
          <w:sz w:val="21"/>
        </w:rPr>
        <w:t>收集装置收集后经有</w:t>
      </w:r>
      <w:r>
        <w:rPr>
          <w:spacing w:val="-10"/>
          <w:sz w:val="21"/>
        </w:rPr>
        <w:t xml:space="preserve">子、电气原件外，不得采用压缩空气吹扫等易产生扬尘 </w:t>
      </w:r>
      <w:r>
        <w:rPr>
          <w:position w:val="-12"/>
          <w:sz w:val="21"/>
        </w:rPr>
        <w:t>机废气处理装置处理</w:t>
      </w:r>
    </w:p>
    <w:p>
      <w:pPr>
        <w:spacing w:before="0" w:line="58" w:lineRule="exact"/>
        <w:ind w:left="1703" w:right="0" w:firstLine="0"/>
        <w:jc w:val="left"/>
        <w:rPr>
          <w:sz w:val="21"/>
        </w:rPr>
      </w:pPr>
      <w:r>
        <w:rPr>
          <w:sz w:val="21"/>
        </w:rPr>
        <w:t>的清理措施。厂内污水收集、输送、处理，污泥产生、</w:t>
      </w:r>
    </w:p>
    <w:p>
      <w:pPr>
        <w:spacing w:after="0" w:line="58" w:lineRule="exact"/>
        <w:jc w:val="left"/>
        <w:rPr>
          <w:sz w:val="21"/>
        </w:rPr>
        <w:sectPr>
          <w:type w:val="continuous"/>
          <w:pgSz w:w="11910" w:h="16840"/>
          <w:pgMar w:top="1580" w:right="879" w:bottom="280" w:left="900" w:header="720" w:footer="720" w:gutter="0"/>
          <w:pgNumType w:start="25"/>
          <w:cols w:num="1" w:space="720"/>
        </w:sectPr>
      </w:pPr>
    </w:p>
    <w:p>
      <w:pPr>
        <w:spacing w:before="28" w:line="242" w:lineRule="auto"/>
        <w:ind w:left="1703" w:right="41" w:firstLine="0"/>
        <w:jc w:val="both"/>
        <w:rPr>
          <w:sz w:val="21"/>
        </w:rPr>
      </w:pPr>
      <w:r>
        <w:rPr>
          <w:sz w:val="21"/>
        </w:rPr>
        <w:t>暂存、处置，危险废物暂存等产</w:t>
      </w:r>
      <w:r>
        <w:rPr>
          <w:rFonts w:ascii="Times New Roman" w:eastAsia="Times New Roman"/>
          <w:sz w:val="21"/>
        </w:rPr>
        <w:t>VOCs</w:t>
      </w:r>
      <w:r>
        <w:rPr>
          <w:sz w:val="21"/>
        </w:rPr>
        <w:t>或恶臭气体的区域加罩或加盖封闭并进行收集处理。涉</w:t>
      </w:r>
      <w:r>
        <w:rPr>
          <w:rFonts w:ascii="Times New Roman" w:eastAsia="Times New Roman"/>
          <w:sz w:val="21"/>
        </w:rPr>
        <w:t>VOCs</w:t>
      </w:r>
      <w:r>
        <w:rPr>
          <w:spacing w:val="2"/>
          <w:sz w:val="21"/>
        </w:rPr>
        <w:t>化试</w:t>
      </w:r>
      <w:r>
        <w:rPr>
          <w:spacing w:val="4"/>
          <w:sz w:val="21"/>
        </w:rPr>
        <w:t>）</w:t>
      </w:r>
      <w:r>
        <w:rPr>
          <w:sz w:val="21"/>
        </w:rPr>
        <w:t>验</w:t>
      </w:r>
      <w:r>
        <w:rPr>
          <w:spacing w:val="-2"/>
          <w:w w:val="95"/>
          <w:sz w:val="21"/>
        </w:rPr>
        <w:t>室实验平台设置负压集气系统，对化</w:t>
      </w:r>
      <w:r>
        <w:rPr>
          <w:w w:val="95"/>
          <w:sz w:val="21"/>
        </w:rPr>
        <w:t>（试</w:t>
      </w:r>
      <w:r>
        <w:rPr>
          <w:spacing w:val="-15"/>
          <w:w w:val="95"/>
          <w:sz w:val="21"/>
        </w:rPr>
        <w:t>）</w:t>
      </w:r>
      <w:r>
        <w:rPr>
          <w:w w:val="95"/>
          <w:sz w:val="21"/>
        </w:rPr>
        <w:t xml:space="preserve">验室中产生 </w:t>
      </w:r>
      <w:r>
        <w:rPr>
          <w:sz w:val="21"/>
        </w:rPr>
        <w:t>的废气进行集中收集治理。</w:t>
      </w:r>
    </w:p>
    <w:p>
      <w:pPr>
        <w:spacing w:before="12"/>
        <w:ind w:left="1703" w:right="0" w:firstLine="0"/>
        <w:jc w:val="left"/>
        <w:rPr>
          <w:sz w:val="21"/>
        </w:rPr>
      </w:pPr>
      <w:r>
        <w:rPr>
          <w:sz w:val="21"/>
        </w:rPr>
        <w:t>加强精细化管控。针对各无组织排放环节，制定</w:t>
      </w:r>
      <w:r>
        <w:rPr>
          <w:rFonts w:ascii="Times New Roman" w:eastAsia="Times New Roman" w:hAnsi="Times New Roman"/>
          <w:sz w:val="21"/>
        </w:rPr>
        <w:t>“</w:t>
      </w:r>
      <w:r>
        <w:rPr>
          <w:sz w:val="21"/>
        </w:rPr>
        <w:t>一厂</w:t>
      </w:r>
    </w:p>
    <w:p>
      <w:pPr>
        <w:spacing w:before="4" w:line="270" w:lineRule="atLeast"/>
        <w:ind w:left="1703" w:right="0" w:firstLine="0"/>
        <w:jc w:val="left"/>
        <w:rPr>
          <w:sz w:val="21"/>
        </w:rPr>
      </w:pPr>
      <w:r>
        <w:rPr>
          <w:sz w:val="21"/>
        </w:rPr>
        <w:t>一策</w:t>
      </w:r>
      <w:r>
        <w:rPr>
          <w:rFonts w:ascii="Times New Roman" w:eastAsia="Times New Roman" w:hAnsi="Times New Roman"/>
          <w:sz w:val="21"/>
        </w:rPr>
        <w:t>”</w:t>
      </w:r>
      <w:r>
        <w:rPr>
          <w:sz w:val="21"/>
        </w:rPr>
        <w:t>深度治理方案。制定无组织排放治理设施操作规</w:t>
      </w:r>
      <w:r>
        <w:rPr>
          <w:w w:val="95"/>
          <w:sz w:val="21"/>
        </w:rPr>
        <w:t>程，并建立管理台账，记录操作人员操作内容、运行、</w:t>
      </w:r>
    </w:p>
    <w:p>
      <w:pPr>
        <w:spacing w:before="0" w:line="160" w:lineRule="exact"/>
        <w:ind w:left="389" w:right="0" w:firstLine="0"/>
        <w:jc w:val="left"/>
        <w:rPr>
          <w:sz w:val="21"/>
        </w:rPr>
      </w:pPr>
      <w:r>
        <w:br w:type="column"/>
      </w:r>
      <w:r>
        <w:rPr>
          <w:sz w:val="21"/>
        </w:rPr>
        <w:t>后高空排放</w:t>
      </w:r>
    </w:p>
    <w:p>
      <w:pPr>
        <w:spacing w:after="0" w:line="160" w:lineRule="exact"/>
        <w:jc w:val="left"/>
        <w:rPr>
          <w:sz w:val="21"/>
        </w:rPr>
        <w:sectPr>
          <w:type w:val="continuous"/>
          <w:pgSz w:w="11910" w:h="16840"/>
          <w:pgMar w:top="1580" w:right="879" w:bottom="280" w:left="900" w:header="720" w:footer="720" w:gutter="0"/>
          <w:pgNumType w:start="26"/>
          <w:cols w:num="2" w:space="708" w:equalWidth="0">
            <w:col w:w="6745" w:space="40"/>
            <w:col w:w="3346" w:space="0"/>
          </w:cols>
        </w:sectPr>
      </w:pPr>
    </w:p>
    <w:p>
      <w:pPr>
        <w:pStyle w:val="ListParagraph"/>
        <w:numPr>
          <w:ilvl w:val="0"/>
          <w:numId w:val="6"/>
        </w:numPr>
        <w:tabs>
          <w:tab w:val="left" w:pos="1703"/>
          <w:tab w:val="left" w:pos="1704"/>
          <w:tab w:val="left" w:pos="8932"/>
        </w:tabs>
        <w:spacing w:before="0" w:after="0" w:line="206" w:lineRule="exact"/>
        <w:ind w:left="1704" w:right="0" w:hanging="356"/>
        <w:jc w:val="left"/>
        <w:rPr>
          <w:sz w:val="21"/>
        </w:rPr>
      </w:pPr>
      <w:r>
        <w:pict>
          <v:group id="_x0000_s1027" o:spid="_x0000_s1026" style="width:466.7pt;height:670.35pt;margin-top:85.05pt;margin-left:64.3pt;mso-height-relative:page;mso-position-horizontal-relative:page;mso-position-vertical-relative:page;mso-width-relative:page;position:absolute;z-index:-251657216" coordorigin="1286,1701" coordsize="9334,13407">
            <v:shape id="_x0000_s1028" o:spid="_x0000_s1027" style="width:8504;height:7403;left:1998;position:absolute;top:7724" coordorigin="1998,7724" coordsize="8504,7403" path="m1998,1716l10502,1716m1998,3088l10502,3088m1998,3370l10502,3370m1998,7193l10502,7193m1998,9109l10502,9109m2003,1711l2003,9114m2602,1711l2602,3083m2602,3365l2602,9104m7606,1711l7606,3083m7606,3365l7606,9104m9592,1711l9592,3083m9592,3365l9592,9104m10497,1721l10497,9114e" filled="f" stroked="t" strokecolor="black">
              <v:path arrowok="t"/>
            </v:shape>
            <v:line id="_x0000_s1029" o:spid="_x0000_s1028" style="position:absolute" from="1286,1711" to="10620,1711" coordsize="21600,21600" stroked="t" strokecolor="black"/>
            <v:shape id="_x0000_s1030" o:spid="_x0000_s1029" style="width:8504;height:1286;left:1998;position:absolute;top:1765" coordorigin="1998,1765" coordsize="8504,1286" path="m1998,13792l10502,13792m1998,14075l10502,14075m1998,14738l10502,14738m1998,15073l10502,15073m2003,13787l2003,15068e" filled="f" stroked="t" strokecolor="black">
              <v:path arrowok="t"/>
            </v:shape>
            <v:shape id="_x0000_s1031" o:spid="_x0000_s1030" style="width:9334;height:13407;left:1286;position:absolute;top:1730" coordorigin="1286,1731" coordsize="9334,13407" path="m1286,15098l10620,15098m1296,1701l1296,15107m10610,1720l10610,15107e" filled="f" stroked="t" strokecolor="black">
              <v:path arrowok="t"/>
            </v:shape>
            <v:line id="_x0000_s1032" o:spid="_x0000_s1031" style="position:absolute" from="1890,1720" to="1890,15088" coordsize="21600,21600" stroked="t" strokecolor="black"/>
          </v:group>
        </w:pict>
      </w:r>
      <w:r>
        <w:rPr>
          <w:spacing w:val="4"/>
          <w:sz w:val="21"/>
        </w:rPr>
        <w:t>维</w:t>
      </w:r>
      <w:r>
        <w:rPr>
          <w:sz w:val="21"/>
        </w:rPr>
        <w:t>护</w:t>
      </w:r>
      <w:r>
        <w:rPr>
          <w:spacing w:val="4"/>
          <w:sz w:val="21"/>
        </w:rPr>
        <w:t>、检修</w:t>
      </w:r>
      <w:r>
        <w:rPr>
          <w:sz w:val="21"/>
        </w:rPr>
        <w:t>和</w:t>
      </w:r>
      <w:r>
        <w:rPr>
          <w:spacing w:val="7"/>
          <w:sz w:val="21"/>
        </w:rPr>
        <w:t>含</w:t>
      </w:r>
      <w:r>
        <w:rPr>
          <w:rFonts w:ascii="Times New Roman" w:eastAsia="Times New Roman"/>
          <w:sz w:val="21"/>
        </w:rPr>
        <w:t>VOCs</w:t>
      </w:r>
      <w:r>
        <w:rPr>
          <w:spacing w:val="4"/>
          <w:sz w:val="21"/>
        </w:rPr>
        <w:t>物</w:t>
      </w:r>
      <w:r>
        <w:rPr>
          <w:sz w:val="21"/>
        </w:rPr>
        <w:t>料</w:t>
      </w:r>
      <w:r>
        <w:rPr>
          <w:spacing w:val="4"/>
          <w:sz w:val="21"/>
        </w:rPr>
        <w:t>使用回</w:t>
      </w:r>
      <w:r>
        <w:rPr>
          <w:sz w:val="21"/>
        </w:rPr>
        <w:t>收</w:t>
      </w:r>
      <w:r>
        <w:rPr>
          <w:spacing w:val="4"/>
          <w:sz w:val="21"/>
        </w:rPr>
        <w:t>等情况</w:t>
      </w:r>
      <w:r>
        <w:rPr>
          <w:sz w:val="21"/>
        </w:rPr>
        <w:t>，</w:t>
      </w:r>
      <w:r>
        <w:rPr>
          <w:spacing w:val="4"/>
          <w:sz w:val="21"/>
        </w:rPr>
        <w:t>记录保</w:t>
      </w:r>
      <w:r>
        <w:rPr>
          <w:spacing w:val="50"/>
          <w:sz w:val="21"/>
        </w:rPr>
        <w:t>存</w:t>
      </w:r>
      <w:r>
        <w:rPr>
          <w:position w:val="14"/>
          <w:sz w:val="21"/>
        </w:rPr>
        <w:t>项目设置维修记录台</w:t>
      </w:r>
      <w:r>
        <w:rPr>
          <w:position w:val="14"/>
          <w:sz w:val="21"/>
        </w:rPr>
        <w:tab/>
      </w:r>
      <w:r>
        <w:rPr>
          <w:sz w:val="21"/>
        </w:rPr>
        <w:t>符合</w:t>
      </w:r>
    </w:p>
    <w:p>
      <w:pPr>
        <w:spacing w:before="0" w:line="340" w:lineRule="exact"/>
        <w:ind w:left="1703" w:right="0" w:firstLine="0"/>
        <w:jc w:val="left"/>
        <w:rPr>
          <w:sz w:val="21"/>
        </w:rPr>
      </w:pPr>
      <w:r>
        <w:rPr>
          <w:sz w:val="21"/>
        </w:rPr>
        <w:t xml:space="preserve">期限不得少于三年。鼓励安装视频、空气微站等监控设 </w:t>
      </w:r>
      <w:r>
        <w:rPr>
          <w:position w:val="14"/>
          <w:sz w:val="21"/>
        </w:rPr>
        <w:t>账，符合标准要求。</w:t>
      </w:r>
    </w:p>
    <w:p>
      <w:pPr>
        <w:spacing w:before="2" w:line="244" w:lineRule="auto"/>
        <w:ind w:left="1703" w:right="3424" w:firstLine="0"/>
        <w:jc w:val="left"/>
        <w:rPr>
          <w:sz w:val="21"/>
        </w:rPr>
      </w:pPr>
      <w:r>
        <w:rPr>
          <w:spacing w:val="-3"/>
          <w:w w:val="95"/>
          <w:sz w:val="21"/>
        </w:rPr>
        <w:t xml:space="preserve">施和综合监控信息平台，用于企业日常自我监督，逐步 </w:t>
      </w:r>
      <w:r>
        <w:rPr>
          <w:spacing w:val="-3"/>
          <w:sz w:val="21"/>
        </w:rPr>
        <w:t>实现无组织排放向精细化和可量化管理方式转变。</w:t>
      </w:r>
    </w:p>
    <w:p>
      <w:pPr>
        <w:pStyle w:val="Heading5"/>
        <w:spacing w:before="14"/>
        <w:ind w:left="1308"/>
      </w:pPr>
      <w:bookmarkStart w:id="5" w:name="（二）、土地利用符合性分析"/>
      <w:bookmarkEnd w:id="5"/>
      <w:r>
        <w:t>（二）、土地利用符合性分析</w:t>
      </w:r>
    </w:p>
    <w:p>
      <w:pPr>
        <w:pStyle w:val="BodyText"/>
        <w:spacing w:before="163" w:line="364" w:lineRule="auto"/>
        <w:ind w:left="1096" w:right="402" w:firstLine="480"/>
      </w:pPr>
      <w:r>
        <w:t xml:space="preserve">项目位于宁津县三岭大街与宏图路交叉口东南角，根据土地证及规划证明， </w:t>
      </w:r>
      <w:r>
        <w:rPr>
          <w:spacing w:val="-11"/>
        </w:rPr>
        <w:t>项目符合土地利用整体规划要求。拟建项目不属于国家《禁止用地项目目录</w:t>
      </w:r>
      <w:r>
        <w:rPr>
          <w:spacing w:val="-185"/>
        </w:rPr>
        <w:t>》</w:t>
      </w:r>
      <w:r>
        <w:t>（</w:t>
      </w:r>
      <w:r>
        <w:rPr>
          <w:rFonts w:ascii="Times New Roman" w:eastAsia="Times New Roman"/>
        </w:rPr>
        <w:t xml:space="preserve">2012 </w:t>
      </w:r>
      <w:r>
        <w:rPr>
          <w:spacing w:val="2"/>
        </w:rPr>
        <w:t>年本</w:t>
      </w:r>
      <w:r>
        <w:t>）和《限制用地项目目录》（</w:t>
      </w:r>
      <w:r>
        <w:rPr>
          <w:rFonts w:ascii="Times New Roman" w:eastAsia="Times New Roman"/>
        </w:rPr>
        <w:t>2012</w:t>
      </w:r>
      <w:r>
        <w:rPr>
          <w:spacing w:val="2"/>
        </w:rPr>
        <w:t>年本</w:t>
      </w:r>
      <w:r>
        <w:t>）中规定的项目，也不属于《山东省</w:t>
      </w:r>
      <w:r>
        <w:rPr>
          <w:spacing w:val="-4"/>
        </w:rPr>
        <w:t>禁止限制供地项目目录》和《山东省建设用地集约利用控制标准》中山东省禁止、</w:t>
      </w:r>
      <w:r>
        <w:t>限制供地项目用地。</w:t>
      </w:r>
    </w:p>
    <w:p>
      <w:pPr>
        <w:pStyle w:val="Heading5"/>
        <w:ind w:left="1308"/>
      </w:pPr>
      <w:bookmarkStart w:id="6" w:name="（三）、项目选址合理性分析"/>
      <w:bookmarkEnd w:id="6"/>
      <w:r>
        <w:t>（三）、项目选址合理性分析</w:t>
      </w:r>
    </w:p>
    <w:p>
      <w:pPr>
        <w:pStyle w:val="BodyText"/>
        <w:spacing w:before="163"/>
        <w:ind w:left="1516"/>
      </w:pPr>
      <w:r>
        <w:rPr>
          <w:rFonts w:ascii="Times New Roman" w:eastAsia="Times New Roman"/>
        </w:rPr>
        <w:t>1</w:t>
      </w:r>
      <w:r>
        <w:t>、选址合理性分析</w:t>
      </w:r>
    </w:p>
    <w:p>
      <w:pPr>
        <w:pStyle w:val="BodyText"/>
        <w:spacing w:before="161"/>
        <w:ind w:left="1576"/>
      </w:pPr>
      <w:r>
        <w:t>项目位于宁津县三岭大街与宏图路交叉口东南角，具体选址合理性分析如下。</w:t>
      </w:r>
    </w:p>
    <w:p>
      <w:pPr>
        <w:pStyle w:val="BodyText"/>
        <w:spacing w:before="12"/>
        <w:rPr>
          <w:sz w:val="19"/>
        </w:rPr>
      </w:pPr>
    </w:p>
    <w:tbl>
      <w:tblPr>
        <w:tblStyle w:val="TableNormal"/>
        <w:tblW w:w="0" w:type="auto"/>
        <w:tblInd w:w="1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322"/>
        <w:gridCol w:w="6080"/>
        <w:gridCol w:w="714"/>
      </w:tblGrid>
      <w:tr>
        <w:tblPrEx>
          <w:tblW w:w="0" w:type="auto"/>
          <w:tblInd w:w="1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360"/>
        </w:trPr>
        <w:tc>
          <w:tcPr>
            <w:tcW w:w="1322" w:type="dxa"/>
          </w:tcPr>
          <w:p>
            <w:pPr>
              <w:pStyle w:val="TableParagraph"/>
              <w:rPr>
                <w:rFonts w:ascii="Times New Roman"/>
                <w:sz w:val="20"/>
              </w:rPr>
            </w:pPr>
          </w:p>
        </w:tc>
        <w:tc>
          <w:tcPr>
            <w:tcW w:w="6080" w:type="dxa"/>
          </w:tcPr>
          <w:p>
            <w:pPr>
              <w:pStyle w:val="TableParagraph"/>
              <w:tabs>
                <w:tab w:val="left" w:pos="1761"/>
              </w:tabs>
              <w:spacing w:line="281" w:lineRule="exact"/>
              <w:ind w:left="921"/>
              <w:rPr>
                <w:b/>
                <w:sz w:val="24"/>
              </w:rPr>
            </w:pPr>
            <w:r>
              <w:rPr>
                <w:b/>
                <w:sz w:val="24"/>
              </w:rPr>
              <w:t>表</w:t>
            </w:r>
            <w:r>
              <w:rPr>
                <w:b/>
                <w:spacing w:val="-62"/>
                <w:sz w:val="24"/>
              </w:rPr>
              <w:t xml:space="preserve"> </w:t>
            </w:r>
            <w:r>
              <w:rPr>
                <w:rFonts w:ascii="Times New Roman" w:eastAsia="Times New Roman"/>
                <w:b/>
                <w:sz w:val="24"/>
              </w:rPr>
              <w:t>8.</w:t>
            </w:r>
            <w:r>
              <w:rPr>
                <w:rFonts w:ascii="Times New Roman" w:eastAsia="Times New Roman"/>
                <w:b/>
                <w:sz w:val="24"/>
              </w:rPr>
              <w:tab/>
            </w:r>
            <w:r>
              <w:rPr>
                <w:b/>
                <w:sz w:val="24"/>
              </w:rPr>
              <w:t>项目选址合理性分析表</w:t>
            </w:r>
          </w:p>
        </w:tc>
        <w:tc>
          <w:tcPr>
            <w:tcW w:w="714" w:type="dxa"/>
          </w:tcPr>
          <w:p>
            <w:pPr>
              <w:pStyle w:val="TableParagraph"/>
              <w:rPr>
                <w:rFonts w:ascii="Times New Roman"/>
                <w:sz w:val="20"/>
              </w:rPr>
            </w:pPr>
          </w:p>
        </w:tc>
      </w:tr>
      <w:tr>
        <w:tblPrEx>
          <w:tblW w:w="0" w:type="auto"/>
          <w:tblInd w:w="1488" w:type="dxa"/>
          <w:tblLayout w:type="fixed"/>
          <w:tblCellMar>
            <w:top w:w="0" w:type="dxa"/>
            <w:left w:w="0" w:type="dxa"/>
            <w:bottom w:w="0" w:type="dxa"/>
            <w:right w:w="0" w:type="dxa"/>
          </w:tblCellMar>
        </w:tblPrEx>
        <w:trPr>
          <w:trHeight w:val="282"/>
        </w:trPr>
        <w:tc>
          <w:tcPr>
            <w:tcW w:w="1322" w:type="dxa"/>
            <w:tcBorders>
              <w:right w:val="single" w:sz="4" w:space="0" w:color="000000"/>
            </w:tcBorders>
          </w:tcPr>
          <w:p>
            <w:pPr>
              <w:pStyle w:val="TableParagraph"/>
              <w:spacing w:before="5" w:line="257" w:lineRule="exact"/>
              <w:ind w:left="30" w:right="402"/>
              <w:jc w:val="center"/>
              <w:rPr>
                <w:b/>
                <w:sz w:val="21"/>
              </w:rPr>
            </w:pPr>
            <w:r>
              <w:rPr>
                <w:b/>
                <w:sz w:val="21"/>
              </w:rPr>
              <w:t>项目分析</w:t>
            </w:r>
          </w:p>
        </w:tc>
        <w:tc>
          <w:tcPr>
            <w:tcW w:w="6080" w:type="dxa"/>
            <w:tcBorders>
              <w:left w:val="single" w:sz="4" w:space="0" w:color="000000"/>
              <w:right w:val="single" w:sz="4" w:space="0" w:color="000000"/>
            </w:tcBorders>
          </w:tcPr>
          <w:p>
            <w:pPr>
              <w:pStyle w:val="TableParagraph"/>
              <w:spacing w:before="5" w:line="257" w:lineRule="exact"/>
              <w:ind w:left="66" w:right="66"/>
              <w:jc w:val="center"/>
              <w:rPr>
                <w:b/>
                <w:sz w:val="21"/>
              </w:rPr>
            </w:pPr>
            <w:r>
              <w:rPr>
                <w:b/>
                <w:sz w:val="21"/>
              </w:rPr>
              <w:t>条件</w:t>
            </w:r>
          </w:p>
        </w:tc>
        <w:tc>
          <w:tcPr>
            <w:tcW w:w="714" w:type="dxa"/>
            <w:tcBorders>
              <w:left w:val="single" w:sz="4" w:space="0" w:color="000000"/>
              <w:right w:val="single" w:sz="4" w:space="0" w:color="000000"/>
            </w:tcBorders>
          </w:tcPr>
          <w:p>
            <w:pPr>
              <w:pStyle w:val="TableParagraph"/>
              <w:spacing w:before="5" w:line="257" w:lineRule="exact"/>
              <w:ind w:left="115" w:right="115"/>
              <w:jc w:val="center"/>
              <w:rPr>
                <w:b/>
                <w:sz w:val="21"/>
              </w:rPr>
            </w:pPr>
            <w:r>
              <w:rPr>
                <w:b/>
                <w:sz w:val="21"/>
              </w:rPr>
              <w:t>结论</w:t>
            </w:r>
          </w:p>
        </w:tc>
      </w:tr>
      <w:tr>
        <w:tblPrEx>
          <w:tblW w:w="0" w:type="auto"/>
          <w:tblInd w:w="1488" w:type="dxa"/>
          <w:tblLayout w:type="fixed"/>
          <w:tblCellMar>
            <w:top w:w="0" w:type="dxa"/>
            <w:left w:w="0" w:type="dxa"/>
            <w:bottom w:w="0" w:type="dxa"/>
            <w:right w:w="0" w:type="dxa"/>
          </w:tblCellMar>
        </w:tblPrEx>
        <w:trPr>
          <w:trHeight w:val="662"/>
        </w:trPr>
        <w:tc>
          <w:tcPr>
            <w:tcW w:w="1322" w:type="dxa"/>
            <w:tcBorders>
              <w:right w:val="single" w:sz="4" w:space="0" w:color="000000"/>
            </w:tcBorders>
          </w:tcPr>
          <w:p>
            <w:pPr>
              <w:pStyle w:val="TableParagraph"/>
              <w:spacing w:before="3"/>
              <w:rPr>
                <w:sz w:val="15"/>
              </w:rPr>
            </w:pPr>
          </w:p>
          <w:p>
            <w:pPr>
              <w:pStyle w:val="TableParagraph"/>
              <w:ind w:left="-159" w:right="216"/>
              <w:jc w:val="center"/>
              <w:rPr>
                <w:sz w:val="21"/>
              </w:rPr>
            </w:pPr>
            <w:r>
              <w:rPr>
                <w:spacing w:val="-3"/>
                <w:sz w:val="21"/>
              </w:rPr>
              <w:t>土地利用分析</w:t>
            </w:r>
          </w:p>
        </w:tc>
        <w:tc>
          <w:tcPr>
            <w:tcW w:w="6080" w:type="dxa"/>
            <w:tcBorders>
              <w:left w:val="single" w:sz="4" w:space="0" w:color="000000"/>
              <w:right w:val="single" w:sz="4" w:space="0" w:color="000000"/>
            </w:tcBorders>
          </w:tcPr>
          <w:p>
            <w:pPr>
              <w:pStyle w:val="TableParagraph"/>
              <w:spacing w:before="5"/>
              <w:ind w:left="66" w:right="66"/>
              <w:jc w:val="center"/>
              <w:rPr>
                <w:sz w:val="21"/>
              </w:rPr>
            </w:pPr>
            <w:r>
              <w:rPr>
                <w:sz w:val="21"/>
              </w:rPr>
              <w:t>本项目位于宁津县三岭大街与宏图路交叉口东南角，根据土地证</w:t>
            </w:r>
          </w:p>
          <w:p>
            <w:pPr>
              <w:pStyle w:val="TableParagraph"/>
              <w:spacing w:before="58"/>
              <w:ind w:left="65" w:right="66"/>
              <w:jc w:val="center"/>
              <w:rPr>
                <w:sz w:val="21"/>
              </w:rPr>
            </w:pPr>
            <w:r>
              <w:rPr>
                <w:sz w:val="21"/>
              </w:rPr>
              <w:t>及规划图证明可知，项目占地为工业用地，符合用地规划。</w:t>
            </w:r>
          </w:p>
        </w:tc>
        <w:tc>
          <w:tcPr>
            <w:tcW w:w="714" w:type="dxa"/>
            <w:tcBorders>
              <w:left w:val="single" w:sz="4" w:space="0" w:color="000000"/>
              <w:right w:val="single" w:sz="4" w:space="0" w:color="000000"/>
            </w:tcBorders>
          </w:tcPr>
          <w:p>
            <w:pPr>
              <w:pStyle w:val="TableParagraph"/>
              <w:spacing w:before="3"/>
              <w:rPr>
                <w:sz w:val="15"/>
              </w:rPr>
            </w:pPr>
          </w:p>
          <w:p>
            <w:pPr>
              <w:pStyle w:val="TableParagraph"/>
              <w:ind w:left="113" w:right="115"/>
              <w:jc w:val="center"/>
              <w:rPr>
                <w:sz w:val="21"/>
              </w:rPr>
            </w:pPr>
            <w:r>
              <w:rPr>
                <w:sz w:val="21"/>
              </w:rPr>
              <w:t>符合</w:t>
            </w:r>
          </w:p>
        </w:tc>
      </w:tr>
      <w:tr>
        <w:tblPrEx>
          <w:tblW w:w="0" w:type="auto"/>
          <w:tblInd w:w="1488" w:type="dxa"/>
          <w:tblLayout w:type="fixed"/>
          <w:tblCellMar>
            <w:top w:w="0" w:type="dxa"/>
            <w:left w:w="0" w:type="dxa"/>
            <w:bottom w:w="0" w:type="dxa"/>
            <w:right w:w="0" w:type="dxa"/>
          </w:tblCellMar>
        </w:tblPrEx>
        <w:trPr>
          <w:trHeight w:val="349"/>
        </w:trPr>
        <w:tc>
          <w:tcPr>
            <w:tcW w:w="1322" w:type="dxa"/>
            <w:tcBorders>
              <w:right w:val="single" w:sz="4" w:space="0" w:color="000000"/>
            </w:tcBorders>
          </w:tcPr>
          <w:p>
            <w:pPr>
              <w:pStyle w:val="TableParagraph"/>
              <w:spacing w:before="31"/>
              <w:ind w:left="30" w:right="402"/>
              <w:jc w:val="center"/>
              <w:rPr>
                <w:sz w:val="21"/>
              </w:rPr>
            </w:pPr>
            <w:r>
              <w:rPr>
                <w:sz w:val="21"/>
              </w:rPr>
              <w:t>供水供电</w:t>
            </w:r>
          </w:p>
        </w:tc>
        <w:tc>
          <w:tcPr>
            <w:tcW w:w="6080" w:type="dxa"/>
            <w:tcBorders>
              <w:left w:val="single" w:sz="4" w:space="0" w:color="000000"/>
              <w:right w:val="single" w:sz="4" w:space="0" w:color="000000"/>
            </w:tcBorders>
          </w:tcPr>
          <w:p>
            <w:pPr>
              <w:pStyle w:val="TableParagraph"/>
              <w:spacing w:before="5"/>
              <w:ind w:left="1039"/>
              <w:rPr>
                <w:sz w:val="21"/>
              </w:rPr>
            </w:pPr>
            <w:r>
              <w:rPr>
                <w:sz w:val="21"/>
              </w:rPr>
              <w:t>项目所在地配套完善供水设施、供电设施。</w:t>
            </w:r>
          </w:p>
        </w:tc>
        <w:tc>
          <w:tcPr>
            <w:tcW w:w="714" w:type="dxa"/>
            <w:tcBorders>
              <w:left w:val="single" w:sz="4" w:space="0" w:color="000000"/>
              <w:right w:val="single" w:sz="4" w:space="0" w:color="000000"/>
            </w:tcBorders>
          </w:tcPr>
          <w:p>
            <w:pPr>
              <w:pStyle w:val="TableParagraph"/>
              <w:spacing w:before="31"/>
              <w:ind w:left="113" w:right="115"/>
              <w:jc w:val="center"/>
              <w:rPr>
                <w:sz w:val="21"/>
              </w:rPr>
            </w:pPr>
            <w:r>
              <w:rPr>
                <w:sz w:val="21"/>
              </w:rPr>
              <w:t>符合</w:t>
            </w:r>
          </w:p>
        </w:tc>
      </w:tr>
    </w:tbl>
    <w:p>
      <w:pPr>
        <w:pStyle w:val="BodyText"/>
      </w:pPr>
    </w:p>
    <w:p>
      <w:pPr>
        <w:tabs>
          <w:tab w:val="left" w:pos="1571"/>
        </w:tabs>
        <w:spacing w:before="161"/>
        <w:ind w:left="631" w:right="0" w:firstLine="0"/>
        <w:jc w:val="left"/>
        <w:rPr>
          <w:sz w:val="28"/>
        </w:rPr>
      </w:pPr>
      <w:r>
        <w:rPr>
          <w:sz w:val="28"/>
        </w:rPr>
        <w:t>—</w:t>
      </w:r>
      <w:r>
        <w:rPr>
          <w:spacing w:val="59"/>
          <w:sz w:val="28"/>
        </w:rPr>
        <w:t xml:space="preserve"> </w:t>
      </w:r>
      <w:r>
        <w:rPr>
          <w:sz w:val="26"/>
        </w:rPr>
        <w:t>22</w:t>
      </w:r>
      <w:r>
        <w:rPr>
          <w:sz w:val="26"/>
        </w:rPr>
        <w:tab/>
      </w:r>
      <w:r>
        <w:rPr>
          <w:sz w:val="28"/>
        </w:rPr>
        <w:t>—</w:t>
      </w:r>
    </w:p>
    <w:p>
      <w:pPr>
        <w:spacing w:after="0"/>
        <w:jc w:val="left"/>
        <w:rPr>
          <w:sz w:val="28"/>
        </w:rPr>
        <w:sectPr>
          <w:type w:val="continuous"/>
          <w:pgSz w:w="11910" w:h="16840"/>
          <w:pgMar w:top="1580" w:right="879" w:bottom="280" w:left="900" w:header="720" w:footer="720" w:gutter="0"/>
          <w:pgNumType w:start="27"/>
          <w:cols w:num="1" w:space="720"/>
        </w:sectPr>
      </w:pPr>
    </w:p>
    <w:p>
      <w:pPr>
        <w:pStyle w:val="BodyText"/>
        <w:rPr>
          <w:sz w:val="8"/>
        </w:rPr>
      </w:pPr>
    </w:p>
    <w:tbl>
      <w:tblPr>
        <w:tblStyle w:val="TableNormal"/>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94"/>
        <w:gridCol w:w="113"/>
        <w:gridCol w:w="1700"/>
        <w:gridCol w:w="6080"/>
        <w:gridCol w:w="714"/>
        <w:gridCol w:w="113"/>
      </w:tblGrid>
      <w:tr>
        <w:tblPrEx>
          <w:tblW w:w="0" w:type="auto"/>
          <w:tblInd w:w="4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7"/>
        </w:trPr>
        <w:tc>
          <w:tcPr>
            <w:tcW w:w="594"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1700" w:type="dxa"/>
            <w:tcBorders>
              <w:left w:val="single" w:sz="4" w:space="0" w:color="000000"/>
              <w:bottom w:val="single" w:sz="4" w:space="0" w:color="000000"/>
              <w:right w:val="single" w:sz="4" w:space="0" w:color="000000"/>
            </w:tcBorders>
          </w:tcPr>
          <w:p>
            <w:pPr>
              <w:pStyle w:val="TableParagraph"/>
              <w:spacing w:before="2" w:line="245" w:lineRule="exact"/>
              <w:ind w:left="97" w:right="79"/>
              <w:jc w:val="center"/>
              <w:rPr>
                <w:sz w:val="21"/>
              </w:rPr>
            </w:pPr>
            <w:r>
              <w:rPr>
                <w:sz w:val="21"/>
              </w:rPr>
              <w:t>交通运输</w:t>
            </w:r>
          </w:p>
        </w:tc>
        <w:tc>
          <w:tcPr>
            <w:tcW w:w="6080" w:type="dxa"/>
            <w:tcBorders>
              <w:left w:val="single" w:sz="4" w:space="0" w:color="000000"/>
              <w:bottom w:val="single" w:sz="4" w:space="0" w:color="000000"/>
              <w:right w:val="single" w:sz="4" w:space="0" w:color="000000"/>
            </w:tcBorders>
          </w:tcPr>
          <w:p>
            <w:pPr>
              <w:pStyle w:val="TableParagraph"/>
              <w:spacing w:before="2" w:line="245" w:lineRule="exact"/>
              <w:ind w:left="75" w:right="59"/>
              <w:jc w:val="center"/>
              <w:rPr>
                <w:sz w:val="21"/>
              </w:rPr>
            </w:pPr>
            <w:r>
              <w:rPr>
                <w:sz w:val="21"/>
              </w:rPr>
              <w:t>项目所处园区周边为宏图路、三岭大街，交通便利。</w:t>
            </w:r>
          </w:p>
        </w:tc>
        <w:tc>
          <w:tcPr>
            <w:tcW w:w="714" w:type="dxa"/>
            <w:tcBorders>
              <w:left w:val="single" w:sz="4" w:space="0" w:color="000000"/>
              <w:bottom w:val="single" w:sz="4" w:space="0" w:color="000000"/>
              <w:right w:val="single" w:sz="4" w:space="0" w:color="000000"/>
            </w:tcBorders>
          </w:tcPr>
          <w:p>
            <w:pPr>
              <w:pStyle w:val="TableParagraph"/>
              <w:spacing w:before="2" w:line="245" w:lineRule="exact"/>
              <w:ind w:left="121" w:right="107"/>
              <w:jc w:val="center"/>
              <w:rPr>
                <w:sz w:val="21"/>
              </w:rPr>
            </w:pPr>
            <w:r>
              <w:rPr>
                <w:sz w:val="21"/>
              </w:rPr>
              <w:t>符合</w:t>
            </w:r>
          </w:p>
        </w:tc>
        <w:tc>
          <w:tcPr>
            <w:tcW w:w="113" w:type="dxa"/>
            <w:tcBorders>
              <w:left w:val="single" w:sz="4" w:space="0" w:color="000000"/>
              <w:bottom w:val="nil"/>
            </w:tcBorders>
          </w:tcPr>
          <w:p>
            <w:pPr>
              <w:pStyle w:val="TableParagraph"/>
              <w:rPr>
                <w:rFonts w:ascii="Times New Roman"/>
                <w:sz w:val="18"/>
              </w:rPr>
            </w:pPr>
          </w:p>
        </w:tc>
      </w:tr>
      <w:tr>
        <w:tblPrEx>
          <w:tblW w:w="0" w:type="auto"/>
          <w:tblInd w:w="406" w:type="dxa"/>
          <w:tblLayout w:type="fixed"/>
          <w:tblCellMar>
            <w:top w:w="0" w:type="dxa"/>
            <w:left w:w="0" w:type="dxa"/>
            <w:bottom w:w="0" w:type="dxa"/>
            <w:right w:w="0" w:type="dxa"/>
          </w:tblCellMar>
        </w:tblPrEx>
        <w:trPr>
          <w:trHeight w:val="644"/>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700" w:type="dxa"/>
            <w:tcBorders>
              <w:top w:val="single" w:sz="4" w:space="0" w:color="000000"/>
              <w:left w:val="single" w:sz="4" w:space="0" w:color="000000"/>
              <w:bottom w:val="single" w:sz="4" w:space="0" w:color="000000"/>
              <w:right w:val="single" w:sz="4" w:space="0" w:color="000000"/>
            </w:tcBorders>
          </w:tcPr>
          <w:p>
            <w:pPr>
              <w:pStyle w:val="TableParagraph"/>
              <w:spacing w:before="51" w:line="242" w:lineRule="auto"/>
              <w:ind w:left="644" w:right="100" w:hanging="526"/>
              <w:rPr>
                <w:sz w:val="21"/>
              </w:rPr>
            </w:pPr>
            <w:r>
              <w:rPr>
                <w:sz w:val="21"/>
              </w:rPr>
              <w:t>外界环境对项目影响</w:t>
            </w:r>
          </w:p>
        </w:tc>
        <w:tc>
          <w:tcPr>
            <w:tcW w:w="6080"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75" w:right="57"/>
              <w:jc w:val="center"/>
              <w:rPr>
                <w:sz w:val="21"/>
              </w:rPr>
            </w:pPr>
            <w:r>
              <w:rPr>
                <w:sz w:val="21"/>
              </w:rPr>
              <w:t>项目周围主要为一般企业，无大的污染源。项目对外界环境要求</w:t>
            </w:r>
          </w:p>
          <w:p>
            <w:pPr>
              <w:pStyle w:val="TableParagraph"/>
              <w:spacing w:before="57"/>
              <w:ind w:left="75" w:right="59"/>
              <w:jc w:val="center"/>
              <w:rPr>
                <w:sz w:val="21"/>
              </w:rPr>
            </w:pPr>
            <w:r>
              <w:rPr>
                <w:sz w:val="21"/>
              </w:rPr>
              <w:t>不高。因此，周围环境对项目影响不大。</w:t>
            </w:r>
          </w:p>
        </w:tc>
        <w:tc>
          <w:tcPr>
            <w:tcW w:w="714" w:type="dxa"/>
            <w:tcBorders>
              <w:top w:val="single" w:sz="4" w:space="0" w:color="000000"/>
              <w:left w:val="single" w:sz="4" w:space="0" w:color="000000"/>
              <w:bottom w:val="single" w:sz="4" w:space="0" w:color="000000"/>
              <w:right w:val="single" w:sz="4" w:space="0" w:color="000000"/>
            </w:tcBorders>
          </w:tcPr>
          <w:p>
            <w:pPr>
              <w:pStyle w:val="TableParagraph"/>
              <w:spacing w:before="6"/>
              <w:rPr>
                <w:sz w:val="14"/>
              </w:rPr>
            </w:pPr>
          </w:p>
          <w:p>
            <w:pPr>
              <w:pStyle w:val="TableParagraph"/>
              <w:ind w:left="121" w:right="107"/>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970"/>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700" w:type="dxa"/>
            <w:tcBorders>
              <w:top w:val="single" w:sz="4" w:space="0" w:color="000000"/>
              <w:left w:val="single" w:sz="4" w:space="0" w:color="000000"/>
              <w:bottom w:val="single" w:sz="4" w:space="0" w:color="000000"/>
              <w:right w:val="single" w:sz="4" w:space="0" w:color="000000"/>
            </w:tcBorders>
          </w:tcPr>
          <w:p>
            <w:pPr>
              <w:pStyle w:val="TableParagraph"/>
              <w:spacing w:before="7"/>
              <w:rPr>
                <w:sz w:val="16"/>
              </w:rPr>
            </w:pPr>
          </w:p>
          <w:p>
            <w:pPr>
              <w:pStyle w:val="TableParagraph"/>
              <w:spacing w:before="1" w:line="242" w:lineRule="auto"/>
              <w:ind w:left="644" w:right="100" w:hanging="526"/>
              <w:rPr>
                <w:sz w:val="21"/>
              </w:rPr>
            </w:pPr>
            <w:r>
              <w:rPr>
                <w:sz w:val="21"/>
              </w:rPr>
              <w:t>项目对外界环境影响</w:t>
            </w:r>
          </w:p>
        </w:tc>
        <w:tc>
          <w:tcPr>
            <w:tcW w:w="6080"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12"/>
              <w:rPr>
                <w:sz w:val="21"/>
              </w:rPr>
            </w:pPr>
            <w:r>
              <w:rPr>
                <w:sz w:val="21"/>
              </w:rPr>
              <w:t>项目营运期间产生的废气、噪声采取相应措施后可达标排放；废</w:t>
            </w:r>
          </w:p>
          <w:p>
            <w:pPr>
              <w:pStyle w:val="TableParagraph"/>
              <w:spacing w:before="6" w:line="320" w:lineRule="atLeast"/>
              <w:ind w:left="112" w:right="77"/>
              <w:rPr>
                <w:sz w:val="21"/>
              </w:rPr>
            </w:pPr>
            <w:r>
              <w:rPr>
                <w:w w:val="95"/>
                <w:sz w:val="21"/>
              </w:rPr>
              <w:t xml:space="preserve">水经市政污水管网进入宁津县嘉诚水质净化有限公司深度处理； </w:t>
            </w:r>
            <w:r>
              <w:rPr>
                <w:sz w:val="21"/>
              </w:rPr>
              <w:t>固废全部得到妥善处置。因此，对周围环境影响不大。</w:t>
            </w:r>
          </w:p>
        </w:tc>
        <w:tc>
          <w:tcPr>
            <w:tcW w:w="714" w:type="dxa"/>
            <w:tcBorders>
              <w:top w:val="single" w:sz="4" w:space="0" w:color="000000"/>
              <w:left w:val="single" w:sz="4" w:space="0" w:color="000000"/>
              <w:bottom w:val="single" w:sz="4" w:space="0" w:color="000000"/>
              <w:right w:val="single" w:sz="4" w:space="0" w:color="000000"/>
            </w:tcBorders>
          </w:tcPr>
          <w:p>
            <w:pPr>
              <w:pStyle w:val="TableParagraph"/>
              <w:spacing w:before="1"/>
              <w:rPr>
                <w:sz w:val="27"/>
              </w:rPr>
            </w:pPr>
          </w:p>
          <w:p>
            <w:pPr>
              <w:pStyle w:val="TableParagraph"/>
              <w:ind w:left="121" w:right="107"/>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535"/>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700" w:type="dxa"/>
            <w:tcBorders>
              <w:top w:val="single" w:sz="4" w:space="0" w:color="000000"/>
              <w:left w:val="single" w:sz="4" w:space="0" w:color="000000"/>
              <w:bottom w:val="single" w:sz="4" w:space="0" w:color="000000"/>
              <w:right w:val="single" w:sz="4" w:space="0" w:color="000000"/>
            </w:tcBorders>
          </w:tcPr>
          <w:p>
            <w:pPr>
              <w:pStyle w:val="TableParagraph"/>
              <w:spacing w:before="130"/>
              <w:ind w:left="97" w:right="79"/>
              <w:jc w:val="center"/>
              <w:rPr>
                <w:sz w:val="21"/>
              </w:rPr>
            </w:pPr>
            <w:r>
              <w:rPr>
                <w:sz w:val="21"/>
              </w:rPr>
              <w:t>环境敏感点</w:t>
            </w:r>
          </w:p>
        </w:tc>
        <w:tc>
          <w:tcPr>
            <w:tcW w:w="6080"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75" w:right="57"/>
              <w:jc w:val="center"/>
              <w:rPr>
                <w:sz w:val="21"/>
              </w:rPr>
            </w:pPr>
            <w:r>
              <w:rPr>
                <w:sz w:val="21"/>
              </w:rPr>
              <w:t>项目污染物经相应污染采取防治措施后，均能达标排放，因此对</w:t>
            </w:r>
          </w:p>
          <w:p>
            <w:pPr>
              <w:pStyle w:val="TableParagraph"/>
              <w:spacing w:before="4" w:line="246" w:lineRule="exact"/>
              <w:ind w:left="75" w:right="57"/>
              <w:jc w:val="center"/>
              <w:rPr>
                <w:sz w:val="21"/>
              </w:rPr>
            </w:pPr>
            <w:r>
              <w:rPr>
                <w:sz w:val="21"/>
              </w:rPr>
              <w:t>项目周围敏感点影响不大。</w:t>
            </w:r>
          </w:p>
        </w:tc>
        <w:tc>
          <w:tcPr>
            <w:tcW w:w="714" w:type="dxa"/>
            <w:tcBorders>
              <w:top w:val="single" w:sz="4" w:space="0" w:color="000000"/>
              <w:left w:val="single" w:sz="4" w:space="0" w:color="000000"/>
              <w:bottom w:val="single" w:sz="4" w:space="0" w:color="000000"/>
              <w:right w:val="single" w:sz="4" w:space="0" w:color="000000"/>
            </w:tcBorders>
          </w:tcPr>
          <w:p>
            <w:pPr>
              <w:pStyle w:val="TableParagraph"/>
              <w:spacing w:before="130"/>
              <w:ind w:left="121" w:right="107"/>
              <w:jc w:val="center"/>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06" w:type="dxa"/>
          <w:tblLayout w:type="fixed"/>
          <w:tblCellMar>
            <w:top w:w="0" w:type="dxa"/>
            <w:left w:w="0" w:type="dxa"/>
            <w:bottom w:w="0" w:type="dxa"/>
            <w:right w:w="0" w:type="dxa"/>
          </w:tblCellMar>
        </w:tblPrEx>
        <w:trPr>
          <w:trHeight w:val="647"/>
        </w:trPr>
        <w:tc>
          <w:tcPr>
            <w:tcW w:w="59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700" w:type="dxa"/>
            <w:tcBorders>
              <w:top w:val="single" w:sz="4" w:space="0" w:color="000000"/>
              <w:left w:val="single" w:sz="4" w:space="0" w:color="000000"/>
              <w:bottom w:val="thickThinMediumGap" w:sz="4" w:space="0" w:color="000000"/>
              <w:right w:val="single" w:sz="4" w:space="0" w:color="000000"/>
            </w:tcBorders>
          </w:tcPr>
          <w:p>
            <w:pPr>
              <w:pStyle w:val="TableParagraph"/>
              <w:spacing w:line="264" w:lineRule="exact"/>
              <w:ind w:left="97" w:right="82"/>
              <w:jc w:val="center"/>
              <w:rPr>
                <w:sz w:val="21"/>
              </w:rPr>
            </w:pPr>
            <w:r>
              <w:rPr>
                <w:sz w:val="21"/>
              </w:rPr>
              <w:t>对风景名胜区的</w:t>
            </w:r>
          </w:p>
          <w:p>
            <w:pPr>
              <w:pStyle w:val="TableParagraph"/>
              <w:spacing w:before="57"/>
              <w:ind w:left="97" w:right="82"/>
              <w:jc w:val="center"/>
              <w:rPr>
                <w:sz w:val="21"/>
              </w:rPr>
            </w:pPr>
            <w:r>
              <w:rPr>
                <w:sz w:val="21"/>
              </w:rPr>
              <w:t>影响</w:t>
            </w:r>
          </w:p>
        </w:tc>
        <w:tc>
          <w:tcPr>
            <w:tcW w:w="6080" w:type="dxa"/>
            <w:tcBorders>
              <w:top w:val="single" w:sz="4" w:space="0" w:color="000000"/>
              <w:left w:val="single" w:sz="4" w:space="0" w:color="000000"/>
              <w:bottom w:val="thickThinMediumGap" w:sz="4" w:space="0" w:color="000000"/>
              <w:right w:val="single" w:sz="4" w:space="0" w:color="000000"/>
            </w:tcBorders>
          </w:tcPr>
          <w:p>
            <w:pPr>
              <w:pStyle w:val="TableParagraph"/>
              <w:spacing w:before="158"/>
              <w:ind w:left="75" w:right="59"/>
              <w:jc w:val="center"/>
              <w:rPr>
                <w:sz w:val="21"/>
              </w:rPr>
            </w:pPr>
            <w:r>
              <w:rPr>
                <w:sz w:val="21"/>
              </w:rPr>
              <w:t>本项目周围</w:t>
            </w:r>
            <w:r>
              <w:rPr>
                <w:rFonts w:ascii="Times New Roman" w:eastAsia="Times New Roman"/>
                <w:sz w:val="21"/>
              </w:rPr>
              <w:t>500m</w:t>
            </w:r>
            <w:r>
              <w:rPr>
                <w:sz w:val="21"/>
              </w:rPr>
              <w:t>范围内无风景名胜区。</w:t>
            </w:r>
          </w:p>
        </w:tc>
        <w:tc>
          <w:tcPr>
            <w:tcW w:w="714" w:type="dxa"/>
            <w:tcBorders>
              <w:top w:val="single" w:sz="4" w:space="0" w:color="000000"/>
              <w:left w:val="single" w:sz="4" w:space="0" w:color="000000"/>
              <w:bottom w:val="thickThinMediumGap" w:sz="4" w:space="0" w:color="000000"/>
              <w:right w:val="single" w:sz="4" w:space="0" w:color="000000"/>
            </w:tcBorders>
          </w:tcPr>
          <w:p>
            <w:pPr>
              <w:pStyle w:val="TableParagraph"/>
              <w:spacing w:before="7"/>
              <w:rPr>
                <w:sz w:val="14"/>
              </w:rPr>
            </w:pPr>
          </w:p>
          <w:p>
            <w:pPr>
              <w:pStyle w:val="TableParagraph"/>
              <w:ind w:left="121" w:right="107"/>
              <w:jc w:val="center"/>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7"/>
        </w:rPr>
      </w:pPr>
    </w:p>
    <w:p>
      <w:pPr>
        <w:spacing w:before="62"/>
        <w:ind w:left="0" w:right="649" w:firstLine="0"/>
        <w:jc w:val="right"/>
        <w:rPr>
          <w:sz w:val="28"/>
        </w:rPr>
      </w:pPr>
      <w:r>
        <w:rPr>
          <w:sz w:val="28"/>
        </w:rPr>
        <w:t xml:space="preserve">— </w:t>
      </w:r>
      <w:r>
        <w:rPr>
          <w:sz w:val="26"/>
        </w:rPr>
        <w:t xml:space="preserve">23 </w:t>
      </w:r>
      <w:r>
        <w:rPr>
          <w:sz w:val="28"/>
        </w:rPr>
        <w:t>—</w:t>
      </w:r>
    </w:p>
    <w:p>
      <w:pPr>
        <w:spacing w:after="0"/>
        <w:jc w:val="right"/>
        <w:rPr>
          <w:sz w:val="28"/>
        </w:rPr>
        <w:sectPr>
          <w:pgSz w:w="11910" w:h="16840"/>
          <w:pgMar w:top="1580" w:right="879" w:bottom="280" w:left="900" w:header="720" w:footer="720" w:gutter="0"/>
          <w:pgNumType w:start="28"/>
          <w:cols w:num="1" w:space="720"/>
        </w:sectPr>
      </w:pPr>
    </w:p>
    <w:p>
      <w:pPr>
        <w:pStyle w:val="Heading3"/>
      </w:pPr>
      <w:bookmarkStart w:id="7" w:name="二、建设项目工程分析"/>
      <w:bookmarkEnd w:id="7"/>
      <w:r>
        <w:t>二、建设项目工程分析</w:t>
      </w:r>
    </w:p>
    <w:tbl>
      <w:tblPr>
        <w:tblStyle w:val="TableNormal"/>
        <w:tblW w:w="0" w:type="auto"/>
        <w:tblInd w:w="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09"/>
        <w:gridCol w:w="113"/>
        <w:gridCol w:w="1127"/>
        <w:gridCol w:w="1267"/>
        <w:gridCol w:w="5336"/>
        <w:gridCol w:w="848"/>
        <w:gridCol w:w="113"/>
      </w:tblGrid>
      <w:tr>
        <w:tblPrEx>
          <w:tblW w:w="0" w:type="auto"/>
          <w:tblInd w:w="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04"/>
        </w:trPr>
        <w:tc>
          <w:tcPr>
            <w:tcW w:w="709" w:type="dxa"/>
            <w:tcBorders>
              <w:bottom w:val="nil"/>
              <w:right w:val="single" w:sz="4" w:space="0" w:color="000000"/>
            </w:tcBorders>
          </w:tcPr>
          <w:p>
            <w:pPr>
              <w:pStyle w:val="TableParagraph"/>
              <w:rPr>
                <w:rFonts w:ascii="Times New Roman"/>
                <w:sz w:val="20"/>
              </w:rPr>
            </w:pPr>
          </w:p>
        </w:tc>
        <w:tc>
          <w:tcPr>
            <w:tcW w:w="8804" w:type="dxa"/>
            <w:gridSpan w:val="6"/>
            <w:tcBorders>
              <w:left w:val="single" w:sz="4" w:space="0" w:color="000000"/>
              <w:bottom w:val="nil"/>
            </w:tcBorders>
          </w:tcPr>
          <w:p>
            <w:pPr>
              <w:pStyle w:val="TableParagraph"/>
              <w:spacing w:before="123"/>
              <w:ind w:left="113"/>
              <w:rPr>
                <w:b/>
                <w:sz w:val="24"/>
              </w:rPr>
            </w:pPr>
            <w:r>
              <w:rPr>
                <w:b/>
                <w:sz w:val="24"/>
              </w:rPr>
              <w:t>一、工程内容</w:t>
            </w:r>
          </w:p>
        </w:tc>
      </w:tr>
      <w:tr>
        <w:tblPrEx>
          <w:tblW w:w="0" w:type="auto"/>
          <w:tblInd w:w="306" w:type="dxa"/>
          <w:tblLayout w:type="fixed"/>
          <w:tblCellMar>
            <w:top w:w="0" w:type="dxa"/>
            <w:left w:w="0" w:type="dxa"/>
            <w:bottom w:w="0" w:type="dxa"/>
            <w:right w:w="0" w:type="dxa"/>
          </w:tblCellMar>
        </w:tblPrEx>
        <w:trPr>
          <w:trHeight w:val="474"/>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nil"/>
            </w:tcBorders>
          </w:tcPr>
          <w:p>
            <w:pPr>
              <w:pStyle w:val="TableParagraph"/>
              <w:spacing w:before="84"/>
              <w:ind w:left="593"/>
              <w:rPr>
                <w:b/>
                <w:sz w:val="24"/>
              </w:rPr>
            </w:pPr>
            <w:r>
              <w:rPr>
                <w:rFonts w:ascii="Times New Roman" w:eastAsia="Times New Roman"/>
                <w:b/>
                <w:sz w:val="24"/>
              </w:rPr>
              <w:t>1</w:t>
            </w:r>
            <w:r>
              <w:rPr>
                <w:b/>
                <w:sz w:val="24"/>
              </w:rPr>
              <w:t>、项目建设名称、性质、规模及地点</w:t>
            </w:r>
          </w:p>
        </w:tc>
      </w:tr>
      <w:tr>
        <w:tblPrEx>
          <w:tblW w:w="0" w:type="auto"/>
          <w:tblInd w:w="306" w:type="dxa"/>
          <w:tblLayout w:type="fixed"/>
          <w:tblCellMar>
            <w:top w:w="0" w:type="dxa"/>
            <w:left w:w="0" w:type="dxa"/>
            <w:bottom w:w="0" w:type="dxa"/>
            <w:right w:w="0" w:type="dxa"/>
          </w:tblCellMar>
        </w:tblPrEx>
        <w:trPr>
          <w:trHeight w:val="471"/>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nil"/>
            </w:tcBorders>
          </w:tcPr>
          <w:p>
            <w:pPr>
              <w:pStyle w:val="TableParagraph"/>
              <w:spacing w:before="75"/>
              <w:ind w:left="593"/>
              <w:rPr>
                <w:sz w:val="24"/>
              </w:rPr>
            </w:pPr>
            <w:r>
              <w:rPr>
                <w:b/>
                <w:sz w:val="24"/>
              </w:rPr>
              <w:t>（一）项目名称：</w:t>
            </w:r>
            <w:r>
              <w:rPr>
                <w:sz w:val="24"/>
              </w:rPr>
              <w:t xml:space="preserve">年处理 </w:t>
            </w:r>
            <w:r>
              <w:rPr>
                <w:rFonts w:ascii="Times New Roman" w:eastAsia="Times New Roman"/>
                <w:sz w:val="24"/>
              </w:rPr>
              <w:t xml:space="preserve">10 </w:t>
            </w:r>
            <w:r>
              <w:rPr>
                <w:sz w:val="24"/>
              </w:rPr>
              <w:t>万吨金属件项目</w:t>
            </w:r>
          </w:p>
        </w:tc>
      </w:tr>
      <w:tr>
        <w:tblPrEx>
          <w:tblW w:w="0" w:type="auto"/>
          <w:tblInd w:w="306" w:type="dxa"/>
          <w:tblLayout w:type="fixed"/>
          <w:tblCellMar>
            <w:top w:w="0" w:type="dxa"/>
            <w:left w:w="0" w:type="dxa"/>
            <w:bottom w:w="0" w:type="dxa"/>
            <w:right w:w="0" w:type="dxa"/>
          </w:tblCellMar>
        </w:tblPrEx>
        <w:trPr>
          <w:trHeight w:val="453"/>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nil"/>
            </w:tcBorders>
          </w:tcPr>
          <w:p>
            <w:pPr>
              <w:pStyle w:val="TableParagraph"/>
              <w:spacing w:before="71"/>
              <w:ind w:left="593"/>
              <w:rPr>
                <w:sz w:val="24"/>
              </w:rPr>
            </w:pPr>
            <w:r>
              <w:rPr>
                <w:b/>
                <w:sz w:val="24"/>
              </w:rPr>
              <w:t>（二）建设性质：</w:t>
            </w:r>
            <w:r>
              <w:rPr>
                <w:sz w:val="24"/>
              </w:rPr>
              <w:t>新建</w:t>
            </w:r>
          </w:p>
        </w:tc>
      </w:tr>
      <w:tr>
        <w:tblPrEx>
          <w:tblW w:w="0" w:type="auto"/>
          <w:tblInd w:w="306" w:type="dxa"/>
          <w:tblLayout w:type="fixed"/>
          <w:tblCellMar>
            <w:top w:w="0" w:type="dxa"/>
            <w:left w:w="0" w:type="dxa"/>
            <w:bottom w:w="0" w:type="dxa"/>
            <w:right w:w="0" w:type="dxa"/>
          </w:tblCellMar>
        </w:tblPrEx>
        <w:trPr>
          <w:trHeight w:val="479"/>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nil"/>
            </w:tcBorders>
          </w:tcPr>
          <w:p>
            <w:pPr>
              <w:pStyle w:val="TableParagraph"/>
              <w:spacing w:before="83"/>
              <w:ind w:left="593"/>
              <w:rPr>
                <w:sz w:val="24"/>
              </w:rPr>
            </w:pPr>
            <w:r>
              <w:rPr>
                <w:b/>
                <w:sz w:val="24"/>
              </w:rPr>
              <w:t>（三）建设规模：</w:t>
            </w:r>
            <w:r>
              <w:rPr>
                <w:sz w:val="24"/>
              </w:rPr>
              <w:t xml:space="preserve">年处理 </w:t>
            </w:r>
            <w:r>
              <w:rPr>
                <w:rFonts w:ascii="Times New Roman" w:eastAsia="Times New Roman"/>
                <w:sz w:val="24"/>
              </w:rPr>
              <w:t xml:space="preserve">10 </w:t>
            </w:r>
            <w:r>
              <w:rPr>
                <w:sz w:val="24"/>
              </w:rPr>
              <w:t>万吨金属件</w:t>
            </w:r>
          </w:p>
        </w:tc>
      </w:tr>
      <w:tr>
        <w:tblPrEx>
          <w:tblW w:w="0" w:type="auto"/>
          <w:tblInd w:w="306" w:type="dxa"/>
          <w:tblLayout w:type="fixed"/>
          <w:tblCellMar>
            <w:top w:w="0" w:type="dxa"/>
            <w:left w:w="0" w:type="dxa"/>
            <w:bottom w:w="0" w:type="dxa"/>
            <w:right w:w="0" w:type="dxa"/>
          </w:tblCellMar>
        </w:tblPrEx>
        <w:trPr>
          <w:trHeight w:val="453"/>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nil"/>
            </w:tcBorders>
          </w:tcPr>
          <w:p>
            <w:pPr>
              <w:pStyle w:val="TableParagraph"/>
              <w:spacing w:before="71"/>
              <w:ind w:left="593"/>
              <w:rPr>
                <w:sz w:val="24"/>
              </w:rPr>
            </w:pPr>
            <w:r>
              <w:rPr>
                <w:b/>
                <w:sz w:val="24"/>
              </w:rPr>
              <w:t>（四）建设地点：</w:t>
            </w:r>
            <w:r>
              <w:rPr>
                <w:sz w:val="24"/>
              </w:rPr>
              <w:t>项目位于宁津县三岭大街与宏图路交叉口东南角，项目地理</w:t>
            </w:r>
          </w:p>
        </w:tc>
      </w:tr>
      <w:tr>
        <w:tblPrEx>
          <w:tblW w:w="0" w:type="auto"/>
          <w:tblInd w:w="306" w:type="dxa"/>
          <w:tblLayout w:type="fixed"/>
          <w:tblCellMar>
            <w:top w:w="0" w:type="dxa"/>
            <w:left w:w="0" w:type="dxa"/>
            <w:bottom w:w="0" w:type="dxa"/>
            <w:right w:w="0" w:type="dxa"/>
          </w:tblCellMar>
        </w:tblPrEx>
        <w:trPr>
          <w:trHeight w:val="535"/>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nil"/>
            </w:tcBorders>
          </w:tcPr>
          <w:p>
            <w:pPr>
              <w:pStyle w:val="TableParagraph"/>
              <w:spacing w:before="85"/>
              <w:ind w:left="113"/>
              <w:rPr>
                <w:sz w:val="24"/>
              </w:rPr>
            </w:pPr>
            <w:r>
              <w:rPr>
                <w:sz w:val="24"/>
              </w:rPr>
              <w:t xml:space="preserve">位置详见附图 </w:t>
            </w:r>
            <w:r>
              <w:rPr>
                <w:rFonts w:ascii="Times New Roman" w:eastAsia="Times New Roman"/>
                <w:sz w:val="24"/>
              </w:rPr>
              <w:t>1</w:t>
            </w:r>
            <w:r>
              <w:rPr>
                <w:sz w:val="24"/>
              </w:rPr>
              <w:t>。</w:t>
            </w:r>
          </w:p>
        </w:tc>
      </w:tr>
      <w:tr>
        <w:tblPrEx>
          <w:tblW w:w="0" w:type="auto"/>
          <w:tblInd w:w="306" w:type="dxa"/>
          <w:tblLayout w:type="fixed"/>
          <w:tblCellMar>
            <w:top w:w="0" w:type="dxa"/>
            <w:left w:w="0" w:type="dxa"/>
            <w:bottom w:w="0" w:type="dxa"/>
            <w:right w:w="0" w:type="dxa"/>
          </w:tblCellMar>
        </w:tblPrEx>
        <w:trPr>
          <w:trHeight w:val="526"/>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nil"/>
            </w:tcBorders>
          </w:tcPr>
          <w:p>
            <w:pPr>
              <w:pStyle w:val="TableParagraph"/>
              <w:spacing w:before="135"/>
              <w:ind w:left="593"/>
              <w:rPr>
                <w:b/>
                <w:sz w:val="24"/>
              </w:rPr>
            </w:pPr>
            <w:r>
              <w:rPr>
                <w:rFonts w:ascii="Times New Roman" w:eastAsia="Times New Roman"/>
                <w:b/>
                <w:sz w:val="24"/>
              </w:rPr>
              <w:t>2</w:t>
            </w:r>
            <w:r>
              <w:rPr>
                <w:b/>
                <w:sz w:val="24"/>
              </w:rPr>
              <w:t>、项目组成</w:t>
            </w:r>
          </w:p>
        </w:tc>
      </w:tr>
      <w:tr>
        <w:tblPrEx>
          <w:tblW w:w="0" w:type="auto"/>
          <w:tblInd w:w="306" w:type="dxa"/>
          <w:tblLayout w:type="fixed"/>
          <w:tblCellMar>
            <w:top w:w="0" w:type="dxa"/>
            <w:left w:w="0" w:type="dxa"/>
            <w:bottom w:w="0" w:type="dxa"/>
            <w:right w:w="0" w:type="dxa"/>
          </w:tblCellMar>
        </w:tblPrEx>
        <w:trPr>
          <w:trHeight w:val="470"/>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nil"/>
            </w:tcBorders>
          </w:tcPr>
          <w:p>
            <w:pPr>
              <w:pStyle w:val="TableParagraph"/>
              <w:spacing w:before="76"/>
              <w:ind w:left="593"/>
              <w:rPr>
                <w:sz w:val="24"/>
              </w:rPr>
            </w:pPr>
            <w:r>
              <w:rPr>
                <w:spacing w:val="-6"/>
                <w:sz w:val="24"/>
              </w:rPr>
              <w:t xml:space="preserve">拟建项目为新建项目，新建厂房，占地面积 </w:t>
            </w:r>
            <w:r>
              <w:rPr>
                <w:rFonts w:ascii="Times New Roman" w:eastAsia="Times New Roman"/>
                <w:sz w:val="24"/>
              </w:rPr>
              <w:t xml:space="preserve">10000 </w:t>
            </w:r>
            <w:r>
              <w:rPr>
                <w:spacing w:val="-11"/>
                <w:sz w:val="24"/>
              </w:rPr>
              <w:t xml:space="preserve">平方米，建筑面积 </w:t>
            </w:r>
            <w:r>
              <w:rPr>
                <w:rFonts w:ascii="Times New Roman" w:eastAsia="Times New Roman"/>
                <w:sz w:val="24"/>
              </w:rPr>
              <w:t xml:space="preserve">10000 </w:t>
            </w:r>
            <w:r>
              <w:rPr>
                <w:sz w:val="24"/>
              </w:rPr>
              <w:t>平</w:t>
            </w:r>
          </w:p>
        </w:tc>
      </w:tr>
      <w:tr>
        <w:tblPrEx>
          <w:tblW w:w="0" w:type="auto"/>
          <w:tblInd w:w="306" w:type="dxa"/>
          <w:tblLayout w:type="fixed"/>
          <w:tblCellMar>
            <w:top w:w="0" w:type="dxa"/>
            <w:left w:w="0" w:type="dxa"/>
            <w:bottom w:w="0" w:type="dxa"/>
            <w:right w:w="0" w:type="dxa"/>
          </w:tblCellMar>
        </w:tblPrEx>
        <w:trPr>
          <w:trHeight w:val="458"/>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nil"/>
            </w:tcBorders>
          </w:tcPr>
          <w:p>
            <w:pPr>
              <w:pStyle w:val="TableParagraph"/>
              <w:spacing w:before="71"/>
              <w:ind w:left="113"/>
              <w:rPr>
                <w:sz w:val="24"/>
              </w:rPr>
            </w:pPr>
            <w:r>
              <w:rPr>
                <w:sz w:val="24"/>
              </w:rPr>
              <w:t>方米。</w:t>
            </w:r>
          </w:p>
        </w:tc>
      </w:tr>
      <w:tr>
        <w:tblPrEx>
          <w:tblW w:w="0" w:type="auto"/>
          <w:tblInd w:w="306" w:type="dxa"/>
          <w:tblLayout w:type="fixed"/>
          <w:tblCellMar>
            <w:top w:w="0" w:type="dxa"/>
            <w:left w:w="0" w:type="dxa"/>
            <w:bottom w:w="0" w:type="dxa"/>
            <w:right w:w="0" w:type="dxa"/>
          </w:tblCellMar>
        </w:tblPrEx>
        <w:trPr>
          <w:trHeight w:val="498"/>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nil"/>
            </w:tcBorders>
          </w:tcPr>
          <w:p>
            <w:pPr>
              <w:pStyle w:val="TableParagraph"/>
              <w:spacing w:before="80"/>
              <w:ind w:left="593"/>
              <w:rPr>
                <w:sz w:val="24"/>
              </w:rPr>
            </w:pPr>
            <w:r>
              <w:rPr>
                <w:sz w:val="24"/>
              </w:rPr>
              <w:t>项目具体建设内容见下表。</w:t>
            </w:r>
          </w:p>
        </w:tc>
      </w:tr>
      <w:tr>
        <w:tblPrEx>
          <w:tblW w:w="0" w:type="auto"/>
          <w:tblInd w:w="306" w:type="dxa"/>
          <w:tblLayout w:type="fixed"/>
          <w:tblCellMar>
            <w:top w:w="0" w:type="dxa"/>
            <w:left w:w="0" w:type="dxa"/>
            <w:bottom w:w="0" w:type="dxa"/>
            <w:right w:w="0" w:type="dxa"/>
          </w:tblCellMar>
        </w:tblPrEx>
        <w:trPr>
          <w:trHeight w:val="501"/>
        </w:trPr>
        <w:tc>
          <w:tcPr>
            <w:tcW w:w="709" w:type="dxa"/>
            <w:tcBorders>
              <w:top w:val="nil"/>
              <w:bottom w:val="nil"/>
              <w:right w:val="single" w:sz="4" w:space="0" w:color="000000"/>
            </w:tcBorders>
          </w:tcPr>
          <w:p>
            <w:pPr>
              <w:pStyle w:val="TableParagraph"/>
              <w:rPr>
                <w:rFonts w:ascii="Times New Roman"/>
                <w:sz w:val="20"/>
              </w:rPr>
            </w:pPr>
          </w:p>
        </w:tc>
        <w:tc>
          <w:tcPr>
            <w:tcW w:w="8804" w:type="dxa"/>
            <w:gridSpan w:val="6"/>
            <w:tcBorders>
              <w:top w:val="nil"/>
              <w:left w:val="single" w:sz="4" w:space="0" w:color="000000"/>
              <w:bottom w:val="single" w:sz="4" w:space="0" w:color="000000"/>
            </w:tcBorders>
          </w:tcPr>
          <w:p>
            <w:pPr>
              <w:pStyle w:val="TableParagraph"/>
              <w:tabs>
                <w:tab w:val="left" w:pos="862"/>
              </w:tabs>
              <w:spacing w:before="119"/>
              <w:ind w:left="22"/>
              <w:jc w:val="center"/>
              <w:rPr>
                <w:b/>
                <w:sz w:val="24"/>
              </w:rPr>
            </w:pPr>
            <w:r>
              <w:rPr>
                <w:b/>
                <w:sz w:val="24"/>
              </w:rPr>
              <w:t>表</w:t>
            </w:r>
            <w:r>
              <w:rPr>
                <w:b/>
                <w:spacing w:val="-62"/>
                <w:sz w:val="24"/>
              </w:rPr>
              <w:t xml:space="preserve"> </w:t>
            </w:r>
            <w:r>
              <w:rPr>
                <w:rFonts w:ascii="Times New Roman" w:eastAsia="Times New Roman"/>
                <w:b/>
                <w:sz w:val="24"/>
              </w:rPr>
              <w:t>9.</w:t>
            </w:r>
            <w:r>
              <w:rPr>
                <w:rFonts w:ascii="Times New Roman" w:eastAsia="Times New Roman"/>
                <w:b/>
                <w:sz w:val="24"/>
              </w:rPr>
              <w:tab/>
            </w:r>
            <w:r>
              <w:rPr>
                <w:b/>
                <w:sz w:val="24"/>
              </w:rPr>
              <w:t>项目具体建设内容</w:t>
            </w:r>
          </w:p>
        </w:tc>
      </w:tr>
      <w:tr>
        <w:tblPrEx>
          <w:tblW w:w="0" w:type="auto"/>
          <w:tblInd w:w="306" w:type="dxa"/>
          <w:tblLayout w:type="fixed"/>
          <w:tblCellMar>
            <w:top w:w="0" w:type="dxa"/>
            <w:left w:w="0" w:type="dxa"/>
            <w:bottom w:w="0" w:type="dxa"/>
            <w:right w:w="0" w:type="dxa"/>
          </w:tblCellMar>
        </w:tblPrEx>
        <w:trPr>
          <w:trHeight w:val="266"/>
        </w:trPr>
        <w:tc>
          <w:tcPr>
            <w:tcW w:w="709" w:type="dxa"/>
            <w:tcBorders>
              <w:top w:val="nil"/>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right w:val="single" w:sz="4" w:space="0" w:color="000000"/>
            </w:tcBorders>
          </w:tcPr>
          <w:p>
            <w:pPr>
              <w:pStyle w:val="TableParagraph"/>
              <w:rPr>
                <w:rFonts w:ascii="Times New Roman"/>
                <w:sz w:val="20"/>
              </w:rPr>
            </w:pPr>
          </w:p>
        </w:tc>
        <w:tc>
          <w:tcPr>
            <w:tcW w:w="1127" w:type="dxa"/>
            <w:tcBorders>
              <w:top w:val="single" w:sz="4" w:space="0" w:color="000000"/>
              <w:left w:val="single" w:sz="4" w:space="0" w:color="000000"/>
              <w:bottom w:val="single" w:sz="4" w:space="0" w:color="000000"/>
              <w:right w:val="single" w:sz="4" w:space="0" w:color="000000"/>
            </w:tcBorders>
          </w:tcPr>
          <w:p>
            <w:pPr>
              <w:pStyle w:val="TableParagraph"/>
              <w:spacing w:line="247" w:lineRule="exact"/>
              <w:ind w:left="125" w:right="107"/>
              <w:jc w:val="center"/>
              <w:rPr>
                <w:b/>
                <w:sz w:val="21"/>
              </w:rPr>
            </w:pPr>
            <w:r>
              <w:rPr>
                <w:b/>
                <w:sz w:val="21"/>
              </w:rPr>
              <w:t>项目组成</w:t>
            </w:r>
          </w:p>
        </w:tc>
        <w:tc>
          <w:tcPr>
            <w:tcW w:w="1267" w:type="dxa"/>
            <w:tcBorders>
              <w:top w:val="single" w:sz="4" w:space="0" w:color="000000"/>
              <w:left w:val="single" w:sz="4" w:space="0" w:color="000000"/>
              <w:bottom w:val="single" w:sz="4" w:space="0" w:color="000000"/>
              <w:right w:val="single" w:sz="4" w:space="0" w:color="000000"/>
            </w:tcBorders>
          </w:tcPr>
          <w:p>
            <w:pPr>
              <w:pStyle w:val="TableParagraph"/>
              <w:spacing w:line="247" w:lineRule="exact"/>
              <w:ind w:left="91" w:right="72"/>
              <w:jc w:val="center"/>
              <w:rPr>
                <w:b/>
                <w:sz w:val="21"/>
              </w:rPr>
            </w:pPr>
            <w:r>
              <w:rPr>
                <w:b/>
                <w:sz w:val="21"/>
              </w:rPr>
              <w:t>工程内容</w:t>
            </w:r>
          </w:p>
        </w:tc>
        <w:tc>
          <w:tcPr>
            <w:tcW w:w="5336" w:type="dxa"/>
            <w:tcBorders>
              <w:top w:val="single" w:sz="4" w:space="0" w:color="000000"/>
              <w:left w:val="single" w:sz="4" w:space="0" w:color="000000"/>
              <w:bottom w:val="single" w:sz="4" w:space="0" w:color="000000"/>
              <w:right w:val="single" w:sz="4" w:space="0" w:color="000000"/>
            </w:tcBorders>
          </w:tcPr>
          <w:p>
            <w:pPr>
              <w:pStyle w:val="TableParagraph"/>
              <w:spacing w:line="247" w:lineRule="exact"/>
              <w:ind w:left="85" w:right="69"/>
              <w:jc w:val="center"/>
              <w:rPr>
                <w:b/>
                <w:sz w:val="21"/>
              </w:rPr>
            </w:pPr>
            <w:r>
              <w:rPr>
                <w:b/>
                <w:sz w:val="21"/>
              </w:rPr>
              <w:t>建设规模</w:t>
            </w:r>
          </w:p>
        </w:tc>
        <w:tc>
          <w:tcPr>
            <w:tcW w:w="848" w:type="dxa"/>
            <w:tcBorders>
              <w:top w:val="single" w:sz="4" w:space="0" w:color="000000"/>
              <w:left w:val="single" w:sz="4" w:space="0" w:color="000000"/>
              <w:bottom w:val="single" w:sz="4" w:space="0" w:color="000000"/>
              <w:right w:val="single" w:sz="4" w:space="0" w:color="000000"/>
            </w:tcBorders>
          </w:tcPr>
          <w:p>
            <w:pPr>
              <w:pStyle w:val="TableParagraph"/>
              <w:spacing w:line="247" w:lineRule="exact"/>
              <w:ind w:left="195" w:right="180"/>
              <w:jc w:val="center"/>
              <w:rPr>
                <w:b/>
                <w:sz w:val="21"/>
              </w:rPr>
            </w:pPr>
            <w:r>
              <w:rPr>
                <w:b/>
                <w:sz w:val="21"/>
              </w:rPr>
              <w:t>备注</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306" w:type="dxa"/>
          <w:tblLayout w:type="fixed"/>
          <w:tblCellMar>
            <w:top w:w="0" w:type="dxa"/>
            <w:left w:w="0" w:type="dxa"/>
            <w:bottom w:w="0" w:type="dxa"/>
            <w:right w:w="0" w:type="dxa"/>
          </w:tblCellMar>
        </w:tblPrEx>
        <w:trPr>
          <w:trHeight w:val="304"/>
        </w:trPr>
        <w:tc>
          <w:tcPr>
            <w:tcW w:w="709" w:type="dxa"/>
            <w:tcBorders>
              <w:top w:val="nil"/>
              <w:bottom w:val="nil"/>
              <w:right w:val="single" w:sz="4" w:space="0" w:color="000000"/>
            </w:tcBorders>
          </w:tcPr>
          <w:p>
            <w:pPr>
              <w:pStyle w:val="TableParagraph"/>
              <w:spacing w:before="5" w:line="280" w:lineRule="exact"/>
              <w:ind w:left="113"/>
              <w:rPr>
                <w:sz w:val="24"/>
              </w:rPr>
            </w:pPr>
            <w:r>
              <w:rPr>
                <w:sz w:val="24"/>
              </w:rPr>
              <w:t>建设</w:t>
            </w:r>
          </w:p>
        </w:tc>
        <w:tc>
          <w:tcPr>
            <w:tcW w:w="113" w:type="dxa"/>
            <w:vMerge/>
            <w:tcBorders>
              <w:top w:val="nil"/>
              <w:left w:val="single" w:sz="4" w:space="0" w:color="000000"/>
              <w:right w:val="single" w:sz="4" w:space="0" w:color="000000"/>
            </w:tcBorders>
          </w:tcPr>
          <w:p>
            <w:pPr>
              <w:rPr>
                <w:sz w:val="2"/>
                <w:szCs w:val="2"/>
              </w:rPr>
            </w:pPr>
          </w:p>
        </w:tc>
        <w:tc>
          <w:tcPr>
            <w:tcW w:w="112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26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5336"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1" w:right="-15"/>
              <w:rPr>
                <w:sz w:val="21"/>
              </w:rPr>
            </w:pPr>
            <w:r>
              <w:rPr>
                <w:rFonts w:ascii="Times New Roman" w:eastAsia="Times New Roman"/>
                <w:sz w:val="21"/>
              </w:rPr>
              <w:t>1#</w:t>
            </w:r>
            <w:r>
              <w:rPr>
                <w:spacing w:val="-3"/>
                <w:sz w:val="21"/>
              </w:rPr>
              <w:t>生产车间，建筑面积为</w:t>
            </w:r>
            <w:r>
              <w:rPr>
                <w:rFonts w:ascii="Times New Roman" w:eastAsia="Times New Roman"/>
                <w:sz w:val="21"/>
              </w:rPr>
              <w:t>3000</w:t>
            </w:r>
            <w:r>
              <w:rPr>
                <w:spacing w:val="-4"/>
                <w:sz w:val="21"/>
              </w:rPr>
              <w:t>平方米，放置</w:t>
            </w:r>
            <w:r>
              <w:rPr>
                <w:rFonts w:ascii="Times New Roman" w:eastAsia="Times New Roman"/>
                <w:sz w:val="21"/>
              </w:rPr>
              <w:t>25</w:t>
            </w:r>
            <w:r>
              <w:rPr>
                <w:sz w:val="21"/>
              </w:rPr>
              <w:t>台制冷机、</w:t>
            </w:r>
          </w:p>
          <w:p>
            <w:pPr>
              <w:pStyle w:val="TableParagraph"/>
              <w:spacing w:before="6" w:line="320" w:lineRule="atLeast"/>
              <w:ind w:left="1307" w:right="92" w:hanging="1196"/>
              <w:rPr>
                <w:sz w:val="21"/>
              </w:rPr>
            </w:pPr>
            <w:r>
              <w:rPr>
                <w:rFonts w:ascii="Times New Roman" w:eastAsia="Times New Roman"/>
                <w:w w:val="95"/>
                <w:sz w:val="21"/>
              </w:rPr>
              <w:t>25</w:t>
            </w:r>
            <w:r>
              <w:rPr>
                <w:spacing w:val="-2"/>
                <w:w w:val="95"/>
                <w:sz w:val="21"/>
              </w:rPr>
              <w:t>台蒸馏机、</w:t>
            </w:r>
            <w:r>
              <w:rPr>
                <w:rFonts w:ascii="Times New Roman" w:eastAsia="Times New Roman"/>
                <w:w w:val="95"/>
                <w:sz w:val="21"/>
              </w:rPr>
              <w:t>1</w:t>
            </w:r>
            <w:r>
              <w:rPr>
                <w:spacing w:val="-2"/>
                <w:w w:val="95"/>
                <w:sz w:val="21"/>
              </w:rPr>
              <w:t>台磁力抛光机、</w:t>
            </w:r>
            <w:r>
              <w:rPr>
                <w:rFonts w:ascii="Times New Roman" w:eastAsia="Times New Roman"/>
                <w:w w:val="95"/>
                <w:sz w:val="21"/>
              </w:rPr>
              <w:t>3</w:t>
            </w:r>
            <w:r>
              <w:rPr>
                <w:spacing w:val="-2"/>
                <w:w w:val="95"/>
                <w:sz w:val="21"/>
              </w:rPr>
              <w:t>台烘干机、</w:t>
            </w:r>
            <w:r>
              <w:rPr>
                <w:rFonts w:ascii="Times New Roman" w:eastAsia="Times New Roman"/>
                <w:w w:val="95"/>
                <w:sz w:val="21"/>
              </w:rPr>
              <w:t>1</w:t>
            </w:r>
            <w:r>
              <w:rPr>
                <w:w w:val="95"/>
                <w:sz w:val="21"/>
              </w:rPr>
              <w:t xml:space="preserve">台超声波清 </w:t>
            </w:r>
            <w:r>
              <w:rPr>
                <w:sz w:val="21"/>
              </w:rPr>
              <w:t>洗仪、</w:t>
            </w:r>
            <w:r>
              <w:rPr>
                <w:rFonts w:ascii="Times New Roman" w:eastAsia="Times New Roman"/>
                <w:sz w:val="21"/>
              </w:rPr>
              <w:t>10</w:t>
            </w:r>
            <w:r>
              <w:rPr>
                <w:sz w:val="21"/>
              </w:rPr>
              <w:t>条表面处理生产线。</w:t>
            </w:r>
          </w:p>
        </w:tc>
        <w:tc>
          <w:tcPr>
            <w:tcW w:w="848"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306" w:type="dxa"/>
          <w:tblLayout w:type="fixed"/>
          <w:tblCellMar>
            <w:top w:w="0" w:type="dxa"/>
            <w:left w:w="0" w:type="dxa"/>
            <w:bottom w:w="0" w:type="dxa"/>
            <w:right w:w="0" w:type="dxa"/>
          </w:tblCellMar>
        </w:tblPrEx>
        <w:trPr>
          <w:trHeight w:val="434"/>
        </w:trPr>
        <w:tc>
          <w:tcPr>
            <w:tcW w:w="709" w:type="dxa"/>
            <w:tcBorders>
              <w:top w:val="nil"/>
              <w:bottom w:val="nil"/>
              <w:right w:val="single" w:sz="4" w:space="0" w:color="000000"/>
            </w:tcBorders>
          </w:tcPr>
          <w:p>
            <w:pPr>
              <w:pStyle w:val="TableParagraph"/>
              <w:spacing w:line="300" w:lineRule="exact"/>
              <w:ind w:left="113"/>
              <w:rPr>
                <w:sz w:val="24"/>
              </w:rPr>
            </w:pPr>
            <w:r>
              <w:rPr>
                <w:sz w:val="24"/>
              </w:rPr>
              <w:t>内容</w:t>
            </w:r>
          </w:p>
        </w:tc>
        <w:tc>
          <w:tcPr>
            <w:tcW w:w="113" w:type="dxa"/>
            <w:vMerge/>
            <w:tcBorders>
              <w:top w:val="nil"/>
              <w:left w:val="single" w:sz="4" w:space="0" w:color="000000"/>
              <w:right w:val="single" w:sz="4" w:space="0" w:color="000000"/>
            </w:tcBorders>
          </w:tcPr>
          <w:p>
            <w:pPr>
              <w:rPr>
                <w:sz w:val="2"/>
                <w:szCs w:val="2"/>
              </w:rPr>
            </w:pPr>
          </w:p>
        </w:tc>
        <w:tc>
          <w:tcPr>
            <w:tcW w:w="1127" w:type="dxa"/>
            <w:tcBorders>
              <w:top w:val="nil"/>
              <w:left w:val="single" w:sz="4" w:space="0" w:color="000000"/>
              <w:bottom w:val="nil"/>
              <w:right w:val="single" w:sz="4" w:space="0" w:color="000000"/>
            </w:tcBorders>
          </w:tcPr>
          <w:p>
            <w:pPr>
              <w:pStyle w:val="TableParagraph"/>
              <w:rPr>
                <w:rFonts w:ascii="Times New Roman"/>
                <w:sz w:val="20"/>
              </w:rPr>
            </w:pPr>
          </w:p>
        </w:tc>
        <w:tc>
          <w:tcPr>
            <w:tcW w:w="1267" w:type="dxa"/>
            <w:tcBorders>
              <w:top w:val="nil"/>
              <w:left w:val="single" w:sz="4" w:space="0" w:color="000000"/>
              <w:bottom w:val="nil"/>
              <w:right w:val="single" w:sz="4" w:space="0" w:color="000000"/>
            </w:tcBorders>
          </w:tcPr>
          <w:p>
            <w:pPr>
              <w:pStyle w:val="TableParagraph"/>
              <w:spacing w:before="24"/>
              <w:ind w:left="91" w:right="76"/>
              <w:jc w:val="center"/>
              <w:rPr>
                <w:sz w:val="21"/>
              </w:rPr>
            </w:pPr>
            <w:r>
              <w:rPr>
                <w:rFonts w:ascii="Times New Roman" w:eastAsia="Times New Roman"/>
                <w:sz w:val="21"/>
              </w:rPr>
              <w:t>1#</w:t>
            </w:r>
            <w:r>
              <w:rPr>
                <w:sz w:val="21"/>
              </w:rPr>
              <w:t>生产车间</w:t>
            </w:r>
          </w:p>
        </w:tc>
        <w:tc>
          <w:tcPr>
            <w:tcW w:w="5336" w:type="dxa"/>
            <w:vMerge/>
            <w:tcBorders>
              <w:top w:val="nil"/>
              <w:left w:val="single" w:sz="4" w:space="0" w:color="000000"/>
              <w:bottom w:val="single" w:sz="4" w:space="0" w:color="000000"/>
              <w:right w:val="single" w:sz="4" w:space="0" w:color="000000"/>
            </w:tcBorders>
          </w:tcPr>
          <w:p>
            <w:pPr>
              <w:rPr>
                <w:sz w:val="2"/>
                <w:szCs w:val="2"/>
              </w:rPr>
            </w:pPr>
          </w:p>
        </w:tc>
        <w:tc>
          <w:tcPr>
            <w:tcW w:w="84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191"/>
        </w:trPr>
        <w:tc>
          <w:tcPr>
            <w:tcW w:w="709" w:type="dxa"/>
            <w:vMerge w:val="restart"/>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vMerge w:val="restart"/>
            <w:tcBorders>
              <w:top w:val="nil"/>
              <w:left w:val="single" w:sz="4" w:space="0" w:color="000000"/>
              <w:bottom w:val="nil"/>
              <w:right w:val="single" w:sz="4" w:space="0" w:color="000000"/>
            </w:tcBorders>
          </w:tcPr>
          <w:p>
            <w:pPr>
              <w:pStyle w:val="TableParagraph"/>
              <w:spacing w:before="4"/>
              <w:rPr>
                <w:rFonts w:ascii="黑体"/>
                <w:sz w:val="20"/>
              </w:rPr>
            </w:pPr>
          </w:p>
          <w:p>
            <w:pPr>
              <w:pStyle w:val="TableParagraph"/>
              <w:spacing w:before="1"/>
              <w:ind w:left="146"/>
              <w:rPr>
                <w:sz w:val="21"/>
              </w:rPr>
            </w:pPr>
            <w:r>
              <w:rPr>
                <w:sz w:val="21"/>
              </w:rPr>
              <w:t>主体工程</w:t>
            </w:r>
          </w:p>
        </w:tc>
        <w:tc>
          <w:tcPr>
            <w:tcW w:w="1267" w:type="dxa"/>
            <w:tcBorders>
              <w:top w:val="nil"/>
              <w:left w:val="single" w:sz="4" w:space="0" w:color="000000"/>
              <w:bottom w:val="single" w:sz="4" w:space="0" w:color="000000"/>
              <w:right w:val="single" w:sz="4" w:space="0" w:color="000000"/>
            </w:tcBorders>
          </w:tcPr>
          <w:p>
            <w:pPr>
              <w:pStyle w:val="TableParagraph"/>
              <w:rPr>
                <w:rFonts w:ascii="Times New Roman"/>
                <w:sz w:val="12"/>
              </w:rPr>
            </w:pPr>
          </w:p>
        </w:tc>
        <w:tc>
          <w:tcPr>
            <w:tcW w:w="5336" w:type="dxa"/>
            <w:vMerge/>
            <w:tcBorders>
              <w:top w:val="nil"/>
              <w:left w:val="single" w:sz="4" w:space="0" w:color="000000"/>
              <w:bottom w:val="single" w:sz="4" w:space="0" w:color="000000"/>
              <w:right w:val="single" w:sz="4" w:space="0" w:color="000000"/>
            </w:tcBorders>
          </w:tcPr>
          <w:p>
            <w:pPr>
              <w:rPr>
                <w:sz w:val="2"/>
                <w:szCs w:val="2"/>
              </w:rPr>
            </w:pPr>
          </w:p>
        </w:tc>
        <w:tc>
          <w:tcPr>
            <w:tcW w:w="848" w:type="dxa"/>
            <w:vMerge w:val="restart"/>
            <w:tcBorders>
              <w:top w:val="nil"/>
              <w:left w:val="single" w:sz="4" w:space="0" w:color="000000"/>
              <w:bottom w:val="nil"/>
              <w:right w:val="single" w:sz="4" w:space="0" w:color="000000"/>
            </w:tcBorders>
          </w:tcPr>
          <w:p>
            <w:pPr>
              <w:pStyle w:val="TableParagraph"/>
              <w:spacing w:before="124" w:line="244" w:lineRule="auto"/>
              <w:ind w:left="113" w:right="93"/>
              <w:rPr>
                <w:sz w:val="21"/>
              </w:rPr>
            </w:pPr>
            <w:r>
              <w:rPr>
                <w:sz w:val="21"/>
              </w:rPr>
              <w:t>租赁现有车间</w:t>
            </w:r>
          </w:p>
        </w:tc>
        <w:tc>
          <w:tcPr>
            <w:tcW w:w="113" w:type="dxa"/>
            <w:vMerge/>
            <w:tcBorders>
              <w:top w:val="nil"/>
              <w:left w:val="single" w:sz="4" w:space="0" w:color="000000"/>
              <w:bottom w:val="nil"/>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807"/>
        </w:trPr>
        <w:tc>
          <w:tcPr>
            <w:tcW w:w="709" w:type="dxa"/>
            <w:vMerge/>
            <w:tcBorders>
              <w:top w:val="nil"/>
              <w:bottom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127" w:type="dxa"/>
            <w:vMerge/>
            <w:tcBorders>
              <w:top w:val="nil"/>
              <w:left w:val="single" w:sz="4" w:space="0" w:color="000000"/>
              <w:bottom w:val="nil"/>
              <w:right w:val="single" w:sz="4" w:space="0" w:color="000000"/>
            </w:tcBorders>
          </w:tcPr>
          <w:p>
            <w:pPr>
              <w:rPr>
                <w:sz w:val="2"/>
                <w:szCs w:val="2"/>
              </w:rPr>
            </w:pPr>
          </w:p>
        </w:tc>
        <w:tc>
          <w:tcPr>
            <w:tcW w:w="1267"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sz w:val="20"/>
              </w:rPr>
            </w:pPr>
          </w:p>
          <w:p>
            <w:pPr>
              <w:pStyle w:val="TableParagraph"/>
              <w:ind w:left="91" w:right="76"/>
              <w:jc w:val="center"/>
              <w:rPr>
                <w:sz w:val="21"/>
              </w:rPr>
            </w:pPr>
            <w:r>
              <w:rPr>
                <w:rFonts w:ascii="Times New Roman" w:eastAsia="Times New Roman"/>
                <w:sz w:val="21"/>
              </w:rPr>
              <w:t>2#</w:t>
            </w:r>
            <w:r>
              <w:rPr>
                <w:sz w:val="21"/>
              </w:rPr>
              <w:t>生产车间</w:t>
            </w:r>
          </w:p>
        </w:tc>
        <w:tc>
          <w:tcPr>
            <w:tcW w:w="5336"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11" w:firstLine="40"/>
              <w:rPr>
                <w:sz w:val="21"/>
              </w:rPr>
            </w:pPr>
            <w:r>
              <w:rPr>
                <w:rFonts w:ascii="Times New Roman" w:eastAsia="Times New Roman"/>
                <w:sz w:val="21"/>
              </w:rPr>
              <w:t>2#</w:t>
            </w:r>
            <w:r>
              <w:rPr>
                <w:sz w:val="21"/>
              </w:rPr>
              <w:t xml:space="preserve">生产车间，建筑面积为 </w:t>
            </w:r>
            <w:r>
              <w:rPr>
                <w:rFonts w:ascii="Times New Roman" w:eastAsia="Times New Roman"/>
                <w:sz w:val="21"/>
              </w:rPr>
              <w:t xml:space="preserve">3000 </w:t>
            </w:r>
            <w:r>
              <w:rPr>
                <w:sz w:val="21"/>
              </w:rPr>
              <w:t xml:space="preserve">平方米，放置 </w:t>
            </w:r>
            <w:r>
              <w:rPr>
                <w:rFonts w:ascii="Times New Roman" w:eastAsia="Times New Roman"/>
                <w:sz w:val="21"/>
              </w:rPr>
              <w:t xml:space="preserve">25 </w:t>
            </w:r>
            <w:r>
              <w:rPr>
                <w:sz w:val="21"/>
              </w:rPr>
              <w:t>台制冷</w:t>
            </w:r>
          </w:p>
          <w:p>
            <w:pPr>
              <w:pStyle w:val="TableParagraph"/>
              <w:spacing w:before="3" w:line="270" w:lineRule="atLeast"/>
              <w:ind w:left="966" w:right="41" w:hanging="855"/>
              <w:rPr>
                <w:sz w:val="21"/>
              </w:rPr>
            </w:pPr>
            <w:r>
              <w:rPr>
                <w:sz w:val="21"/>
              </w:rPr>
              <w:t>机、</w:t>
            </w:r>
            <w:r>
              <w:rPr>
                <w:rFonts w:ascii="Times New Roman" w:eastAsia="Times New Roman"/>
                <w:sz w:val="21"/>
              </w:rPr>
              <w:t xml:space="preserve">25 </w:t>
            </w:r>
            <w:r>
              <w:rPr>
                <w:sz w:val="21"/>
              </w:rPr>
              <w:t>台蒸馏机、</w:t>
            </w:r>
            <w:r>
              <w:rPr>
                <w:rFonts w:ascii="Times New Roman" w:eastAsia="Times New Roman"/>
                <w:sz w:val="21"/>
              </w:rPr>
              <w:t xml:space="preserve">1 </w:t>
            </w:r>
            <w:r>
              <w:rPr>
                <w:sz w:val="21"/>
              </w:rPr>
              <w:t>台磁力抛光机、</w:t>
            </w:r>
            <w:r>
              <w:rPr>
                <w:rFonts w:ascii="Times New Roman" w:eastAsia="Times New Roman"/>
                <w:sz w:val="21"/>
              </w:rPr>
              <w:t xml:space="preserve">3 </w:t>
            </w:r>
            <w:r>
              <w:rPr>
                <w:sz w:val="21"/>
              </w:rPr>
              <w:t>台烘干机、</w:t>
            </w:r>
            <w:r>
              <w:rPr>
                <w:rFonts w:ascii="Times New Roman" w:eastAsia="Times New Roman"/>
                <w:sz w:val="21"/>
              </w:rPr>
              <w:t xml:space="preserve">1 </w:t>
            </w:r>
            <w:r>
              <w:rPr>
                <w:sz w:val="21"/>
              </w:rPr>
              <w:t>台超声波清洗仪、</w:t>
            </w:r>
            <w:r>
              <w:rPr>
                <w:rFonts w:ascii="Times New Roman" w:eastAsia="Times New Roman"/>
                <w:sz w:val="21"/>
              </w:rPr>
              <w:t xml:space="preserve">10 </w:t>
            </w:r>
            <w:r>
              <w:rPr>
                <w:sz w:val="21"/>
              </w:rPr>
              <w:t>条表面处理生产线。</w:t>
            </w:r>
          </w:p>
        </w:tc>
        <w:tc>
          <w:tcPr>
            <w:tcW w:w="848" w:type="dxa"/>
            <w:vMerge/>
            <w:tcBorders>
              <w:top w:val="nil"/>
              <w:left w:val="single" w:sz="4" w:space="0" w:color="000000"/>
              <w:bottom w:val="nil"/>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533"/>
        </w:trPr>
        <w:tc>
          <w:tcPr>
            <w:tcW w:w="709" w:type="dxa"/>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267" w:type="dxa"/>
            <w:tcBorders>
              <w:top w:val="single" w:sz="4" w:space="0" w:color="000000"/>
              <w:left w:val="single" w:sz="4" w:space="0" w:color="000000"/>
              <w:bottom w:val="single" w:sz="4" w:space="0" w:color="000000"/>
              <w:right w:val="single" w:sz="4" w:space="0" w:color="000000"/>
            </w:tcBorders>
          </w:tcPr>
          <w:p>
            <w:pPr>
              <w:pStyle w:val="TableParagraph"/>
              <w:spacing w:before="129"/>
              <w:ind w:left="91" w:right="76"/>
              <w:jc w:val="center"/>
              <w:rPr>
                <w:sz w:val="21"/>
              </w:rPr>
            </w:pPr>
            <w:r>
              <w:rPr>
                <w:rFonts w:ascii="Times New Roman" w:eastAsia="Times New Roman"/>
                <w:sz w:val="21"/>
              </w:rPr>
              <w:t>3#</w:t>
            </w:r>
            <w:r>
              <w:rPr>
                <w:sz w:val="21"/>
              </w:rPr>
              <w:t>生产车间</w:t>
            </w:r>
          </w:p>
        </w:tc>
        <w:tc>
          <w:tcPr>
            <w:tcW w:w="5336"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11"/>
              <w:rPr>
                <w:sz w:val="21"/>
              </w:rPr>
            </w:pPr>
            <w:r>
              <w:rPr>
                <w:rFonts w:ascii="Times New Roman" w:eastAsia="Times New Roman"/>
                <w:sz w:val="21"/>
              </w:rPr>
              <w:t>3#</w:t>
            </w:r>
            <w:r>
              <w:rPr>
                <w:spacing w:val="-8"/>
                <w:sz w:val="21"/>
              </w:rPr>
              <w:t xml:space="preserve">生产车间，建筑面积为 </w:t>
            </w:r>
            <w:r>
              <w:rPr>
                <w:rFonts w:ascii="Times New Roman" w:eastAsia="Times New Roman"/>
                <w:sz w:val="21"/>
              </w:rPr>
              <w:t>4000</w:t>
            </w:r>
            <w:r>
              <w:rPr>
                <w:rFonts w:ascii="Times New Roman" w:eastAsia="Times New Roman"/>
                <w:spacing w:val="-4"/>
                <w:sz w:val="21"/>
              </w:rPr>
              <w:t xml:space="preserve"> </w:t>
            </w:r>
            <w:r>
              <w:rPr>
                <w:spacing w:val="-11"/>
                <w:sz w:val="21"/>
              </w:rPr>
              <w:t xml:space="preserve">平方米，放置 </w:t>
            </w:r>
            <w:r>
              <w:rPr>
                <w:rFonts w:ascii="Times New Roman" w:eastAsia="Times New Roman"/>
                <w:sz w:val="21"/>
              </w:rPr>
              <w:t>1</w:t>
            </w:r>
            <w:r>
              <w:rPr>
                <w:rFonts w:ascii="Times New Roman" w:eastAsia="Times New Roman"/>
                <w:spacing w:val="-2"/>
                <w:sz w:val="21"/>
              </w:rPr>
              <w:t xml:space="preserve"> </w:t>
            </w:r>
            <w:r>
              <w:rPr>
                <w:sz w:val="21"/>
              </w:rPr>
              <w:t>条喷塑生</w:t>
            </w:r>
          </w:p>
          <w:p>
            <w:pPr>
              <w:pStyle w:val="TableParagraph"/>
              <w:spacing w:before="2" w:line="248" w:lineRule="exact"/>
              <w:ind w:left="126"/>
              <w:rPr>
                <w:sz w:val="21"/>
              </w:rPr>
            </w:pPr>
            <w:r>
              <w:rPr>
                <w:sz w:val="21"/>
              </w:rPr>
              <w:t>产线，</w:t>
            </w:r>
            <w:r>
              <w:rPr>
                <w:rFonts w:ascii="Times New Roman" w:eastAsia="Times New Roman"/>
                <w:sz w:val="21"/>
              </w:rPr>
              <w:t>2</w:t>
            </w:r>
            <w:r>
              <w:rPr>
                <w:rFonts w:ascii="Times New Roman" w:eastAsia="Times New Roman"/>
                <w:spacing w:val="-5"/>
                <w:sz w:val="21"/>
              </w:rPr>
              <w:t xml:space="preserve"> </w:t>
            </w:r>
            <w:r>
              <w:rPr>
                <w:sz w:val="21"/>
              </w:rPr>
              <w:t>条电泳线、</w:t>
            </w:r>
            <w:r>
              <w:rPr>
                <w:rFonts w:ascii="Times New Roman" w:eastAsia="Times New Roman"/>
                <w:sz w:val="21"/>
              </w:rPr>
              <w:t>4</w:t>
            </w:r>
            <w:r>
              <w:rPr>
                <w:rFonts w:ascii="Times New Roman" w:eastAsia="Times New Roman"/>
                <w:spacing w:val="-5"/>
                <w:sz w:val="21"/>
              </w:rPr>
              <w:t xml:space="preserve"> </w:t>
            </w:r>
            <w:r>
              <w:rPr>
                <w:sz w:val="21"/>
              </w:rPr>
              <w:t>台抛丸机、</w:t>
            </w:r>
            <w:r>
              <w:rPr>
                <w:rFonts w:ascii="Times New Roman" w:eastAsia="Times New Roman"/>
                <w:sz w:val="21"/>
              </w:rPr>
              <w:t>2</w:t>
            </w:r>
            <w:r>
              <w:rPr>
                <w:rFonts w:ascii="Times New Roman" w:eastAsia="Times New Roman"/>
                <w:spacing w:val="-5"/>
                <w:sz w:val="21"/>
              </w:rPr>
              <w:t xml:space="preserve"> </w:t>
            </w:r>
            <w:r>
              <w:rPr>
                <w:sz w:val="21"/>
              </w:rPr>
              <w:t>台喷砂机、镀锌锅。</w:t>
            </w:r>
          </w:p>
        </w:tc>
        <w:tc>
          <w:tcPr>
            <w:tcW w:w="84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547"/>
        </w:trPr>
        <w:tc>
          <w:tcPr>
            <w:tcW w:w="709" w:type="dxa"/>
            <w:vMerge w:val="restart"/>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黑体"/>
                <w:sz w:val="20"/>
              </w:rPr>
            </w:pPr>
          </w:p>
          <w:p>
            <w:pPr>
              <w:pStyle w:val="TableParagraph"/>
              <w:spacing w:before="159"/>
              <w:ind w:left="146"/>
              <w:rPr>
                <w:sz w:val="21"/>
              </w:rPr>
            </w:pPr>
            <w:r>
              <w:rPr>
                <w:sz w:val="21"/>
              </w:rPr>
              <w:t>公用工程</w:t>
            </w:r>
          </w:p>
        </w:tc>
        <w:tc>
          <w:tcPr>
            <w:tcW w:w="1267" w:type="dxa"/>
            <w:tcBorders>
              <w:top w:val="single" w:sz="4" w:space="0" w:color="000000"/>
              <w:left w:val="single" w:sz="4" w:space="0" w:color="000000"/>
              <w:bottom w:val="single" w:sz="4" w:space="0" w:color="000000"/>
              <w:right w:val="single" w:sz="4" w:space="0" w:color="000000"/>
            </w:tcBorders>
          </w:tcPr>
          <w:p>
            <w:pPr>
              <w:pStyle w:val="TableParagraph"/>
              <w:spacing w:before="137"/>
              <w:ind w:left="91" w:right="74"/>
              <w:jc w:val="center"/>
              <w:rPr>
                <w:sz w:val="21"/>
              </w:rPr>
            </w:pPr>
            <w:r>
              <w:rPr>
                <w:sz w:val="21"/>
              </w:rPr>
              <w:t>供水</w:t>
            </w:r>
          </w:p>
        </w:tc>
        <w:tc>
          <w:tcPr>
            <w:tcW w:w="5336" w:type="dxa"/>
            <w:tcBorders>
              <w:top w:val="single" w:sz="4" w:space="0" w:color="000000"/>
              <w:left w:val="single" w:sz="4" w:space="0" w:color="000000"/>
              <w:bottom w:val="single" w:sz="4" w:space="0" w:color="000000"/>
              <w:right w:val="single" w:sz="4" w:space="0" w:color="000000"/>
            </w:tcBorders>
          </w:tcPr>
          <w:p>
            <w:pPr>
              <w:pStyle w:val="TableParagraph"/>
              <w:spacing w:before="2" w:line="272" w:lineRule="exact"/>
              <w:ind w:left="2358" w:right="76" w:hanging="2199"/>
              <w:rPr>
                <w:sz w:val="21"/>
              </w:rPr>
            </w:pPr>
            <w:r>
              <w:rPr>
                <w:sz w:val="21"/>
              </w:rPr>
              <w:t xml:space="preserve">本项目用水量为 </w:t>
            </w:r>
            <w:r>
              <w:rPr>
                <w:rFonts w:ascii="Times New Roman" w:eastAsia="Times New Roman"/>
                <w:sz w:val="21"/>
              </w:rPr>
              <w:t>10030.64m</w:t>
            </w:r>
            <w:r>
              <w:rPr>
                <w:rFonts w:ascii="Times New Roman" w:eastAsia="Times New Roman"/>
                <w:position w:val="7"/>
                <w:sz w:val="13"/>
              </w:rPr>
              <w:t>3</w:t>
            </w:r>
            <w:r>
              <w:rPr>
                <w:rFonts w:ascii="Times New Roman" w:eastAsia="Times New Roman"/>
                <w:sz w:val="24"/>
              </w:rPr>
              <w:t>/a</w:t>
            </w:r>
            <w:r>
              <w:rPr>
                <w:sz w:val="21"/>
              </w:rPr>
              <w:t>，由宁津县市政自来水管网供给</w:t>
            </w:r>
          </w:p>
        </w:tc>
        <w:tc>
          <w:tcPr>
            <w:tcW w:w="848" w:type="dxa"/>
            <w:tcBorders>
              <w:top w:val="single" w:sz="4" w:space="0" w:color="000000"/>
              <w:left w:val="single" w:sz="4" w:space="0" w:color="000000"/>
              <w:bottom w:val="single" w:sz="4" w:space="0" w:color="000000"/>
              <w:right w:val="single" w:sz="4" w:space="0" w:color="000000"/>
            </w:tcBorders>
          </w:tcPr>
          <w:p>
            <w:pPr>
              <w:pStyle w:val="TableParagraph"/>
              <w:spacing w:before="151"/>
              <w:ind w:left="195" w:right="178"/>
              <w:jc w:val="center"/>
              <w:rPr>
                <w:rFonts w:ascii="Times New Roman"/>
                <w:sz w:val="21"/>
              </w:rPr>
            </w:pPr>
            <w:r>
              <w:rPr>
                <w:rFonts w:ascii="Times New Roman"/>
                <w:sz w:val="21"/>
              </w:rPr>
              <w:t>--</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06" w:type="dxa"/>
          <w:tblLayout w:type="fixed"/>
          <w:tblCellMar>
            <w:top w:w="0" w:type="dxa"/>
            <w:left w:w="0" w:type="dxa"/>
            <w:bottom w:w="0" w:type="dxa"/>
            <w:right w:w="0" w:type="dxa"/>
          </w:tblCellMar>
        </w:tblPrEx>
        <w:trPr>
          <w:trHeight w:val="535"/>
        </w:trPr>
        <w:tc>
          <w:tcPr>
            <w:tcW w:w="709" w:type="dxa"/>
            <w:vMerge/>
            <w:tcBorders>
              <w:top w:val="nil"/>
              <w:bottom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127" w:type="dxa"/>
            <w:vMerge/>
            <w:tcBorders>
              <w:top w:val="nil"/>
              <w:left w:val="single" w:sz="4" w:space="0" w:color="000000"/>
              <w:bottom w:val="single" w:sz="4" w:space="0" w:color="000000"/>
              <w:right w:val="single" w:sz="4" w:space="0" w:color="000000"/>
            </w:tcBorders>
          </w:tcPr>
          <w:p>
            <w:pPr>
              <w:rPr>
                <w:sz w:val="2"/>
                <w:szCs w:val="2"/>
              </w:rPr>
            </w:pPr>
          </w:p>
        </w:tc>
        <w:tc>
          <w:tcPr>
            <w:tcW w:w="1267" w:type="dxa"/>
            <w:tcBorders>
              <w:top w:val="single" w:sz="4" w:space="0" w:color="000000"/>
              <w:left w:val="single" w:sz="4" w:space="0" w:color="000000"/>
              <w:bottom w:val="single" w:sz="4" w:space="0" w:color="000000"/>
              <w:right w:val="single" w:sz="4" w:space="0" w:color="000000"/>
            </w:tcBorders>
          </w:tcPr>
          <w:p>
            <w:pPr>
              <w:pStyle w:val="TableParagraph"/>
              <w:spacing w:before="131"/>
              <w:ind w:left="91" w:right="74"/>
              <w:jc w:val="center"/>
              <w:rPr>
                <w:sz w:val="21"/>
              </w:rPr>
            </w:pPr>
            <w:r>
              <w:rPr>
                <w:sz w:val="21"/>
              </w:rPr>
              <w:t>供电</w:t>
            </w:r>
          </w:p>
        </w:tc>
        <w:tc>
          <w:tcPr>
            <w:tcW w:w="5336"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88" w:right="69"/>
              <w:jc w:val="center"/>
              <w:rPr>
                <w:sz w:val="21"/>
              </w:rPr>
            </w:pPr>
            <w:r>
              <w:rPr>
                <w:sz w:val="21"/>
              </w:rPr>
              <w:t xml:space="preserve">本项目用电量为 </w:t>
            </w:r>
            <w:r>
              <w:rPr>
                <w:rFonts w:ascii="Times New Roman" w:eastAsia="Times New Roman" w:hAnsi="Times New Roman"/>
                <w:sz w:val="21"/>
              </w:rPr>
              <w:t xml:space="preserve">120 </w:t>
            </w:r>
            <w:r>
              <w:rPr>
                <w:sz w:val="21"/>
              </w:rPr>
              <w:t xml:space="preserve">万 </w:t>
            </w:r>
            <w:r>
              <w:rPr>
                <w:rFonts w:ascii="Times New Roman" w:eastAsia="Times New Roman" w:hAnsi="Times New Roman"/>
                <w:sz w:val="21"/>
              </w:rPr>
              <w:t>kW</w:t>
            </w:r>
            <w:r>
              <w:rPr>
                <w:sz w:val="21"/>
              </w:rPr>
              <w:t>·</w:t>
            </w:r>
            <w:r>
              <w:rPr>
                <w:rFonts w:ascii="Times New Roman" w:eastAsia="Times New Roman" w:hAnsi="Times New Roman"/>
                <w:sz w:val="21"/>
              </w:rPr>
              <w:t>h/a</w:t>
            </w:r>
            <w:r>
              <w:rPr>
                <w:sz w:val="21"/>
              </w:rPr>
              <w:t>，由宁津县市政电网提</w:t>
            </w:r>
          </w:p>
          <w:p>
            <w:pPr>
              <w:pStyle w:val="TableParagraph"/>
              <w:spacing w:before="4" w:line="246" w:lineRule="exact"/>
              <w:ind w:left="17"/>
              <w:jc w:val="center"/>
              <w:rPr>
                <w:sz w:val="21"/>
              </w:rPr>
            </w:pPr>
            <w:r>
              <w:rPr>
                <w:w w:val="99"/>
                <w:sz w:val="21"/>
              </w:rPr>
              <w:t>供</w:t>
            </w:r>
          </w:p>
        </w:tc>
        <w:tc>
          <w:tcPr>
            <w:tcW w:w="848" w:type="dxa"/>
            <w:tcBorders>
              <w:top w:val="single" w:sz="4" w:space="0" w:color="000000"/>
              <w:left w:val="single" w:sz="4" w:space="0" w:color="000000"/>
              <w:bottom w:val="single" w:sz="4" w:space="0" w:color="000000"/>
              <w:right w:val="single" w:sz="4" w:space="0" w:color="000000"/>
            </w:tcBorders>
          </w:tcPr>
          <w:p>
            <w:pPr>
              <w:pStyle w:val="TableParagraph"/>
              <w:spacing w:before="145"/>
              <w:ind w:left="195" w:right="178"/>
              <w:jc w:val="center"/>
              <w:rPr>
                <w:rFonts w:ascii="Times New Roman"/>
                <w:sz w:val="21"/>
              </w:rPr>
            </w:pPr>
            <w:r>
              <w:rPr>
                <w:rFonts w:ascii="Times New Roman"/>
                <w:sz w:val="21"/>
              </w:rPr>
              <w:t>--</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06" w:type="dxa"/>
          <w:tblLayout w:type="fixed"/>
          <w:tblCellMar>
            <w:top w:w="0" w:type="dxa"/>
            <w:left w:w="0" w:type="dxa"/>
            <w:bottom w:w="0" w:type="dxa"/>
            <w:right w:w="0" w:type="dxa"/>
          </w:tblCellMar>
        </w:tblPrEx>
        <w:trPr>
          <w:trHeight w:val="281"/>
        </w:trPr>
        <w:tc>
          <w:tcPr>
            <w:tcW w:w="709" w:type="dxa"/>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26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5336" w:type="dxa"/>
            <w:tcBorders>
              <w:top w:val="single" w:sz="4" w:space="0" w:color="000000"/>
              <w:left w:val="single" w:sz="4" w:space="0" w:color="000000"/>
              <w:bottom w:val="nil"/>
              <w:right w:val="single" w:sz="4" w:space="0" w:color="000000"/>
            </w:tcBorders>
          </w:tcPr>
          <w:p>
            <w:pPr>
              <w:pStyle w:val="TableParagraph"/>
              <w:spacing w:line="262" w:lineRule="exact"/>
              <w:ind w:right="133"/>
              <w:jc w:val="right"/>
              <w:rPr>
                <w:sz w:val="21"/>
              </w:rPr>
            </w:pPr>
            <w:r>
              <w:rPr>
                <w:w w:val="95"/>
                <w:sz w:val="21"/>
              </w:rPr>
              <w:t>抛丸产生的颗粒物废气经设备配套“布袋除尘器”处理</w:t>
            </w:r>
          </w:p>
        </w:tc>
        <w:tc>
          <w:tcPr>
            <w:tcW w:w="848"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306" w:type="dxa"/>
          <w:tblLayout w:type="fixed"/>
          <w:tblCellMar>
            <w:top w:w="0" w:type="dxa"/>
            <w:left w:w="0" w:type="dxa"/>
            <w:bottom w:w="0" w:type="dxa"/>
            <w:right w:w="0" w:type="dxa"/>
          </w:tblCellMar>
        </w:tblPrEx>
        <w:trPr>
          <w:trHeight w:val="317"/>
        </w:trPr>
        <w:tc>
          <w:tcPr>
            <w:tcW w:w="709" w:type="dxa"/>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tcBorders>
              <w:top w:val="nil"/>
              <w:left w:val="single" w:sz="4" w:space="0" w:color="000000"/>
              <w:bottom w:val="nil"/>
              <w:right w:val="single" w:sz="4" w:space="0" w:color="000000"/>
            </w:tcBorders>
          </w:tcPr>
          <w:p>
            <w:pPr>
              <w:pStyle w:val="TableParagraph"/>
              <w:rPr>
                <w:rFonts w:ascii="Times New Roman"/>
                <w:sz w:val="20"/>
              </w:rPr>
            </w:pPr>
          </w:p>
        </w:tc>
        <w:tc>
          <w:tcPr>
            <w:tcW w:w="1267" w:type="dxa"/>
            <w:tcBorders>
              <w:top w:val="nil"/>
              <w:left w:val="single" w:sz="4" w:space="0" w:color="000000"/>
              <w:bottom w:val="nil"/>
              <w:right w:val="single" w:sz="4" w:space="0" w:color="000000"/>
            </w:tcBorders>
          </w:tcPr>
          <w:p>
            <w:pPr>
              <w:pStyle w:val="TableParagraph"/>
              <w:rPr>
                <w:rFonts w:ascii="Times New Roman"/>
                <w:sz w:val="20"/>
              </w:rPr>
            </w:pPr>
          </w:p>
        </w:tc>
        <w:tc>
          <w:tcPr>
            <w:tcW w:w="5336" w:type="dxa"/>
            <w:tcBorders>
              <w:top w:val="nil"/>
              <w:left w:val="single" w:sz="4" w:space="0" w:color="000000"/>
              <w:bottom w:val="nil"/>
              <w:right w:val="single" w:sz="4" w:space="0" w:color="000000"/>
            </w:tcBorders>
          </w:tcPr>
          <w:p>
            <w:pPr>
              <w:pStyle w:val="TableParagraph"/>
              <w:spacing w:before="21"/>
              <w:ind w:right="92"/>
              <w:jc w:val="right"/>
              <w:rPr>
                <w:sz w:val="21"/>
              </w:rPr>
            </w:pPr>
            <w:r>
              <w:rPr>
                <w:w w:val="95"/>
                <w:sz w:val="21"/>
              </w:rPr>
              <w:t>后高空排放；喷砂产生的颗粒物废气收集引入</w:t>
            </w:r>
            <w:r>
              <w:rPr>
                <w:rFonts w:ascii="Times New Roman" w:eastAsia="Times New Roman" w:hAnsi="Times New Roman"/>
                <w:w w:val="95"/>
                <w:sz w:val="21"/>
              </w:rPr>
              <w:t>1</w:t>
            </w:r>
            <w:r>
              <w:rPr>
                <w:w w:val="95"/>
                <w:sz w:val="21"/>
              </w:rPr>
              <w:t>套“布袋</w:t>
            </w:r>
          </w:p>
        </w:tc>
        <w:tc>
          <w:tcPr>
            <w:tcW w:w="84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295"/>
        </w:trPr>
        <w:tc>
          <w:tcPr>
            <w:tcW w:w="709" w:type="dxa"/>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tcBorders>
              <w:top w:val="nil"/>
              <w:left w:val="single" w:sz="4" w:space="0" w:color="000000"/>
              <w:bottom w:val="nil"/>
              <w:right w:val="single" w:sz="4" w:space="0" w:color="000000"/>
            </w:tcBorders>
          </w:tcPr>
          <w:p>
            <w:pPr>
              <w:pStyle w:val="TableParagraph"/>
              <w:rPr>
                <w:rFonts w:ascii="Times New Roman"/>
                <w:sz w:val="20"/>
              </w:rPr>
            </w:pPr>
          </w:p>
        </w:tc>
        <w:tc>
          <w:tcPr>
            <w:tcW w:w="1267" w:type="dxa"/>
            <w:tcBorders>
              <w:top w:val="nil"/>
              <w:left w:val="single" w:sz="4" w:space="0" w:color="000000"/>
              <w:bottom w:val="nil"/>
              <w:right w:val="single" w:sz="4" w:space="0" w:color="000000"/>
            </w:tcBorders>
          </w:tcPr>
          <w:p>
            <w:pPr>
              <w:pStyle w:val="TableParagraph"/>
              <w:rPr>
                <w:rFonts w:ascii="Times New Roman"/>
                <w:sz w:val="20"/>
              </w:rPr>
            </w:pPr>
          </w:p>
        </w:tc>
        <w:tc>
          <w:tcPr>
            <w:tcW w:w="5336" w:type="dxa"/>
            <w:tcBorders>
              <w:top w:val="nil"/>
              <w:left w:val="single" w:sz="4" w:space="0" w:color="000000"/>
              <w:bottom w:val="nil"/>
              <w:right w:val="single" w:sz="4" w:space="0" w:color="000000"/>
            </w:tcBorders>
          </w:tcPr>
          <w:p>
            <w:pPr>
              <w:pStyle w:val="TableParagraph"/>
              <w:spacing w:before="10" w:line="265" w:lineRule="exact"/>
              <w:ind w:right="133"/>
              <w:jc w:val="right"/>
              <w:rPr>
                <w:sz w:val="21"/>
              </w:rPr>
            </w:pPr>
            <w:r>
              <w:rPr>
                <w:w w:val="95"/>
                <w:sz w:val="21"/>
              </w:rPr>
              <w:t>除尘器”处理后高空排放；喷塑产生的颗粒物废气收集</w:t>
            </w:r>
          </w:p>
        </w:tc>
        <w:tc>
          <w:tcPr>
            <w:tcW w:w="84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314"/>
        </w:trPr>
        <w:tc>
          <w:tcPr>
            <w:tcW w:w="709" w:type="dxa"/>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tcBorders>
              <w:top w:val="nil"/>
              <w:left w:val="single" w:sz="4" w:space="0" w:color="000000"/>
              <w:bottom w:val="nil"/>
              <w:right w:val="single" w:sz="4" w:space="0" w:color="000000"/>
            </w:tcBorders>
          </w:tcPr>
          <w:p>
            <w:pPr>
              <w:pStyle w:val="TableParagraph"/>
              <w:rPr>
                <w:rFonts w:ascii="Times New Roman"/>
                <w:sz w:val="20"/>
              </w:rPr>
            </w:pPr>
          </w:p>
        </w:tc>
        <w:tc>
          <w:tcPr>
            <w:tcW w:w="1267" w:type="dxa"/>
            <w:tcBorders>
              <w:top w:val="nil"/>
              <w:left w:val="single" w:sz="4" w:space="0" w:color="000000"/>
              <w:bottom w:val="nil"/>
              <w:right w:val="single" w:sz="4" w:space="0" w:color="000000"/>
            </w:tcBorders>
          </w:tcPr>
          <w:p>
            <w:pPr>
              <w:pStyle w:val="TableParagraph"/>
              <w:rPr>
                <w:rFonts w:ascii="Times New Roman"/>
                <w:sz w:val="20"/>
              </w:rPr>
            </w:pPr>
          </w:p>
        </w:tc>
        <w:tc>
          <w:tcPr>
            <w:tcW w:w="5336" w:type="dxa"/>
            <w:tcBorders>
              <w:top w:val="nil"/>
              <w:left w:val="single" w:sz="4" w:space="0" w:color="000000"/>
              <w:bottom w:val="nil"/>
              <w:right w:val="single" w:sz="4" w:space="0" w:color="000000"/>
            </w:tcBorders>
          </w:tcPr>
          <w:p>
            <w:pPr>
              <w:pStyle w:val="TableParagraph"/>
              <w:spacing w:before="21"/>
              <w:ind w:left="205"/>
              <w:rPr>
                <w:sz w:val="21"/>
              </w:rPr>
            </w:pPr>
            <w:r>
              <w:rPr>
                <w:sz w:val="21"/>
              </w:rPr>
              <w:t>引入</w:t>
            </w:r>
            <w:r>
              <w:rPr>
                <w:rFonts w:ascii="Times New Roman" w:eastAsia="Times New Roman" w:hAnsi="Times New Roman"/>
                <w:sz w:val="21"/>
              </w:rPr>
              <w:t>1</w:t>
            </w:r>
            <w:r>
              <w:rPr>
                <w:sz w:val="21"/>
              </w:rPr>
              <w:t>套“布袋除尘器”处理后高空排放；固化产生的</w:t>
            </w:r>
          </w:p>
        </w:tc>
        <w:tc>
          <w:tcPr>
            <w:tcW w:w="84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634"/>
        </w:trPr>
        <w:tc>
          <w:tcPr>
            <w:tcW w:w="709" w:type="dxa"/>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tcBorders>
              <w:top w:val="nil"/>
              <w:left w:val="single" w:sz="4" w:space="0" w:color="000000"/>
              <w:bottom w:val="nil"/>
              <w:right w:val="single" w:sz="4" w:space="0" w:color="000000"/>
            </w:tcBorders>
          </w:tcPr>
          <w:p>
            <w:pPr>
              <w:pStyle w:val="TableParagraph"/>
              <w:spacing w:before="11"/>
              <w:rPr>
                <w:rFonts w:ascii="黑体"/>
                <w:sz w:val="15"/>
              </w:rPr>
            </w:pPr>
          </w:p>
          <w:p>
            <w:pPr>
              <w:pStyle w:val="TableParagraph"/>
              <w:ind w:left="120" w:right="107"/>
              <w:jc w:val="center"/>
              <w:rPr>
                <w:sz w:val="21"/>
              </w:rPr>
            </w:pPr>
            <w:r>
              <w:rPr>
                <w:sz w:val="21"/>
              </w:rPr>
              <w:t>环保工程</w:t>
            </w:r>
          </w:p>
        </w:tc>
        <w:tc>
          <w:tcPr>
            <w:tcW w:w="1267" w:type="dxa"/>
            <w:tcBorders>
              <w:top w:val="nil"/>
              <w:left w:val="single" w:sz="4" w:space="0" w:color="000000"/>
              <w:bottom w:val="nil"/>
              <w:right w:val="single" w:sz="4" w:space="0" w:color="000000"/>
            </w:tcBorders>
          </w:tcPr>
          <w:p>
            <w:pPr>
              <w:pStyle w:val="TableParagraph"/>
              <w:spacing w:before="11"/>
              <w:rPr>
                <w:rFonts w:ascii="黑体"/>
                <w:sz w:val="15"/>
              </w:rPr>
            </w:pPr>
          </w:p>
          <w:p>
            <w:pPr>
              <w:pStyle w:val="TableParagraph"/>
              <w:ind w:left="91" w:right="76"/>
              <w:jc w:val="center"/>
              <w:rPr>
                <w:sz w:val="21"/>
              </w:rPr>
            </w:pPr>
            <w:r>
              <w:rPr>
                <w:sz w:val="21"/>
              </w:rPr>
              <w:t>废气处理</w:t>
            </w:r>
          </w:p>
        </w:tc>
        <w:tc>
          <w:tcPr>
            <w:tcW w:w="5336" w:type="dxa"/>
            <w:tcBorders>
              <w:top w:val="nil"/>
              <w:left w:val="single" w:sz="4" w:space="0" w:color="000000"/>
              <w:bottom w:val="nil"/>
              <w:right w:val="single" w:sz="4" w:space="0" w:color="000000"/>
            </w:tcBorders>
          </w:tcPr>
          <w:p>
            <w:pPr>
              <w:pStyle w:val="TableParagraph"/>
              <w:spacing w:before="13"/>
              <w:ind w:left="111"/>
              <w:rPr>
                <w:sz w:val="21"/>
              </w:rPr>
            </w:pPr>
            <w:r>
              <w:rPr>
                <w:rFonts w:ascii="Times New Roman" w:eastAsia="Times New Roman" w:hAnsi="Times New Roman"/>
                <w:w w:val="95"/>
                <w:sz w:val="21"/>
              </w:rPr>
              <w:t>VOCs</w:t>
            </w:r>
            <w:r>
              <w:rPr>
                <w:w w:val="95"/>
                <w:sz w:val="21"/>
              </w:rPr>
              <w:t>废气收集引入</w:t>
            </w:r>
            <w:r>
              <w:rPr>
                <w:rFonts w:ascii="Times New Roman" w:eastAsia="Times New Roman" w:hAnsi="Times New Roman"/>
                <w:w w:val="95"/>
                <w:sz w:val="21"/>
              </w:rPr>
              <w:t>1</w:t>
            </w:r>
            <w:r>
              <w:rPr>
                <w:spacing w:val="-5"/>
                <w:w w:val="95"/>
                <w:sz w:val="21"/>
              </w:rPr>
              <w:t>套“过滤棉</w:t>
            </w:r>
            <w:r>
              <w:rPr>
                <w:rFonts w:ascii="Times New Roman" w:eastAsia="Times New Roman" w:hAnsi="Times New Roman"/>
                <w:w w:val="95"/>
                <w:sz w:val="21"/>
              </w:rPr>
              <w:t>+</w:t>
            </w:r>
            <w:r>
              <w:rPr>
                <w:spacing w:val="-3"/>
                <w:w w:val="95"/>
                <w:sz w:val="21"/>
              </w:rPr>
              <w:t>活性炭吸附箱”处理后</w:t>
            </w:r>
          </w:p>
          <w:p>
            <w:pPr>
              <w:pStyle w:val="TableParagraph"/>
              <w:spacing w:before="60"/>
              <w:ind w:left="152"/>
              <w:rPr>
                <w:rFonts w:ascii="Times New Roman" w:eastAsia="Times New Roman"/>
                <w:sz w:val="21"/>
              </w:rPr>
            </w:pPr>
            <w:r>
              <w:rPr>
                <w:w w:val="95"/>
                <w:sz w:val="21"/>
              </w:rPr>
              <w:t>高空排放；电泳及电泳烘干产生的</w:t>
            </w:r>
            <w:r>
              <w:rPr>
                <w:rFonts w:ascii="Times New Roman" w:eastAsia="Times New Roman"/>
                <w:w w:val="95"/>
                <w:sz w:val="21"/>
              </w:rPr>
              <w:t>VOCs</w:t>
            </w:r>
            <w:r>
              <w:rPr>
                <w:w w:val="95"/>
                <w:sz w:val="21"/>
              </w:rPr>
              <w:t>废气收集引入</w:t>
            </w:r>
            <w:r>
              <w:rPr>
                <w:rFonts w:ascii="Times New Roman" w:eastAsia="Times New Roman"/>
                <w:w w:val="95"/>
                <w:sz w:val="21"/>
              </w:rPr>
              <w:t>1</w:t>
            </w:r>
          </w:p>
        </w:tc>
        <w:tc>
          <w:tcPr>
            <w:tcW w:w="848" w:type="dxa"/>
            <w:tcBorders>
              <w:top w:val="nil"/>
              <w:left w:val="single" w:sz="4" w:space="0" w:color="000000"/>
              <w:bottom w:val="nil"/>
              <w:right w:val="single" w:sz="4" w:space="0" w:color="000000"/>
            </w:tcBorders>
          </w:tcPr>
          <w:p>
            <w:pPr>
              <w:pStyle w:val="TableParagraph"/>
              <w:spacing w:before="1"/>
              <w:rPr>
                <w:rFonts w:ascii="黑体"/>
                <w:sz w:val="17"/>
              </w:rPr>
            </w:pPr>
          </w:p>
          <w:p>
            <w:pPr>
              <w:pStyle w:val="TableParagraph"/>
              <w:spacing w:before="1"/>
              <w:ind w:left="195" w:right="178"/>
              <w:jc w:val="center"/>
              <w:rPr>
                <w:rFonts w:ascii="Times New Roman"/>
                <w:sz w:val="21"/>
              </w:rPr>
            </w:pPr>
            <w:r>
              <w:rPr>
                <w:rFonts w:ascii="Times New Roman"/>
                <w:sz w:val="21"/>
              </w:rPr>
              <w:t>--</w:t>
            </w:r>
          </w:p>
        </w:tc>
        <w:tc>
          <w:tcPr>
            <w:tcW w:w="113" w:type="dxa"/>
            <w:vMerge/>
            <w:tcBorders>
              <w:top w:val="nil"/>
              <w:left w:val="single" w:sz="4" w:space="0" w:color="000000"/>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309"/>
        </w:trPr>
        <w:tc>
          <w:tcPr>
            <w:tcW w:w="709" w:type="dxa"/>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tcBorders>
              <w:top w:val="nil"/>
              <w:left w:val="single" w:sz="4" w:space="0" w:color="000000"/>
              <w:bottom w:val="nil"/>
              <w:right w:val="single" w:sz="4" w:space="0" w:color="000000"/>
            </w:tcBorders>
          </w:tcPr>
          <w:p>
            <w:pPr>
              <w:pStyle w:val="TableParagraph"/>
              <w:rPr>
                <w:rFonts w:ascii="Times New Roman"/>
                <w:sz w:val="20"/>
              </w:rPr>
            </w:pPr>
          </w:p>
        </w:tc>
        <w:tc>
          <w:tcPr>
            <w:tcW w:w="1267" w:type="dxa"/>
            <w:tcBorders>
              <w:top w:val="nil"/>
              <w:left w:val="single" w:sz="4" w:space="0" w:color="000000"/>
              <w:bottom w:val="nil"/>
              <w:right w:val="single" w:sz="4" w:space="0" w:color="000000"/>
            </w:tcBorders>
          </w:tcPr>
          <w:p>
            <w:pPr>
              <w:pStyle w:val="TableParagraph"/>
              <w:rPr>
                <w:rFonts w:ascii="Times New Roman"/>
                <w:sz w:val="20"/>
              </w:rPr>
            </w:pPr>
          </w:p>
        </w:tc>
        <w:tc>
          <w:tcPr>
            <w:tcW w:w="5336" w:type="dxa"/>
            <w:tcBorders>
              <w:top w:val="nil"/>
              <w:left w:val="single" w:sz="4" w:space="0" w:color="000000"/>
              <w:bottom w:val="nil"/>
              <w:right w:val="single" w:sz="4" w:space="0" w:color="000000"/>
            </w:tcBorders>
          </w:tcPr>
          <w:p>
            <w:pPr>
              <w:pStyle w:val="TableParagraph"/>
              <w:spacing w:before="12"/>
              <w:ind w:right="92"/>
              <w:jc w:val="right"/>
              <w:rPr>
                <w:sz w:val="21"/>
              </w:rPr>
            </w:pPr>
            <w:r>
              <w:rPr>
                <w:w w:val="95"/>
                <w:sz w:val="21"/>
              </w:rPr>
              <w:t>套“过滤棉</w:t>
            </w:r>
            <w:r>
              <w:rPr>
                <w:rFonts w:ascii="Times New Roman" w:eastAsia="Times New Roman" w:hAnsi="Times New Roman"/>
                <w:w w:val="95"/>
                <w:sz w:val="21"/>
              </w:rPr>
              <w:t>+</w:t>
            </w:r>
            <w:r>
              <w:rPr>
                <w:w w:val="95"/>
                <w:sz w:val="21"/>
              </w:rPr>
              <w:t>活性炭吸附箱”处理后高空排放；天然气燃</w:t>
            </w:r>
          </w:p>
        </w:tc>
        <w:tc>
          <w:tcPr>
            <w:tcW w:w="84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299"/>
        </w:trPr>
        <w:tc>
          <w:tcPr>
            <w:tcW w:w="709" w:type="dxa"/>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tcBorders>
              <w:top w:val="nil"/>
              <w:left w:val="single" w:sz="4" w:space="0" w:color="000000"/>
              <w:bottom w:val="nil"/>
              <w:right w:val="single" w:sz="4" w:space="0" w:color="000000"/>
            </w:tcBorders>
          </w:tcPr>
          <w:p>
            <w:pPr>
              <w:pStyle w:val="TableParagraph"/>
              <w:rPr>
                <w:rFonts w:ascii="Times New Roman"/>
                <w:sz w:val="20"/>
              </w:rPr>
            </w:pPr>
          </w:p>
        </w:tc>
        <w:tc>
          <w:tcPr>
            <w:tcW w:w="1267" w:type="dxa"/>
            <w:tcBorders>
              <w:top w:val="nil"/>
              <w:left w:val="single" w:sz="4" w:space="0" w:color="000000"/>
              <w:bottom w:val="nil"/>
              <w:right w:val="single" w:sz="4" w:space="0" w:color="000000"/>
            </w:tcBorders>
          </w:tcPr>
          <w:p>
            <w:pPr>
              <w:pStyle w:val="TableParagraph"/>
              <w:rPr>
                <w:rFonts w:ascii="Times New Roman"/>
                <w:sz w:val="20"/>
              </w:rPr>
            </w:pPr>
          </w:p>
        </w:tc>
        <w:tc>
          <w:tcPr>
            <w:tcW w:w="5336" w:type="dxa"/>
            <w:tcBorders>
              <w:top w:val="nil"/>
              <w:left w:val="single" w:sz="4" w:space="0" w:color="000000"/>
              <w:bottom w:val="nil"/>
              <w:right w:val="single" w:sz="4" w:space="0" w:color="000000"/>
            </w:tcBorders>
          </w:tcPr>
          <w:p>
            <w:pPr>
              <w:pStyle w:val="TableParagraph"/>
              <w:spacing w:before="11" w:line="268" w:lineRule="exact"/>
              <w:ind w:right="133"/>
              <w:jc w:val="right"/>
              <w:rPr>
                <w:sz w:val="21"/>
              </w:rPr>
            </w:pPr>
            <w:r>
              <w:rPr>
                <w:w w:val="95"/>
                <w:sz w:val="21"/>
              </w:rPr>
              <w:t>烧采用低氮燃烧技术产生的颗粒物、二氧化硫、氮氧化</w:t>
            </w:r>
          </w:p>
        </w:tc>
        <w:tc>
          <w:tcPr>
            <w:tcW w:w="84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306"/>
        </w:trPr>
        <w:tc>
          <w:tcPr>
            <w:tcW w:w="709" w:type="dxa"/>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tcBorders>
              <w:top w:val="nil"/>
              <w:left w:val="single" w:sz="4" w:space="0" w:color="000000"/>
              <w:bottom w:val="nil"/>
              <w:right w:val="single" w:sz="4" w:space="0" w:color="000000"/>
            </w:tcBorders>
          </w:tcPr>
          <w:p>
            <w:pPr>
              <w:pStyle w:val="TableParagraph"/>
              <w:rPr>
                <w:rFonts w:ascii="Times New Roman"/>
                <w:sz w:val="20"/>
              </w:rPr>
            </w:pPr>
          </w:p>
        </w:tc>
        <w:tc>
          <w:tcPr>
            <w:tcW w:w="1267" w:type="dxa"/>
            <w:tcBorders>
              <w:top w:val="nil"/>
              <w:left w:val="single" w:sz="4" w:space="0" w:color="000000"/>
              <w:bottom w:val="nil"/>
              <w:right w:val="single" w:sz="4" w:space="0" w:color="000000"/>
            </w:tcBorders>
          </w:tcPr>
          <w:p>
            <w:pPr>
              <w:pStyle w:val="TableParagraph"/>
              <w:rPr>
                <w:rFonts w:ascii="Times New Roman"/>
                <w:sz w:val="20"/>
              </w:rPr>
            </w:pPr>
          </w:p>
        </w:tc>
        <w:tc>
          <w:tcPr>
            <w:tcW w:w="5336" w:type="dxa"/>
            <w:tcBorders>
              <w:top w:val="nil"/>
              <w:left w:val="single" w:sz="4" w:space="0" w:color="000000"/>
              <w:bottom w:val="nil"/>
              <w:right w:val="single" w:sz="4" w:space="0" w:color="000000"/>
            </w:tcBorders>
          </w:tcPr>
          <w:p>
            <w:pPr>
              <w:pStyle w:val="TableParagraph"/>
              <w:spacing w:before="18" w:line="268" w:lineRule="exact"/>
              <w:ind w:right="133"/>
              <w:jc w:val="right"/>
              <w:rPr>
                <w:sz w:val="21"/>
              </w:rPr>
            </w:pPr>
            <w:r>
              <w:rPr>
                <w:w w:val="95"/>
                <w:sz w:val="21"/>
              </w:rPr>
              <w:t>物废气高空排放；酸雾废气经洗涤塔处理后高空排放；</w:t>
            </w:r>
          </w:p>
        </w:tc>
        <w:tc>
          <w:tcPr>
            <w:tcW w:w="84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347"/>
        </w:trPr>
        <w:tc>
          <w:tcPr>
            <w:tcW w:w="709" w:type="dxa"/>
            <w:tcBorders>
              <w:top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1127"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1267"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5336" w:type="dxa"/>
            <w:tcBorders>
              <w:top w:val="nil"/>
              <w:left w:val="single" w:sz="4" w:space="0" w:color="000000"/>
              <w:bottom w:val="thickThinMediumGap" w:sz="4" w:space="0" w:color="000000"/>
              <w:right w:val="single" w:sz="4" w:space="0" w:color="000000"/>
            </w:tcBorders>
          </w:tcPr>
          <w:p>
            <w:pPr>
              <w:pStyle w:val="TableParagraph"/>
              <w:spacing w:before="18"/>
              <w:ind w:left="781"/>
              <w:rPr>
                <w:sz w:val="21"/>
              </w:rPr>
            </w:pPr>
            <w:r>
              <w:rPr>
                <w:sz w:val="21"/>
              </w:rPr>
              <w:t>镀锌烟尘经布袋除尘器处理后高空排放；</w:t>
            </w:r>
          </w:p>
        </w:tc>
        <w:tc>
          <w:tcPr>
            <w:tcW w:w="848"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113" w:type="dxa"/>
            <w:vMerge/>
            <w:tcBorders>
              <w:top w:val="nil"/>
              <w:left w:val="single" w:sz="4" w:space="0" w:color="000000"/>
            </w:tcBorders>
          </w:tcPr>
          <w:p>
            <w:pPr>
              <w:rPr>
                <w:sz w:val="2"/>
                <w:szCs w:val="2"/>
              </w:rPr>
            </w:pPr>
          </w:p>
        </w:tc>
      </w:tr>
    </w:tbl>
    <w:p>
      <w:pPr>
        <w:pStyle w:val="BodyText"/>
        <w:rPr>
          <w:rFonts w:ascii="黑体"/>
          <w:sz w:val="30"/>
        </w:rPr>
      </w:pPr>
    </w:p>
    <w:p>
      <w:pPr>
        <w:pStyle w:val="BodyText"/>
        <w:spacing w:before="3"/>
        <w:rPr>
          <w:rFonts w:ascii="黑体"/>
          <w:sz w:val="29"/>
        </w:rPr>
      </w:pPr>
    </w:p>
    <w:p>
      <w:pPr>
        <w:tabs>
          <w:tab w:val="left" w:pos="1571"/>
        </w:tabs>
        <w:spacing w:before="0"/>
        <w:ind w:left="631" w:right="0" w:firstLine="0"/>
        <w:jc w:val="left"/>
        <w:rPr>
          <w:sz w:val="28"/>
        </w:rPr>
      </w:pPr>
      <w:r>
        <w:rPr>
          <w:sz w:val="28"/>
        </w:rPr>
        <w:t>—</w:t>
      </w:r>
      <w:r>
        <w:rPr>
          <w:spacing w:val="59"/>
          <w:sz w:val="28"/>
        </w:rPr>
        <w:t xml:space="preserve"> </w:t>
      </w:r>
      <w:r>
        <w:rPr>
          <w:sz w:val="26"/>
        </w:rPr>
        <w:t>24</w:t>
      </w:r>
      <w:r>
        <w:rPr>
          <w:sz w:val="26"/>
        </w:rPr>
        <w:tab/>
      </w:r>
      <w:r>
        <w:rPr>
          <w:sz w:val="28"/>
        </w:rPr>
        <w:t>—</w:t>
      </w:r>
    </w:p>
    <w:p>
      <w:pPr>
        <w:spacing w:after="0"/>
        <w:jc w:val="left"/>
        <w:rPr>
          <w:sz w:val="28"/>
        </w:rPr>
        <w:sectPr>
          <w:pgSz w:w="11910" w:h="16840"/>
          <w:pgMar w:top="1580" w:right="879" w:bottom="280" w:left="900" w:header="720" w:footer="720" w:gutter="0"/>
          <w:pgNumType w:start="29"/>
          <w:cols w:num="1" w:space="720"/>
        </w:sectPr>
      </w:pPr>
    </w:p>
    <w:p>
      <w:pPr>
        <w:pStyle w:val="BodyText"/>
        <w:rPr>
          <w:sz w:val="8"/>
        </w:rPr>
      </w:pPr>
      <w:r>
        <w:pict>
          <v:shapetype id="_x0000_t202" coordsize="21600,21600" o:spt="202" path="m,l,21600r21600,l21600,xe">
            <v:stroke joinstyle="miter"/>
            <v:path gradientshapeok="t" o:connecttype="rect"/>
          </v:shapetype>
          <v:shape id="_x0000_s1033" o:spid="_x0000_s1032" type="#_x0000_t202" style="width:429.65pt;height:118.5pt;margin-top:225.2pt;margin-left:100.65pt;mso-height-relative:page;mso-position-horizontal-relative:page;mso-position-vertical-relative:page;mso-width-relative:page;position:absolute;z-index:25166028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98"/>
                    <w:gridCol w:w="2454"/>
                    <w:gridCol w:w="974"/>
                    <w:gridCol w:w="857"/>
                    <w:gridCol w:w="3495"/>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3252" w:type="dxa"/>
                        <w:gridSpan w:val="2"/>
                      </w:tcPr>
                      <w:p>
                        <w:pPr>
                          <w:pStyle w:val="TableParagraph"/>
                          <w:spacing w:line="252" w:lineRule="exact"/>
                          <w:ind w:left="1392" w:right="1387"/>
                          <w:jc w:val="center"/>
                          <w:rPr>
                            <w:b/>
                            <w:sz w:val="21"/>
                          </w:rPr>
                        </w:pPr>
                        <w:r>
                          <w:rPr>
                            <w:b/>
                            <w:sz w:val="21"/>
                          </w:rPr>
                          <w:t>项目</w:t>
                        </w:r>
                      </w:p>
                    </w:tc>
                    <w:tc>
                      <w:tcPr>
                        <w:tcW w:w="974" w:type="dxa"/>
                      </w:tcPr>
                      <w:p>
                        <w:pPr>
                          <w:pStyle w:val="TableParagraph"/>
                          <w:spacing w:line="252" w:lineRule="exact"/>
                          <w:ind w:left="255" w:right="247"/>
                          <w:jc w:val="center"/>
                          <w:rPr>
                            <w:b/>
                            <w:sz w:val="21"/>
                          </w:rPr>
                        </w:pPr>
                        <w:r>
                          <w:rPr>
                            <w:b/>
                            <w:sz w:val="21"/>
                          </w:rPr>
                          <w:t>单位</w:t>
                        </w:r>
                      </w:p>
                    </w:tc>
                    <w:tc>
                      <w:tcPr>
                        <w:tcW w:w="857" w:type="dxa"/>
                      </w:tcPr>
                      <w:p>
                        <w:pPr>
                          <w:pStyle w:val="TableParagraph"/>
                          <w:spacing w:line="252" w:lineRule="exact"/>
                          <w:ind w:left="195" w:right="189"/>
                          <w:jc w:val="center"/>
                          <w:rPr>
                            <w:b/>
                            <w:sz w:val="21"/>
                          </w:rPr>
                        </w:pPr>
                        <w:r>
                          <w:rPr>
                            <w:b/>
                            <w:sz w:val="21"/>
                          </w:rPr>
                          <w:t>数额</w:t>
                        </w:r>
                      </w:p>
                    </w:tc>
                    <w:tc>
                      <w:tcPr>
                        <w:tcW w:w="3495" w:type="dxa"/>
                      </w:tcPr>
                      <w:p>
                        <w:pPr>
                          <w:pStyle w:val="TableParagraph"/>
                          <w:spacing w:line="252" w:lineRule="exact"/>
                          <w:ind w:left="46" w:right="39"/>
                          <w:jc w:val="center"/>
                          <w:rPr>
                            <w:b/>
                            <w:sz w:val="21"/>
                          </w:rPr>
                        </w:pPr>
                        <w:r>
                          <w:rPr>
                            <w:b/>
                            <w:sz w:val="21"/>
                          </w:rPr>
                          <w:t>备注</w:t>
                        </w:r>
                      </w:p>
                    </w:tc>
                  </w:tr>
                  <w:tr>
                    <w:tblPrEx>
                      <w:tblW w:w="0" w:type="auto"/>
                      <w:tblInd w:w="5" w:type="dxa"/>
                      <w:tblLayout w:type="fixed"/>
                      <w:tblCellMar>
                        <w:top w:w="0" w:type="dxa"/>
                        <w:left w:w="0" w:type="dxa"/>
                        <w:bottom w:w="0" w:type="dxa"/>
                        <w:right w:w="0" w:type="dxa"/>
                      </w:tblCellMar>
                    </w:tblPrEx>
                    <w:trPr>
                      <w:trHeight w:val="817"/>
                    </w:trPr>
                    <w:tc>
                      <w:tcPr>
                        <w:tcW w:w="798" w:type="dxa"/>
                        <w:vMerge w:val="restart"/>
                      </w:tcPr>
                      <w:p>
                        <w:pPr>
                          <w:pStyle w:val="TableParagraph"/>
                          <w:rPr>
                            <w:sz w:val="20"/>
                          </w:rPr>
                        </w:pPr>
                      </w:p>
                      <w:p>
                        <w:pPr>
                          <w:pStyle w:val="TableParagraph"/>
                          <w:spacing w:before="5"/>
                          <w:rPr>
                            <w:sz w:val="28"/>
                          </w:rPr>
                        </w:pPr>
                      </w:p>
                      <w:p>
                        <w:pPr>
                          <w:pStyle w:val="TableParagraph"/>
                          <w:spacing w:line="242" w:lineRule="auto"/>
                          <w:ind w:left="189" w:right="178"/>
                          <w:rPr>
                            <w:sz w:val="21"/>
                          </w:rPr>
                        </w:pPr>
                        <w:r>
                          <w:rPr>
                            <w:sz w:val="21"/>
                          </w:rPr>
                          <w:t>环保投资</w:t>
                        </w:r>
                      </w:p>
                    </w:tc>
                    <w:tc>
                      <w:tcPr>
                        <w:tcW w:w="2454" w:type="dxa"/>
                      </w:tcPr>
                      <w:p>
                        <w:pPr>
                          <w:pStyle w:val="TableParagraph"/>
                          <w:spacing w:before="3"/>
                          <w:rPr>
                            <w:sz w:val="21"/>
                          </w:rPr>
                        </w:pPr>
                      </w:p>
                      <w:p>
                        <w:pPr>
                          <w:pStyle w:val="TableParagraph"/>
                          <w:ind w:left="575" w:right="569"/>
                          <w:jc w:val="center"/>
                          <w:rPr>
                            <w:sz w:val="21"/>
                          </w:rPr>
                        </w:pPr>
                        <w:r>
                          <w:rPr>
                            <w:sz w:val="21"/>
                          </w:rPr>
                          <w:t>废气治理措施</w:t>
                        </w:r>
                      </w:p>
                    </w:tc>
                    <w:tc>
                      <w:tcPr>
                        <w:tcW w:w="974" w:type="dxa"/>
                      </w:tcPr>
                      <w:p>
                        <w:pPr>
                          <w:pStyle w:val="TableParagraph"/>
                          <w:spacing w:before="3"/>
                          <w:rPr>
                            <w:sz w:val="21"/>
                          </w:rPr>
                        </w:pPr>
                      </w:p>
                      <w:p>
                        <w:pPr>
                          <w:pStyle w:val="TableParagraph"/>
                          <w:ind w:left="253" w:right="247"/>
                          <w:jc w:val="center"/>
                          <w:rPr>
                            <w:sz w:val="21"/>
                          </w:rPr>
                        </w:pPr>
                        <w:r>
                          <w:rPr>
                            <w:sz w:val="21"/>
                          </w:rPr>
                          <w:t>万元</w:t>
                        </w:r>
                      </w:p>
                    </w:tc>
                    <w:tc>
                      <w:tcPr>
                        <w:tcW w:w="857" w:type="dxa"/>
                      </w:tcPr>
                      <w:p>
                        <w:pPr>
                          <w:pStyle w:val="TableParagraph"/>
                          <w:spacing w:before="4"/>
                          <w:rPr>
                            <w:sz w:val="22"/>
                          </w:rPr>
                        </w:pPr>
                      </w:p>
                      <w:p>
                        <w:pPr>
                          <w:pStyle w:val="TableParagraph"/>
                          <w:spacing w:before="1"/>
                          <w:ind w:left="195" w:right="188"/>
                          <w:jc w:val="center"/>
                          <w:rPr>
                            <w:rFonts w:ascii="Times New Roman"/>
                            <w:sz w:val="21"/>
                          </w:rPr>
                        </w:pPr>
                        <w:r>
                          <w:rPr>
                            <w:rFonts w:ascii="Times New Roman"/>
                            <w:sz w:val="21"/>
                          </w:rPr>
                          <w:t>50</w:t>
                        </w:r>
                      </w:p>
                    </w:tc>
                    <w:tc>
                      <w:tcPr>
                        <w:tcW w:w="3495" w:type="dxa"/>
                      </w:tcPr>
                      <w:p>
                        <w:pPr>
                          <w:pStyle w:val="TableParagraph"/>
                          <w:spacing w:before="1"/>
                          <w:ind w:left="139" w:firstLine="7"/>
                          <w:rPr>
                            <w:sz w:val="21"/>
                          </w:rPr>
                        </w:pPr>
                        <w:r>
                          <w:rPr>
                            <w:rFonts w:ascii="Times New Roman" w:eastAsia="Times New Roman"/>
                            <w:sz w:val="21"/>
                          </w:rPr>
                          <w:t xml:space="preserve">3 </w:t>
                        </w:r>
                        <w:r>
                          <w:rPr>
                            <w:sz w:val="21"/>
                          </w:rPr>
                          <w:t>套布袋除尘器、</w:t>
                        </w:r>
                        <w:r>
                          <w:rPr>
                            <w:rFonts w:ascii="Times New Roman" w:eastAsia="Times New Roman"/>
                            <w:sz w:val="21"/>
                          </w:rPr>
                          <w:t xml:space="preserve">4 </w:t>
                        </w:r>
                        <w:r>
                          <w:rPr>
                            <w:sz w:val="21"/>
                          </w:rPr>
                          <w:t>套喷淋塔、</w:t>
                        </w:r>
                        <w:r>
                          <w:rPr>
                            <w:rFonts w:ascii="Times New Roman" w:eastAsia="Times New Roman"/>
                            <w:sz w:val="21"/>
                          </w:rPr>
                          <w:t xml:space="preserve">2 </w:t>
                        </w:r>
                        <w:r>
                          <w:rPr>
                            <w:sz w:val="21"/>
                          </w:rPr>
                          <w:t>套</w:t>
                        </w:r>
                      </w:p>
                      <w:p>
                        <w:pPr>
                          <w:pStyle w:val="TableParagraph"/>
                          <w:spacing w:before="2" w:line="270" w:lineRule="atLeast"/>
                          <w:ind w:left="487" w:right="129" w:hanging="348"/>
                          <w:rPr>
                            <w:sz w:val="21"/>
                          </w:rPr>
                        </w:pPr>
                        <w:r>
                          <w:rPr>
                            <w:sz w:val="21"/>
                          </w:rPr>
                          <w:t>“过滤棉</w:t>
                        </w:r>
                        <w:r>
                          <w:rPr>
                            <w:rFonts w:ascii="Times New Roman" w:eastAsia="Times New Roman" w:hAnsi="Times New Roman"/>
                            <w:sz w:val="21"/>
                          </w:rPr>
                          <w:t>+</w:t>
                        </w:r>
                        <w:r>
                          <w:rPr>
                            <w:sz w:val="21"/>
                          </w:rPr>
                          <w:t>活性炭吸附箱”</w:t>
                        </w:r>
                        <w:r>
                          <w:rPr>
                            <w:rFonts w:ascii="Times New Roman" w:eastAsia="Times New Roman" w:hAnsi="Times New Roman"/>
                            <w:sz w:val="21"/>
                          </w:rPr>
                          <w:t xml:space="preserve">3 </w:t>
                        </w:r>
                        <w:r>
                          <w:rPr>
                            <w:sz w:val="21"/>
                          </w:rPr>
                          <w:t>套低氮燃烧热风炉及废气收集管路</w:t>
                        </w:r>
                      </w:p>
                    </w:tc>
                  </w:tr>
                  <w:tr>
                    <w:tblPrEx>
                      <w:tblW w:w="0" w:type="auto"/>
                      <w:tblInd w:w="5" w:type="dxa"/>
                      <w:tblLayout w:type="fixed"/>
                      <w:tblCellMar>
                        <w:top w:w="0" w:type="dxa"/>
                        <w:left w:w="0" w:type="dxa"/>
                        <w:bottom w:w="0" w:type="dxa"/>
                        <w:right w:w="0" w:type="dxa"/>
                      </w:tblCellMar>
                    </w:tblPrEx>
                    <w:trPr>
                      <w:trHeight w:val="394"/>
                    </w:trPr>
                    <w:tc>
                      <w:tcPr>
                        <w:tcW w:w="798" w:type="dxa"/>
                        <w:vMerge/>
                        <w:tcBorders>
                          <w:top w:val="nil"/>
                        </w:tcBorders>
                      </w:tcPr>
                      <w:p>
                        <w:pPr>
                          <w:rPr>
                            <w:sz w:val="2"/>
                            <w:szCs w:val="2"/>
                          </w:rPr>
                        </w:pPr>
                      </w:p>
                    </w:tc>
                    <w:tc>
                      <w:tcPr>
                        <w:tcW w:w="2454" w:type="dxa"/>
                      </w:tcPr>
                      <w:p>
                        <w:pPr>
                          <w:pStyle w:val="TableParagraph"/>
                          <w:spacing w:before="60"/>
                          <w:ind w:left="575" w:right="569"/>
                          <w:jc w:val="center"/>
                          <w:rPr>
                            <w:sz w:val="21"/>
                          </w:rPr>
                        </w:pPr>
                        <w:r>
                          <w:rPr>
                            <w:sz w:val="21"/>
                          </w:rPr>
                          <w:t>废水治理措施</w:t>
                        </w:r>
                      </w:p>
                    </w:tc>
                    <w:tc>
                      <w:tcPr>
                        <w:tcW w:w="974" w:type="dxa"/>
                      </w:tcPr>
                      <w:p>
                        <w:pPr>
                          <w:pStyle w:val="TableParagraph"/>
                          <w:spacing w:before="60"/>
                          <w:ind w:left="253" w:right="247"/>
                          <w:jc w:val="center"/>
                          <w:rPr>
                            <w:sz w:val="21"/>
                          </w:rPr>
                        </w:pPr>
                        <w:r>
                          <w:rPr>
                            <w:sz w:val="21"/>
                          </w:rPr>
                          <w:t>万元</w:t>
                        </w:r>
                      </w:p>
                    </w:tc>
                    <w:tc>
                      <w:tcPr>
                        <w:tcW w:w="857" w:type="dxa"/>
                      </w:tcPr>
                      <w:p>
                        <w:pPr>
                          <w:pStyle w:val="TableParagraph"/>
                          <w:spacing w:before="76"/>
                          <w:ind w:left="7"/>
                          <w:jc w:val="center"/>
                          <w:rPr>
                            <w:rFonts w:ascii="Times New Roman"/>
                            <w:sz w:val="21"/>
                          </w:rPr>
                        </w:pPr>
                        <w:r>
                          <w:rPr>
                            <w:rFonts w:ascii="Times New Roman"/>
                            <w:w w:val="99"/>
                            <w:sz w:val="21"/>
                          </w:rPr>
                          <w:t>5</w:t>
                        </w:r>
                      </w:p>
                    </w:tc>
                    <w:tc>
                      <w:tcPr>
                        <w:tcW w:w="3495" w:type="dxa"/>
                      </w:tcPr>
                      <w:p>
                        <w:pPr>
                          <w:pStyle w:val="TableParagraph"/>
                          <w:spacing w:before="60"/>
                          <w:ind w:left="44" w:right="39"/>
                          <w:jc w:val="center"/>
                          <w:rPr>
                            <w:sz w:val="21"/>
                          </w:rPr>
                        </w:pPr>
                        <w:r>
                          <w:rPr>
                            <w:sz w:val="21"/>
                          </w:rPr>
                          <w:t>污水处理设施</w:t>
                        </w:r>
                      </w:p>
                    </w:tc>
                  </w:tr>
                  <w:tr>
                    <w:tblPrEx>
                      <w:tblW w:w="0" w:type="auto"/>
                      <w:tblInd w:w="5" w:type="dxa"/>
                      <w:tblLayout w:type="fixed"/>
                      <w:tblCellMar>
                        <w:top w:w="0" w:type="dxa"/>
                        <w:left w:w="0" w:type="dxa"/>
                        <w:bottom w:w="0" w:type="dxa"/>
                        <w:right w:w="0" w:type="dxa"/>
                      </w:tblCellMar>
                    </w:tblPrEx>
                    <w:trPr>
                      <w:trHeight w:val="272"/>
                    </w:trPr>
                    <w:tc>
                      <w:tcPr>
                        <w:tcW w:w="798" w:type="dxa"/>
                        <w:vMerge/>
                        <w:tcBorders>
                          <w:top w:val="nil"/>
                        </w:tcBorders>
                      </w:tcPr>
                      <w:p>
                        <w:pPr>
                          <w:rPr>
                            <w:sz w:val="2"/>
                            <w:szCs w:val="2"/>
                          </w:rPr>
                        </w:pPr>
                      </w:p>
                    </w:tc>
                    <w:tc>
                      <w:tcPr>
                        <w:tcW w:w="2454" w:type="dxa"/>
                      </w:tcPr>
                      <w:p>
                        <w:pPr>
                          <w:pStyle w:val="TableParagraph"/>
                          <w:spacing w:before="2" w:line="251" w:lineRule="exact"/>
                          <w:ind w:left="575" w:right="569"/>
                          <w:jc w:val="center"/>
                          <w:rPr>
                            <w:sz w:val="21"/>
                          </w:rPr>
                        </w:pPr>
                        <w:r>
                          <w:rPr>
                            <w:sz w:val="21"/>
                          </w:rPr>
                          <w:t>噪声防护措施</w:t>
                        </w:r>
                      </w:p>
                    </w:tc>
                    <w:tc>
                      <w:tcPr>
                        <w:tcW w:w="974" w:type="dxa"/>
                      </w:tcPr>
                      <w:p>
                        <w:pPr>
                          <w:pStyle w:val="TableParagraph"/>
                          <w:spacing w:before="2" w:line="251" w:lineRule="exact"/>
                          <w:ind w:left="253" w:right="247"/>
                          <w:jc w:val="center"/>
                          <w:rPr>
                            <w:sz w:val="21"/>
                          </w:rPr>
                        </w:pPr>
                        <w:r>
                          <w:rPr>
                            <w:sz w:val="21"/>
                          </w:rPr>
                          <w:t>万元</w:t>
                        </w:r>
                      </w:p>
                    </w:tc>
                    <w:tc>
                      <w:tcPr>
                        <w:tcW w:w="857" w:type="dxa"/>
                      </w:tcPr>
                      <w:p>
                        <w:pPr>
                          <w:pStyle w:val="TableParagraph"/>
                          <w:spacing w:before="15" w:line="237" w:lineRule="exact"/>
                          <w:ind w:left="7"/>
                          <w:jc w:val="center"/>
                          <w:rPr>
                            <w:rFonts w:ascii="Times New Roman"/>
                            <w:sz w:val="21"/>
                          </w:rPr>
                        </w:pPr>
                        <w:r>
                          <w:rPr>
                            <w:rFonts w:ascii="Times New Roman"/>
                            <w:w w:val="99"/>
                            <w:sz w:val="21"/>
                          </w:rPr>
                          <w:t>3</w:t>
                        </w:r>
                      </w:p>
                    </w:tc>
                    <w:tc>
                      <w:tcPr>
                        <w:tcW w:w="3495" w:type="dxa"/>
                      </w:tcPr>
                      <w:p>
                        <w:pPr>
                          <w:pStyle w:val="TableParagraph"/>
                          <w:spacing w:before="2" w:line="251" w:lineRule="exact"/>
                          <w:ind w:left="46" w:right="39"/>
                          <w:jc w:val="center"/>
                          <w:rPr>
                            <w:sz w:val="21"/>
                          </w:rPr>
                        </w:pPr>
                        <w:r>
                          <w:rPr>
                            <w:sz w:val="21"/>
                          </w:rPr>
                          <w:t>设备基础减振、厂房隔音等降噪措施</w:t>
                        </w:r>
                      </w:p>
                    </w:tc>
                  </w:tr>
                  <w:tr>
                    <w:tblPrEx>
                      <w:tblW w:w="0" w:type="auto"/>
                      <w:tblInd w:w="5" w:type="dxa"/>
                      <w:tblLayout w:type="fixed"/>
                      <w:tblCellMar>
                        <w:top w:w="0" w:type="dxa"/>
                        <w:left w:w="0" w:type="dxa"/>
                        <w:bottom w:w="0" w:type="dxa"/>
                        <w:right w:w="0" w:type="dxa"/>
                      </w:tblCellMar>
                    </w:tblPrEx>
                    <w:trPr>
                      <w:trHeight w:val="272"/>
                    </w:trPr>
                    <w:tc>
                      <w:tcPr>
                        <w:tcW w:w="798" w:type="dxa"/>
                        <w:vMerge/>
                        <w:tcBorders>
                          <w:top w:val="nil"/>
                        </w:tcBorders>
                      </w:tcPr>
                      <w:p>
                        <w:pPr>
                          <w:rPr>
                            <w:sz w:val="2"/>
                            <w:szCs w:val="2"/>
                          </w:rPr>
                        </w:pPr>
                      </w:p>
                    </w:tc>
                    <w:tc>
                      <w:tcPr>
                        <w:tcW w:w="2454" w:type="dxa"/>
                      </w:tcPr>
                      <w:p>
                        <w:pPr>
                          <w:pStyle w:val="TableParagraph"/>
                          <w:spacing w:line="252" w:lineRule="exact"/>
                          <w:ind w:left="575" w:right="569"/>
                          <w:jc w:val="center"/>
                          <w:rPr>
                            <w:sz w:val="21"/>
                          </w:rPr>
                        </w:pPr>
                        <w:r>
                          <w:rPr>
                            <w:sz w:val="21"/>
                          </w:rPr>
                          <w:t>固废收集措施</w:t>
                        </w:r>
                      </w:p>
                    </w:tc>
                    <w:tc>
                      <w:tcPr>
                        <w:tcW w:w="974" w:type="dxa"/>
                      </w:tcPr>
                      <w:p>
                        <w:pPr>
                          <w:pStyle w:val="TableParagraph"/>
                          <w:spacing w:line="252" w:lineRule="exact"/>
                          <w:ind w:left="253" w:right="247"/>
                          <w:jc w:val="center"/>
                          <w:rPr>
                            <w:sz w:val="21"/>
                          </w:rPr>
                        </w:pPr>
                        <w:r>
                          <w:rPr>
                            <w:sz w:val="21"/>
                          </w:rPr>
                          <w:t>万元</w:t>
                        </w:r>
                      </w:p>
                    </w:tc>
                    <w:tc>
                      <w:tcPr>
                        <w:tcW w:w="857" w:type="dxa"/>
                      </w:tcPr>
                      <w:p>
                        <w:pPr>
                          <w:pStyle w:val="TableParagraph"/>
                          <w:spacing w:before="13" w:line="238" w:lineRule="exact"/>
                          <w:ind w:left="7"/>
                          <w:jc w:val="center"/>
                          <w:rPr>
                            <w:rFonts w:ascii="Times New Roman"/>
                            <w:sz w:val="21"/>
                          </w:rPr>
                        </w:pPr>
                        <w:r>
                          <w:rPr>
                            <w:rFonts w:ascii="Times New Roman"/>
                            <w:w w:val="99"/>
                            <w:sz w:val="21"/>
                          </w:rPr>
                          <w:t>2</w:t>
                        </w:r>
                      </w:p>
                    </w:tc>
                    <w:tc>
                      <w:tcPr>
                        <w:tcW w:w="3495" w:type="dxa"/>
                      </w:tcPr>
                      <w:p>
                        <w:pPr>
                          <w:pStyle w:val="TableParagraph"/>
                          <w:spacing w:line="252" w:lineRule="exact"/>
                          <w:ind w:left="46" w:right="39"/>
                          <w:jc w:val="center"/>
                          <w:rPr>
                            <w:sz w:val="21"/>
                          </w:rPr>
                        </w:pPr>
                        <w:r>
                          <w:rPr>
                            <w:sz w:val="21"/>
                          </w:rPr>
                          <w:t>危废间、一般固体废物暂存间</w:t>
                        </w:r>
                      </w:p>
                    </w:tc>
                  </w:tr>
                  <w:tr>
                    <w:tblPrEx>
                      <w:tblW w:w="0" w:type="auto"/>
                      <w:tblInd w:w="5" w:type="dxa"/>
                      <w:tblLayout w:type="fixed"/>
                      <w:tblCellMar>
                        <w:top w:w="0" w:type="dxa"/>
                        <w:left w:w="0" w:type="dxa"/>
                        <w:bottom w:w="0" w:type="dxa"/>
                        <w:right w:w="0" w:type="dxa"/>
                      </w:tblCellMar>
                    </w:tblPrEx>
                    <w:trPr>
                      <w:trHeight w:val="271"/>
                    </w:trPr>
                    <w:tc>
                      <w:tcPr>
                        <w:tcW w:w="798" w:type="dxa"/>
                      </w:tcPr>
                      <w:p>
                        <w:pPr>
                          <w:pStyle w:val="TableParagraph"/>
                          <w:spacing w:before="1" w:line="251" w:lineRule="exact"/>
                          <w:ind w:left="189"/>
                          <w:rPr>
                            <w:sz w:val="21"/>
                          </w:rPr>
                        </w:pPr>
                        <w:r>
                          <w:rPr>
                            <w:sz w:val="21"/>
                          </w:rPr>
                          <w:t>总计</w:t>
                        </w:r>
                      </w:p>
                    </w:tc>
                    <w:tc>
                      <w:tcPr>
                        <w:tcW w:w="2454" w:type="dxa"/>
                      </w:tcPr>
                      <w:p>
                        <w:pPr>
                          <w:pStyle w:val="TableParagraph"/>
                          <w:spacing w:before="14" w:line="237" w:lineRule="exact"/>
                          <w:ind w:left="575" w:right="569"/>
                          <w:jc w:val="center"/>
                          <w:rPr>
                            <w:rFonts w:ascii="Times New Roman" w:hAnsi="Times New Roman"/>
                            <w:sz w:val="21"/>
                          </w:rPr>
                        </w:pPr>
                        <w:r>
                          <w:rPr>
                            <w:rFonts w:ascii="Times New Roman" w:hAnsi="Times New Roman"/>
                            <w:sz w:val="21"/>
                          </w:rPr>
                          <w:t>——</w:t>
                        </w:r>
                      </w:p>
                    </w:tc>
                    <w:tc>
                      <w:tcPr>
                        <w:tcW w:w="974" w:type="dxa"/>
                      </w:tcPr>
                      <w:p>
                        <w:pPr>
                          <w:pStyle w:val="TableParagraph"/>
                          <w:spacing w:before="1" w:line="251" w:lineRule="exact"/>
                          <w:ind w:left="253" w:right="247"/>
                          <w:jc w:val="center"/>
                          <w:rPr>
                            <w:sz w:val="21"/>
                          </w:rPr>
                        </w:pPr>
                        <w:r>
                          <w:rPr>
                            <w:sz w:val="21"/>
                          </w:rPr>
                          <w:t>万元</w:t>
                        </w:r>
                      </w:p>
                    </w:tc>
                    <w:tc>
                      <w:tcPr>
                        <w:tcW w:w="857" w:type="dxa"/>
                      </w:tcPr>
                      <w:p>
                        <w:pPr>
                          <w:pStyle w:val="TableParagraph"/>
                          <w:spacing w:before="14" w:line="237" w:lineRule="exact"/>
                          <w:ind w:left="195" w:right="188"/>
                          <w:jc w:val="center"/>
                          <w:rPr>
                            <w:rFonts w:ascii="Times New Roman"/>
                            <w:sz w:val="21"/>
                          </w:rPr>
                        </w:pPr>
                        <w:r>
                          <w:rPr>
                            <w:rFonts w:ascii="Times New Roman"/>
                            <w:sz w:val="21"/>
                          </w:rPr>
                          <w:t>60</w:t>
                        </w:r>
                      </w:p>
                    </w:tc>
                    <w:tc>
                      <w:tcPr>
                        <w:tcW w:w="3495" w:type="dxa"/>
                      </w:tcPr>
                      <w:p>
                        <w:pPr>
                          <w:pStyle w:val="TableParagraph"/>
                          <w:spacing w:before="14" w:line="237" w:lineRule="exact"/>
                          <w:ind w:left="44" w:right="39"/>
                          <w:jc w:val="center"/>
                          <w:rPr>
                            <w:rFonts w:ascii="Times New Roman" w:hAnsi="Times New Roman"/>
                            <w:sz w:val="21"/>
                          </w:rPr>
                        </w:pPr>
                        <w:r>
                          <w:rPr>
                            <w:rFonts w:ascii="Times New Roman" w:hAnsi="Times New Roman"/>
                            <w:sz w:val="21"/>
                          </w:rPr>
                          <w:t>——</w:t>
                        </w:r>
                      </w:p>
                    </w:tc>
                  </w:tr>
                </w:tbl>
                <w:p>
                  <w:pPr>
                    <w:pStyle w:val="BodyText"/>
                  </w:pPr>
                </w:p>
              </w:txbxContent>
            </v:textbox>
          </v:shape>
        </w:pict>
      </w:r>
    </w:p>
    <w:tbl>
      <w:tblPr>
        <w:tblStyle w:val="TableNormal"/>
        <w:tblW w:w="0" w:type="auto"/>
        <w:tblInd w:w="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09"/>
        <w:gridCol w:w="113"/>
        <w:gridCol w:w="1127"/>
        <w:gridCol w:w="1267"/>
        <w:gridCol w:w="5336"/>
        <w:gridCol w:w="848"/>
        <w:gridCol w:w="113"/>
      </w:tblGrid>
      <w:tr>
        <w:tblPrEx>
          <w:tblW w:w="0" w:type="auto"/>
          <w:tblInd w:w="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57"/>
        </w:trPr>
        <w:tc>
          <w:tcPr>
            <w:tcW w:w="709"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1127"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267" w:type="dxa"/>
            <w:tcBorders>
              <w:top w:val="single" w:sz="12"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6"/>
              <w:rPr>
                <w:sz w:val="22"/>
              </w:rPr>
            </w:pPr>
          </w:p>
          <w:p>
            <w:pPr>
              <w:pStyle w:val="TableParagraph"/>
              <w:ind w:left="91" w:right="76"/>
              <w:jc w:val="center"/>
              <w:rPr>
                <w:sz w:val="21"/>
              </w:rPr>
            </w:pPr>
            <w:r>
              <w:rPr>
                <w:sz w:val="21"/>
              </w:rPr>
              <w:t>废水处理</w:t>
            </w:r>
          </w:p>
        </w:tc>
        <w:tc>
          <w:tcPr>
            <w:tcW w:w="5336"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52" w:right="133"/>
              <w:jc w:val="both"/>
              <w:rPr>
                <w:sz w:val="21"/>
              </w:rPr>
            </w:pPr>
            <w:r>
              <w:rPr>
                <w:w w:val="95"/>
                <w:sz w:val="21"/>
              </w:rPr>
              <w:t>生活污水经化粪池预处理后经市政污水管网进入宁津县 嘉诚水质净化有限公司深度处理；生产废水经厂区污水 处理站处理后排入市政污水管网进入宁津县嘉诚水质净 化有限公司深度处理；纯水制备浓水后排入市政污水管</w:t>
            </w:r>
          </w:p>
          <w:p>
            <w:pPr>
              <w:pStyle w:val="TableParagraph"/>
              <w:spacing w:before="1" w:line="248" w:lineRule="exact"/>
              <w:ind w:left="572"/>
              <w:rPr>
                <w:sz w:val="21"/>
              </w:rPr>
            </w:pPr>
            <w:r>
              <w:rPr>
                <w:sz w:val="21"/>
              </w:rPr>
              <w:t>网进入宁津县嘉诚水质净化有限公司深度处理</w:t>
            </w:r>
          </w:p>
        </w:tc>
        <w:tc>
          <w:tcPr>
            <w:tcW w:w="848" w:type="dxa"/>
            <w:tcBorders>
              <w:top w:val="single" w:sz="12" w:space="0" w:color="000000"/>
              <w:left w:val="single" w:sz="4" w:space="0" w:color="000000"/>
              <w:bottom w:val="single" w:sz="4" w:space="0" w:color="000000"/>
              <w:right w:val="single" w:sz="4" w:space="0" w:color="000000"/>
            </w:tcBorders>
          </w:tcPr>
          <w:p>
            <w:pPr>
              <w:pStyle w:val="TableParagraph"/>
              <w:rPr>
                <w:sz w:val="22"/>
              </w:rPr>
            </w:pPr>
          </w:p>
          <w:p>
            <w:pPr>
              <w:pStyle w:val="TableParagraph"/>
              <w:spacing w:before="7"/>
              <w:rPr>
                <w:sz w:val="21"/>
              </w:rPr>
            </w:pPr>
          </w:p>
          <w:p>
            <w:pPr>
              <w:pStyle w:val="TableParagraph"/>
              <w:ind w:left="195" w:right="178"/>
              <w:jc w:val="center"/>
              <w:rPr>
                <w:rFonts w:ascii="Times New Roman"/>
                <w:sz w:val="21"/>
              </w:rPr>
            </w:pPr>
            <w:r>
              <w:rPr>
                <w:rFonts w:ascii="Times New Roman"/>
                <w:sz w:val="21"/>
              </w:rPr>
              <w:t>--</w:t>
            </w:r>
          </w:p>
        </w:tc>
        <w:tc>
          <w:tcPr>
            <w:tcW w:w="113" w:type="dxa"/>
            <w:tcBorders>
              <w:left w:val="single" w:sz="4" w:space="0" w:color="000000"/>
              <w:bottom w:val="nil"/>
            </w:tcBorders>
          </w:tcPr>
          <w:p>
            <w:pPr>
              <w:pStyle w:val="TableParagraph"/>
              <w:rPr>
                <w:rFonts w:ascii="Times New Roman"/>
                <w:sz w:val="20"/>
              </w:rPr>
            </w:pPr>
          </w:p>
        </w:tc>
      </w:tr>
      <w:tr>
        <w:tblPrEx>
          <w:tblW w:w="0" w:type="auto"/>
          <w:tblInd w:w="306" w:type="dxa"/>
          <w:tblLayout w:type="fixed"/>
          <w:tblCellMar>
            <w:top w:w="0" w:type="dxa"/>
            <w:left w:w="0" w:type="dxa"/>
            <w:bottom w:w="0" w:type="dxa"/>
            <w:right w:w="0" w:type="dxa"/>
          </w:tblCellMar>
        </w:tblPrEx>
        <w:trPr>
          <w:trHeight w:val="642"/>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27" w:type="dxa"/>
            <w:vMerge/>
            <w:tcBorders>
              <w:top w:val="nil"/>
              <w:left w:val="single" w:sz="4" w:space="0" w:color="000000"/>
              <w:bottom w:val="single" w:sz="4" w:space="0" w:color="000000"/>
              <w:right w:val="single" w:sz="4" w:space="0" w:color="000000"/>
            </w:tcBorders>
          </w:tcPr>
          <w:p>
            <w:pPr>
              <w:rPr>
                <w:sz w:val="2"/>
                <w:szCs w:val="2"/>
              </w:rPr>
            </w:pPr>
          </w:p>
        </w:tc>
        <w:tc>
          <w:tcPr>
            <w:tcW w:w="1267" w:type="dxa"/>
            <w:tcBorders>
              <w:top w:val="single" w:sz="4" w:space="0" w:color="000000"/>
              <w:left w:val="single" w:sz="4" w:space="0" w:color="000000"/>
              <w:bottom w:val="single" w:sz="4" w:space="0" w:color="000000"/>
              <w:right w:val="single" w:sz="4" w:space="0" w:color="000000"/>
            </w:tcBorders>
          </w:tcPr>
          <w:p>
            <w:pPr>
              <w:pStyle w:val="TableParagraph"/>
              <w:spacing w:before="5"/>
              <w:rPr>
                <w:sz w:val="14"/>
              </w:rPr>
            </w:pPr>
          </w:p>
          <w:p>
            <w:pPr>
              <w:pStyle w:val="TableParagraph"/>
              <w:ind w:left="91" w:right="76"/>
              <w:jc w:val="center"/>
              <w:rPr>
                <w:sz w:val="21"/>
              </w:rPr>
            </w:pPr>
            <w:r>
              <w:rPr>
                <w:sz w:val="21"/>
              </w:rPr>
              <w:t>固废处理</w:t>
            </w:r>
          </w:p>
        </w:tc>
        <w:tc>
          <w:tcPr>
            <w:tcW w:w="6184" w:type="dxa"/>
            <w:gridSpan w:val="2"/>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36" w:right="118"/>
              <w:jc w:val="center"/>
              <w:rPr>
                <w:sz w:val="21"/>
              </w:rPr>
            </w:pPr>
            <w:r>
              <w:rPr>
                <w:sz w:val="21"/>
              </w:rPr>
              <w:t>生活垃圾交由环卫部门处理；一般工业固废经收集后合理处置；</w:t>
            </w:r>
          </w:p>
          <w:p>
            <w:pPr>
              <w:pStyle w:val="TableParagraph"/>
              <w:spacing w:before="57"/>
              <w:ind w:left="136" w:right="118"/>
              <w:jc w:val="center"/>
              <w:rPr>
                <w:sz w:val="21"/>
              </w:rPr>
            </w:pPr>
            <w:r>
              <w:rPr>
                <w:sz w:val="21"/>
              </w:rPr>
              <w:t>危险废物交由有资质单位处理</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306" w:type="dxa"/>
          <w:tblLayout w:type="fixed"/>
          <w:tblCellMar>
            <w:top w:w="0" w:type="dxa"/>
            <w:left w:w="0" w:type="dxa"/>
            <w:bottom w:w="0" w:type="dxa"/>
            <w:right w:w="0" w:type="dxa"/>
          </w:tblCellMar>
        </w:tblPrEx>
        <w:trPr>
          <w:trHeight w:val="262"/>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27" w:type="dxa"/>
            <w:vMerge/>
            <w:tcBorders>
              <w:top w:val="nil"/>
              <w:left w:val="single" w:sz="4" w:space="0" w:color="000000"/>
              <w:bottom w:val="single" w:sz="4" w:space="0" w:color="000000"/>
              <w:right w:val="single" w:sz="4" w:space="0" w:color="000000"/>
            </w:tcBorders>
          </w:tcPr>
          <w:p>
            <w:pPr>
              <w:rPr>
                <w:sz w:val="2"/>
                <w:szCs w:val="2"/>
              </w:rPr>
            </w:pPr>
          </w:p>
        </w:tc>
        <w:tc>
          <w:tcPr>
            <w:tcW w:w="1267"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91" w:right="76"/>
              <w:jc w:val="center"/>
              <w:rPr>
                <w:sz w:val="21"/>
              </w:rPr>
            </w:pPr>
            <w:r>
              <w:rPr>
                <w:sz w:val="21"/>
              </w:rPr>
              <w:t>噪声防治</w:t>
            </w:r>
          </w:p>
        </w:tc>
        <w:tc>
          <w:tcPr>
            <w:tcW w:w="6184" w:type="dxa"/>
            <w:gridSpan w:val="2"/>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626"/>
              <w:rPr>
                <w:sz w:val="21"/>
              </w:rPr>
            </w:pPr>
            <w:r>
              <w:rPr>
                <w:sz w:val="21"/>
              </w:rPr>
              <w:t>封闭隔音、基础减振、距离衰减</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306" w:type="dxa"/>
          <w:tblLayout w:type="fixed"/>
          <w:tblCellMar>
            <w:top w:w="0" w:type="dxa"/>
            <w:left w:w="0" w:type="dxa"/>
            <w:bottom w:w="0" w:type="dxa"/>
            <w:right w:w="0" w:type="dxa"/>
          </w:tblCellMar>
        </w:tblPrEx>
        <w:trPr>
          <w:trHeight w:val="10895"/>
        </w:trPr>
        <w:tc>
          <w:tcPr>
            <w:tcW w:w="709" w:type="dxa"/>
            <w:vMerge/>
            <w:tcBorders>
              <w:top w:val="nil"/>
              <w:right w:val="single" w:sz="4" w:space="0" w:color="000000"/>
            </w:tcBorders>
          </w:tcPr>
          <w:p>
            <w:pPr>
              <w:rPr>
                <w:sz w:val="2"/>
                <w:szCs w:val="2"/>
              </w:rPr>
            </w:pPr>
          </w:p>
        </w:tc>
        <w:tc>
          <w:tcPr>
            <w:tcW w:w="8804" w:type="dxa"/>
            <w:gridSpan w:val="6"/>
            <w:tcBorders>
              <w:top w:val="single" w:sz="4" w:space="0" w:color="000000"/>
              <w:left w:val="single" w:sz="4" w:space="0" w:color="000000"/>
            </w:tcBorders>
          </w:tcPr>
          <w:p>
            <w:pPr>
              <w:pStyle w:val="TableParagraph"/>
              <w:tabs>
                <w:tab w:val="left" w:pos="862"/>
              </w:tabs>
              <w:spacing w:before="68"/>
              <w:ind w:left="22"/>
              <w:jc w:val="center"/>
              <w:rPr>
                <w:b/>
                <w:sz w:val="24"/>
              </w:rPr>
            </w:pPr>
            <w:r>
              <w:rPr>
                <w:b/>
                <w:sz w:val="24"/>
              </w:rPr>
              <w:t>表</w:t>
            </w:r>
            <w:r>
              <w:rPr>
                <w:b/>
                <w:spacing w:val="-62"/>
                <w:sz w:val="24"/>
              </w:rPr>
              <w:t xml:space="preserve"> </w:t>
            </w:r>
            <w:r>
              <w:rPr>
                <w:rFonts w:ascii="Times New Roman" w:eastAsia="Times New Roman"/>
                <w:b/>
                <w:sz w:val="24"/>
              </w:rPr>
              <w:t>10.</w:t>
            </w:r>
            <w:r>
              <w:rPr>
                <w:rFonts w:ascii="Times New Roman" w:eastAsia="Times New Roman"/>
                <w:b/>
                <w:sz w:val="24"/>
              </w:rPr>
              <w:tab/>
            </w:r>
            <w:r>
              <w:rPr>
                <w:b/>
                <w:sz w:val="24"/>
              </w:rPr>
              <w:t>环保投资情况一览表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35"/>
              </w:rPr>
            </w:pPr>
          </w:p>
          <w:p>
            <w:pPr>
              <w:pStyle w:val="TableParagraph"/>
              <w:ind w:left="533"/>
              <w:rPr>
                <w:b/>
                <w:sz w:val="24"/>
              </w:rPr>
            </w:pPr>
            <w:r>
              <w:rPr>
                <w:rFonts w:ascii="Times New Roman" w:eastAsia="Times New Roman"/>
                <w:b/>
                <w:sz w:val="24"/>
              </w:rPr>
              <w:t>3</w:t>
            </w:r>
            <w:r>
              <w:rPr>
                <w:b/>
                <w:sz w:val="24"/>
              </w:rPr>
              <w:t>、主要生产设备、原辅料及产品方案</w:t>
            </w:r>
          </w:p>
          <w:p>
            <w:pPr>
              <w:pStyle w:val="TableParagraph"/>
              <w:numPr>
                <w:ilvl w:val="0"/>
                <w:numId w:val="24"/>
              </w:numPr>
              <w:tabs>
                <w:tab w:val="left" w:pos="1195"/>
              </w:tabs>
              <w:spacing w:before="158" w:after="0" w:line="240" w:lineRule="auto"/>
              <w:ind w:left="1194" w:right="0" w:hanging="602"/>
              <w:jc w:val="left"/>
              <w:rPr>
                <w:sz w:val="24"/>
              </w:rPr>
            </w:pPr>
            <w:r>
              <w:rPr>
                <w:sz w:val="24"/>
              </w:rPr>
              <w:t>主要生产设备</w:t>
            </w:r>
          </w:p>
          <w:p>
            <w:pPr>
              <w:pStyle w:val="TableParagraph"/>
              <w:spacing w:before="161"/>
              <w:ind w:left="593"/>
              <w:rPr>
                <w:sz w:val="24"/>
              </w:rPr>
            </w:pPr>
            <w:r>
              <w:rPr>
                <w:sz w:val="24"/>
              </w:rPr>
              <w:t>项目主要生产设备情况见下表。</w:t>
            </w:r>
          </w:p>
          <w:p>
            <w:pPr>
              <w:pStyle w:val="TableParagraph"/>
              <w:spacing w:before="12"/>
              <w:rPr>
                <w:sz w:val="17"/>
              </w:rPr>
            </w:pPr>
          </w:p>
          <w:p>
            <w:pPr>
              <w:pStyle w:val="TableParagraph"/>
              <w:tabs>
                <w:tab w:val="left" w:pos="862"/>
              </w:tabs>
              <w:ind w:left="22"/>
              <w:jc w:val="center"/>
              <w:rPr>
                <w:b/>
                <w:sz w:val="24"/>
              </w:rPr>
            </w:pPr>
            <w:r>
              <w:rPr>
                <w:b/>
                <w:sz w:val="24"/>
              </w:rPr>
              <w:t>表</w:t>
            </w:r>
            <w:r>
              <w:rPr>
                <w:b/>
                <w:spacing w:val="-61"/>
                <w:sz w:val="24"/>
              </w:rPr>
              <w:t xml:space="preserve"> </w:t>
            </w:r>
            <w:r>
              <w:rPr>
                <w:rFonts w:ascii="Times New Roman" w:eastAsia="Times New Roman"/>
                <w:b/>
                <w:spacing w:val="-5"/>
                <w:sz w:val="24"/>
              </w:rPr>
              <w:t>11.</w:t>
            </w:r>
            <w:r>
              <w:rPr>
                <w:rFonts w:ascii="Times New Roman" w:eastAsia="Times New Roman"/>
                <w:b/>
                <w:spacing w:val="-5"/>
                <w:sz w:val="24"/>
              </w:rPr>
              <w:tab/>
            </w:r>
            <w:r>
              <w:rPr>
                <w:b/>
                <w:sz w:val="24"/>
              </w:rPr>
              <w:t>主要生产设备一览表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2"/>
              <w:rPr>
                <w:sz w:val="27"/>
              </w:rPr>
            </w:pPr>
          </w:p>
          <w:p>
            <w:pPr>
              <w:pStyle w:val="TableParagraph"/>
              <w:numPr>
                <w:ilvl w:val="0"/>
                <w:numId w:val="24"/>
              </w:numPr>
              <w:tabs>
                <w:tab w:val="left" w:pos="1195"/>
              </w:tabs>
              <w:spacing w:before="0" w:after="0" w:line="240" w:lineRule="auto"/>
              <w:ind w:left="1194" w:right="0" w:hanging="602"/>
              <w:jc w:val="left"/>
              <w:rPr>
                <w:sz w:val="24"/>
              </w:rPr>
            </w:pPr>
            <w:r>
              <w:rPr>
                <w:sz w:val="24"/>
              </w:rPr>
              <w:t>主要原辅材料消耗</w:t>
            </w:r>
          </w:p>
          <w:p>
            <w:pPr>
              <w:pStyle w:val="TableParagraph"/>
              <w:spacing w:before="158"/>
              <w:ind w:left="593"/>
              <w:rPr>
                <w:sz w:val="24"/>
              </w:rPr>
            </w:pPr>
            <w:r>
              <w:rPr>
                <w:sz w:val="24"/>
              </w:rPr>
              <w:t>拟建项目主要原辅材料消耗见下表。</w:t>
            </w:r>
          </w:p>
        </w:tc>
      </w:tr>
    </w:tbl>
    <w:p>
      <w:pPr>
        <w:pStyle w:val="BodyText"/>
        <w:rPr>
          <w:sz w:val="20"/>
        </w:rPr>
      </w:pPr>
    </w:p>
    <w:p>
      <w:pPr>
        <w:pStyle w:val="BodyText"/>
        <w:rPr>
          <w:sz w:val="20"/>
        </w:rPr>
      </w:pPr>
    </w:p>
    <w:p>
      <w:pPr>
        <w:pStyle w:val="BodyText"/>
        <w:spacing w:before="8"/>
        <w:rPr>
          <w:sz w:val="18"/>
        </w:rPr>
      </w:pPr>
    </w:p>
    <w:p>
      <w:pPr>
        <w:spacing w:before="61"/>
        <w:ind w:left="0" w:right="649" w:firstLine="0"/>
        <w:jc w:val="right"/>
        <w:rPr>
          <w:sz w:val="28"/>
        </w:rPr>
      </w:pPr>
      <w:r>
        <w:pict>
          <v:shape id="_x0000_s1034" o:spid="_x0000_s1033" type="#_x0000_t202" style="width:429.65pt;height:263.4pt;margin-top:-349.5pt;margin-left:100.65pt;mso-height-relative:page;mso-position-horizontal-relative:page;mso-width-relative:page;position:absolute;z-index:25166131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79"/>
                    <w:gridCol w:w="2815"/>
                    <w:gridCol w:w="1096"/>
                    <w:gridCol w:w="2044"/>
                    <w:gridCol w:w="1844"/>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1"/>
                    </w:trPr>
                    <w:tc>
                      <w:tcPr>
                        <w:tcW w:w="779" w:type="dxa"/>
                      </w:tcPr>
                      <w:p>
                        <w:pPr>
                          <w:pStyle w:val="TableParagraph"/>
                          <w:spacing w:before="34"/>
                          <w:ind w:left="156" w:right="150"/>
                          <w:jc w:val="center"/>
                          <w:rPr>
                            <w:b/>
                            <w:sz w:val="21"/>
                          </w:rPr>
                        </w:pPr>
                        <w:r>
                          <w:rPr>
                            <w:b/>
                            <w:sz w:val="21"/>
                          </w:rPr>
                          <w:t>序号</w:t>
                        </w:r>
                      </w:p>
                    </w:tc>
                    <w:tc>
                      <w:tcPr>
                        <w:tcW w:w="2815" w:type="dxa"/>
                      </w:tcPr>
                      <w:p>
                        <w:pPr>
                          <w:pStyle w:val="TableParagraph"/>
                          <w:spacing w:before="34"/>
                          <w:ind w:left="230" w:right="223"/>
                          <w:jc w:val="center"/>
                          <w:rPr>
                            <w:b/>
                            <w:sz w:val="21"/>
                          </w:rPr>
                        </w:pPr>
                        <w:r>
                          <w:rPr>
                            <w:b/>
                            <w:sz w:val="21"/>
                          </w:rPr>
                          <w:t>设备名称</w:t>
                        </w:r>
                      </w:p>
                    </w:tc>
                    <w:tc>
                      <w:tcPr>
                        <w:tcW w:w="1096" w:type="dxa"/>
                      </w:tcPr>
                      <w:p>
                        <w:pPr>
                          <w:pStyle w:val="TableParagraph"/>
                          <w:spacing w:before="34"/>
                          <w:ind w:left="316" w:right="308"/>
                          <w:jc w:val="center"/>
                          <w:rPr>
                            <w:b/>
                            <w:sz w:val="21"/>
                          </w:rPr>
                        </w:pPr>
                        <w:r>
                          <w:rPr>
                            <w:b/>
                            <w:sz w:val="21"/>
                          </w:rPr>
                          <w:t>单位</w:t>
                        </w:r>
                      </w:p>
                    </w:tc>
                    <w:tc>
                      <w:tcPr>
                        <w:tcW w:w="2044" w:type="dxa"/>
                      </w:tcPr>
                      <w:p>
                        <w:pPr>
                          <w:pStyle w:val="TableParagraph"/>
                          <w:spacing w:before="34"/>
                          <w:ind w:left="790" w:right="782"/>
                          <w:jc w:val="center"/>
                          <w:rPr>
                            <w:b/>
                            <w:sz w:val="21"/>
                          </w:rPr>
                        </w:pPr>
                        <w:r>
                          <w:rPr>
                            <w:b/>
                            <w:sz w:val="21"/>
                          </w:rPr>
                          <w:t>数量</w:t>
                        </w:r>
                      </w:p>
                    </w:tc>
                    <w:tc>
                      <w:tcPr>
                        <w:tcW w:w="1844" w:type="dxa"/>
                      </w:tcPr>
                      <w:p>
                        <w:pPr>
                          <w:pStyle w:val="TableParagraph"/>
                          <w:spacing w:before="34"/>
                          <w:ind w:left="690" w:right="682"/>
                          <w:jc w:val="center"/>
                          <w:rPr>
                            <w:b/>
                            <w:sz w:val="21"/>
                          </w:rPr>
                        </w:pPr>
                        <w:r>
                          <w:rPr>
                            <w:b/>
                            <w:sz w:val="21"/>
                          </w:rPr>
                          <w:t>备注</w:t>
                        </w:r>
                      </w:p>
                    </w:tc>
                  </w:tr>
                  <w:tr>
                    <w:tblPrEx>
                      <w:tblW w:w="0" w:type="auto"/>
                      <w:tblInd w:w="5" w:type="dxa"/>
                      <w:tblLayout w:type="fixed"/>
                      <w:tblCellMar>
                        <w:top w:w="0" w:type="dxa"/>
                        <w:left w:w="0" w:type="dxa"/>
                        <w:bottom w:w="0" w:type="dxa"/>
                        <w:right w:w="0" w:type="dxa"/>
                      </w:tblCellMar>
                    </w:tblPrEx>
                    <w:trPr>
                      <w:trHeight w:val="356"/>
                    </w:trPr>
                    <w:tc>
                      <w:tcPr>
                        <w:tcW w:w="779" w:type="dxa"/>
                      </w:tcPr>
                      <w:p>
                        <w:pPr>
                          <w:pStyle w:val="TableParagraph"/>
                          <w:spacing w:before="56"/>
                          <w:ind w:left="7"/>
                          <w:jc w:val="center"/>
                          <w:rPr>
                            <w:rFonts w:ascii="Times New Roman"/>
                            <w:sz w:val="21"/>
                          </w:rPr>
                        </w:pPr>
                        <w:r>
                          <w:rPr>
                            <w:rFonts w:ascii="Times New Roman"/>
                            <w:w w:val="99"/>
                            <w:sz w:val="21"/>
                          </w:rPr>
                          <w:t>1</w:t>
                        </w:r>
                      </w:p>
                    </w:tc>
                    <w:tc>
                      <w:tcPr>
                        <w:tcW w:w="2815" w:type="dxa"/>
                      </w:tcPr>
                      <w:p>
                        <w:pPr>
                          <w:pStyle w:val="TableParagraph"/>
                          <w:spacing w:before="42"/>
                          <w:ind w:left="230" w:right="225"/>
                          <w:jc w:val="center"/>
                          <w:rPr>
                            <w:sz w:val="21"/>
                          </w:rPr>
                        </w:pPr>
                        <w:r>
                          <w:rPr>
                            <w:sz w:val="21"/>
                          </w:rPr>
                          <w:t>抛丸机</w:t>
                        </w:r>
                      </w:p>
                    </w:tc>
                    <w:tc>
                      <w:tcPr>
                        <w:tcW w:w="1096" w:type="dxa"/>
                      </w:tcPr>
                      <w:p>
                        <w:pPr>
                          <w:pStyle w:val="TableParagraph"/>
                          <w:spacing w:before="42"/>
                          <w:ind w:left="8"/>
                          <w:jc w:val="center"/>
                          <w:rPr>
                            <w:sz w:val="21"/>
                          </w:rPr>
                        </w:pPr>
                        <w:r>
                          <w:rPr>
                            <w:w w:val="99"/>
                            <w:sz w:val="21"/>
                          </w:rPr>
                          <w:t>台</w:t>
                        </w:r>
                      </w:p>
                    </w:tc>
                    <w:tc>
                      <w:tcPr>
                        <w:tcW w:w="2044" w:type="dxa"/>
                      </w:tcPr>
                      <w:p>
                        <w:pPr>
                          <w:pStyle w:val="TableParagraph"/>
                          <w:spacing w:before="56"/>
                          <w:ind w:left="9"/>
                          <w:jc w:val="center"/>
                          <w:rPr>
                            <w:rFonts w:ascii="Times New Roman"/>
                            <w:sz w:val="21"/>
                          </w:rPr>
                        </w:pPr>
                        <w:r>
                          <w:rPr>
                            <w:rFonts w:ascii="Times New Roman"/>
                            <w:w w:val="99"/>
                            <w:sz w:val="21"/>
                          </w:rPr>
                          <w:t>4</w:t>
                        </w:r>
                      </w:p>
                    </w:tc>
                    <w:tc>
                      <w:tcPr>
                        <w:tcW w:w="1844" w:type="dxa"/>
                      </w:tcPr>
                      <w:p>
                        <w:pPr>
                          <w:pStyle w:val="TableParagraph"/>
                          <w:spacing w:before="56"/>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2"/>
                    </w:trPr>
                    <w:tc>
                      <w:tcPr>
                        <w:tcW w:w="779" w:type="dxa"/>
                      </w:tcPr>
                      <w:p>
                        <w:pPr>
                          <w:pStyle w:val="TableParagraph"/>
                          <w:spacing w:before="50"/>
                          <w:ind w:left="7"/>
                          <w:jc w:val="center"/>
                          <w:rPr>
                            <w:rFonts w:ascii="Times New Roman"/>
                            <w:sz w:val="21"/>
                          </w:rPr>
                        </w:pPr>
                        <w:r>
                          <w:rPr>
                            <w:rFonts w:ascii="Times New Roman"/>
                            <w:w w:val="99"/>
                            <w:sz w:val="21"/>
                          </w:rPr>
                          <w:t>2</w:t>
                        </w:r>
                      </w:p>
                    </w:tc>
                    <w:tc>
                      <w:tcPr>
                        <w:tcW w:w="2815" w:type="dxa"/>
                      </w:tcPr>
                      <w:p>
                        <w:pPr>
                          <w:pStyle w:val="TableParagraph"/>
                          <w:spacing w:before="34"/>
                          <w:ind w:left="230" w:right="225"/>
                          <w:jc w:val="center"/>
                          <w:rPr>
                            <w:sz w:val="21"/>
                          </w:rPr>
                        </w:pPr>
                        <w:r>
                          <w:rPr>
                            <w:sz w:val="21"/>
                          </w:rPr>
                          <w:t>喷砂机</w:t>
                        </w:r>
                      </w:p>
                    </w:tc>
                    <w:tc>
                      <w:tcPr>
                        <w:tcW w:w="1096" w:type="dxa"/>
                      </w:tcPr>
                      <w:p>
                        <w:pPr>
                          <w:pStyle w:val="TableParagraph"/>
                          <w:spacing w:before="34"/>
                          <w:ind w:left="8"/>
                          <w:jc w:val="center"/>
                          <w:rPr>
                            <w:sz w:val="21"/>
                          </w:rPr>
                        </w:pPr>
                        <w:r>
                          <w:rPr>
                            <w:w w:val="99"/>
                            <w:sz w:val="21"/>
                          </w:rPr>
                          <w:t>台</w:t>
                        </w:r>
                      </w:p>
                    </w:tc>
                    <w:tc>
                      <w:tcPr>
                        <w:tcW w:w="2044" w:type="dxa"/>
                      </w:tcPr>
                      <w:p>
                        <w:pPr>
                          <w:pStyle w:val="TableParagraph"/>
                          <w:spacing w:before="81" w:line="240" w:lineRule="exact"/>
                          <w:ind w:left="9"/>
                          <w:jc w:val="center"/>
                          <w:rPr>
                            <w:rFonts w:ascii="Times New Roman"/>
                            <w:sz w:val="21"/>
                          </w:rPr>
                        </w:pPr>
                        <w:r>
                          <w:rPr>
                            <w:rFonts w:ascii="Times New Roman"/>
                            <w:w w:val="99"/>
                            <w:sz w:val="21"/>
                          </w:rPr>
                          <w:t>2</w:t>
                        </w:r>
                      </w:p>
                    </w:tc>
                    <w:tc>
                      <w:tcPr>
                        <w:tcW w:w="1844" w:type="dxa"/>
                      </w:tcPr>
                      <w:p>
                        <w:pPr>
                          <w:pStyle w:val="TableParagraph"/>
                          <w:spacing w:before="50"/>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1"/>
                    </w:trPr>
                    <w:tc>
                      <w:tcPr>
                        <w:tcW w:w="779" w:type="dxa"/>
                      </w:tcPr>
                      <w:p>
                        <w:pPr>
                          <w:pStyle w:val="TableParagraph"/>
                          <w:spacing w:before="51"/>
                          <w:ind w:left="7"/>
                          <w:jc w:val="center"/>
                          <w:rPr>
                            <w:rFonts w:ascii="Times New Roman"/>
                            <w:sz w:val="21"/>
                          </w:rPr>
                        </w:pPr>
                        <w:r>
                          <w:rPr>
                            <w:rFonts w:ascii="Times New Roman"/>
                            <w:w w:val="99"/>
                            <w:sz w:val="21"/>
                          </w:rPr>
                          <w:t>3</w:t>
                        </w:r>
                      </w:p>
                    </w:tc>
                    <w:tc>
                      <w:tcPr>
                        <w:tcW w:w="2815" w:type="dxa"/>
                      </w:tcPr>
                      <w:p>
                        <w:pPr>
                          <w:pStyle w:val="TableParagraph"/>
                          <w:spacing w:before="34"/>
                          <w:ind w:left="230" w:right="223"/>
                          <w:jc w:val="center"/>
                          <w:rPr>
                            <w:sz w:val="21"/>
                          </w:rPr>
                        </w:pPr>
                        <w:r>
                          <w:rPr>
                            <w:sz w:val="21"/>
                          </w:rPr>
                          <w:t>磁力抛光机</w:t>
                        </w:r>
                      </w:p>
                    </w:tc>
                    <w:tc>
                      <w:tcPr>
                        <w:tcW w:w="1096" w:type="dxa"/>
                      </w:tcPr>
                      <w:p>
                        <w:pPr>
                          <w:pStyle w:val="TableParagraph"/>
                          <w:spacing w:before="34"/>
                          <w:ind w:left="8"/>
                          <w:jc w:val="center"/>
                          <w:rPr>
                            <w:sz w:val="21"/>
                          </w:rPr>
                        </w:pPr>
                        <w:r>
                          <w:rPr>
                            <w:w w:val="99"/>
                            <w:sz w:val="21"/>
                          </w:rPr>
                          <w:t>台</w:t>
                        </w:r>
                      </w:p>
                    </w:tc>
                    <w:tc>
                      <w:tcPr>
                        <w:tcW w:w="2044" w:type="dxa"/>
                      </w:tcPr>
                      <w:p>
                        <w:pPr>
                          <w:pStyle w:val="TableParagraph"/>
                          <w:spacing w:before="82" w:line="240" w:lineRule="exact"/>
                          <w:ind w:left="9"/>
                          <w:jc w:val="center"/>
                          <w:rPr>
                            <w:rFonts w:ascii="Times New Roman"/>
                            <w:sz w:val="21"/>
                          </w:rPr>
                        </w:pPr>
                        <w:r>
                          <w:rPr>
                            <w:rFonts w:ascii="Times New Roman"/>
                            <w:w w:val="99"/>
                            <w:sz w:val="21"/>
                          </w:rPr>
                          <w:t>2</w:t>
                        </w:r>
                      </w:p>
                    </w:tc>
                    <w:tc>
                      <w:tcPr>
                        <w:tcW w:w="1844" w:type="dxa"/>
                      </w:tcPr>
                      <w:p>
                        <w:pPr>
                          <w:pStyle w:val="TableParagraph"/>
                          <w:spacing w:before="51"/>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2"/>
                    </w:trPr>
                    <w:tc>
                      <w:tcPr>
                        <w:tcW w:w="779" w:type="dxa"/>
                      </w:tcPr>
                      <w:p>
                        <w:pPr>
                          <w:pStyle w:val="TableParagraph"/>
                          <w:spacing w:before="49"/>
                          <w:ind w:left="7"/>
                          <w:jc w:val="center"/>
                          <w:rPr>
                            <w:rFonts w:ascii="Times New Roman"/>
                            <w:sz w:val="21"/>
                          </w:rPr>
                        </w:pPr>
                        <w:r>
                          <w:rPr>
                            <w:rFonts w:ascii="Times New Roman"/>
                            <w:w w:val="99"/>
                            <w:sz w:val="21"/>
                          </w:rPr>
                          <w:t>4</w:t>
                        </w:r>
                      </w:p>
                    </w:tc>
                    <w:tc>
                      <w:tcPr>
                        <w:tcW w:w="2815" w:type="dxa"/>
                      </w:tcPr>
                      <w:p>
                        <w:pPr>
                          <w:pStyle w:val="TableParagraph"/>
                          <w:spacing w:before="35"/>
                          <w:ind w:left="230" w:right="225"/>
                          <w:jc w:val="center"/>
                          <w:rPr>
                            <w:sz w:val="21"/>
                          </w:rPr>
                        </w:pPr>
                        <w:r>
                          <w:rPr>
                            <w:sz w:val="21"/>
                          </w:rPr>
                          <w:t>蒸馏机</w:t>
                        </w:r>
                      </w:p>
                    </w:tc>
                    <w:tc>
                      <w:tcPr>
                        <w:tcW w:w="1096" w:type="dxa"/>
                      </w:tcPr>
                      <w:p>
                        <w:pPr>
                          <w:pStyle w:val="TableParagraph"/>
                          <w:spacing w:before="35"/>
                          <w:ind w:left="8"/>
                          <w:jc w:val="center"/>
                          <w:rPr>
                            <w:sz w:val="21"/>
                          </w:rPr>
                        </w:pPr>
                        <w:r>
                          <w:rPr>
                            <w:w w:val="99"/>
                            <w:sz w:val="21"/>
                          </w:rPr>
                          <w:t>台</w:t>
                        </w:r>
                      </w:p>
                    </w:tc>
                    <w:tc>
                      <w:tcPr>
                        <w:tcW w:w="2044" w:type="dxa"/>
                      </w:tcPr>
                      <w:p>
                        <w:pPr>
                          <w:pStyle w:val="TableParagraph"/>
                          <w:spacing w:before="83" w:line="239" w:lineRule="exact"/>
                          <w:ind w:left="790" w:right="781"/>
                          <w:jc w:val="center"/>
                          <w:rPr>
                            <w:rFonts w:ascii="Times New Roman"/>
                            <w:sz w:val="21"/>
                          </w:rPr>
                        </w:pPr>
                        <w:r>
                          <w:rPr>
                            <w:rFonts w:ascii="Times New Roman"/>
                            <w:sz w:val="21"/>
                          </w:rPr>
                          <w:t>50</w:t>
                        </w:r>
                      </w:p>
                    </w:tc>
                    <w:tc>
                      <w:tcPr>
                        <w:tcW w:w="1844" w:type="dxa"/>
                      </w:tcPr>
                      <w:p>
                        <w:pPr>
                          <w:pStyle w:val="TableParagraph"/>
                          <w:spacing w:before="49"/>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1"/>
                    </w:trPr>
                    <w:tc>
                      <w:tcPr>
                        <w:tcW w:w="779" w:type="dxa"/>
                      </w:tcPr>
                      <w:p>
                        <w:pPr>
                          <w:pStyle w:val="TableParagraph"/>
                          <w:spacing w:before="50"/>
                          <w:ind w:left="7"/>
                          <w:jc w:val="center"/>
                          <w:rPr>
                            <w:rFonts w:ascii="Times New Roman"/>
                            <w:sz w:val="21"/>
                          </w:rPr>
                        </w:pPr>
                        <w:r>
                          <w:rPr>
                            <w:rFonts w:ascii="Times New Roman"/>
                            <w:w w:val="99"/>
                            <w:sz w:val="21"/>
                          </w:rPr>
                          <w:t>5</w:t>
                        </w:r>
                      </w:p>
                    </w:tc>
                    <w:tc>
                      <w:tcPr>
                        <w:tcW w:w="2815" w:type="dxa"/>
                      </w:tcPr>
                      <w:p>
                        <w:pPr>
                          <w:pStyle w:val="TableParagraph"/>
                          <w:spacing w:before="34"/>
                          <w:ind w:left="230" w:right="225"/>
                          <w:jc w:val="center"/>
                          <w:rPr>
                            <w:sz w:val="21"/>
                          </w:rPr>
                        </w:pPr>
                        <w:r>
                          <w:rPr>
                            <w:sz w:val="21"/>
                          </w:rPr>
                          <w:t>制冷机</w:t>
                        </w:r>
                      </w:p>
                    </w:tc>
                    <w:tc>
                      <w:tcPr>
                        <w:tcW w:w="1096" w:type="dxa"/>
                      </w:tcPr>
                      <w:p>
                        <w:pPr>
                          <w:pStyle w:val="TableParagraph"/>
                          <w:spacing w:before="34"/>
                          <w:ind w:left="8"/>
                          <w:jc w:val="center"/>
                          <w:rPr>
                            <w:sz w:val="21"/>
                          </w:rPr>
                        </w:pPr>
                        <w:r>
                          <w:rPr>
                            <w:w w:val="99"/>
                            <w:sz w:val="21"/>
                          </w:rPr>
                          <w:t>台</w:t>
                        </w:r>
                      </w:p>
                    </w:tc>
                    <w:tc>
                      <w:tcPr>
                        <w:tcW w:w="2044" w:type="dxa"/>
                      </w:tcPr>
                      <w:p>
                        <w:pPr>
                          <w:pStyle w:val="TableParagraph"/>
                          <w:spacing w:before="81" w:line="240" w:lineRule="exact"/>
                          <w:ind w:left="790" w:right="781"/>
                          <w:jc w:val="center"/>
                          <w:rPr>
                            <w:rFonts w:ascii="Times New Roman"/>
                            <w:sz w:val="21"/>
                          </w:rPr>
                        </w:pPr>
                        <w:r>
                          <w:rPr>
                            <w:rFonts w:ascii="Times New Roman"/>
                            <w:sz w:val="21"/>
                          </w:rPr>
                          <w:t>50</w:t>
                        </w:r>
                      </w:p>
                    </w:tc>
                    <w:tc>
                      <w:tcPr>
                        <w:tcW w:w="1844" w:type="dxa"/>
                      </w:tcPr>
                      <w:p>
                        <w:pPr>
                          <w:pStyle w:val="TableParagraph"/>
                          <w:spacing w:before="50"/>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2"/>
                    </w:trPr>
                    <w:tc>
                      <w:tcPr>
                        <w:tcW w:w="779" w:type="dxa"/>
                      </w:tcPr>
                      <w:p>
                        <w:pPr>
                          <w:pStyle w:val="TableParagraph"/>
                          <w:spacing w:before="51"/>
                          <w:ind w:left="7"/>
                          <w:jc w:val="center"/>
                          <w:rPr>
                            <w:rFonts w:ascii="Times New Roman"/>
                            <w:sz w:val="21"/>
                          </w:rPr>
                        </w:pPr>
                        <w:r>
                          <w:rPr>
                            <w:rFonts w:ascii="Times New Roman"/>
                            <w:w w:val="99"/>
                            <w:sz w:val="21"/>
                          </w:rPr>
                          <w:t>6</w:t>
                        </w:r>
                      </w:p>
                    </w:tc>
                    <w:tc>
                      <w:tcPr>
                        <w:tcW w:w="2815" w:type="dxa"/>
                      </w:tcPr>
                      <w:p>
                        <w:pPr>
                          <w:pStyle w:val="TableParagraph"/>
                          <w:spacing w:before="35"/>
                          <w:ind w:left="230" w:right="225"/>
                          <w:jc w:val="center"/>
                          <w:rPr>
                            <w:sz w:val="21"/>
                          </w:rPr>
                        </w:pPr>
                        <w:r>
                          <w:rPr>
                            <w:sz w:val="21"/>
                          </w:rPr>
                          <w:t>烘干机</w:t>
                        </w:r>
                      </w:p>
                    </w:tc>
                    <w:tc>
                      <w:tcPr>
                        <w:tcW w:w="1096" w:type="dxa"/>
                      </w:tcPr>
                      <w:p>
                        <w:pPr>
                          <w:pStyle w:val="TableParagraph"/>
                          <w:spacing w:before="35"/>
                          <w:ind w:left="8"/>
                          <w:jc w:val="center"/>
                          <w:rPr>
                            <w:sz w:val="21"/>
                          </w:rPr>
                        </w:pPr>
                        <w:r>
                          <w:rPr>
                            <w:w w:val="99"/>
                            <w:sz w:val="21"/>
                          </w:rPr>
                          <w:t>台</w:t>
                        </w:r>
                      </w:p>
                    </w:tc>
                    <w:tc>
                      <w:tcPr>
                        <w:tcW w:w="2044" w:type="dxa"/>
                      </w:tcPr>
                      <w:p>
                        <w:pPr>
                          <w:pStyle w:val="TableParagraph"/>
                          <w:spacing w:before="82" w:line="240" w:lineRule="exact"/>
                          <w:ind w:left="9"/>
                          <w:jc w:val="center"/>
                          <w:rPr>
                            <w:rFonts w:ascii="Times New Roman"/>
                            <w:sz w:val="21"/>
                          </w:rPr>
                        </w:pPr>
                        <w:r>
                          <w:rPr>
                            <w:rFonts w:ascii="Times New Roman"/>
                            <w:w w:val="99"/>
                            <w:sz w:val="21"/>
                          </w:rPr>
                          <w:t>6</w:t>
                        </w:r>
                      </w:p>
                    </w:tc>
                    <w:tc>
                      <w:tcPr>
                        <w:tcW w:w="1844" w:type="dxa"/>
                      </w:tcPr>
                      <w:p>
                        <w:pPr>
                          <w:pStyle w:val="TableParagraph"/>
                          <w:spacing w:before="51"/>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2"/>
                    </w:trPr>
                    <w:tc>
                      <w:tcPr>
                        <w:tcW w:w="779" w:type="dxa"/>
                      </w:tcPr>
                      <w:p>
                        <w:pPr>
                          <w:pStyle w:val="TableParagraph"/>
                          <w:spacing w:before="49"/>
                          <w:ind w:left="7"/>
                          <w:jc w:val="center"/>
                          <w:rPr>
                            <w:rFonts w:ascii="Times New Roman"/>
                            <w:sz w:val="21"/>
                          </w:rPr>
                        </w:pPr>
                        <w:r>
                          <w:rPr>
                            <w:rFonts w:ascii="Times New Roman"/>
                            <w:w w:val="99"/>
                            <w:sz w:val="21"/>
                          </w:rPr>
                          <w:t>7</w:t>
                        </w:r>
                      </w:p>
                    </w:tc>
                    <w:tc>
                      <w:tcPr>
                        <w:tcW w:w="2815" w:type="dxa"/>
                      </w:tcPr>
                      <w:p>
                        <w:pPr>
                          <w:pStyle w:val="TableParagraph"/>
                          <w:spacing w:before="35"/>
                          <w:ind w:left="230" w:right="225"/>
                          <w:jc w:val="center"/>
                          <w:rPr>
                            <w:sz w:val="21"/>
                          </w:rPr>
                        </w:pPr>
                        <w:r>
                          <w:rPr>
                            <w:sz w:val="21"/>
                          </w:rPr>
                          <w:t>纯水制备系统</w:t>
                        </w:r>
                      </w:p>
                    </w:tc>
                    <w:tc>
                      <w:tcPr>
                        <w:tcW w:w="1096" w:type="dxa"/>
                      </w:tcPr>
                      <w:p>
                        <w:pPr>
                          <w:pStyle w:val="TableParagraph"/>
                          <w:spacing w:before="35"/>
                          <w:ind w:left="8"/>
                          <w:jc w:val="center"/>
                          <w:rPr>
                            <w:sz w:val="21"/>
                          </w:rPr>
                        </w:pPr>
                        <w:r>
                          <w:rPr>
                            <w:w w:val="99"/>
                            <w:sz w:val="21"/>
                          </w:rPr>
                          <w:t>套</w:t>
                        </w:r>
                      </w:p>
                    </w:tc>
                    <w:tc>
                      <w:tcPr>
                        <w:tcW w:w="2044" w:type="dxa"/>
                      </w:tcPr>
                      <w:p>
                        <w:pPr>
                          <w:pStyle w:val="TableParagraph"/>
                          <w:spacing w:before="83" w:line="239" w:lineRule="exact"/>
                          <w:ind w:left="9"/>
                          <w:jc w:val="center"/>
                          <w:rPr>
                            <w:rFonts w:ascii="Times New Roman"/>
                            <w:sz w:val="21"/>
                          </w:rPr>
                        </w:pPr>
                        <w:r>
                          <w:rPr>
                            <w:rFonts w:ascii="Times New Roman"/>
                            <w:w w:val="99"/>
                            <w:sz w:val="21"/>
                          </w:rPr>
                          <w:t>1</w:t>
                        </w:r>
                      </w:p>
                    </w:tc>
                    <w:tc>
                      <w:tcPr>
                        <w:tcW w:w="1844" w:type="dxa"/>
                      </w:tcPr>
                      <w:p>
                        <w:pPr>
                          <w:pStyle w:val="TableParagraph"/>
                          <w:spacing w:before="49"/>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2"/>
                    </w:trPr>
                    <w:tc>
                      <w:tcPr>
                        <w:tcW w:w="779" w:type="dxa"/>
                      </w:tcPr>
                      <w:p>
                        <w:pPr>
                          <w:pStyle w:val="TableParagraph"/>
                          <w:spacing w:before="50"/>
                          <w:ind w:left="7"/>
                          <w:jc w:val="center"/>
                          <w:rPr>
                            <w:rFonts w:ascii="Times New Roman"/>
                            <w:sz w:val="21"/>
                          </w:rPr>
                        </w:pPr>
                        <w:r>
                          <w:rPr>
                            <w:rFonts w:ascii="Times New Roman"/>
                            <w:w w:val="99"/>
                            <w:sz w:val="21"/>
                          </w:rPr>
                          <w:t>8</w:t>
                        </w:r>
                      </w:p>
                    </w:tc>
                    <w:tc>
                      <w:tcPr>
                        <w:tcW w:w="2815" w:type="dxa"/>
                      </w:tcPr>
                      <w:p>
                        <w:pPr>
                          <w:pStyle w:val="TableParagraph"/>
                          <w:spacing w:before="34"/>
                          <w:ind w:left="230" w:right="225"/>
                          <w:jc w:val="center"/>
                          <w:rPr>
                            <w:sz w:val="21"/>
                          </w:rPr>
                        </w:pPr>
                        <w:r>
                          <w:rPr>
                            <w:sz w:val="21"/>
                          </w:rPr>
                          <w:t>超声波清洗仪</w:t>
                        </w:r>
                      </w:p>
                    </w:tc>
                    <w:tc>
                      <w:tcPr>
                        <w:tcW w:w="1096" w:type="dxa"/>
                      </w:tcPr>
                      <w:p>
                        <w:pPr>
                          <w:pStyle w:val="TableParagraph"/>
                          <w:spacing w:before="34"/>
                          <w:ind w:left="8"/>
                          <w:jc w:val="center"/>
                          <w:rPr>
                            <w:sz w:val="21"/>
                          </w:rPr>
                        </w:pPr>
                        <w:r>
                          <w:rPr>
                            <w:w w:val="99"/>
                            <w:sz w:val="21"/>
                          </w:rPr>
                          <w:t>台</w:t>
                        </w:r>
                      </w:p>
                    </w:tc>
                    <w:tc>
                      <w:tcPr>
                        <w:tcW w:w="2044" w:type="dxa"/>
                      </w:tcPr>
                      <w:p>
                        <w:pPr>
                          <w:pStyle w:val="TableParagraph"/>
                          <w:spacing w:before="81" w:line="240" w:lineRule="exact"/>
                          <w:ind w:left="9"/>
                          <w:jc w:val="center"/>
                          <w:rPr>
                            <w:rFonts w:ascii="Times New Roman"/>
                            <w:sz w:val="21"/>
                          </w:rPr>
                        </w:pPr>
                        <w:r>
                          <w:rPr>
                            <w:rFonts w:ascii="Times New Roman"/>
                            <w:w w:val="99"/>
                            <w:sz w:val="21"/>
                          </w:rPr>
                          <w:t>2</w:t>
                        </w:r>
                      </w:p>
                    </w:tc>
                    <w:tc>
                      <w:tcPr>
                        <w:tcW w:w="1844" w:type="dxa"/>
                      </w:tcPr>
                      <w:p>
                        <w:pPr>
                          <w:pStyle w:val="TableParagraph"/>
                          <w:spacing w:before="50"/>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2"/>
                    </w:trPr>
                    <w:tc>
                      <w:tcPr>
                        <w:tcW w:w="779" w:type="dxa"/>
                      </w:tcPr>
                      <w:p>
                        <w:pPr>
                          <w:pStyle w:val="TableParagraph"/>
                          <w:spacing w:before="51"/>
                          <w:ind w:left="7"/>
                          <w:jc w:val="center"/>
                          <w:rPr>
                            <w:rFonts w:ascii="Times New Roman"/>
                            <w:sz w:val="21"/>
                          </w:rPr>
                        </w:pPr>
                        <w:r>
                          <w:rPr>
                            <w:rFonts w:ascii="Times New Roman"/>
                            <w:w w:val="99"/>
                            <w:sz w:val="21"/>
                          </w:rPr>
                          <w:t>9</w:t>
                        </w:r>
                      </w:p>
                    </w:tc>
                    <w:tc>
                      <w:tcPr>
                        <w:tcW w:w="2815" w:type="dxa"/>
                      </w:tcPr>
                      <w:p>
                        <w:pPr>
                          <w:pStyle w:val="TableParagraph"/>
                          <w:spacing w:before="34"/>
                          <w:ind w:left="230" w:right="223"/>
                          <w:jc w:val="center"/>
                          <w:rPr>
                            <w:sz w:val="21"/>
                          </w:rPr>
                        </w:pPr>
                        <w:r>
                          <w:rPr>
                            <w:sz w:val="21"/>
                          </w:rPr>
                          <w:t>铝件表面处理生产线</w:t>
                        </w:r>
                      </w:p>
                    </w:tc>
                    <w:tc>
                      <w:tcPr>
                        <w:tcW w:w="1096" w:type="dxa"/>
                      </w:tcPr>
                      <w:p>
                        <w:pPr>
                          <w:pStyle w:val="TableParagraph"/>
                          <w:spacing w:before="34"/>
                          <w:ind w:left="8"/>
                          <w:jc w:val="center"/>
                          <w:rPr>
                            <w:sz w:val="21"/>
                          </w:rPr>
                        </w:pPr>
                        <w:r>
                          <w:rPr>
                            <w:w w:val="99"/>
                            <w:sz w:val="21"/>
                          </w:rPr>
                          <w:t>条</w:t>
                        </w:r>
                      </w:p>
                    </w:tc>
                    <w:tc>
                      <w:tcPr>
                        <w:tcW w:w="2044" w:type="dxa"/>
                      </w:tcPr>
                      <w:p>
                        <w:pPr>
                          <w:pStyle w:val="TableParagraph"/>
                          <w:spacing w:before="82" w:line="240" w:lineRule="exact"/>
                          <w:ind w:left="790" w:right="781"/>
                          <w:jc w:val="center"/>
                          <w:rPr>
                            <w:rFonts w:ascii="Times New Roman"/>
                            <w:sz w:val="21"/>
                          </w:rPr>
                        </w:pPr>
                        <w:r>
                          <w:rPr>
                            <w:rFonts w:ascii="Times New Roman"/>
                            <w:sz w:val="21"/>
                          </w:rPr>
                          <w:t>10</w:t>
                        </w:r>
                      </w:p>
                    </w:tc>
                    <w:tc>
                      <w:tcPr>
                        <w:tcW w:w="1844" w:type="dxa"/>
                      </w:tcPr>
                      <w:p>
                        <w:pPr>
                          <w:pStyle w:val="TableParagraph"/>
                          <w:spacing w:before="51"/>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1"/>
                    </w:trPr>
                    <w:tc>
                      <w:tcPr>
                        <w:tcW w:w="779" w:type="dxa"/>
                      </w:tcPr>
                      <w:p>
                        <w:pPr>
                          <w:pStyle w:val="TableParagraph"/>
                          <w:spacing w:before="49"/>
                          <w:ind w:left="156" w:right="149"/>
                          <w:jc w:val="center"/>
                          <w:rPr>
                            <w:rFonts w:ascii="Times New Roman"/>
                            <w:sz w:val="21"/>
                          </w:rPr>
                        </w:pPr>
                        <w:r>
                          <w:rPr>
                            <w:rFonts w:ascii="Times New Roman"/>
                            <w:sz w:val="21"/>
                          </w:rPr>
                          <w:t>10</w:t>
                        </w:r>
                      </w:p>
                    </w:tc>
                    <w:tc>
                      <w:tcPr>
                        <w:tcW w:w="2815" w:type="dxa"/>
                      </w:tcPr>
                      <w:p>
                        <w:pPr>
                          <w:pStyle w:val="TableParagraph"/>
                          <w:spacing w:before="35"/>
                          <w:ind w:left="230" w:right="225"/>
                          <w:jc w:val="center"/>
                          <w:rPr>
                            <w:sz w:val="21"/>
                          </w:rPr>
                        </w:pPr>
                        <w:r>
                          <w:rPr>
                            <w:sz w:val="21"/>
                          </w:rPr>
                          <w:t>不锈钢件表面处理生产线</w:t>
                        </w:r>
                      </w:p>
                    </w:tc>
                    <w:tc>
                      <w:tcPr>
                        <w:tcW w:w="1096" w:type="dxa"/>
                      </w:tcPr>
                      <w:p>
                        <w:pPr>
                          <w:pStyle w:val="TableParagraph"/>
                          <w:spacing w:before="35"/>
                          <w:ind w:left="8"/>
                          <w:jc w:val="center"/>
                          <w:rPr>
                            <w:sz w:val="21"/>
                          </w:rPr>
                        </w:pPr>
                        <w:r>
                          <w:rPr>
                            <w:w w:val="99"/>
                            <w:sz w:val="21"/>
                          </w:rPr>
                          <w:t>条</w:t>
                        </w:r>
                      </w:p>
                    </w:tc>
                    <w:tc>
                      <w:tcPr>
                        <w:tcW w:w="2044" w:type="dxa"/>
                      </w:tcPr>
                      <w:p>
                        <w:pPr>
                          <w:pStyle w:val="TableParagraph"/>
                          <w:spacing w:before="83" w:line="239" w:lineRule="exact"/>
                          <w:ind w:left="9"/>
                          <w:jc w:val="center"/>
                          <w:rPr>
                            <w:rFonts w:ascii="Times New Roman"/>
                            <w:sz w:val="21"/>
                          </w:rPr>
                        </w:pPr>
                        <w:r>
                          <w:rPr>
                            <w:rFonts w:ascii="Times New Roman"/>
                            <w:w w:val="99"/>
                            <w:sz w:val="21"/>
                          </w:rPr>
                          <w:t>5</w:t>
                        </w:r>
                      </w:p>
                    </w:tc>
                    <w:tc>
                      <w:tcPr>
                        <w:tcW w:w="1844" w:type="dxa"/>
                      </w:tcPr>
                      <w:p>
                        <w:pPr>
                          <w:pStyle w:val="TableParagraph"/>
                          <w:spacing w:before="49"/>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2"/>
                    </w:trPr>
                    <w:tc>
                      <w:tcPr>
                        <w:tcW w:w="779" w:type="dxa"/>
                      </w:tcPr>
                      <w:p>
                        <w:pPr>
                          <w:pStyle w:val="TableParagraph"/>
                          <w:spacing w:before="50"/>
                          <w:ind w:left="156" w:right="144"/>
                          <w:jc w:val="center"/>
                          <w:rPr>
                            <w:rFonts w:ascii="Times New Roman"/>
                            <w:sz w:val="21"/>
                          </w:rPr>
                        </w:pPr>
                        <w:r>
                          <w:rPr>
                            <w:rFonts w:ascii="Times New Roman"/>
                            <w:sz w:val="21"/>
                          </w:rPr>
                          <w:t>11</w:t>
                        </w:r>
                      </w:p>
                    </w:tc>
                    <w:tc>
                      <w:tcPr>
                        <w:tcW w:w="2815" w:type="dxa"/>
                      </w:tcPr>
                      <w:p>
                        <w:pPr>
                          <w:pStyle w:val="TableParagraph"/>
                          <w:spacing w:before="34"/>
                          <w:ind w:left="230" w:right="223"/>
                          <w:jc w:val="center"/>
                          <w:rPr>
                            <w:sz w:val="21"/>
                          </w:rPr>
                        </w:pPr>
                        <w:r>
                          <w:rPr>
                            <w:sz w:val="21"/>
                          </w:rPr>
                          <w:t>铁件表面处理生产线</w:t>
                        </w:r>
                      </w:p>
                    </w:tc>
                    <w:tc>
                      <w:tcPr>
                        <w:tcW w:w="1096" w:type="dxa"/>
                      </w:tcPr>
                      <w:p>
                        <w:pPr>
                          <w:pStyle w:val="TableParagraph"/>
                          <w:spacing w:before="34"/>
                          <w:ind w:left="8"/>
                          <w:jc w:val="center"/>
                          <w:rPr>
                            <w:sz w:val="21"/>
                          </w:rPr>
                        </w:pPr>
                        <w:r>
                          <w:rPr>
                            <w:w w:val="99"/>
                            <w:sz w:val="21"/>
                          </w:rPr>
                          <w:t>条</w:t>
                        </w:r>
                      </w:p>
                    </w:tc>
                    <w:tc>
                      <w:tcPr>
                        <w:tcW w:w="2044" w:type="dxa"/>
                      </w:tcPr>
                      <w:p>
                        <w:pPr>
                          <w:pStyle w:val="TableParagraph"/>
                          <w:spacing w:before="81" w:line="240" w:lineRule="exact"/>
                          <w:ind w:left="9"/>
                          <w:jc w:val="center"/>
                          <w:rPr>
                            <w:rFonts w:ascii="Times New Roman"/>
                            <w:sz w:val="21"/>
                          </w:rPr>
                        </w:pPr>
                        <w:r>
                          <w:rPr>
                            <w:rFonts w:ascii="Times New Roman"/>
                            <w:w w:val="99"/>
                            <w:sz w:val="21"/>
                          </w:rPr>
                          <w:t>5</w:t>
                        </w:r>
                      </w:p>
                    </w:tc>
                    <w:tc>
                      <w:tcPr>
                        <w:tcW w:w="1844" w:type="dxa"/>
                      </w:tcPr>
                      <w:p>
                        <w:pPr>
                          <w:pStyle w:val="TableParagraph"/>
                          <w:spacing w:before="50"/>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2"/>
                    </w:trPr>
                    <w:tc>
                      <w:tcPr>
                        <w:tcW w:w="779" w:type="dxa"/>
                      </w:tcPr>
                      <w:p>
                        <w:pPr>
                          <w:pStyle w:val="TableParagraph"/>
                          <w:spacing w:before="51"/>
                          <w:ind w:left="156" w:right="149"/>
                          <w:jc w:val="center"/>
                          <w:rPr>
                            <w:rFonts w:ascii="Times New Roman"/>
                            <w:sz w:val="21"/>
                          </w:rPr>
                        </w:pPr>
                        <w:r>
                          <w:rPr>
                            <w:rFonts w:ascii="Times New Roman"/>
                            <w:sz w:val="21"/>
                          </w:rPr>
                          <w:t>12</w:t>
                        </w:r>
                      </w:p>
                    </w:tc>
                    <w:tc>
                      <w:tcPr>
                        <w:tcW w:w="2815" w:type="dxa"/>
                      </w:tcPr>
                      <w:p>
                        <w:pPr>
                          <w:pStyle w:val="TableParagraph"/>
                          <w:spacing w:before="34"/>
                          <w:ind w:left="230" w:right="225"/>
                          <w:jc w:val="center"/>
                          <w:rPr>
                            <w:sz w:val="21"/>
                          </w:rPr>
                        </w:pPr>
                        <w:r>
                          <w:rPr>
                            <w:sz w:val="21"/>
                          </w:rPr>
                          <w:t>电泳线</w:t>
                        </w:r>
                      </w:p>
                    </w:tc>
                    <w:tc>
                      <w:tcPr>
                        <w:tcW w:w="1096" w:type="dxa"/>
                      </w:tcPr>
                      <w:p>
                        <w:pPr>
                          <w:pStyle w:val="TableParagraph"/>
                          <w:spacing w:before="34"/>
                          <w:ind w:left="8"/>
                          <w:jc w:val="center"/>
                          <w:rPr>
                            <w:sz w:val="21"/>
                          </w:rPr>
                        </w:pPr>
                        <w:r>
                          <w:rPr>
                            <w:w w:val="99"/>
                            <w:sz w:val="21"/>
                          </w:rPr>
                          <w:t>条</w:t>
                        </w:r>
                      </w:p>
                    </w:tc>
                    <w:tc>
                      <w:tcPr>
                        <w:tcW w:w="2044" w:type="dxa"/>
                      </w:tcPr>
                      <w:p>
                        <w:pPr>
                          <w:pStyle w:val="TableParagraph"/>
                          <w:spacing w:before="82" w:line="240" w:lineRule="exact"/>
                          <w:ind w:left="9"/>
                          <w:jc w:val="center"/>
                          <w:rPr>
                            <w:rFonts w:ascii="Times New Roman"/>
                            <w:sz w:val="21"/>
                          </w:rPr>
                        </w:pPr>
                        <w:r>
                          <w:rPr>
                            <w:rFonts w:ascii="Times New Roman"/>
                            <w:w w:val="99"/>
                            <w:sz w:val="21"/>
                          </w:rPr>
                          <w:t>2</w:t>
                        </w:r>
                      </w:p>
                    </w:tc>
                    <w:tc>
                      <w:tcPr>
                        <w:tcW w:w="1844" w:type="dxa"/>
                      </w:tcPr>
                      <w:p>
                        <w:pPr>
                          <w:pStyle w:val="TableParagraph"/>
                          <w:spacing w:before="51"/>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05"/>
                    </w:trPr>
                    <w:tc>
                      <w:tcPr>
                        <w:tcW w:w="779" w:type="dxa"/>
                      </w:tcPr>
                      <w:p>
                        <w:pPr>
                          <w:pStyle w:val="TableParagraph"/>
                          <w:spacing w:before="32"/>
                          <w:ind w:left="156" w:right="149"/>
                          <w:jc w:val="center"/>
                          <w:rPr>
                            <w:rFonts w:ascii="Times New Roman"/>
                            <w:sz w:val="21"/>
                          </w:rPr>
                        </w:pPr>
                        <w:r>
                          <w:rPr>
                            <w:rFonts w:ascii="Times New Roman"/>
                            <w:sz w:val="21"/>
                          </w:rPr>
                          <w:t>13</w:t>
                        </w:r>
                      </w:p>
                    </w:tc>
                    <w:tc>
                      <w:tcPr>
                        <w:tcW w:w="2815" w:type="dxa"/>
                      </w:tcPr>
                      <w:p>
                        <w:pPr>
                          <w:pStyle w:val="TableParagraph"/>
                          <w:spacing w:before="16"/>
                          <w:ind w:left="230" w:right="225"/>
                          <w:jc w:val="center"/>
                          <w:rPr>
                            <w:sz w:val="21"/>
                          </w:rPr>
                        </w:pPr>
                        <w:r>
                          <w:rPr>
                            <w:sz w:val="21"/>
                          </w:rPr>
                          <w:t>喷塑线</w:t>
                        </w:r>
                      </w:p>
                    </w:tc>
                    <w:tc>
                      <w:tcPr>
                        <w:tcW w:w="1096" w:type="dxa"/>
                      </w:tcPr>
                      <w:p>
                        <w:pPr>
                          <w:pStyle w:val="TableParagraph"/>
                          <w:spacing w:before="16"/>
                          <w:ind w:left="8"/>
                          <w:jc w:val="center"/>
                          <w:rPr>
                            <w:sz w:val="21"/>
                          </w:rPr>
                        </w:pPr>
                        <w:r>
                          <w:rPr>
                            <w:w w:val="99"/>
                            <w:sz w:val="21"/>
                          </w:rPr>
                          <w:t>条</w:t>
                        </w:r>
                      </w:p>
                    </w:tc>
                    <w:tc>
                      <w:tcPr>
                        <w:tcW w:w="2044" w:type="dxa"/>
                      </w:tcPr>
                      <w:p>
                        <w:pPr>
                          <w:pStyle w:val="TableParagraph"/>
                          <w:spacing w:before="64" w:line="222" w:lineRule="exact"/>
                          <w:ind w:left="9"/>
                          <w:jc w:val="center"/>
                          <w:rPr>
                            <w:rFonts w:ascii="Times New Roman"/>
                            <w:sz w:val="21"/>
                          </w:rPr>
                        </w:pPr>
                        <w:r>
                          <w:rPr>
                            <w:rFonts w:ascii="Times New Roman"/>
                            <w:w w:val="99"/>
                            <w:sz w:val="21"/>
                          </w:rPr>
                          <w:t>1</w:t>
                        </w:r>
                      </w:p>
                    </w:tc>
                    <w:tc>
                      <w:tcPr>
                        <w:tcW w:w="1844" w:type="dxa"/>
                      </w:tcPr>
                      <w:p>
                        <w:pPr>
                          <w:pStyle w:val="TableParagraph"/>
                          <w:spacing w:before="32"/>
                          <w:ind w:left="689" w:right="682"/>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342"/>
                    </w:trPr>
                    <w:tc>
                      <w:tcPr>
                        <w:tcW w:w="779" w:type="dxa"/>
                      </w:tcPr>
                      <w:p>
                        <w:pPr>
                          <w:pStyle w:val="TableParagraph"/>
                          <w:spacing w:before="50"/>
                          <w:ind w:left="156" w:right="149"/>
                          <w:jc w:val="center"/>
                          <w:rPr>
                            <w:rFonts w:ascii="Times New Roman"/>
                            <w:sz w:val="21"/>
                          </w:rPr>
                        </w:pPr>
                        <w:r>
                          <w:rPr>
                            <w:rFonts w:ascii="Times New Roman"/>
                            <w:sz w:val="21"/>
                          </w:rPr>
                          <w:t>14</w:t>
                        </w:r>
                      </w:p>
                    </w:tc>
                    <w:tc>
                      <w:tcPr>
                        <w:tcW w:w="2815" w:type="dxa"/>
                      </w:tcPr>
                      <w:p>
                        <w:pPr>
                          <w:pStyle w:val="TableParagraph"/>
                          <w:spacing w:before="34"/>
                          <w:ind w:left="230" w:right="225"/>
                          <w:jc w:val="center"/>
                          <w:rPr>
                            <w:sz w:val="21"/>
                          </w:rPr>
                        </w:pPr>
                        <w:r>
                          <w:rPr>
                            <w:sz w:val="21"/>
                          </w:rPr>
                          <w:t>镀锌锅</w:t>
                        </w:r>
                      </w:p>
                    </w:tc>
                    <w:tc>
                      <w:tcPr>
                        <w:tcW w:w="1096" w:type="dxa"/>
                      </w:tcPr>
                      <w:p>
                        <w:pPr>
                          <w:pStyle w:val="TableParagraph"/>
                          <w:spacing w:before="34"/>
                          <w:ind w:left="8"/>
                          <w:jc w:val="center"/>
                          <w:rPr>
                            <w:sz w:val="21"/>
                          </w:rPr>
                        </w:pPr>
                        <w:r>
                          <w:rPr>
                            <w:w w:val="99"/>
                            <w:sz w:val="21"/>
                          </w:rPr>
                          <w:t>台</w:t>
                        </w:r>
                      </w:p>
                    </w:tc>
                    <w:tc>
                      <w:tcPr>
                        <w:tcW w:w="2044" w:type="dxa"/>
                      </w:tcPr>
                      <w:p>
                        <w:pPr>
                          <w:pStyle w:val="TableParagraph"/>
                          <w:spacing w:before="81" w:line="240" w:lineRule="exact"/>
                          <w:ind w:left="9"/>
                          <w:jc w:val="center"/>
                          <w:rPr>
                            <w:rFonts w:ascii="Times New Roman"/>
                            <w:sz w:val="21"/>
                          </w:rPr>
                        </w:pPr>
                        <w:r>
                          <w:rPr>
                            <w:rFonts w:ascii="Times New Roman"/>
                            <w:w w:val="99"/>
                            <w:sz w:val="21"/>
                          </w:rPr>
                          <w:t>1</w:t>
                        </w:r>
                      </w:p>
                    </w:tc>
                    <w:tc>
                      <w:tcPr>
                        <w:tcW w:w="1844" w:type="dxa"/>
                      </w:tcPr>
                      <w:p>
                        <w:pPr>
                          <w:pStyle w:val="TableParagraph"/>
                          <w:spacing w:before="50"/>
                          <w:ind w:left="689" w:right="682"/>
                          <w:jc w:val="center"/>
                          <w:rPr>
                            <w:rFonts w:ascii="Times New Roman"/>
                            <w:sz w:val="21"/>
                          </w:rPr>
                        </w:pPr>
                        <w:r>
                          <w:rPr>
                            <w:rFonts w:ascii="Times New Roman"/>
                            <w:sz w:val="21"/>
                          </w:rPr>
                          <w:t>--</w:t>
                        </w:r>
                      </w:p>
                    </w:tc>
                  </w:tr>
                </w:tbl>
                <w:p>
                  <w:pPr>
                    <w:pStyle w:val="BodyText"/>
                  </w:pPr>
                </w:p>
              </w:txbxContent>
            </v:textbox>
          </v:shape>
        </w:pict>
      </w:r>
      <w:r>
        <w:rPr>
          <w:sz w:val="28"/>
        </w:rPr>
        <w:t xml:space="preserve">— </w:t>
      </w:r>
      <w:r>
        <w:rPr>
          <w:sz w:val="26"/>
        </w:rPr>
        <w:t xml:space="preserve">25 </w:t>
      </w:r>
      <w:r>
        <w:rPr>
          <w:sz w:val="28"/>
        </w:rPr>
        <w:t>—</w:t>
      </w:r>
    </w:p>
    <w:p>
      <w:pPr>
        <w:spacing w:after="0"/>
        <w:jc w:val="right"/>
        <w:rPr>
          <w:sz w:val="28"/>
        </w:rPr>
        <w:sectPr>
          <w:pgSz w:w="11910" w:h="16840"/>
          <w:pgMar w:top="1580" w:right="879" w:bottom="280" w:left="900" w:header="720" w:footer="720" w:gutter="0"/>
          <w:pgNumType w:start="30"/>
          <w:cols w:num="1" w:space="720"/>
        </w:sectPr>
      </w:pPr>
    </w:p>
    <w:p>
      <w:pPr>
        <w:pStyle w:val="BodyText"/>
        <w:rPr>
          <w:sz w:val="20"/>
        </w:rPr>
      </w:pPr>
    </w:p>
    <w:p>
      <w:pPr>
        <w:pStyle w:val="BodyText"/>
        <w:spacing w:before="1"/>
        <w:rPr>
          <w:sz w:val="25"/>
        </w:rPr>
      </w:pPr>
    </w:p>
    <w:tbl>
      <w:tblPr>
        <w:tblStyle w:val="TableNormal"/>
        <w:tblW w:w="0" w:type="auto"/>
        <w:tblInd w:w="1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25"/>
        <w:gridCol w:w="1659"/>
        <w:gridCol w:w="1436"/>
        <w:gridCol w:w="1550"/>
        <w:gridCol w:w="1599"/>
        <w:gridCol w:w="1607"/>
      </w:tblGrid>
      <w:tr>
        <w:tblPrEx>
          <w:tblW w:w="0" w:type="auto"/>
          <w:tblInd w:w="1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01"/>
        </w:trPr>
        <w:tc>
          <w:tcPr>
            <w:tcW w:w="725" w:type="dxa"/>
          </w:tcPr>
          <w:p>
            <w:pPr>
              <w:pStyle w:val="TableParagraph"/>
              <w:spacing w:before="15" w:line="266" w:lineRule="exact"/>
              <w:ind w:left="129" w:right="124"/>
              <w:jc w:val="center"/>
              <w:rPr>
                <w:b/>
                <w:sz w:val="21"/>
              </w:rPr>
            </w:pPr>
            <w:r>
              <w:rPr>
                <w:b/>
                <w:sz w:val="21"/>
              </w:rPr>
              <w:t>序号</w:t>
            </w:r>
          </w:p>
        </w:tc>
        <w:tc>
          <w:tcPr>
            <w:tcW w:w="1659" w:type="dxa"/>
          </w:tcPr>
          <w:p>
            <w:pPr>
              <w:pStyle w:val="TableParagraph"/>
              <w:spacing w:before="15" w:line="266" w:lineRule="exact"/>
              <w:ind w:left="177" w:right="170"/>
              <w:jc w:val="center"/>
              <w:rPr>
                <w:b/>
                <w:sz w:val="21"/>
              </w:rPr>
            </w:pPr>
            <w:r>
              <w:rPr>
                <w:b/>
                <w:sz w:val="21"/>
              </w:rPr>
              <w:t>名称</w:t>
            </w:r>
          </w:p>
        </w:tc>
        <w:tc>
          <w:tcPr>
            <w:tcW w:w="1436" w:type="dxa"/>
          </w:tcPr>
          <w:p>
            <w:pPr>
              <w:pStyle w:val="TableParagraph"/>
              <w:spacing w:before="15" w:line="266" w:lineRule="exact"/>
              <w:ind w:left="380" w:right="374"/>
              <w:jc w:val="center"/>
              <w:rPr>
                <w:rFonts w:ascii="Times New Roman" w:eastAsia="Times New Roman"/>
                <w:b/>
                <w:sz w:val="21"/>
              </w:rPr>
            </w:pPr>
            <w:r>
              <w:rPr>
                <w:b/>
                <w:sz w:val="21"/>
              </w:rPr>
              <w:t>纯度</w:t>
            </w:r>
            <w:r>
              <w:rPr>
                <w:rFonts w:ascii="Times New Roman" w:eastAsia="Times New Roman"/>
                <w:b/>
                <w:sz w:val="21"/>
              </w:rPr>
              <w:t>%</w:t>
            </w:r>
          </w:p>
        </w:tc>
        <w:tc>
          <w:tcPr>
            <w:tcW w:w="1550" w:type="dxa"/>
          </w:tcPr>
          <w:p>
            <w:pPr>
              <w:pStyle w:val="TableParagraph"/>
              <w:spacing w:before="15" w:line="266" w:lineRule="exact"/>
              <w:ind w:right="342"/>
              <w:jc w:val="right"/>
              <w:rPr>
                <w:b/>
                <w:sz w:val="21"/>
              </w:rPr>
            </w:pPr>
            <w:r>
              <w:rPr>
                <w:b/>
                <w:w w:val="95"/>
                <w:sz w:val="21"/>
              </w:rPr>
              <w:t>年消耗量</w:t>
            </w:r>
          </w:p>
        </w:tc>
        <w:tc>
          <w:tcPr>
            <w:tcW w:w="1599" w:type="dxa"/>
          </w:tcPr>
          <w:p>
            <w:pPr>
              <w:pStyle w:val="TableParagraph"/>
              <w:spacing w:before="15" w:line="266" w:lineRule="exact"/>
              <w:ind w:left="356" w:right="349"/>
              <w:jc w:val="center"/>
              <w:rPr>
                <w:b/>
                <w:sz w:val="21"/>
              </w:rPr>
            </w:pPr>
            <w:r>
              <w:rPr>
                <w:b/>
                <w:sz w:val="21"/>
              </w:rPr>
              <w:t>包装方式</w:t>
            </w:r>
          </w:p>
        </w:tc>
        <w:tc>
          <w:tcPr>
            <w:tcW w:w="1607" w:type="dxa"/>
          </w:tcPr>
          <w:p>
            <w:pPr>
              <w:pStyle w:val="TableParagraph"/>
              <w:spacing w:before="15" w:line="266" w:lineRule="exact"/>
              <w:ind w:left="43" w:right="35"/>
              <w:jc w:val="center"/>
              <w:rPr>
                <w:b/>
                <w:sz w:val="21"/>
              </w:rPr>
            </w:pPr>
            <w:r>
              <w:rPr>
                <w:b/>
                <w:sz w:val="21"/>
              </w:rPr>
              <w:t>备注</w:t>
            </w:r>
          </w:p>
        </w:tc>
      </w:tr>
      <w:tr>
        <w:tblPrEx>
          <w:tblW w:w="0" w:type="auto"/>
          <w:tblInd w:w="1124" w:type="dxa"/>
          <w:tblLayout w:type="fixed"/>
          <w:tblCellMar>
            <w:top w:w="0" w:type="dxa"/>
            <w:left w:w="0" w:type="dxa"/>
            <w:bottom w:w="0" w:type="dxa"/>
            <w:right w:w="0" w:type="dxa"/>
          </w:tblCellMar>
        </w:tblPrEx>
        <w:trPr>
          <w:trHeight w:val="300"/>
        </w:trPr>
        <w:tc>
          <w:tcPr>
            <w:tcW w:w="725" w:type="dxa"/>
          </w:tcPr>
          <w:p>
            <w:pPr>
              <w:pStyle w:val="TableParagraph"/>
              <w:spacing w:before="29"/>
              <w:ind w:left="7"/>
              <w:jc w:val="center"/>
              <w:rPr>
                <w:rFonts w:ascii="Times New Roman"/>
                <w:sz w:val="21"/>
              </w:rPr>
            </w:pPr>
            <w:r>
              <w:rPr>
                <w:rFonts w:ascii="Times New Roman"/>
                <w:w w:val="99"/>
                <w:sz w:val="21"/>
              </w:rPr>
              <w:t>1</w:t>
            </w:r>
          </w:p>
        </w:tc>
        <w:tc>
          <w:tcPr>
            <w:tcW w:w="1659" w:type="dxa"/>
          </w:tcPr>
          <w:p>
            <w:pPr>
              <w:pStyle w:val="TableParagraph"/>
              <w:spacing w:before="15" w:line="265" w:lineRule="exact"/>
              <w:ind w:left="177" w:right="172"/>
              <w:jc w:val="center"/>
              <w:rPr>
                <w:sz w:val="21"/>
              </w:rPr>
            </w:pPr>
            <w:r>
              <w:rPr>
                <w:sz w:val="21"/>
              </w:rPr>
              <w:t>铁件</w:t>
            </w:r>
          </w:p>
        </w:tc>
        <w:tc>
          <w:tcPr>
            <w:tcW w:w="1436" w:type="dxa"/>
          </w:tcPr>
          <w:p>
            <w:pPr>
              <w:pStyle w:val="TableParagraph"/>
              <w:spacing w:before="29"/>
              <w:ind w:left="380" w:right="372"/>
              <w:jc w:val="center"/>
              <w:rPr>
                <w:rFonts w:ascii="Times New Roman"/>
                <w:sz w:val="21"/>
              </w:rPr>
            </w:pPr>
            <w:r>
              <w:rPr>
                <w:rFonts w:ascii="Times New Roman"/>
                <w:sz w:val="21"/>
              </w:rPr>
              <w:t>--</w:t>
            </w:r>
          </w:p>
        </w:tc>
        <w:tc>
          <w:tcPr>
            <w:tcW w:w="1550" w:type="dxa"/>
          </w:tcPr>
          <w:p>
            <w:pPr>
              <w:pStyle w:val="TableParagraph"/>
              <w:spacing w:before="15" w:line="265" w:lineRule="exact"/>
              <w:ind w:left="484"/>
              <w:rPr>
                <w:sz w:val="21"/>
              </w:rPr>
            </w:pPr>
            <w:r>
              <w:rPr>
                <w:rFonts w:ascii="Times New Roman" w:eastAsia="Times New Roman"/>
                <w:sz w:val="21"/>
              </w:rPr>
              <w:t xml:space="preserve">1 </w:t>
            </w:r>
            <w:r>
              <w:rPr>
                <w:sz w:val="21"/>
              </w:rPr>
              <w:t>万吨</w:t>
            </w:r>
          </w:p>
        </w:tc>
        <w:tc>
          <w:tcPr>
            <w:tcW w:w="1599" w:type="dxa"/>
          </w:tcPr>
          <w:p>
            <w:pPr>
              <w:pStyle w:val="TableParagraph"/>
              <w:spacing w:before="29"/>
              <w:ind w:left="354" w:right="349"/>
              <w:jc w:val="center"/>
              <w:rPr>
                <w:rFonts w:ascii="Times New Roman"/>
                <w:sz w:val="21"/>
              </w:rPr>
            </w:pPr>
            <w:r>
              <w:rPr>
                <w:rFonts w:ascii="Times New Roman"/>
                <w:sz w:val="21"/>
              </w:rPr>
              <w:t>--</w:t>
            </w:r>
          </w:p>
        </w:tc>
        <w:tc>
          <w:tcPr>
            <w:tcW w:w="1607" w:type="dxa"/>
          </w:tcPr>
          <w:p>
            <w:pPr>
              <w:pStyle w:val="TableParagraph"/>
              <w:spacing w:before="29"/>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300"/>
        </w:trPr>
        <w:tc>
          <w:tcPr>
            <w:tcW w:w="725" w:type="dxa"/>
          </w:tcPr>
          <w:p>
            <w:pPr>
              <w:pStyle w:val="TableParagraph"/>
              <w:spacing w:before="28"/>
              <w:ind w:left="7"/>
              <w:jc w:val="center"/>
              <w:rPr>
                <w:rFonts w:ascii="Times New Roman"/>
                <w:sz w:val="21"/>
              </w:rPr>
            </w:pPr>
            <w:r>
              <w:rPr>
                <w:rFonts w:ascii="Times New Roman"/>
                <w:w w:val="99"/>
                <w:sz w:val="21"/>
              </w:rPr>
              <w:t>2</w:t>
            </w:r>
          </w:p>
        </w:tc>
        <w:tc>
          <w:tcPr>
            <w:tcW w:w="1659" w:type="dxa"/>
          </w:tcPr>
          <w:p>
            <w:pPr>
              <w:pStyle w:val="TableParagraph"/>
              <w:spacing w:before="14" w:line="267" w:lineRule="exact"/>
              <w:ind w:left="177" w:right="172"/>
              <w:jc w:val="center"/>
              <w:rPr>
                <w:sz w:val="21"/>
              </w:rPr>
            </w:pPr>
            <w:r>
              <w:rPr>
                <w:sz w:val="21"/>
              </w:rPr>
              <w:t>铝件</w:t>
            </w:r>
          </w:p>
        </w:tc>
        <w:tc>
          <w:tcPr>
            <w:tcW w:w="1436" w:type="dxa"/>
          </w:tcPr>
          <w:p>
            <w:pPr>
              <w:pStyle w:val="TableParagraph"/>
              <w:spacing w:before="28"/>
              <w:ind w:left="380" w:right="372"/>
              <w:jc w:val="center"/>
              <w:rPr>
                <w:rFonts w:ascii="Times New Roman"/>
                <w:sz w:val="21"/>
              </w:rPr>
            </w:pPr>
            <w:r>
              <w:rPr>
                <w:rFonts w:ascii="Times New Roman"/>
                <w:sz w:val="21"/>
              </w:rPr>
              <w:t>--</w:t>
            </w:r>
          </w:p>
        </w:tc>
        <w:tc>
          <w:tcPr>
            <w:tcW w:w="1550" w:type="dxa"/>
          </w:tcPr>
          <w:p>
            <w:pPr>
              <w:pStyle w:val="TableParagraph"/>
              <w:spacing w:before="14" w:line="267" w:lineRule="exact"/>
              <w:ind w:left="484"/>
              <w:rPr>
                <w:sz w:val="21"/>
              </w:rPr>
            </w:pPr>
            <w:r>
              <w:rPr>
                <w:rFonts w:ascii="Times New Roman" w:eastAsia="Times New Roman"/>
                <w:sz w:val="21"/>
              </w:rPr>
              <w:t xml:space="preserve">8 </w:t>
            </w:r>
            <w:r>
              <w:rPr>
                <w:sz w:val="21"/>
              </w:rPr>
              <w:t>万吨</w:t>
            </w:r>
          </w:p>
        </w:tc>
        <w:tc>
          <w:tcPr>
            <w:tcW w:w="1599" w:type="dxa"/>
          </w:tcPr>
          <w:p>
            <w:pPr>
              <w:pStyle w:val="TableParagraph"/>
              <w:spacing w:before="28"/>
              <w:ind w:left="354" w:right="349"/>
              <w:jc w:val="center"/>
              <w:rPr>
                <w:rFonts w:ascii="Times New Roman"/>
                <w:sz w:val="21"/>
              </w:rPr>
            </w:pPr>
            <w:r>
              <w:rPr>
                <w:rFonts w:ascii="Times New Roman"/>
                <w:sz w:val="21"/>
              </w:rPr>
              <w:t>--</w:t>
            </w:r>
          </w:p>
        </w:tc>
        <w:tc>
          <w:tcPr>
            <w:tcW w:w="1607" w:type="dxa"/>
          </w:tcPr>
          <w:p>
            <w:pPr>
              <w:pStyle w:val="TableParagraph"/>
              <w:spacing w:before="28"/>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301"/>
        </w:trPr>
        <w:tc>
          <w:tcPr>
            <w:tcW w:w="725" w:type="dxa"/>
          </w:tcPr>
          <w:p>
            <w:pPr>
              <w:pStyle w:val="TableParagraph"/>
              <w:spacing w:before="29"/>
              <w:ind w:left="7"/>
              <w:jc w:val="center"/>
              <w:rPr>
                <w:rFonts w:ascii="Times New Roman"/>
                <w:sz w:val="21"/>
              </w:rPr>
            </w:pPr>
            <w:r>
              <w:rPr>
                <w:rFonts w:ascii="Times New Roman"/>
                <w:w w:val="99"/>
                <w:sz w:val="21"/>
              </w:rPr>
              <w:t>3</w:t>
            </w:r>
          </w:p>
        </w:tc>
        <w:tc>
          <w:tcPr>
            <w:tcW w:w="1659" w:type="dxa"/>
          </w:tcPr>
          <w:p>
            <w:pPr>
              <w:pStyle w:val="TableParagraph"/>
              <w:spacing w:before="15" w:line="266" w:lineRule="exact"/>
              <w:ind w:left="177" w:right="172"/>
              <w:jc w:val="center"/>
              <w:rPr>
                <w:sz w:val="21"/>
              </w:rPr>
            </w:pPr>
            <w:r>
              <w:rPr>
                <w:sz w:val="21"/>
              </w:rPr>
              <w:t>不锈钢</w:t>
            </w:r>
          </w:p>
        </w:tc>
        <w:tc>
          <w:tcPr>
            <w:tcW w:w="1436" w:type="dxa"/>
          </w:tcPr>
          <w:p>
            <w:pPr>
              <w:pStyle w:val="TableParagraph"/>
              <w:spacing w:before="29"/>
              <w:ind w:left="380" w:right="372"/>
              <w:jc w:val="center"/>
              <w:rPr>
                <w:rFonts w:ascii="Times New Roman"/>
                <w:sz w:val="21"/>
              </w:rPr>
            </w:pPr>
            <w:r>
              <w:rPr>
                <w:rFonts w:ascii="Times New Roman"/>
                <w:sz w:val="21"/>
              </w:rPr>
              <w:t>--</w:t>
            </w:r>
          </w:p>
        </w:tc>
        <w:tc>
          <w:tcPr>
            <w:tcW w:w="1550" w:type="dxa"/>
          </w:tcPr>
          <w:p>
            <w:pPr>
              <w:pStyle w:val="TableParagraph"/>
              <w:spacing w:before="15" w:line="266" w:lineRule="exact"/>
              <w:ind w:left="484"/>
              <w:rPr>
                <w:sz w:val="21"/>
              </w:rPr>
            </w:pPr>
            <w:r>
              <w:rPr>
                <w:rFonts w:ascii="Times New Roman" w:eastAsia="Times New Roman"/>
                <w:sz w:val="21"/>
              </w:rPr>
              <w:t xml:space="preserve">1 </w:t>
            </w:r>
            <w:r>
              <w:rPr>
                <w:sz w:val="21"/>
              </w:rPr>
              <w:t>万吨</w:t>
            </w:r>
          </w:p>
        </w:tc>
        <w:tc>
          <w:tcPr>
            <w:tcW w:w="1599" w:type="dxa"/>
          </w:tcPr>
          <w:p>
            <w:pPr>
              <w:pStyle w:val="TableParagraph"/>
              <w:spacing w:before="29"/>
              <w:ind w:left="354" w:right="349"/>
              <w:jc w:val="center"/>
              <w:rPr>
                <w:rFonts w:ascii="Times New Roman"/>
                <w:sz w:val="21"/>
              </w:rPr>
            </w:pPr>
            <w:r>
              <w:rPr>
                <w:rFonts w:ascii="Times New Roman"/>
                <w:sz w:val="21"/>
              </w:rPr>
              <w:t>--</w:t>
            </w:r>
          </w:p>
        </w:tc>
        <w:tc>
          <w:tcPr>
            <w:tcW w:w="1607" w:type="dxa"/>
          </w:tcPr>
          <w:p>
            <w:pPr>
              <w:pStyle w:val="TableParagraph"/>
              <w:spacing w:before="29"/>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2"/>
        </w:trPr>
        <w:tc>
          <w:tcPr>
            <w:tcW w:w="725" w:type="dxa"/>
          </w:tcPr>
          <w:p>
            <w:pPr>
              <w:pStyle w:val="TableParagraph"/>
              <w:spacing w:before="16" w:line="237" w:lineRule="exact"/>
              <w:ind w:left="7"/>
              <w:jc w:val="center"/>
              <w:rPr>
                <w:rFonts w:ascii="Times New Roman"/>
                <w:sz w:val="21"/>
              </w:rPr>
            </w:pPr>
            <w:r>
              <w:rPr>
                <w:rFonts w:ascii="Times New Roman"/>
                <w:w w:val="99"/>
                <w:sz w:val="21"/>
              </w:rPr>
              <w:t>4</w:t>
            </w:r>
          </w:p>
        </w:tc>
        <w:tc>
          <w:tcPr>
            <w:tcW w:w="1659" w:type="dxa"/>
          </w:tcPr>
          <w:p>
            <w:pPr>
              <w:pStyle w:val="TableParagraph"/>
              <w:spacing w:before="2" w:line="251" w:lineRule="exact"/>
              <w:ind w:left="177" w:right="172"/>
              <w:jc w:val="center"/>
              <w:rPr>
                <w:sz w:val="21"/>
              </w:rPr>
            </w:pPr>
            <w:r>
              <w:rPr>
                <w:sz w:val="21"/>
              </w:rPr>
              <w:t>磷酸</w:t>
            </w:r>
          </w:p>
        </w:tc>
        <w:tc>
          <w:tcPr>
            <w:tcW w:w="1436" w:type="dxa"/>
          </w:tcPr>
          <w:p>
            <w:pPr>
              <w:pStyle w:val="TableParagraph"/>
              <w:spacing w:before="16" w:line="237" w:lineRule="exact"/>
              <w:ind w:left="380" w:right="373"/>
              <w:jc w:val="center"/>
              <w:rPr>
                <w:rFonts w:ascii="Times New Roman"/>
                <w:sz w:val="21"/>
              </w:rPr>
            </w:pPr>
            <w:r>
              <w:rPr>
                <w:rFonts w:ascii="Times New Roman"/>
                <w:sz w:val="21"/>
              </w:rPr>
              <w:t>85%</w:t>
            </w:r>
          </w:p>
        </w:tc>
        <w:tc>
          <w:tcPr>
            <w:tcW w:w="1550" w:type="dxa"/>
          </w:tcPr>
          <w:p>
            <w:pPr>
              <w:pStyle w:val="TableParagraph"/>
              <w:spacing w:before="2" w:line="251" w:lineRule="exact"/>
              <w:ind w:left="484"/>
              <w:rPr>
                <w:sz w:val="21"/>
              </w:rPr>
            </w:pPr>
            <w:r>
              <w:rPr>
                <w:rFonts w:ascii="Times New Roman" w:eastAsia="Times New Roman"/>
                <w:sz w:val="21"/>
              </w:rPr>
              <w:t xml:space="preserve">360 </w:t>
            </w:r>
            <w:r>
              <w:rPr>
                <w:sz w:val="21"/>
              </w:rPr>
              <w:t>吨</w:t>
            </w:r>
          </w:p>
        </w:tc>
        <w:tc>
          <w:tcPr>
            <w:tcW w:w="1599" w:type="dxa"/>
          </w:tcPr>
          <w:p>
            <w:pPr>
              <w:pStyle w:val="TableParagraph"/>
              <w:spacing w:before="2" w:line="251" w:lineRule="exact"/>
              <w:ind w:left="354" w:right="349"/>
              <w:jc w:val="center"/>
              <w:rPr>
                <w:sz w:val="21"/>
              </w:rPr>
            </w:pPr>
            <w:r>
              <w:rPr>
                <w:rFonts w:ascii="Times New Roman" w:eastAsia="Times New Roman"/>
                <w:sz w:val="21"/>
              </w:rPr>
              <w:t xml:space="preserve">1 </w:t>
            </w:r>
            <w:r>
              <w:rPr>
                <w:sz w:val="21"/>
              </w:rPr>
              <w:t>吨</w:t>
            </w:r>
            <w:r>
              <w:rPr>
                <w:rFonts w:ascii="Times New Roman" w:eastAsia="Times New Roman"/>
                <w:sz w:val="21"/>
              </w:rPr>
              <w:t>/</w:t>
            </w:r>
            <w:r>
              <w:rPr>
                <w:sz w:val="21"/>
              </w:rPr>
              <w:t>罐</w:t>
            </w:r>
          </w:p>
        </w:tc>
        <w:tc>
          <w:tcPr>
            <w:tcW w:w="1607" w:type="dxa"/>
          </w:tcPr>
          <w:p>
            <w:pPr>
              <w:pStyle w:val="TableParagraph"/>
              <w:spacing w:before="16" w:line="237"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2"/>
        </w:trPr>
        <w:tc>
          <w:tcPr>
            <w:tcW w:w="725" w:type="dxa"/>
          </w:tcPr>
          <w:p>
            <w:pPr>
              <w:pStyle w:val="TableParagraph"/>
              <w:spacing w:before="13" w:line="238" w:lineRule="exact"/>
              <w:ind w:left="7"/>
              <w:jc w:val="center"/>
              <w:rPr>
                <w:rFonts w:ascii="Times New Roman"/>
                <w:sz w:val="21"/>
              </w:rPr>
            </w:pPr>
            <w:r>
              <w:rPr>
                <w:rFonts w:ascii="Times New Roman"/>
                <w:w w:val="99"/>
                <w:sz w:val="21"/>
              </w:rPr>
              <w:t>5</w:t>
            </w:r>
          </w:p>
        </w:tc>
        <w:tc>
          <w:tcPr>
            <w:tcW w:w="1659" w:type="dxa"/>
          </w:tcPr>
          <w:p>
            <w:pPr>
              <w:pStyle w:val="TableParagraph"/>
              <w:spacing w:line="252" w:lineRule="exact"/>
              <w:ind w:left="177" w:right="172"/>
              <w:jc w:val="center"/>
              <w:rPr>
                <w:sz w:val="21"/>
              </w:rPr>
            </w:pPr>
            <w:r>
              <w:rPr>
                <w:sz w:val="21"/>
              </w:rPr>
              <w:t>硫酸</w:t>
            </w:r>
          </w:p>
        </w:tc>
        <w:tc>
          <w:tcPr>
            <w:tcW w:w="1436" w:type="dxa"/>
          </w:tcPr>
          <w:p>
            <w:pPr>
              <w:pStyle w:val="TableParagraph"/>
              <w:spacing w:before="13" w:line="238" w:lineRule="exact"/>
              <w:ind w:left="380" w:right="373"/>
              <w:jc w:val="center"/>
              <w:rPr>
                <w:rFonts w:ascii="Times New Roman"/>
                <w:sz w:val="21"/>
              </w:rPr>
            </w:pPr>
            <w:r>
              <w:rPr>
                <w:rFonts w:ascii="Times New Roman"/>
                <w:sz w:val="21"/>
              </w:rPr>
              <w:t>98%</w:t>
            </w:r>
          </w:p>
        </w:tc>
        <w:tc>
          <w:tcPr>
            <w:tcW w:w="1550" w:type="dxa"/>
          </w:tcPr>
          <w:p>
            <w:pPr>
              <w:pStyle w:val="TableParagraph"/>
              <w:spacing w:line="252" w:lineRule="exact"/>
              <w:ind w:left="484"/>
              <w:rPr>
                <w:sz w:val="21"/>
              </w:rPr>
            </w:pPr>
            <w:r>
              <w:rPr>
                <w:rFonts w:ascii="Times New Roman" w:eastAsia="Times New Roman"/>
                <w:sz w:val="21"/>
              </w:rPr>
              <w:t xml:space="preserve">200 </w:t>
            </w:r>
            <w:r>
              <w:rPr>
                <w:sz w:val="21"/>
              </w:rPr>
              <w:t>吨</w:t>
            </w:r>
          </w:p>
        </w:tc>
        <w:tc>
          <w:tcPr>
            <w:tcW w:w="1599" w:type="dxa"/>
          </w:tcPr>
          <w:p>
            <w:pPr>
              <w:pStyle w:val="TableParagraph"/>
              <w:spacing w:line="252" w:lineRule="exact"/>
              <w:ind w:left="354" w:right="349"/>
              <w:jc w:val="center"/>
              <w:rPr>
                <w:sz w:val="21"/>
              </w:rPr>
            </w:pPr>
            <w:r>
              <w:rPr>
                <w:rFonts w:ascii="Times New Roman" w:eastAsia="Times New Roman"/>
                <w:sz w:val="21"/>
              </w:rPr>
              <w:t xml:space="preserve">1 </w:t>
            </w:r>
            <w:r>
              <w:rPr>
                <w:sz w:val="21"/>
              </w:rPr>
              <w:t>吨</w:t>
            </w:r>
            <w:r>
              <w:rPr>
                <w:rFonts w:ascii="Times New Roman" w:eastAsia="Times New Roman"/>
                <w:sz w:val="21"/>
              </w:rPr>
              <w:t>/</w:t>
            </w:r>
            <w:r>
              <w:rPr>
                <w:sz w:val="21"/>
              </w:rPr>
              <w:t>罐</w:t>
            </w:r>
          </w:p>
        </w:tc>
        <w:tc>
          <w:tcPr>
            <w:tcW w:w="1607" w:type="dxa"/>
          </w:tcPr>
          <w:p>
            <w:pPr>
              <w:pStyle w:val="TableParagraph"/>
              <w:spacing w:before="13" w:line="238"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2"/>
        </w:trPr>
        <w:tc>
          <w:tcPr>
            <w:tcW w:w="725" w:type="dxa"/>
          </w:tcPr>
          <w:p>
            <w:pPr>
              <w:pStyle w:val="TableParagraph"/>
              <w:spacing w:before="15" w:line="237" w:lineRule="exact"/>
              <w:ind w:left="7"/>
              <w:jc w:val="center"/>
              <w:rPr>
                <w:rFonts w:ascii="Times New Roman"/>
                <w:sz w:val="21"/>
              </w:rPr>
            </w:pPr>
            <w:r>
              <w:rPr>
                <w:rFonts w:ascii="Times New Roman"/>
                <w:w w:val="99"/>
                <w:sz w:val="21"/>
              </w:rPr>
              <w:t>6</w:t>
            </w:r>
          </w:p>
        </w:tc>
        <w:tc>
          <w:tcPr>
            <w:tcW w:w="1659" w:type="dxa"/>
          </w:tcPr>
          <w:p>
            <w:pPr>
              <w:pStyle w:val="TableParagraph"/>
              <w:spacing w:before="1" w:line="251" w:lineRule="exact"/>
              <w:ind w:left="177" w:right="172"/>
              <w:jc w:val="center"/>
              <w:rPr>
                <w:sz w:val="21"/>
              </w:rPr>
            </w:pPr>
            <w:r>
              <w:rPr>
                <w:sz w:val="21"/>
              </w:rPr>
              <w:t>盐酸</w:t>
            </w:r>
          </w:p>
        </w:tc>
        <w:tc>
          <w:tcPr>
            <w:tcW w:w="1436" w:type="dxa"/>
          </w:tcPr>
          <w:p>
            <w:pPr>
              <w:pStyle w:val="TableParagraph"/>
              <w:spacing w:before="15" w:line="237" w:lineRule="exact"/>
              <w:ind w:left="380" w:right="373"/>
              <w:jc w:val="center"/>
              <w:rPr>
                <w:rFonts w:ascii="Times New Roman"/>
                <w:sz w:val="21"/>
              </w:rPr>
            </w:pPr>
            <w:r>
              <w:rPr>
                <w:rFonts w:ascii="Times New Roman"/>
                <w:sz w:val="21"/>
              </w:rPr>
              <w:t>36%</w:t>
            </w:r>
          </w:p>
        </w:tc>
        <w:tc>
          <w:tcPr>
            <w:tcW w:w="1550" w:type="dxa"/>
          </w:tcPr>
          <w:p>
            <w:pPr>
              <w:pStyle w:val="TableParagraph"/>
              <w:spacing w:before="1" w:line="251" w:lineRule="exact"/>
              <w:ind w:left="484"/>
              <w:rPr>
                <w:sz w:val="21"/>
              </w:rPr>
            </w:pPr>
            <w:r>
              <w:rPr>
                <w:rFonts w:ascii="Times New Roman" w:eastAsia="Times New Roman"/>
                <w:sz w:val="21"/>
              </w:rPr>
              <w:t xml:space="preserve">100 </w:t>
            </w:r>
            <w:r>
              <w:rPr>
                <w:sz w:val="21"/>
              </w:rPr>
              <w:t>吨</w:t>
            </w:r>
          </w:p>
        </w:tc>
        <w:tc>
          <w:tcPr>
            <w:tcW w:w="1599" w:type="dxa"/>
          </w:tcPr>
          <w:p>
            <w:pPr>
              <w:pStyle w:val="TableParagraph"/>
              <w:spacing w:before="1" w:line="251" w:lineRule="exact"/>
              <w:ind w:left="354" w:right="349"/>
              <w:jc w:val="center"/>
              <w:rPr>
                <w:sz w:val="21"/>
              </w:rPr>
            </w:pPr>
            <w:r>
              <w:rPr>
                <w:rFonts w:ascii="Times New Roman" w:eastAsia="Times New Roman"/>
                <w:sz w:val="21"/>
              </w:rPr>
              <w:t>25kg/</w:t>
            </w:r>
            <w:r>
              <w:rPr>
                <w:sz w:val="21"/>
              </w:rPr>
              <w:t>桶</w:t>
            </w:r>
          </w:p>
        </w:tc>
        <w:tc>
          <w:tcPr>
            <w:tcW w:w="1607" w:type="dxa"/>
          </w:tcPr>
          <w:p>
            <w:pPr>
              <w:pStyle w:val="TableParagraph"/>
              <w:spacing w:before="15" w:line="237"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2"/>
        </w:trPr>
        <w:tc>
          <w:tcPr>
            <w:tcW w:w="725" w:type="dxa"/>
          </w:tcPr>
          <w:p>
            <w:pPr>
              <w:pStyle w:val="TableParagraph"/>
              <w:spacing w:before="16" w:line="237" w:lineRule="exact"/>
              <w:ind w:left="7"/>
              <w:jc w:val="center"/>
              <w:rPr>
                <w:rFonts w:ascii="Times New Roman"/>
                <w:sz w:val="21"/>
              </w:rPr>
            </w:pPr>
            <w:r>
              <w:rPr>
                <w:rFonts w:ascii="Times New Roman"/>
                <w:w w:val="99"/>
                <w:sz w:val="21"/>
              </w:rPr>
              <w:t>6</w:t>
            </w:r>
          </w:p>
        </w:tc>
        <w:tc>
          <w:tcPr>
            <w:tcW w:w="1659" w:type="dxa"/>
          </w:tcPr>
          <w:p>
            <w:pPr>
              <w:pStyle w:val="TableParagraph"/>
              <w:spacing w:before="2" w:line="251" w:lineRule="exact"/>
              <w:ind w:left="177" w:right="172"/>
              <w:jc w:val="center"/>
              <w:rPr>
                <w:sz w:val="21"/>
              </w:rPr>
            </w:pPr>
            <w:r>
              <w:rPr>
                <w:sz w:val="21"/>
              </w:rPr>
              <w:t>片碱</w:t>
            </w:r>
          </w:p>
        </w:tc>
        <w:tc>
          <w:tcPr>
            <w:tcW w:w="1436" w:type="dxa"/>
          </w:tcPr>
          <w:p>
            <w:pPr>
              <w:pStyle w:val="TableParagraph"/>
              <w:spacing w:before="16" w:line="237" w:lineRule="exact"/>
              <w:ind w:left="380" w:right="373"/>
              <w:jc w:val="center"/>
              <w:rPr>
                <w:rFonts w:ascii="Times New Roman"/>
                <w:sz w:val="21"/>
              </w:rPr>
            </w:pPr>
            <w:r>
              <w:rPr>
                <w:rFonts w:ascii="Times New Roman"/>
                <w:sz w:val="21"/>
              </w:rPr>
              <w:t>99%</w:t>
            </w:r>
          </w:p>
        </w:tc>
        <w:tc>
          <w:tcPr>
            <w:tcW w:w="1550" w:type="dxa"/>
          </w:tcPr>
          <w:p>
            <w:pPr>
              <w:pStyle w:val="TableParagraph"/>
              <w:spacing w:before="2" w:line="251" w:lineRule="exact"/>
              <w:ind w:left="516" w:right="511"/>
              <w:jc w:val="center"/>
              <w:rPr>
                <w:sz w:val="21"/>
              </w:rPr>
            </w:pPr>
            <w:r>
              <w:rPr>
                <w:rFonts w:ascii="Times New Roman" w:eastAsia="Times New Roman"/>
                <w:sz w:val="21"/>
              </w:rPr>
              <w:t xml:space="preserve">60 </w:t>
            </w:r>
            <w:r>
              <w:rPr>
                <w:sz w:val="21"/>
              </w:rPr>
              <w:t>吨</w:t>
            </w:r>
          </w:p>
        </w:tc>
        <w:tc>
          <w:tcPr>
            <w:tcW w:w="1599" w:type="dxa"/>
          </w:tcPr>
          <w:p>
            <w:pPr>
              <w:pStyle w:val="TableParagraph"/>
              <w:spacing w:before="2" w:line="251" w:lineRule="exact"/>
              <w:ind w:left="354" w:right="349"/>
              <w:jc w:val="center"/>
              <w:rPr>
                <w:sz w:val="21"/>
              </w:rPr>
            </w:pPr>
            <w:r>
              <w:rPr>
                <w:rFonts w:ascii="Times New Roman" w:eastAsia="Times New Roman"/>
                <w:sz w:val="21"/>
              </w:rPr>
              <w:t>50kg/</w:t>
            </w:r>
            <w:r>
              <w:rPr>
                <w:sz w:val="21"/>
              </w:rPr>
              <w:t>袋</w:t>
            </w:r>
          </w:p>
        </w:tc>
        <w:tc>
          <w:tcPr>
            <w:tcW w:w="1607" w:type="dxa"/>
          </w:tcPr>
          <w:p>
            <w:pPr>
              <w:pStyle w:val="TableParagraph"/>
              <w:spacing w:before="16" w:line="237" w:lineRule="exact"/>
              <w:ind w:left="43" w:right="38"/>
              <w:jc w:val="center"/>
              <w:rPr>
                <w:rFonts w:ascii="Times New Roman"/>
                <w:sz w:val="21"/>
              </w:rPr>
            </w:pPr>
            <w:r>
              <w:rPr>
                <w:rFonts w:ascii="Times New Roman"/>
                <w:color w:val="0000FF"/>
                <w:sz w:val="21"/>
              </w:rPr>
              <w:t>--</w:t>
            </w:r>
          </w:p>
        </w:tc>
      </w:tr>
      <w:tr>
        <w:tblPrEx>
          <w:tblW w:w="0" w:type="auto"/>
          <w:tblInd w:w="1124" w:type="dxa"/>
          <w:tblLayout w:type="fixed"/>
          <w:tblCellMar>
            <w:top w:w="0" w:type="dxa"/>
            <w:left w:w="0" w:type="dxa"/>
            <w:bottom w:w="0" w:type="dxa"/>
            <w:right w:w="0" w:type="dxa"/>
          </w:tblCellMar>
        </w:tblPrEx>
        <w:trPr>
          <w:trHeight w:val="272"/>
        </w:trPr>
        <w:tc>
          <w:tcPr>
            <w:tcW w:w="725" w:type="dxa"/>
          </w:tcPr>
          <w:p>
            <w:pPr>
              <w:pStyle w:val="TableParagraph"/>
              <w:spacing w:before="14" w:line="238" w:lineRule="exact"/>
              <w:ind w:left="7"/>
              <w:jc w:val="center"/>
              <w:rPr>
                <w:rFonts w:ascii="Times New Roman"/>
                <w:sz w:val="21"/>
              </w:rPr>
            </w:pPr>
            <w:r>
              <w:rPr>
                <w:rFonts w:ascii="Times New Roman"/>
                <w:w w:val="99"/>
                <w:sz w:val="21"/>
              </w:rPr>
              <w:t>7</w:t>
            </w:r>
          </w:p>
        </w:tc>
        <w:tc>
          <w:tcPr>
            <w:tcW w:w="1659" w:type="dxa"/>
          </w:tcPr>
          <w:p>
            <w:pPr>
              <w:pStyle w:val="TableParagraph"/>
              <w:spacing w:line="252" w:lineRule="exact"/>
              <w:ind w:left="177" w:right="172"/>
              <w:jc w:val="center"/>
              <w:rPr>
                <w:sz w:val="21"/>
              </w:rPr>
            </w:pPr>
            <w:r>
              <w:rPr>
                <w:sz w:val="21"/>
              </w:rPr>
              <w:t>硝酸</w:t>
            </w:r>
          </w:p>
        </w:tc>
        <w:tc>
          <w:tcPr>
            <w:tcW w:w="1436" w:type="dxa"/>
          </w:tcPr>
          <w:p>
            <w:pPr>
              <w:pStyle w:val="TableParagraph"/>
              <w:spacing w:before="14" w:line="238" w:lineRule="exact"/>
              <w:ind w:left="380" w:right="373"/>
              <w:jc w:val="center"/>
              <w:rPr>
                <w:rFonts w:ascii="Times New Roman"/>
                <w:sz w:val="21"/>
              </w:rPr>
            </w:pPr>
            <w:r>
              <w:rPr>
                <w:rFonts w:ascii="Times New Roman"/>
                <w:sz w:val="21"/>
              </w:rPr>
              <w:t>30%</w:t>
            </w:r>
          </w:p>
        </w:tc>
        <w:tc>
          <w:tcPr>
            <w:tcW w:w="1550" w:type="dxa"/>
          </w:tcPr>
          <w:p>
            <w:pPr>
              <w:pStyle w:val="TableParagraph"/>
              <w:spacing w:line="252" w:lineRule="exact"/>
              <w:ind w:left="516" w:right="511"/>
              <w:jc w:val="center"/>
              <w:rPr>
                <w:sz w:val="21"/>
              </w:rPr>
            </w:pPr>
            <w:r>
              <w:rPr>
                <w:rFonts w:ascii="Times New Roman" w:eastAsia="Times New Roman"/>
                <w:sz w:val="21"/>
              </w:rPr>
              <w:t xml:space="preserve">50 </w:t>
            </w:r>
            <w:r>
              <w:rPr>
                <w:sz w:val="21"/>
              </w:rPr>
              <w:t>吨</w:t>
            </w:r>
          </w:p>
        </w:tc>
        <w:tc>
          <w:tcPr>
            <w:tcW w:w="1599" w:type="dxa"/>
          </w:tcPr>
          <w:p>
            <w:pPr>
              <w:pStyle w:val="TableParagraph"/>
              <w:spacing w:line="252" w:lineRule="exact"/>
              <w:ind w:left="354" w:right="349"/>
              <w:jc w:val="center"/>
              <w:rPr>
                <w:sz w:val="21"/>
              </w:rPr>
            </w:pPr>
            <w:r>
              <w:rPr>
                <w:rFonts w:ascii="Times New Roman" w:eastAsia="Times New Roman"/>
                <w:sz w:val="21"/>
              </w:rPr>
              <w:t>25kg/</w:t>
            </w:r>
            <w:r>
              <w:rPr>
                <w:sz w:val="21"/>
              </w:rPr>
              <w:t>桶</w:t>
            </w:r>
          </w:p>
        </w:tc>
        <w:tc>
          <w:tcPr>
            <w:tcW w:w="1607" w:type="dxa"/>
          </w:tcPr>
          <w:p>
            <w:pPr>
              <w:pStyle w:val="TableParagraph"/>
              <w:spacing w:before="14" w:line="238"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1"/>
        </w:trPr>
        <w:tc>
          <w:tcPr>
            <w:tcW w:w="725" w:type="dxa"/>
          </w:tcPr>
          <w:p>
            <w:pPr>
              <w:pStyle w:val="TableParagraph"/>
              <w:spacing w:before="15" w:line="237" w:lineRule="exact"/>
              <w:ind w:left="7"/>
              <w:jc w:val="center"/>
              <w:rPr>
                <w:rFonts w:ascii="Times New Roman"/>
                <w:sz w:val="21"/>
              </w:rPr>
            </w:pPr>
            <w:r>
              <w:rPr>
                <w:rFonts w:ascii="Times New Roman"/>
                <w:w w:val="99"/>
                <w:sz w:val="21"/>
              </w:rPr>
              <w:t>8</w:t>
            </w:r>
          </w:p>
        </w:tc>
        <w:tc>
          <w:tcPr>
            <w:tcW w:w="1659" w:type="dxa"/>
          </w:tcPr>
          <w:p>
            <w:pPr>
              <w:pStyle w:val="TableParagraph"/>
              <w:spacing w:before="1" w:line="251" w:lineRule="exact"/>
              <w:ind w:left="177" w:right="172"/>
              <w:jc w:val="center"/>
              <w:rPr>
                <w:sz w:val="21"/>
              </w:rPr>
            </w:pPr>
            <w:r>
              <w:rPr>
                <w:sz w:val="21"/>
              </w:rPr>
              <w:t>氢氟酸</w:t>
            </w:r>
          </w:p>
        </w:tc>
        <w:tc>
          <w:tcPr>
            <w:tcW w:w="1436" w:type="dxa"/>
          </w:tcPr>
          <w:p>
            <w:pPr>
              <w:pStyle w:val="TableParagraph"/>
              <w:spacing w:before="15" w:line="237" w:lineRule="exact"/>
              <w:ind w:left="380" w:right="373"/>
              <w:jc w:val="center"/>
              <w:rPr>
                <w:rFonts w:ascii="Times New Roman"/>
                <w:sz w:val="21"/>
              </w:rPr>
            </w:pPr>
            <w:r>
              <w:rPr>
                <w:rFonts w:ascii="Times New Roman"/>
                <w:sz w:val="21"/>
              </w:rPr>
              <w:t>35%</w:t>
            </w:r>
          </w:p>
        </w:tc>
        <w:tc>
          <w:tcPr>
            <w:tcW w:w="1550" w:type="dxa"/>
          </w:tcPr>
          <w:p>
            <w:pPr>
              <w:pStyle w:val="TableParagraph"/>
              <w:spacing w:before="1" w:line="251" w:lineRule="exact"/>
              <w:ind w:left="516" w:right="511"/>
              <w:jc w:val="center"/>
              <w:rPr>
                <w:sz w:val="21"/>
              </w:rPr>
            </w:pPr>
            <w:r>
              <w:rPr>
                <w:rFonts w:ascii="Times New Roman" w:eastAsia="Times New Roman"/>
                <w:sz w:val="21"/>
              </w:rPr>
              <w:t xml:space="preserve">10 </w:t>
            </w:r>
            <w:r>
              <w:rPr>
                <w:sz w:val="21"/>
              </w:rPr>
              <w:t>吨</w:t>
            </w:r>
          </w:p>
        </w:tc>
        <w:tc>
          <w:tcPr>
            <w:tcW w:w="1599" w:type="dxa"/>
          </w:tcPr>
          <w:p>
            <w:pPr>
              <w:pStyle w:val="TableParagraph"/>
              <w:spacing w:before="1" w:line="251" w:lineRule="exact"/>
              <w:ind w:left="354" w:right="349"/>
              <w:jc w:val="center"/>
              <w:rPr>
                <w:sz w:val="21"/>
              </w:rPr>
            </w:pPr>
            <w:r>
              <w:rPr>
                <w:rFonts w:ascii="Times New Roman" w:eastAsia="Times New Roman"/>
                <w:sz w:val="21"/>
              </w:rPr>
              <w:t>25kg/</w:t>
            </w:r>
            <w:r>
              <w:rPr>
                <w:sz w:val="21"/>
              </w:rPr>
              <w:t>桶</w:t>
            </w:r>
          </w:p>
        </w:tc>
        <w:tc>
          <w:tcPr>
            <w:tcW w:w="1607" w:type="dxa"/>
          </w:tcPr>
          <w:p>
            <w:pPr>
              <w:pStyle w:val="TableParagraph"/>
              <w:spacing w:before="15" w:line="237"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3"/>
        </w:trPr>
        <w:tc>
          <w:tcPr>
            <w:tcW w:w="725" w:type="dxa"/>
          </w:tcPr>
          <w:p>
            <w:pPr>
              <w:pStyle w:val="TableParagraph"/>
              <w:spacing w:before="14" w:line="239" w:lineRule="exact"/>
              <w:ind w:left="7"/>
              <w:jc w:val="center"/>
              <w:rPr>
                <w:rFonts w:ascii="Times New Roman"/>
                <w:sz w:val="21"/>
              </w:rPr>
            </w:pPr>
            <w:r>
              <w:rPr>
                <w:rFonts w:ascii="Times New Roman"/>
                <w:w w:val="99"/>
                <w:sz w:val="21"/>
              </w:rPr>
              <w:t>9</w:t>
            </w:r>
          </w:p>
        </w:tc>
        <w:tc>
          <w:tcPr>
            <w:tcW w:w="1659" w:type="dxa"/>
          </w:tcPr>
          <w:p>
            <w:pPr>
              <w:pStyle w:val="TableParagraph"/>
              <w:spacing w:line="253" w:lineRule="exact"/>
              <w:ind w:left="177" w:right="170"/>
              <w:jc w:val="center"/>
              <w:rPr>
                <w:sz w:val="21"/>
              </w:rPr>
            </w:pPr>
            <w:r>
              <w:rPr>
                <w:sz w:val="21"/>
              </w:rPr>
              <w:t>无铬钝化剂</w:t>
            </w:r>
          </w:p>
        </w:tc>
        <w:tc>
          <w:tcPr>
            <w:tcW w:w="1436" w:type="dxa"/>
          </w:tcPr>
          <w:p>
            <w:pPr>
              <w:pStyle w:val="TableParagraph"/>
              <w:spacing w:before="14" w:line="239" w:lineRule="exact"/>
              <w:ind w:left="380" w:right="372"/>
              <w:jc w:val="center"/>
              <w:rPr>
                <w:rFonts w:ascii="Times New Roman"/>
                <w:sz w:val="21"/>
              </w:rPr>
            </w:pPr>
            <w:r>
              <w:rPr>
                <w:rFonts w:ascii="Times New Roman"/>
                <w:sz w:val="21"/>
              </w:rPr>
              <w:t>--</w:t>
            </w:r>
          </w:p>
        </w:tc>
        <w:tc>
          <w:tcPr>
            <w:tcW w:w="1550" w:type="dxa"/>
          </w:tcPr>
          <w:p>
            <w:pPr>
              <w:pStyle w:val="TableParagraph"/>
              <w:spacing w:line="253" w:lineRule="exact"/>
              <w:ind w:left="516" w:right="508"/>
              <w:jc w:val="center"/>
              <w:rPr>
                <w:sz w:val="21"/>
              </w:rPr>
            </w:pPr>
            <w:r>
              <w:rPr>
                <w:rFonts w:ascii="Times New Roman" w:eastAsia="Times New Roman"/>
                <w:sz w:val="21"/>
              </w:rPr>
              <w:t xml:space="preserve">1 </w:t>
            </w:r>
            <w:r>
              <w:rPr>
                <w:sz w:val="21"/>
              </w:rPr>
              <w:t>吨</w:t>
            </w:r>
          </w:p>
        </w:tc>
        <w:tc>
          <w:tcPr>
            <w:tcW w:w="1599" w:type="dxa"/>
          </w:tcPr>
          <w:p>
            <w:pPr>
              <w:pStyle w:val="TableParagraph"/>
              <w:spacing w:line="253" w:lineRule="exact"/>
              <w:ind w:left="354" w:right="349"/>
              <w:jc w:val="center"/>
              <w:rPr>
                <w:sz w:val="21"/>
              </w:rPr>
            </w:pPr>
            <w:r>
              <w:rPr>
                <w:rFonts w:ascii="Times New Roman" w:eastAsia="Times New Roman"/>
                <w:sz w:val="21"/>
              </w:rPr>
              <w:t>20kg/</w:t>
            </w:r>
            <w:r>
              <w:rPr>
                <w:sz w:val="21"/>
              </w:rPr>
              <w:t>桶</w:t>
            </w:r>
          </w:p>
        </w:tc>
        <w:tc>
          <w:tcPr>
            <w:tcW w:w="1607" w:type="dxa"/>
          </w:tcPr>
          <w:p>
            <w:pPr>
              <w:pStyle w:val="TableParagraph"/>
              <w:spacing w:before="14" w:line="239"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544"/>
        </w:trPr>
        <w:tc>
          <w:tcPr>
            <w:tcW w:w="725" w:type="dxa"/>
          </w:tcPr>
          <w:p>
            <w:pPr>
              <w:pStyle w:val="TableParagraph"/>
              <w:spacing w:before="151"/>
              <w:ind w:left="129" w:right="122"/>
              <w:jc w:val="center"/>
              <w:rPr>
                <w:rFonts w:ascii="Times New Roman"/>
                <w:sz w:val="21"/>
              </w:rPr>
            </w:pPr>
            <w:r>
              <w:rPr>
                <w:rFonts w:ascii="Times New Roman"/>
                <w:sz w:val="21"/>
              </w:rPr>
              <w:t>10</w:t>
            </w:r>
          </w:p>
        </w:tc>
        <w:tc>
          <w:tcPr>
            <w:tcW w:w="1659" w:type="dxa"/>
          </w:tcPr>
          <w:p>
            <w:pPr>
              <w:pStyle w:val="TableParagraph"/>
              <w:ind w:left="177" w:right="172"/>
              <w:jc w:val="center"/>
              <w:rPr>
                <w:sz w:val="21"/>
              </w:rPr>
            </w:pPr>
            <w:r>
              <w:rPr>
                <w:sz w:val="21"/>
              </w:rPr>
              <w:t>无镍中温封孔</w:t>
            </w:r>
          </w:p>
          <w:p>
            <w:pPr>
              <w:pStyle w:val="TableParagraph"/>
              <w:spacing w:before="2" w:line="253" w:lineRule="exact"/>
              <w:ind w:left="7"/>
              <w:jc w:val="center"/>
              <w:rPr>
                <w:sz w:val="21"/>
              </w:rPr>
            </w:pPr>
            <w:r>
              <w:rPr>
                <w:w w:val="99"/>
                <w:sz w:val="21"/>
              </w:rPr>
              <w:t>剂</w:t>
            </w:r>
          </w:p>
        </w:tc>
        <w:tc>
          <w:tcPr>
            <w:tcW w:w="1436" w:type="dxa"/>
          </w:tcPr>
          <w:p>
            <w:pPr>
              <w:pStyle w:val="TableParagraph"/>
              <w:spacing w:before="151"/>
              <w:ind w:left="380" w:right="372"/>
              <w:jc w:val="center"/>
              <w:rPr>
                <w:rFonts w:ascii="Times New Roman"/>
                <w:sz w:val="21"/>
              </w:rPr>
            </w:pPr>
            <w:r>
              <w:rPr>
                <w:rFonts w:ascii="Times New Roman"/>
                <w:sz w:val="21"/>
              </w:rPr>
              <w:t>--</w:t>
            </w:r>
          </w:p>
        </w:tc>
        <w:tc>
          <w:tcPr>
            <w:tcW w:w="1550" w:type="dxa"/>
          </w:tcPr>
          <w:p>
            <w:pPr>
              <w:pStyle w:val="TableParagraph"/>
              <w:spacing w:before="134"/>
              <w:ind w:left="516" w:right="508"/>
              <w:jc w:val="center"/>
              <w:rPr>
                <w:sz w:val="21"/>
              </w:rPr>
            </w:pPr>
            <w:r>
              <w:rPr>
                <w:rFonts w:ascii="Times New Roman" w:eastAsia="Times New Roman"/>
                <w:sz w:val="21"/>
              </w:rPr>
              <w:t xml:space="preserve">1 </w:t>
            </w:r>
            <w:r>
              <w:rPr>
                <w:sz w:val="21"/>
              </w:rPr>
              <w:t>吨</w:t>
            </w:r>
          </w:p>
        </w:tc>
        <w:tc>
          <w:tcPr>
            <w:tcW w:w="1599" w:type="dxa"/>
          </w:tcPr>
          <w:p>
            <w:pPr>
              <w:pStyle w:val="TableParagraph"/>
              <w:spacing w:before="134"/>
              <w:ind w:left="354" w:right="349"/>
              <w:jc w:val="center"/>
              <w:rPr>
                <w:sz w:val="21"/>
              </w:rPr>
            </w:pPr>
            <w:r>
              <w:rPr>
                <w:rFonts w:ascii="Times New Roman" w:eastAsia="Times New Roman"/>
                <w:sz w:val="21"/>
              </w:rPr>
              <w:t>20kg/</w:t>
            </w:r>
            <w:r>
              <w:rPr>
                <w:sz w:val="21"/>
              </w:rPr>
              <w:t>桶</w:t>
            </w:r>
          </w:p>
        </w:tc>
        <w:tc>
          <w:tcPr>
            <w:tcW w:w="1607" w:type="dxa"/>
          </w:tcPr>
          <w:p>
            <w:pPr>
              <w:pStyle w:val="TableParagraph"/>
              <w:spacing w:before="151"/>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2"/>
        </w:trPr>
        <w:tc>
          <w:tcPr>
            <w:tcW w:w="725" w:type="dxa"/>
          </w:tcPr>
          <w:p>
            <w:pPr>
              <w:pStyle w:val="TableParagraph"/>
              <w:spacing w:before="14" w:line="238" w:lineRule="exact"/>
              <w:ind w:left="129" w:right="118"/>
              <w:jc w:val="center"/>
              <w:rPr>
                <w:rFonts w:ascii="Times New Roman"/>
                <w:sz w:val="21"/>
              </w:rPr>
            </w:pPr>
            <w:r>
              <w:rPr>
                <w:rFonts w:ascii="Times New Roman"/>
                <w:sz w:val="21"/>
              </w:rPr>
              <w:t>11</w:t>
            </w:r>
          </w:p>
        </w:tc>
        <w:tc>
          <w:tcPr>
            <w:tcW w:w="1659" w:type="dxa"/>
          </w:tcPr>
          <w:p>
            <w:pPr>
              <w:pStyle w:val="TableParagraph"/>
              <w:spacing w:line="252" w:lineRule="exact"/>
              <w:ind w:left="177" w:right="172"/>
              <w:jc w:val="center"/>
              <w:rPr>
                <w:sz w:val="21"/>
              </w:rPr>
            </w:pPr>
            <w:r>
              <w:rPr>
                <w:sz w:val="21"/>
              </w:rPr>
              <w:t>着色剂</w:t>
            </w:r>
          </w:p>
        </w:tc>
        <w:tc>
          <w:tcPr>
            <w:tcW w:w="1436" w:type="dxa"/>
          </w:tcPr>
          <w:p>
            <w:pPr>
              <w:pStyle w:val="TableParagraph"/>
              <w:spacing w:before="14" w:line="238" w:lineRule="exact"/>
              <w:ind w:left="380" w:right="372"/>
              <w:jc w:val="center"/>
              <w:rPr>
                <w:rFonts w:ascii="Times New Roman"/>
                <w:sz w:val="21"/>
              </w:rPr>
            </w:pPr>
            <w:r>
              <w:rPr>
                <w:rFonts w:ascii="Times New Roman"/>
                <w:sz w:val="21"/>
              </w:rPr>
              <w:t>--</w:t>
            </w:r>
          </w:p>
        </w:tc>
        <w:tc>
          <w:tcPr>
            <w:tcW w:w="1550" w:type="dxa"/>
          </w:tcPr>
          <w:p>
            <w:pPr>
              <w:pStyle w:val="TableParagraph"/>
              <w:spacing w:line="252" w:lineRule="exact"/>
              <w:ind w:left="516" w:right="508"/>
              <w:jc w:val="center"/>
              <w:rPr>
                <w:sz w:val="21"/>
              </w:rPr>
            </w:pPr>
            <w:r>
              <w:rPr>
                <w:rFonts w:ascii="Times New Roman" w:eastAsia="Times New Roman"/>
                <w:sz w:val="21"/>
              </w:rPr>
              <w:t xml:space="preserve">1 </w:t>
            </w:r>
            <w:r>
              <w:rPr>
                <w:sz w:val="21"/>
              </w:rPr>
              <w:t>吨</w:t>
            </w:r>
          </w:p>
        </w:tc>
        <w:tc>
          <w:tcPr>
            <w:tcW w:w="1599" w:type="dxa"/>
          </w:tcPr>
          <w:p>
            <w:pPr>
              <w:pStyle w:val="TableParagraph"/>
              <w:spacing w:line="252" w:lineRule="exact"/>
              <w:ind w:left="354" w:right="349"/>
              <w:jc w:val="center"/>
              <w:rPr>
                <w:sz w:val="21"/>
              </w:rPr>
            </w:pPr>
            <w:r>
              <w:rPr>
                <w:rFonts w:ascii="Times New Roman" w:eastAsia="Times New Roman"/>
                <w:sz w:val="21"/>
              </w:rPr>
              <w:t>25kg/</w:t>
            </w:r>
            <w:r>
              <w:rPr>
                <w:sz w:val="21"/>
              </w:rPr>
              <w:t>桶</w:t>
            </w:r>
          </w:p>
        </w:tc>
        <w:tc>
          <w:tcPr>
            <w:tcW w:w="1607" w:type="dxa"/>
          </w:tcPr>
          <w:p>
            <w:pPr>
              <w:pStyle w:val="TableParagraph"/>
              <w:spacing w:before="14" w:line="238"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2"/>
        </w:trPr>
        <w:tc>
          <w:tcPr>
            <w:tcW w:w="725" w:type="dxa"/>
          </w:tcPr>
          <w:p>
            <w:pPr>
              <w:pStyle w:val="TableParagraph"/>
              <w:spacing w:before="14" w:line="237" w:lineRule="exact"/>
              <w:ind w:left="129" w:right="122"/>
              <w:jc w:val="center"/>
              <w:rPr>
                <w:rFonts w:ascii="Times New Roman"/>
                <w:sz w:val="21"/>
              </w:rPr>
            </w:pPr>
            <w:r>
              <w:rPr>
                <w:rFonts w:ascii="Times New Roman"/>
                <w:sz w:val="21"/>
              </w:rPr>
              <w:t>12</w:t>
            </w:r>
          </w:p>
        </w:tc>
        <w:tc>
          <w:tcPr>
            <w:tcW w:w="1659" w:type="dxa"/>
          </w:tcPr>
          <w:p>
            <w:pPr>
              <w:pStyle w:val="TableParagraph"/>
              <w:spacing w:before="1" w:line="251" w:lineRule="exact"/>
              <w:ind w:left="177" w:right="172"/>
              <w:jc w:val="center"/>
              <w:rPr>
                <w:sz w:val="21"/>
              </w:rPr>
            </w:pPr>
            <w:r>
              <w:rPr>
                <w:sz w:val="21"/>
              </w:rPr>
              <w:t>抛光液</w:t>
            </w:r>
          </w:p>
        </w:tc>
        <w:tc>
          <w:tcPr>
            <w:tcW w:w="1436" w:type="dxa"/>
          </w:tcPr>
          <w:p>
            <w:pPr>
              <w:pStyle w:val="TableParagraph"/>
              <w:spacing w:before="14" w:line="237" w:lineRule="exact"/>
              <w:ind w:left="380" w:right="372"/>
              <w:jc w:val="center"/>
              <w:rPr>
                <w:rFonts w:ascii="Times New Roman"/>
                <w:sz w:val="21"/>
              </w:rPr>
            </w:pPr>
            <w:r>
              <w:rPr>
                <w:rFonts w:ascii="Times New Roman"/>
                <w:sz w:val="21"/>
              </w:rPr>
              <w:t>--</w:t>
            </w:r>
          </w:p>
        </w:tc>
        <w:tc>
          <w:tcPr>
            <w:tcW w:w="1550" w:type="dxa"/>
          </w:tcPr>
          <w:p>
            <w:pPr>
              <w:pStyle w:val="TableParagraph"/>
              <w:spacing w:before="1" w:line="251" w:lineRule="exact"/>
              <w:ind w:left="460"/>
              <w:rPr>
                <w:sz w:val="21"/>
              </w:rPr>
            </w:pPr>
            <w:r>
              <w:rPr>
                <w:rFonts w:ascii="Times New Roman" w:eastAsia="Times New Roman"/>
                <w:sz w:val="21"/>
              </w:rPr>
              <w:t xml:space="preserve">0.05 </w:t>
            </w:r>
            <w:r>
              <w:rPr>
                <w:sz w:val="21"/>
              </w:rPr>
              <w:t>吨</w:t>
            </w:r>
          </w:p>
        </w:tc>
        <w:tc>
          <w:tcPr>
            <w:tcW w:w="1599" w:type="dxa"/>
          </w:tcPr>
          <w:p>
            <w:pPr>
              <w:pStyle w:val="TableParagraph"/>
              <w:spacing w:before="1" w:line="251" w:lineRule="exact"/>
              <w:ind w:left="354" w:right="349"/>
              <w:jc w:val="center"/>
              <w:rPr>
                <w:sz w:val="21"/>
              </w:rPr>
            </w:pPr>
            <w:r>
              <w:rPr>
                <w:rFonts w:ascii="Times New Roman" w:eastAsia="Times New Roman"/>
                <w:sz w:val="21"/>
              </w:rPr>
              <w:t>25kg/</w:t>
            </w:r>
            <w:r>
              <w:rPr>
                <w:sz w:val="21"/>
              </w:rPr>
              <w:t>桶</w:t>
            </w:r>
          </w:p>
        </w:tc>
        <w:tc>
          <w:tcPr>
            <w:tcW w:w="1607" w:type="dxa"/>
          </w:tcPr>
          <w:p>
            <w:pPr>
              <w:pStyle w:val="TableParagraph"/>
              <w:spacing w:before="14" w:line="237"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1"/>
        </w:trPr>
        <w:tc>
          <w:tcPr>
            <w:tcW w:w="725" w:type="dxa"/>
          </w:tcPr>
          <w:p>
            <w:pPr>
              <w:pStyle w:val="TableParagraph"/>
              <w:spacing w:before="16" w:line="236" w:lineRule="exact"/>
              <w:ind w:left="129" w:right="122"/>
              <w:jc w:val="center"/>
              <w:rPr>
                <w:rFonts w:ascii="Times New Roman"/>
                <w:sz w:val="21"/>
              </w:rPr>
            </w:pPr>
            <w:r>
              <w:rPr>
                <w:rFonts w:ascii="Times New Roman"/>
                <w:sz w:val="21"/>
              </w:rPr>
              <w:t>13</w:t>
            </w:r>
          </w:p>
        </w:tc>
        <w:tc>
          <w:tcPr>
            <w:tcW w:w="1659" w:type="dxa"/>
          </w:tcPr>
          <w:p>
            <w:pPr>
              <w:pStyle w:val="TableParagraph"/>
              <w:spacing w:before="2" w:line="250" w:lineRule="exact"/>
              <w:ind w:left="177" w:right="172"/>
              <w:jc w:val="center"/>
              <w:rPr>
                <w:sz w:val="21"/>
              </w:rPr>
            </w:pPr>
            <w:r>
              <w:rPr>
                <w:sz w:val="21"/>
              </w:rPr>
              <w:t>锌锭</w:t>
            </w:r>
          </w:p>
        </w:tc>
        <w:tc>
          <w:tcPr>
            <w:tcW w:w="1436" w:type="dxa"/>
          </w:tcPr>
          <w:p>
            <w:pPr>
              <w:pStyle w:val="TableParagraph"/>
              <w:spacing w:before="16" w:line="236" w:lineRule="exact"/>
              <w:ind w:left="380" w:right="372"/>
              <w:jc w:val="center"/>
              <w:rPr>
                <w:rFonts w:ascii="Times New Roman"/>
                <w:sz w:val="21"/>
              </w:rPr>
            </w:pPr>
            <w:r>
              <w:rPr>
                <w:rFonts w:ascii="Times New Roman"/>
                <w:sz w:val="21"/>
              </w:rPr>
              <w:t>--</w:t>
            </w:r>
          </w:p>
        </w:tc>
        <w:tc>
          <w:tcPr>
            <w:tcW w:w="1550" w:type="dxa"/>
          </w:tcPr>
          <w:p>
            <w:pPr>
              <w:pStyle w:val="TableParagraph"/>
              <w:spacing w:before="2" w:line="250" w:lineRule="exact"/>
              <w:ind w:left="431"/>
              <w:rPr>
                <w:sz w:val="21"/>
              </w:rPr>
            </w:pPr>
            <w:r>
              <w:rPr>
                <w:rFonts w:ascii="Times New Roman" w:eastAsia="Times New Roman"/>
                <w:sz w:val="21"/>
              </w:rPr>
              <w:t xml:space="preserve">1600 </w:t>
            </w:r>
            <w:r>
              <w:rPr>
                <w:sz w:val="21"/>
              </w:rPr>
              <w:t>吨</w:t>
            </w:r>
          </w:p>
        </w:tc>
        <w:tc>
          <w:tcPr>
            <w:tcW w:w="1599" w:type="dxa"/>
          </w:tcPr>
          <w:p>
            <w:pPr>
              <w:pStyle w:val="TableParagraph"/>
              <w:spacing w:before="16" w:line="236" w:lineRule="exact"/>
              <w:ind w:left="354" w:right="349"/>
              <w:jc w:val="center"/>
              <w:rPr>
                <w:rFonts w:ascii="Times New Roman"/>
                <w:sz w:val="21"/>
              </w:rPr>
            </w:pPr>
            <w:r>
              <w:rPr>
                <w:rFonts w:ascii="Times New Roman"/>
                <w:sz w:val="21"/>
              </w:rPr>
              <w:t>--</w:t>
            </w:r>
          </w:p>
        </w:tc>
        <w:tc>
          <w:tcPr>
            <w:tcW w:w="1607" w:type="dxa"/>
          </w:tcPr>
          <w:p>
            <w:pPr>
              <w:pStyle w:val="TableParagraph"/>
              <w:spacing w:before="16" w:line="236"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3"/>
        </w:trPr>
        <w:tc>
          <w:tcPr>
            <w:tcW w:w="725" w:type="dxa"/>
          </w:tcPr>
          <w:p>
            <w:pPr>
              <w:pStyle w:val="TableParagraph"/>
              <w:spacing w:before="14" w:line="238" w:lineRule="exact"/>
              <w:ind w:left="129" w:right="122"/>
              <w:jc w:val="center"/>
              <w:rPr>
                <w:rFonts w:ascii="Times New Roman"/>
                <w:sz w:val="21"/>
              </w:rPr>
            </w:pPr>
            <w:r>
              <w:rPr>
                <w:rFonts w:ascii="Times New Roman"/>
                <w:sz w:val="21"/>
              </w:rPr>
              <w:t>14</w:t>
            </w:r>
          </w:p>
        </w:tc>
        <w:tc>
          <w:tcPr>
            <w:tcW w:w="1659" w:type="dxa"/>
          </w:tcPr>
          <w:p>
            <w:pPr>
              <w:pStyle w:val="TableParagraph"/>
              <w:spacing w:line="252" w:lineRule="exact"/>
              <w:ind w:left="177" w:right="172"/>
              <w:jc w:val="center"/>
              <w:rPr>
                <w:sz w:val="21"/>
              </w:rPr>
            </w:pPr>
            <w:r>
              <w:rPr>
                <w:sz w:val="21"/>
              </w:rPr>
              <w:t>天然气</w:t>
            </w:r>
          </w:p>
        </w:tc>
        <w:tc>
          <w:tcPr>
            <w:tcW w:w="1436" w:type="dxa"/>
          </w:tcPr>
          <w:p>
            <w:pPr>
              <w:pStyle w:val="TableParagraph"/>
              <w:spacing w:before="14" w:line="238" w:lineRule="exact"/>
              <w:ind w:left="380" w:right="372"/>
              <w:jc w:val="center"/>
              <w:rPr>
                <w:rFonts w:ascii="Times New Roman"/>
                <w:sz w:val="21"/>
              </w:rPr>
            </w:pPr>
            <w:r>
              <w:rPr>
                <w:rFonts w:ascii="Times New Roman"/>
                <w:sz w:val="21"/>
              </w:rPr>
              <w:t>--</w:t>
            </w:r>
          </w:p>
        </w:tc>
        <w:tc>
          <w:tcPr>
            <w:tcW w:w="1550" w:type="dxa"/>
          </w:tcPr>
          <w:p>
            <w:pPr>
              <w:pStyle w:val="TableParagraph"/>
              <w:spacing w:line="252" w:lineRule="exact"/>
              <w:ind w:right="384"/>
              <w:jc w:val="right"/>
              <w:rPr>
                <w:rFonts w:ascii="Times New Roman" w:eastAsia="Times New Roman"/>
                <w:sz w:val="13"/>
              </w:rPr>
            </w:pPr>
            <w:r>
              <w:rPr>
                <w:rFonts w:ascii="Times New Roman" w:eastAsia="Times New Roman"/>
                <w:sz w:val="21"/>
              </w:rPr>
              <w:t xml:space="preserve">39 </w:t>
            </w:r>
            <w:r>
              <w:rPr>
                <w:sz w:val="21"/>
              </w:rPr>
              <w:t xml:space="preserve">万 </w:t>
            </w:r>
            <w:r>
              <w:rPr>
                <w:rFonts w:ascii="Times New Roman" w:eastAsia="Times New Roman"/>
                <w:sz w:val="21"/>
              </w:rPr>
              <w:t>m</w:t>
            </w:r>
            <w:r>
              <w:rPr>
                <w:rFonts w:ascii="Times New Roman" w:eastAsia="Times New Roman"/>
                <w:position w:val="7"/>
                <w:sz w:val="13"/>
              </w:rPr>
              <w:t>3</w:t>
            </w:r>
          </w:p>
        </w:tc>
        <w:tc>
          <w:tcPr>
            <w:tcW w:w="1599" w:type="dxa"/>
          </w:tcPr>
          <w:p>
            <w:pPr>
              <w:pStyle w:val="TableParagraph"/>
              <w:spacing w:line="252" w:lineRule="exact"/>
              <w:ind w:left="356" w:right="349"/>
              <w:jc w:val="center"/>
              <w:rPr>
                <w:sz w:val="21"/>
              </w:rPr>
            </w:pPr>
            <w:r>
              <w:rPr>
                <w:sz w:val="21"/>
              </w:rPr>
              <w:t>管道供给</w:t>
            </w:r>
          </w:p>
        </w:tc>
        <w:tc>
          <w:tcPr>
            <w:tcW w:w="1607" w:type="dxa"/>
          </w:tcPr>
          <w:p>
            <w:pPr>
              <w:pStyle w:val="TableParagraph"/>
              <w:spacing w:before="14" w:line="238"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1"/>
        </w:trPr>
        <w:tc>
          <w:tcPr>
            <w:tcW w:w="725" w:type="dxa"/>
          </w:tcPr>
          <w:p>
            <w:pPr>
              <w:pStyle w:val="TableParagraph"/>
              <w:spacing w:before="15" w:line="237" w:lineRule="exact"/>
              <w:ind w:left="129" w:right="122"/>
              <w:jc w:val="center"/>
              <w:rPr>
                <w:rFonts w:ascii="Times New Roman"/>
                <w:sz w:val="21"/>
              </w:rPr>
            </w:pPr>
            <w:r>
              <w:rPr>
                <w:rFonts w:ascii="Times New Roman"/>
                <w:sz w:val="21"/>
              </w:rPr>
              <w:t>15</w:t>
            </w:r>
          </w:p>
        </w:tc>
        <w:tc>
          <w:tcPr>
            <w:tcW w:w="1659" w:type="dxa"/>
          </w:tcPr>
          <w:p>
            <w:pPr>
              <w:pStyle w:val="TableParagraph"/>
              <w:spacing w:before="1" w:line="251" w:lineRule="exact"/>
              <w:ind w:left="177" w:right="172"/>
              <w:jc w:val="center"/>
              <w:rPr>
                <w:sz w:val="21"/>
              </w:rPr>
            </w:pPr>
            <w:r>
              <w:rPr>
                <w:sz w:val="21"/>
              </w:rPr>
              <w:t>电泳漆</w:t>
            </w:r>
          </w:p>
        </w:tc>
        <w:tc>
          <w:tcPr>
            <w:tcW w:w="1436" w:type="dxa"/>
          </w:tcPr>
          <w:p>
            <w:pPr>
              <w:pStyle w:val="TableParagraph"/>
              <w:spacing w:before="15" w:line="237" w:lineRule="exact"/>
              <w:ind w:left="380" w:right="372"/>
              <w:jc w:val="center"/>
              <w:rPr>
                <w:rFonts w:ascii="Times New Roman"/>
                <w:sz w:val="21"/>
              </w:rPr>
            </w:pPr>
            <w:r>
              <w:rPr>
                <w:rFonts w:ascii="Times New Roman"/>
                <w:sz w:val="21"/>
              </w:rPr>
              <w:t>--</w:t>
            </w:r>
          </w:p>
        </w:tc>
        <w:tc>
          <w:tcPr>
            <w:tcW w:w="1550" w:type="dxa"/>
          </w:tcPr>
          <w:p>
            <w:pPr>
              <w:pStyle w:val="TableParagraph"/>
              <w:spacing w:before="1" w:line="251" w:lineRule="exact"/>
              <w:ind w:left="516" w:right="511"/>
              <w:jc w:val="center"/>
              <w:rPr>
                <w:sz w:val="21"/>
              </w:rPr>
            </w:pPr>
            <w:r>
              <w:rPr>
                <w:rFonts w:ascii="Times New Roman" w:eastAsia="Times New Roman"/>
                <w:sz w:val="21"/>
              </w:rPr>
              <w:t xml:space="preserve">16 </w:t>
            </w:r>
            <w:r>
              <w:rPr>
                <w:sz w:val="21"/>
              </w:rPr>
              <w:t>吨</w:t>
            </w:r>
          </w:p>
        </w:tc>
        <w:tc>
          <w:tcPr>
            <w:tcW w:w="1599" w:type="dxa"/>
          </w:tcPr>
          <w:p>
            <w:pPr>
              <w:pStyle w:val="TableParagraph"/>
              <w:spacing w:before="15" w:line="237" w:lineRule="exact"/>
              <w:ind w:left="354" w:right="349"/>
              <w:jc w:val="center"/>
              <w:rPr>
                <w:rFonts w:ascii="Times New Roman"/>
                <w:sz w:val="21"/>
              </w:rPr>
            </w:pPr>
            <w:r>
              <w:rPr>
                <w:rFonts w:ascii="Times New Roman"/>
                <w:sz w:val="21"/>
              </w:rPr>
              <w:t>--</w:t>
            </w:r>
          </w:p>
        </w:tc>
        <w:tc>
          <w:tcPr>
            <w:tcW w:w="1607" w:type="dxa"/>
          </w:tcPr>
          <w:p>
            <w:pPr>
              <w:pStyle w:val="TableParagraph"/>
              <w:spacing w:before="15" w:line="237" w:lineRule="exact"/>
              <w:ind w:left="43" w:right="38"/>
              <w:jc w:val="center"/>
              <w:rPr>
                <w:rFonts w:ascii="Times New Roman"/>
                <w:sz w:val="21"/>
              </w:rPr>
            </w:pPr>
            <w:r>
              <w:rPr>
                <w:rFonts w:ascii="Times New Roman"/>
                <w:sz w:val="21"/>
              </w:rPr>
              <w:t>--</w:t>
            </w:r>
          </w:p>
        </w:tc>
      </w:tr>
      <w:tr>
        <w:tblPrEx>
          <w:tblW w:w="0" w:type="auto"/>
          <w:tblInd w:w="1124" w:type="dxa"/>
          <w:tblLayout w:type="fixed"/>
          <w:tblCellMar>
            <w:top w:w="0" w:type="dxa"/>
            <w:left w:w="0" w:type="dxa"/>
            <w:bottom w:w="0" w:type="dxa"/>
            <w:right w:w="0" w:type="dxa"/>
          </w:tblCellMar>
        </w:tblPrEx>
        <w:trPr>
          <w:trHeight w:val="272"/>
        </w:trPr>
        <w:tc>
          <w:tcPr>
            <w:tcW w:w="725" w:type="dxa"/>
          </w:tcPr>
          <w:p>
            <w:pPr>
              <w:pStyle w:val="TableParagraph"/>
              <w:spacing w:before="16" w:line="236" w:lineRule="exact"/>
              <w:ind w:left="129" w:right="122"/>
              <w:jc w:val="center"/>
              <w:rPr>
                <w:rFonts w:ascii="Times New Roman"/>
                <w:sz w:val="21"/>
              </w:rPr>
            </w:pPr>
            <w:r>
              <w:rPr>
                <w:rFonts w:ascii="Times New Roman"/>
                <w:sz w:val="21"/>
              </w:rPr>
              <w:t>16</w:t>
            </w:r>
          </w:p>
        </w:tc>
        <w:tc>
          <w:tcPr>
            <w:tcW w:w="1659" w:type="dxa"/>
          </w:tcPr>
          <w:p>
            <w:pPr>
              <w:pStyle w:val="TableParagraph"/>
              <w:spacing w:before="2" w:line="250" w:lineRule="exact"/>
              <w:ind w:left="177" w:right="172"/>
              <w:jc w:val="center"/>
              <w:rPr>
                <w:sz w:val="21"/>
              </w:rPr>
            </w:pPr>
            <w:r>
              <w:rPr>
                <w:sz w:val="21"/>
              </w:rPr>
              <w:t>塑粉</w:t>
            </w:r>
          </w:p>
        </w:tc>
        <w:tc>
          <w:tcPr>
            <w:tcW w:w="1436" w:type="dxa"/>
          </w:tcPr>
          <w:p>
            <w:pPr>
              <w:pStyle w:val="TableParagraph"/>
              <w:spacing w:before="16" w:line="236" w:lineRule="exact"/>
              <w:ind w:left="380" w:right="372"/>
              <w:jc w:val="center"/>
              <w:rPr>
                <w:rFonts w:ascii="Times New Roman"/>
                <w:sz w:val="21"/>
              </w:rPr>
            </w:pPr>
            <w:r>
              <w:rPr>
                <w:rFonts w:ascii="Times New Roman"/>
                <w:sz w:val="21"/>
              </w:rPr>
              <w:t>--</w:t>
            </w:r>
          </w:p>
        </w:tc>
        <w:tc>
          <w:tcPr>
            <w:tcW w:w="1550" w:type="dxa"/>
          </w:tcPr>
          <w:p>
            <w:pPr>
              <w:pStyle w:val="TableParagraph"/>
              <w:spacing w:before="2" w:line="250" w:lineRule="exact"/>
              <w:ind w:left="516" w:right="511"/>
              <w:jc w:val="center"/>
              <w:rPr>
                <w:sz w:val="21"/>
              </w:rPr>
            </w:pPr>
            <w:r>
              <w:rPr>
                <w:rFonts w:ascii="Times New Roman" w:eastAsia="Times New Roman"/>
                <w:sz w:val="21"/>
              </w:rPr>
              <w:t xml:space="preserve">10 </w:t>
            </w:r>
            <w:r>
              <w:rPr>
                <w:sz w:val="21"/>
              </w:rPr>
              <w:t>吨</w:t>
            </w:r>
          </w:p>
        </w:tc>
        <w:tc>
          <w:tcPr>
            <w:tcW w:w="1599" w:type="dxa"/>
          </w:tcPr>
          <w:p>
            <w:pPr>
              <w:pStyle w:val="TableParagraph"/>
              <w:spacing w:before="16" w:line="236" w:lineRule="exact"/>
              <w:ind w:left="354" w:right="349"/>
              <w:jc w:val="center"/>
              <w:rPr>
                <w:rFonts w:ascii="Times New Roman"/>
                <w:sz w:val="21"/>
              </w:rPr>
            </w:pPr>
            <w:r>
              <w:rPr>
                <w:rFonts w:ascii="Times New Roman"/>
                <w:sz w:val="21"/>
              </w:rPr>
              <w:t>--</w:t>
            </w:r>
          </w:p>
        </w:tc>
        <w:tc>
          <w:tcPr>
            <w:tcW w:w="1607" w:type="dxa"/>
          </w:tcPr>
          <w:p>
            <w:pPr>
              <w:pStyle w:val="TableParagraph"/>
              <w:rPr>
                <w:rFonts w:ascii="Times New Roman"/>
                <w:sz w:val="2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5"/>
        </w:rPr>
      </w:pPr>
    </w:p>
    <w:p>
      <w:pPr>
        <w:spacing w:before="0"/>
        <w:ind w:left="0" w:right="263" w:firstLine="0"/>
        <w:jc w:val="right"/>
        <w:rPr>
          <w:sz w:val="21"/>
        </w:rPr>
      </w:pPr>
      <w:r>
        <w:pict>
          <v:shape id="_x0000_s1035" o:spid="_x0000_s1034" type="#_x0000_t202" style="width:477.1pt;height:660.85pt;margin-top:-461.5pt;margin-left:59.3pt;mso-height-relative:page;mso-position-horizontal-relative:page;mso-width-relative:page;position:absolute;z-index:251662336" coordsize="21600,21600" filled="f" stroked="f">
            <v:stroke joinstyle="miter"/>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09"/>
                    <w:gridCol w:w="113"/>
                    <w:gridCol w:w="1012"/>
                    <w:gridCol w:w="900"/>
                    <w:gridCol w:w="3337"/>
                    <w:gridCol w:w="904"/>
                    <w:gridCol w:w="2538"/>
                  </w:tblGrid>
                  <w:tr>
                    <w:tblPrEx>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414"/>
                    </w:trPr>
                    <w:tc>
                      <w:tcPr>
                        <w:tcW w:w="709" w:type="dxa"/>
                        <w:vMerge w:val="restart"/>
                        <w:tcBorders>
                          <w:right w:val="single" w:sz="4" w:space="0" w:color="000000"/>
                        </w:tcBorders>
                      </w:tcPr>
                      <w:p>
                        <w:pPr>
                          <w:pStyle w:val="TableParagraph"/>
                          <w:rPr>
                            <w:rFonts w:ascii="Times New Roman"/>
                            <w:sz w:val="20"/>
                          </w:rPr>
                        </w:pPr>
                      </w:p>
                    </w:tc>
                    <w:tc>
                      <w:tcPr>
                        <w:tcW w:w="8804" w:type="dxa"/>
                        <w:gridSpan w:val="6"/>
                        <w:tcBorders>
                          <w:left w:val="single" w:sz="4" w:space="0" w:color="000000"/>
                          <w:bottom w:val="single" w:sz="4" w:space="0" w:color="000000"/>
                        </w:tcBorders>
                      </w:tcPr>
                      <w:p>
                        <w:pPr>
                          <w:pStyle w:val="TableParagraph"/>
                          <w:tabs>
                            <w:tab w:val="left" w:pos="862"/>
                          </w:tabs>
                          <w:spacing w:before="73"/>
                          <w:ind w:left="22"/>
                          <w:jc w:val="center"/>
                          <w:rPr>
                            <w:b/>
                            <w:sz w:val="24"/>
                          </w:rPr>
                        </w:pPr>
                        <w:r>
                          <w:rPr>
                            <w:b/>
                            <w:sz w:val="24"/>
                          </w:rPr>
                          <w:t>表</w:t>
                        </w:r>
                        <w:r>
                          <w:rPr>
                            <w:b/>
                            <w:spacing w:val="-62"/>
                            <w:sz w:val="24"/>
                          </w:rPr>
                          <w:t xml:space="preserve"> </w:t>
                        </w:r>
                        <w:r>
                          <w:rPr>
                            <w:rFonts w:ascii="Times New Roman" w:eastAsia="Times New Roman"/>
                            <w:b/>
                            <w:sz w:val="24"/>
                          </w:rPr>
                          <w:t>12.</w:t>
                        </w:r>
                        <w:r>
                          <w:rPr>
                            <w:rFonts w:ascii="Times New Roman" w:eastAsia="Times New Roman"/>
                            <w:b/>
                            <w:sz w:val="24"/>
                          </w:rPr>
                          <w:tab/>
                        </w:r>
                        <w:r>
                          <w:rPr>
                            <w:b/>
                            <w:sz w:val="24"/>
                          </w:rPr>
                          <w:t>项目主要原辅材料消耗一览表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4"/>
                          <w:rPr>
                            <w:sz w:val="21"/>
                          </w:rPr>
                        </w:pPr>
                      </w:p>
                      <w:p>
                        <w:pPr>
                          <w:pStyle w:val="TableParagraph"/>
                          <w:spacing w:before="1"/>
                          <w:ind w:left="513"/>
                          <w:rPr>
                            <w:b/>
                            <w:sz w:val="24"/>
                          </w:rPr>
                        </w:pPr>
                        <w:r>
                          <w:rPr>
                            <w:b/>
                            <w:sz w:val="24"/>
                          </w:rPr>
                          <w:t>原辅料理化性质</w:t>
                        </w:r>
                      </w:p>
                      <w:p>
                        <w:pPr>
                          <w:pStyle w:val="TableParagraph"/>
                          <w:spacing w:before="208"/>
                          <w:ind w:left="593"/>
                          <w:rPr>
                            <w:sz w:val="24"/>
                          </w:rPr>
                        </w:pPr>
                        <w:r>
                          <w:rPr>
                            <w:sz w:val="24"/>
                          </w:rPr>
                          <w:t>本项目原辅料理化性质见下表。</w:t>
                        </w:r>
                      </w:p>
                      <w:p>
                        <w:pPr>
                          <w:pStyle w:val="TableParagraph"/>
                          <w:spacing w:before="12"/>
                          <w:rPr>
                            <w:sz w:val="17"/>
                          </w:rPr>
                        </w:pPr>
                      </w:p>
                      <w:p>
                        <w:pPr>
                          <w:pStyle w:val="TableParagraph"/>
                          <w:tabs>
                            <w:tab w:val="left" w:pos="862"/>
                          </w:tabs>
                          <w:ind w:left="22"/>
                          <w:jc w:val="center"/>
                          <w:rPr>
                            <w:b/>
                            <w:sz w:val="24"/>
                          </w:rPr>
                        </w:pPr>
                        <w:r>
                          <w:rPr>
                            <w:b/>
                            <w:sz w:val="24"/>
                          </w:rPr>
                          <w:t>表</w:t>
                        </w:r>
                        <w:r>
                          <w:rPr>
                            <w:b/>
                            <w:spacing w:val="-62"/>
                            <w:sz w:val="24"/>
                          </w:rPr>
                          <w:t xml:space="preserve"> </w:t>
                        </w:r>
                        <w:r>
                          <w:rPr>
                            <w:rFonts w:ascii="Times New Roman" w:eastAsia="Times New Roman"/>
                            <w:b/>
                            <w:sz w:val="24"/>
                          </w:rPr>
                          <w:t>13.</w:t>
                        </w:r>
                        <w:r>
                          <w:rPr>
                            <w:rFonts w:ascii="Times New Roman" w:eastAsia="Times New Roman"/>
                            <w:b/>
                            <w:sz w:val="24"/>
                          </w:rPr>
                          <w:tab/>
                        </w:r>
                        <w:r>
                          <w:rPr>
                            <w:b/>
                            <w:sz w:val="24"/>
                          </w:rPr>
                          <w:t>原辅料理化特性表</w:t>
                        </w:r>
                      </w:p>
                    </w:tc>
                  </w:tr>
                  <w:tr>
                    <w:tblPrEx>
                      <w:tblW w:w="0" w:type="auto"/>
                      <w:tblInd w:w="10" w:type="dxa"/>
                      <w:tblLayout w:type="fixed"/>
                      <w:tblCellMar>
                        <w:top w:w="0" w:type="dxa"/>
                        <w:left w:w="0" w:type="dxa"/>
                        <w:bottom w:w="0" w:type="dxa"/>
                        <w:right w:w="0" w:type="dxa"/>
                      </w:tblCellMar>
                    </w:tblPrEx>
                    <w:trPr>
                      <w:trHeight w:val="535"/>
                    </w:trPr>
                    <w:tc>
                      <w:tcPr>
                        <w:tcW w:w="709"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0"/>
                          </w:rPr>
                        </w:pPr>
                      </w:p>
                    </w:tc>
                    <w:tc>
                      <w:tcPr>
                        <w:tcW w:w="1012"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73" w:right="155"/>
                          <w:jc w:val="center"/>
                          <w:rPr>
                            <w:b/>
                            <w:sz w:val="21"/>
                          </w:rPr>
                        </w:pPr>
                        <w:r>
                          <w:rPr>
                            <w:b/>
                            <w:sz w:val="21"/>
                          </w:rPr>
                          <w:t>原辅料</w:t>
                        </w:r>
                      </w:p>
                      <w:p>
                        <w:pPr>
                          <w:pStyle w:val="TableParagraph"/>
                          <w:spacing w:before="2" w:line="248" w:lineRule="exact"/>
                          <w:ind w:left="173" w:right="155"/>
                          <w:jc w:val="center"/>
                          <w:rPr>
                            <w:b/>
                            <w:sz w:val="21"/>
                          </w:rPr>
                        </w:pPr>
                        <w:r>
                          <w:rPr>
                            <w:b/>
                            <w:sz w:val="21"/>
                          </w:rPr>
                          <w:t>名称</w:t>
                        </w:r>
                      </w:p>
                    </w:tc>
                    <w:tc>
                      <w:tcPr>
                        <w:tcW w:w="900" w:type="dxa"/>
                        <w:tcBorders>
                          <w:top w:val="single" w:sz="4" w:space="0" w:color="000000"/>
                          <w:left w:val="single" w:sz="4" w:space="0" w:color="000000"/>
                          <w:bottom w:val="single" w:sz="4" w:space="0" w:color="000000"/>
                          <w:right w:val="single" w:sz="4" w:space="0" w:color="000000"/>
                        </w:tcBorders>
                      </w:tcPr>
                      <w:p>
                        <w:pPr>
                          <w:pStyle w:val="TableParagraph"/>
                          <w:spacing w:before="130"/>
                          <w:ind w:left="116" w:right="100"/>
                          <w:jc w:val="center"/>
                          <w:rPr>
                            <w:b/>
                            <w:sz w:val="21"/>
                          </w:rPr>
                        </w:pPr>
                        <w:r>
                          <w:rPr>
                            <w:b/>
                            <w:sz w:val="21"/>
                          </w:rPr>
                          <w:t>分子式</w:t>
                        </w:r>
                      </w:p>
                    </w:tc>
                    <w:tc>
                      <w:tcPr>
                        <w:tcW w:w="3337" w:type="dxa"/>
                        <w:tcBorders>
                          <w:top w:val="single" w:sz="4" w:space="0" w:color="000000"/>
                          <w:left w:val="single" w:sz="4" w:space="0" w:color="000000"/>
                          <w:bottom w:val="single" w:sz="4" w:space="0" w:color="000000"/>
                          <w:right w:val="single" w:sz="4" w:space="0" w:color="000000"/>
                        </w:tcBorders>
                      </w:tcPr>
                      <w:p>
                        <w:pPr>
                          <w:pStyle w:val="TableParagraph"/>
                          <w:spacing w:before="130"/>
                          <w:ind w:left="82" w:right="64"/>
                          <w:jc w:val="center"/>
                          <w:rPr>
                            <w:b/>
                            <w:sz w:val="21"/>
                          </w:rPr>
                        </w:pPr>
                        <w:r>
                          <w:rPr>
                            <w:b/>
                            <w:sz w:val="21"/>
                          </w:rPr>
                          <w:t>理化特性</w:t>
                        </w:r>
                      </w:p>
                    </w:tc>
                    <w:tc>
                      <w:tcPr>
                        <w:tcW w:w="904"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41"/>
                          <w:rPr>
                            <w:b/>
                            <w:sz w:val="21"/>
                          </w:rPr>
                        </w:pPr>
                        <w:r>
                          <w:rPr>
                            <w:b/>
                            <w:sz w:val="21"/>
                          </w:rPr>
                          <w:t>燃烧爆</w:t>
                        </w:r>
                      </w:p>
                      <w:p>
                        <w:pPr>
                          <w:pStyle w:val="TableParagraph"/>
                          <w:spacing w:before="2" w:line="248" w:lineRule="exact"/>
                          <w:ind w:left="244"/>
                          <w:rPr>
                            <w:b/>
                            <w:sz w:val="21"/>
                          </w:rPr>
                        </w:pPr>
                        <w:r>
                          <w:rPr>
                            <w:b/>
                            <w:sz w:val="21"/>
                          </w:rPr>
                          <w:t>炸性</w:t>
                        </w:r>
                      </w:p>
                    </w:tc>
                    <w:tc>
                      <w:tcPr>
                        <w:tcW w:w="2538" w:type="dxa"/>
                        <w:tcBorders>
                          <w:top w:val="single" w:sz="4" w:space="0" w:color="000000"/>
                          <w:left w:val="single" w:sz="4" w:space="0" w:color="000000"/>
                          <w:bottom w:val="single" w:sz="4" w:space="0" w:color="000000"/>
                        </w:tcBorders>
                      </w:tcPr>
                      <w:p>
                        <w:pPr>
                          <w:pStyle w:val="TableParagraph"/>
                          <w:spacing w:before="130"/>
                          <w:ind w:left="881"/>
                          <w:rPr>
                            <w:b/>
                            <w:sz w:val="21"/>
                          </w:rPr>
                        </w:pPr>
                        <w:r>
                          <w:rPr>
                            <w:b/>
                            <w:sz w:val="21"/>
                          </w:rPr>
                          <w:t>危险特性</w:t>
                        </w:r>
                      </w:p>
                    </w:tc>
                  </w:tr>
                  <w:tr>
                    <w:tblPrEx>
                      <w:tblW w:w="0" w:type="auto"/>
                      <w:tblInd w:w="10" w:type="dxa"/>
                      <w:tblLayout w:type="fixed"/>
                      <w:tblCellMar>
                        <w:top w:w="0" w:type="dxa"/>
                        <w:left w:w="0" w:type="dxa"/>
                        <w:bottom w:w="0" w:type="dxa"/>
                        <w:right w:w="0" w:type="dxa"/>
                      </w:tblCellMar>
                    </w:tblPrEx>
                    <w:trPr>
                      <w:trHeight w:val="3257"/>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012"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6"/>
                          <w:rPr>
                            <w:sz w:val="16"/>
                          </w:rPr>
                        </w:pPr>
                      </w:p>
                      <w:p>
                        <w:pPr>
                          <w:pStyle w:val="TableParagraph"/>
                          <w:spacing w:before="1"/>
                          <w:ind w:left="171" w:right="155"/>
                          <w:jc w:val="center"/>
                          <w:rPr>
                            <w:sz w:val="21"/>
                          </w:rPr>
                        </w:pPr>
                        <w:r>
                          <w:rPr>
                            <w:sz w:val="21"/>
                          </w:rPr>
                          <w:t>硝酸</w:t>
                        </w:r>
                      </w:p>
                    </w:tc>
                    <w:tc>
                      <w:tcPr>
                        <w:tcW w:w="900"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4"/>
                          <w:rPr>
                            <w:sz w:val="29"/>
                          </w:rPr>
                        </w:pPr>
                      </w:p>
                      <w:p>
                        <w:pPr>
                          <w:pStyle w:val="TableParagraph"/>
                          <w:spacing w:before="1"/>
                          <w:ind w:left="116" w:right="98"/>
                          <w:jc w:val="center"/>
                          <w:rPr>
                            <w:rFonts w:ascii="Times New Roman"/>
                            <w:sz w:val="21"/>
                          </w:rPr>
                        </w:pPr>
                        <w:r>
                          <w:rPr>
                            <w:rFonts w:ascii="Times New Roman"/>
                            <w:position w:val="2"/>
                            <w:sz w:val="21"/>
                          </w:rPr>
                          <w:t>HNO</w:t>
                        </w:r>
                        <w:r>
                          <w:rPr>
                            <w:rFonts w:ascii="Times New Roman"/>
                            <w:position w:val="2"/>
                            <w:sz w:val="21"/>
                            <w:vertAlign w:val="subscript"/>
                          </w:rPr>
                          <w:t>3</w:t>
                        </w:r>
                      </w:p>
                    </w:tc>
                    <w:tc>
                      <w:tcPr>
                        <w:tcW w:w="3337"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rPr>
                            <w:sz w:val="21"/>
                          </w:rPr>
                        </w:pPr>
                        <w:r>
                          <w:rPr>
                            <w:spacing w:val="-4"/>
                            <w:sz w:val="21"/>
                          </w:rPr>
                          <w:t>外观特性：无色透明发烟液体，有</w:t>
                        </w:r>
                        <w:r>
                          <w:rPr>
                            <w:spacing w:val="-10"/>
                            <w:position w:val="2"/>
                            <w:sz w:val="21"/>
                          </w:rPr>
                          <w:t xml:space="preserve">酸味；化学式为 </w:t>
                        </w:r>
                        <w:r>
                          <w:rPr>
                            <w:rFonts w:ascii="Times New Roman" w:eastAsia="Times New Roman" w:hAnsi="Times New Roman"/>
                            <w:position w:val="2"/>
                            <w:sz w:val="21"/>
                          </w:rPr>
                          <w:t>HNO</w:t>
                        </w:r>
                        <w:r>
                          <w:rPr>
                            <w:rFonts w:ascii="Times New Roman" w:eastAsia="Times New Roman" w:hAnsi="Times New Roman"/>
                            <w:position w:val="2"/>
                            <w:sz w:val="21"/>
                            <w:vertAlign w:val="subscript"/>
                          </w:rPr>
                          <w:t>3</w:t>
                        </w:r>
                        <w:r>
                          <w:rPr>
                            <w:position w:val="2"/>
                            <w:sz w:val="21"/>
                            <w:vertAlign w:val="baseline"/>
                          </w:rPr>
                          <w:t>，分子量为</w:t>
                        </w:r>
                        <w:r>
                          <w:rPr>
                            <w:rFonts w:ascii="Times New Roman" w:eastAsia="Times New Roman" w:hAnsi="Times New Roman"/>
                            <w:spacing w:val="1"/>
                            <w:w w:val="99"/>
                            <w:sz w:val="21"/>
                            <w:vertAlign w:val="baseline"/>
                          </w:rPr>
                          <w:t>63</w:t>
                        </w:r>
                        <w:r>
                          <w:rPr>
                            <w:rFonts w:ascii="Times New Roman" w:eastAsia="Times New Roman" w:hAnsi="Times New Roman"/>
                            <w:w w:val="99"/>
                            <w:sz w:val="21"/>
                            <w:vertAlign w:val="baseline"/>
                          </w:rPr>
                          <w:t>.</w:t>
                        </w:r>
                        <w:r>
                          <w:rPr>
                            <w:rFonts w:ascii="Times New Roman" w:eastAsia="Times New Roman" w:hAnsi="Times New Roman"/>
                            <w:spacing w:val="1"/>
                            <w:w w:val="99"/>
                            <w:sz w:val="21"/>
                            <w:vertAlign w:val="baseline"/>
                          </w:rPr>
                          <w:t>0</w:t>
                        </w:r>
                        <w:r>
                          <w:rPr>
                            <w:rFonts w:ascii="Times New Roman" w:eastAsia="Times New Roman" w:hAnsi="Times New Roman"/>
                            <w:spacing w:val="-2"/>
                            <w:w w:val="99"/>
                            <w:sz w:val="21"/>
                            <w:vertAlign w:val="baseline"/>
                          </w:rPr>
                          <w:t>1</w:t>
                        </w:r>
                        <w:r>
                          <w:rPr>
                            <w:spacing w:val="-38"/>
                            <w:w w:val="99"/>
                            <w:sz w:val="21"/>
                            <w:vertAlign w:val="baseline"/>
                          </w:rPr>
                          <w:t>，相对密度</w:t>
                        </w:r>
                        <w:r>
                          <w:rPr>
                            <w:spacing w:val="-1"/>
                            <w:w w:val="99"/>
                            <w:sz w:val="21"/>
                            <w:vertAlign w:val="baseline"/>
                          </w:rPr>
                          <w:t>（</w:t>
                        </w:r>
                        <w:r>
                          <w:rPr>
                            <w:spacing w:val="2"/>
                            <w:w w:val="99"/>
                            <w:sz w:val="21"/>
                            <w:vertAlign w:val="baseline"/>
                          </w:rPr>
                          <w:t>水</w:t>
                        </w:r>
                        <w:r>
                          <w:rPr>
                            <w:rFonts w:ascii="Times New Roman" w:eastAsia="Times New Roman" w:hAnsi="Times New Roman"/>
                            <w:spacing w:val="-1"/>
                            <w:w w:val="99"/>
                            <w:sz w:val="21"/>
                            <w:vertAlign w:val="baseline"/>
                          </w:rPr>
                          <w:t>=</w:t>
                        </w:r>
                        <w:r>
                          <w:rPr>
                            <w:rFonts w:ascii="Times New Roman" w:eastAsia="Times New Roman" w:hAnsi="Times New Roman"/>
                            <w:spacing w:val="1"/>
                            <w:w w:val="99"/>
                            <w:sz w:val="21"/>
                            <w:vertAlign w:val="baseline"/>
                          </w:rPr>
                          <w:t>1</w:t>
                        </w:r>
                        <w:r>
                          <w:rPr>
                            <w:spacing w:val="-94"/>
                            <w:w w:val="99"/>
                            <w:sz w:val="21"/>
                            <w:vertAlign w:val="baseline"/>
                          </w:rPr>
                          <w:t>）</w:t>
                        </w:r>
                        <w:r>
                          <w:rPr>
                            <w:spacing w:val="-92"/>
                            <w:w w:val="99"/>
                            <w:sz w:val="21"/>
                            <w:vertAlign w:val="baseline"/>
                          </w:rPr>
                          <w:t>：</w:t>
                        </w:r>
                        <w:r>
                          <w:rPr>
                            <w:rFonts w:ascii="Times New Roman" w:eastAsia="Times New Roman" w:hAnsi="Times New Roman"/>
                            <w:spacing w:val="1"/>
                            <w:w w:val="99"/>
                            <w:sz w:val="21"/>
                            <w:vertAlign w:val="baseline"/>
                          </w:rPr>
                          <w:t>0</w:t>
                        </w:r>
                        <w:r>
                          <w:rPr>
                            <w:rFonts w:ascii="Times New Roman" w:eastAsia="Times New Roman" w:hAnsi="Times New Roman"/>
                            <w:w w:val="99"/>
                            <w:sz w:val="21"/>
                            <w:vertAlign w:val="baseline"/>
                          </w:rPr>
                          <w:t>.</w:t>
                        </w:r>
                        <w:r>
                          <w:rPr>
                            <w:rFonts w:ascii="Times New Roman" w:eastAsia="Times New Roman" w:hAnsi="Times New Roman"/>
                            <w:spacing w:val="1"/>
                            <w:w w:val="99"/>
                            <w:sz w:val="21"/>
                            <w:vertAlign w:val="baseline"/>
                          </w:rPr>
                          <w:t>7</w:t>
                        </w:r>
                        <w:r>
                          <w:rPr>
                            <w:rFonts w:ascii="Times New Roman" w:eastAsia="Times New Roman" w:hAnsi="Times New Roman"/>
                            <w:spacing w:val="-2"/>
                            <w:w w:val="99"/>
                            <w:sz w:val="21"/>
                            <w:vertAlign w:val="baseline"/>
                          </w:rPr>
                          <w:t>8</w:t>
                        </w:r>
                        <w:r>
                          <w:rPr>
                            <w:rFonts w:ascii="Times New Roman" w:eastAsia="Times New Roman" w:hAnsi="Times New Roman"/>
                            <w:w w:val="99"/>
                            <w:sz w:val="21"/>
                            <w:vertAlign w:val="baseline"/>
                          </w:rPr>
                          <w:t>-</w:t>
                        </w:r>
                        <w:r>
                          <w:rPr>
                            <w:rFonts w:ascii="Times New Roman" w:eastAsia="Times New Roman" w:hAnsi="Times New Roman"/>
                            <w:spacing w:val="1"/>
                            <w:w w:val="99"/>
                            <w:sz w:val="21"/>
                            <w:vertAlign w:val="baseline"/>
                          </w:rPr>
                          <w:t>0</w:t>
                        </w:r>
                        <w:r>
                          <w:rPr>
                            <w:rFonts w:ascii="Times New Roman" w:eastAsia="Times New Roman" w:hAnsi="Times New Roman"/>
                            <w:w w:val="99"/>
                            <w:sz w:val="21"/>
                            <w:vertAlign w:val="baseline"/>
                          </w:rPr>
                          <w:t>.</w:t>
                        </w:r>
                        <w:r>
                          <w:rPr>
                            <w:rFonts w:ascii="Times New Roman" w:eastAsia="Times New Roman" w:hAnsi="Times New Roman"/>
                            <w:spacing w:val="1"/>
                            <w:w w:val="99"/>
                            <w:sz w:val="21"/>
                            <w:vertAlign w:val="baseline"/>
                          </w:rPr>
                          <w:t>9</w:t>
                        </w:r>
                        <w:r>
                          <w:rPr>
                            <w:rFonts w:ascii="Times New Roman" w:eastAsia="Times New Roman" w:hAnsi="Times New Roman"/>
                            <w:spacing w:val="-2"/>
                            <w:w w:val="99"/>
                            <w:sz w:val="21"/>
                            <w:vertAlign w:val="baseline"/>
                          </w:rPr>
                          <w:t>7</w:t>
                        </w:r>
                        <w:r>
                          <w:rPr>
                            <w:w w:val="99"/>
                            <w:sz w:val="21"/>
                            <w:vertAlign w:val="baseline"/>
                          </w:rPr>
                          <w:t>，</w:t>
                        </w:r>
                        <w:r>
                          <w:rPr>
                            <w:sz w:val="21"/>
                            <w:vertAlign w:val="baseline"/>
                          </w:rPr>
                          <w:t>沸点：</w:t>
                        </w:r>
                        <w:r>
                          <w:rPr>
                            <w:rFonts w:ascii="Times New Roman" w:eastAsia="Times New Roman" w:hAnsi="Times New Roman"/>
                            <w:sz w:val="21"/>
                            <w:vertAlign w:val="baseline"/>
                          </w:rPr>
                          <w:t>20-160℃</w:t>
                        </w:r>
                        <w:r>
                          <w:rPr>
                            <w:sz w:val="21"/>
                            <w:vertAlign w:val="baseline"/>
                          </w:rPr>
                          <w:t>，闪点：</w:t>
                        </w:r>
                        <w:r>
                          <w:rPr>
                            <w:rFonts w:ascii="Times New Roman" w:eastAsia="Times New Roman" w:hAnsi="Times New Roman"/>
                            <w:sz w:val="21"/>
                            <w:vertAlign w:val="baseline"/>
                          </w:rPr>
                          <w:t>-2℃</w:t>
                        </w:r>
                        <w:r>
                          <w:rPr>
                            <w:sz w:val="21"/>
                            <w:vertAlign w:val="baseline"/>
                          </w:rPr>
                          <w:t>，引燃温度：</w:t>
                        </w:r>
                        <w:r>
                          <w:rPr>
                            <w:rFonts w:ascii="Times New Roman" w:eastAsia="Times New Roman" w:hAnsi="Times New Roman"/>
                            <w:sz w:val="21"/>
                            <w:vertAlign w:val="baseline"/>
                          </w:rPr>
                          <w:t>350℃</w:t>
                        </w:r>
                        <w:r>
                          <w:rPr>
                            <w:sz w:val="21"/>
                            <w:vertAlign w:val="baseline"/>
                          </w:rPr>
                          <w:t>，是一种具有强</w:t>
                        </w:r>
                        <w:hyperlink r:id="rId5">
                          <w:r>
                            <w:rPr>
                              <w:sz w:val="21"/>
                              <w:vertAlign w:val="baseline"/>
                            </w:rPr>
                            <w:t>氧</w:t>
                          </w:r>
                        </w:hyperlink>
                        <w:r>
                          <w:rPr>
                            <w:spacing w:val="-4"/>
                            <w:sz w:val="21"/>
                            <w:vertAlign w:val="baseline"/>
                          </w:rPr>
                          <w:t>化性、腐蚀性的一元无机</w:t>
                        </w:r>
                        <w:hyperlink r:id="rId6">
                          <w:r>
                            <w:rPr>
                              <w:sz w:val="21"/>
                              <w:vertAlign w:val="baseline"/>
                            </w:rPr>
                            <w:t>强酸</w:t>
                          </w:r>
                        </w:hyperlink>
                        <w:r>
                          <w:rPr>
                            <w:spacing w:val="-8"/>
                            <w:sz w:val="21"/>
                            <w:vertAlign w:val="baseline"/>
                          </w:rPr>
                          <w:t>，是</w:t>
                        </w:r>
                        <w:r>
                          <w:rPr>
                            <w:spacing w:val="-10"/>
                            <w:sz w:val="21"/>
                            <w:vertAlign w:val="baseline"/>
                          </w:rPr>
                          <w:t>六大无机强酸之一，也是一种重要的</w:t>
                        </w:r>
                        <w:hyperlink r:id="rId7">
                          <w:r>
                            <w:rPr>
                              <w:spacing w:val="-10"/>
                              <w:sz w:val="21"/>
                              <w:vertAlign w:val="baseline"/>
                            </w:rPr>
                            <w:t>化工原料</w:t>
                          </w:r>
                        </w:hyperlink>
                        <w:r>
                          <w:rPr>
                            <w:spacing w:val="-6"/>
                            <w:sz w:val="21"/>
                            <w:vertAlign w:val="baseline"/>
                          </w:rPr>
                          <w:t xml:space="preserve">，其水溶液俗称硝镪水或氨氮水。在工业上可用于制化 </w:t>
                        </w:r>
                        <w:r>
                          <w:rPr>
                            <w:spacing w:val="-7"/>
                            <w:sz w:val="21"/>
                            <w:vertAlign w:val="baseline"/>
                          </w:rPr>
                          <w:t>肥、农药、炸药、染料等；在有机</w:t>
                        </w:r>
                        <w:r>
                          <w:rPr>
                            <w:spacing w:val="-8"/>
                            <w:sz w:val="21"/>
                            <w:vertAlign w:val="baseline"/>
                          </w:rPr>
                          <w:t>化学中，浓硝酸与浓硫酸的混合液</w:t>
                        </w:r>
                      </w:p>
                      <w:p>
                        <w:pPr>
                          <w:pStyle w:val="TableParagraph"/>
                          <w:spacing w:line="247" w:lineRule="exact"/>
                          <w:ind w:left="728"/>
                          <w:rPr>
                            <w:sz w:val="21"/>
                          </w:rPr>
                        </w:pPr>
                        <w:r>
                          <w:rPr>
                            <w:sz w:val="21"/>
                          </w:rPr>
                          <w:t>是重要的硝化试剂。</w:t>
                        </w:r>
                      </w:p>
                    </w:tc>
                    <w:tc>
                      <w:tcPr>
                        <w:tcW w:w="904"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6"/>
                          <w:rPr>
                            <w:sz w:val="16"/>
                          </w:rPr>
                        </w:pPr>
                      </w:p>
                      <w:p>
                        <w:pPr>
                          <w:pStyle w:val="TableParagraph"/>
                          <w:spacing w:before="1"/>
                          <w:ind w:left="226" w:right="208"/>
                          <w:jc w:val="center"/>
                          <w:rPr>
                            <w:sz w:val="21"/>
                          </w:rPr>
                        </w:pPr>
                        <w:r>
                          <w:rPr>
                            <w:sz w:val="21"/>
                          </w:rPr>
                          <w:t>助燃</w:t>
                        </w:r>
                      </w:p>
                    </w:tc>
                    <w:tc>
                      <w:tcPr>
                        <w:tcW w:w="2538" w:type="dxa"/>
                        <w:tcBorders>
                          <w:top w:val="single" w:sz="4" w:space="0" w:color="000000"/>
                          <w:left w:val="single" w:sz="4" w:space="0" w:color="000000"/>
                          <w:bottom w:val="single" w:sz="4" w:space="0" w:color="000000"/>
                        </w:tcBorders>
                      </w:tcPr>
                      <w:p>
                        <w:pPr>
                          <w:pStyle w:val="TableParagraph"/>
                          <w:rPr>
                            <w:sz w:val="20"/>
                          </w:rPr>
                        </w:pPr>
                      </w:p>
                      <w:p>
                        <w:pPr>
                          <w:pStyle w:val="TableParagraph"/>
                          <w:spacing w:before="147" w:line="242" w:lineRule="auto"/>
                          <w:ind w:left="113" w:right="40" w:firstLine="9"/>
                          <w:jc w:val="center"/>
                          <w:rPr>
                            <w:sz w:val="21"/>
                          </w:rPr>
                        </w:pPr>
                        <w:r>
                          <w:rPr>
                            <w:sz w:val="21"/>
                          </w:rPr>
                          <w:t>强氧化剂。能与多种物质如金属粉末、电石、硫化氢、松节油等猛烈反应， 甚至发生爆炸。与还原剂可燃物如糖、纤维素、木屑、棉花、稻草或废纱头</w:t>
                        </w:r>
                        <w:r>
                          <w:rPr>
                            <w:w w:val="95"/>
                            <w:sz w:val="21"/>
                          </w:rPr>
                          <w:t>等接触</w:t>
                        </w:r>
                        <w:r>
                          <w:rPr>
                            <w:rFonts w:ascii="Times New Roman" w:eastAsia="Times New Roman"/>
                            <w:w w:val="95"/>
                            <w:sz w:val="21"/>
                          </w:rPr>
                          <w:t>,</w:t>
                        </w:r>
                        <w:r>
                          <w:rPr>
                            <w:w w:val="95"/>
                            <w:sz w:val="21"/>
                          </w:rPr>
                          <w:t>引起燃烧并散发出</w:t>
                        </w:r>
                        <w:r>
                          <w:rPr>
                            <w:sz w:val="21"/>
                          </w:rPr>
                          <w:t>剧毒的棕色烟雾。具有强腐蚀性。</w:t>
                        </w:r>
                      </w:p>
                    </w:tc>
                  </w:tr>
                  <w:tr>
                    <w:tblPrEx>
                      <w:tblW w:w="0" w:type="auto"/>
                      <w:tblInd w:w="10" w:type="dxa"/>
                      <w:tblLayout w:type="fixed"/>
                      <w:tblCellMar>
                        <w:top w:w="0" w:type="dxa"/>
                        <w:left w:w="0" w:type="dxa"/>
                        <w:bottom w:w="0" w:type="dxa"/>
                        <w:right w:w="0" w:type="dxa"/>
                      </w:tblCellMar>
                    </w:tblPrEx>
                    <w:trPr>
                      <w:trHeight w:val="1904"/>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012"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spacing w:before="4"/>
                          <w:rPr>
                            <w:sz w:val="23"/>
                          </w:rPr>
                        </w:pPr>
                      </w:p>
                      <w:p>
                        <w:pPr>
                          <w:pStyle w:val="TableParagraph"/>
                          <w:spacing w:before="1"/>
                          <w:ind w:left="171" w:right="155"/>
                          <w:jc w:val="center"/>
                          <w:rPr>
                            <w:sz w:val="21"/>
                          </w:rPr>
                        </w:pPr>
                        <w:r>
                          <w:rPr>
                            <w:sz w:val="21"/>
                          </w:rPr>
                          <w:t>磷酸</w:t>
                        </w:r>
                      </w:p>
                    </w:tc>
                    <w:tc>
                      <w:tcPr>
                        <w:tcW w:w="900" w:type="dxa"/>
                        <w:tcBorders>
                          <w:top w:val="single" w:sz="4" w:space="0" w:color="000000"/>
                          <w:left w:val="single" w:sz="4" w:space="0" w:color="000000"/>
                          <w:bottom w:val="thickThinMediumGap" w:sz="4" w:space="0" w:color="000000"/>
                          <w:right w:val="single" w:sz="4" w:space="0" w:color="000000"/>
                        </w:tcBorders>
                      </w:tcPr>
                      <w:p>
                        <w:pPr>
                          <w:pStyle w:val="TableParagraph"/>
                          <w:rPr>
                            <w:sz w:val="24"/>
                          </w:rPr>
                        </w:pPr>
                      </w:p>
                      <w:p>
                        <w:pPr>
                          <w:pStyle w:val="TableParagraph"/>
                          <w:rPr>
                            <w:sz w:val="24"/>
                          </w:rPr>
                        </w:pPr>
                      </w:p>
                      <w:p>
                        <w:pPr>
                          <w:pStyle w:val="TableParagraph"/>
                          <w:spacing w:before="210"/>
                          <w:ind w:left="116" w:right="98"/>
                          <w:jc w:val="center"/>
                          <w:rPr>
                            <w:rFonts w:ascii="Times New Roman"/>
                            <w:sz w:val="21"/>
                          </w:rPr>
                        </w:pPr>
                        <w:r>
                          <w:rPr>
                            <w:rFonts w:ascii="Times New Roman"/>
                            <w:position w:val="2"/>
                            <w:sz w:val="21"/>
                          </w:rPr>
                          <w:t>H</w:t>
                        </w:r>
                        <w:r>
                          <w:rPr>
                            <w:rFonts w:ascii="Times New Roman"/>
                            <w:position w:val="2"/>
                            <w:sz w:val="21"/>
                            <w:vertAlign w:val="subscript"/>
                          </w:rPr>
                          <w:t>3</w:t>
                        </w:r>
                        <w:r>
                          <w:rPr>
                            <w:rFonts w:ascii="Times New Roman"/>
                            <w:position w:val="2"/>
                            <w:sz w:val="21"/>
                            <w:vertAlign w:val="baseline"/>
                          </w:rPr>
                          <w:t>PO</w:t>
                        </w:r>
                        <w:r>
                          <w:rPr>
                            <w:rFonts w:ascii="Times New Roman"/>
                            <w:position w:val="2"/>
                            <w:sz w:val="21"/>
                            <w:vertAlign w:val="subscript"/>
                          </w:rPr>
                          <w:t>4</w:t>
                        </w:r>
                      </w:p>
                    </w:tc>
                    <w:tc>
                      <w:tcPr>
                        <w:tcW w:w="3337"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1" w:right="64"/>
                          <w:jc w:val="center"/>
                          <w:rPr>
                            <w:sz w:val="21"/>
                          </w:rPr>
                        </w:pPr>
                        <w:r>
                          <w:rPr>
                            <w:spacing w:val="-1"/>
                            <w:w w:val="95"/>
                            <w:sz w:val="21"/>
                          </w:rPr>
                          <w:t xml:space="preserve">外观与性状：纯磷酸为无色结晶， </w:t>
                        </w:r>
                        <w:r>
                          <w:rPr>
                            <w:sz w:val="21"/>
                          </w:rPr>
                          <w:t>无臭，具有酸味</w:t>
                        </w:r>
                        <w:r>
                          <w:rPr>
                            <w:rFonts w:ascii="Times New Roman" w:eastAsia="Times New Roman"/>
                            <w:sz w:val="21"/>
                          </w:rPr>
                          <w:t>;</w:t>
                        </w:r>
                        <w:r>
                          <w:rPr>
                            <w:sz w:val="21"/>
                          </w:rPr>
                          <w:t>主要用途</w:t>
                        </w:r>
                        <w:r>
                          <w:rPr>
                            <w:rFonts w:ascii="Times New Roman" w:eastAsia="Times New Roman"/>
                            <w:sz w:val="21"/>
                          </w:rPr>
                          <w:t>:</w:t>
                        </w:r>
                        <w:r>
                          <w:rPr>
                            <w:sz w:val="21"/>
                          </w:rPr>
                          <w:t>用于制药、颜料、电镀、防锈等</w:t>
                        </w:r>
                        <w:r>
                          <w:rPr>
                            <w:rFonts w:ascii="Times New Roman" w:eastAsia="Times New Roman"/>
                            <w:sz w:val="21"/>
                          </w:rPr>
                          <w:t>;</w:t>
                        </w:r>
                        <w:r>
                          <w:rPr>
                            <w:sz w:val="21"/>
                          </w:rPr>
                          <w:t xml:space="preserve">熔点： </w:t>
                        </w:r>
                        <w:r>
                          <w:rPr>
                            <w:rFonts w:ascii="Times New Roman" w:eastAsia="Times New Roman"/>
                            <w:spacing w:val="-14"/>
                            <w:sz w:val="21"/>
                          </w:rPr>
                          <w:t>42</w:t>
                        </w:r>
                        <w:r>
                          <w:rPr>
                            <w:spacing w:val="-14"/>
                            <w:sz w:val="21"/>
                          </w:rPr>
                          <w:t>．</w:t>
                        </w:r>
                        <w:r>
                          <w:rPr>
                            <w:rFonts w:ascii="Times New Roman" w:eastAsia="Times New Roman"/>
                            <w:spacing w:val="-14"/>
                            <w:sz w:val="21"/>
                          </w:rPr>
                          <w:t>4(</w:t>
                        </w:r>
                        <w:r>
                          <w:rPr>
                            <w:sz w:val="21"/>
                          </w:rPr>
                          <w:t>纯品</w:t>
                        </w:r>
                        <w:r>
                          <w:rPr>
                            <w:rFonts w:ascii="Times New Roman" w:eastAsia="Times New Roman"/>
                            <w:sz w:val="21"/>
                          </w:rPr>
                          <w:t>);</w:t>
                        </w:r>
                        <w:r>
                          <w:rPr>
                            <w:spacing w:val="-5"/>
                            <w:sz w:val="21"/>
                          </w:rPr>
                          <w:t>沸点：</w:t>
                        </w:r>
                        <w:r>
                          <w:rPr>
                            <w:rFonts w:ascii="Times New Roman" w:eastAsia="Times New Roman"/>
                            <w:spacing w:val="-15"/>
                            <w:sz w:val="21"/>
                          </w:rPr>
                          <w:t>260;</w:t>
                        </w:r>
                        <w:r>
                          <w:rPr>
                            <w:sz w:val="21"/>
                          </w:rPr>
                          <w:t>相对密度</w:t>
                        </w:r>
                        <w:r>
                          <w:rPr>
                            <w:rFonts w:ascii="Times New Roman" w:eastAsia="Times New Roman"/>
                            <w:sz w:val="21"/>
                          </w:rPr>
                          <w:t>(</w:t>
                        </w:r>
                        <w:r>
                          <w:rPr>
                            <w:sz w:val="21"/>
                          </w:rPr>
                          <w:t>水</w:t>
                        </w:r>
                      </w:p>
                      <w:p>
                        <w:pPr>
                          <w:pStyle w:val="TableParagraph"/>
                          <w:ind w:left="77" w:right="64"/>
                          <w:jc w:val="center"/>
                          <w:rPr>
                            <w:sz w:val="21"/>
                          </w:rPr>
                        </w:pPr>
                        <w:r>
                          <w:rPr>
                            <w:rFonts w:ascii="Times New Roman" w:eastAsia="Times New Roman"/>
                            <w:sz w:val="21"/>
                          </w:rPr>
                          <w:t>=1)</w:t>
                        </w:r>
                        <w:r>
                          <w:rPr>
                            <w:sz w:val="21"/>
                          </w:rPr>
                          <w:t>：</w:t>
                        </w:r>
                        <w:r>
                          <w:rPr>
                            <w:rFonts w:ascii="Times New Roman" w:eastAsia="Times New Roman"/>
                            <w:sz w:val="21"/>
                          </w:rPr>
                          <w:t>1</w:t>
                        </w:r>
                        <w:r>
                          <w:rPr>
                            <w:sz w:val="21"/>
                          </w:rPr>
                          <w:t>．</w:t>
                        </w:r>
                        <w:r>
                          <w:rPr>
                            <w:rFonts w:ascii="Times New Roman" w:eastAsia="Times New Roman"/>
                            <w:sz w:val="21"/>
                          </w:rPr>
                          <w:t>87(</w:t>
                        </w:r>
                        <w:r>
                          <w:rPr>
                            <w:sz w:val="21"/>
                          </w:rPr>
                          <w:t>纯晶</w:t>
                        </w:r>
                        <w:r>
                          <w:rPr>
                            <w:rFonts w:ascii="Times New Roman" w:eastAsia="Times New Roman"/>
                            <w:sz w:val="21"/>
                          </w:rPr>
                          <w:t>);</w:t>
                        </w:r>
                        <w:r>
                          <w:rPr>
                            <w:sz w:val="21"/>
                          </w:rPr>
                          <w:t>相对密度</w:t>
                        </w:r>
                        <w:r>
                          <w:rPr>
                            <w:rFonts w:ascii="Times New Roman" w:eastAsia="Times New Roman"/>
                            <w:sz w:val="21"/>
                          </w:rPr>
                          <w:t>(</w:t>
                        </w:r>
                        <w:r>
                          <w:rPr>
                            <w:sz w:val="21"/>
                          </w:rPr>
                          <w:t>空气</w:t>
                        </w:r>
                      </w:p>
                      <w:p>
                        <w:pPr>
                          <w:pStyle w:val="TableParagraph"/>
                          <w:ind w:left="81" w:right="64"/>
                          <w:jc w:val="center"/>
                          <w:rPr>
                            <w:rFonts w:ascii="Times New Roman" w:eastAsia="Times New Roman"/>
                            <w:sz w:val="21"/>
                          </w:rPr>
                        </w:pPr>
                        <w:r>
                          <w:rPr>
                            <w:rFonts w:ascii="Times New Roman" w:eastAsia="Times New Roman"/>
                            <w:spacing w:val="-1"/>
                            <w:w w:val="95"/>
                            <w:sz w:val="21"/>
                          </w:rPr>
                          <w:t>=1):3</w:t>
                        </w:r>
                        <w:r>
                          <w:rPr>
                            <w:spacing w:val="-1"/>
                            <w:w w:val="95"/>
                            <w:sz w:val="21"/>
                          </w:rPr>
                          <w:t>．</w:t>
                        </w:r>
                        <w:r>
                          <w:rPr>
                            <w:rFonts w:ascii="Times New Roman" w:eastAsia="Times New Roman"/>
                            <w:spacing w:val="-1"/>
                            <w:w w:val="95"/>
                            <w:sz w:val="21"/>
                          </w:rPr>
                          <w:t>38;</w:t>
                        </w:r>
                        <w:r>
                          <w:rPr>
                            <w:w w:val="95"/>
                            <w:sz w:val="21"/>
                          </w:rPr>
                          <w:t>饱和蒸汽压</w:t>
                        </w:r>
                        <w:r>
                          <w:rPr>
                            <w:rFonts w:ascii="Times New Roman" w:eastAsia="Times New Roman"/>
                            <w:spacing w:val="-4"/>
                            <w:w w:val="95"/>
                            <w:sz w:val="21"/>
                          </w:rPr>
                          <w:t>(kPa)</w:t>
                        </w:r>
                        <w:r>
                          <w:rPr>
                            <w:spacing w:val="-4"/>
                            <w:w w:val="95"/>
                            <w:sz w:val="21"/>
                          </w:rPr>
                          <w:t>：</w:t>
                        </w:r>
                        <w:r>
                          <w:rPr>
                            <w:rFonts w:ascii="Times New Roman" w:eastAsia="Times New Roman"/>
                            <w:spacing w:val="-4"/>
                            <w:w w:val="95"/>
                            <w:sz w:val="21"/>
                          </w:rPr>
                          <w:t>0</w:t>
                        </w:r>
                        <w:r>
                          <w:rPr>
                            <w:spacing w:val="-4"/>
                            <w:w w:val="95"/>
                            <w:sz w:val="21"/>
                          </w:rPr>
                          <w:t>．</w:t>
                        </w:r>
                        <w:r>
                          <w:rPr>
                            <w:rFonts w:ascii="Times New Roman" w:eastAsia="Times New Roman"/>
                            <w:spacing w:val="-4"/>
                            <w:w w:val="95"/>
                            <w:sz w:val="21"/>
                          </w:rPr>
                          <w:t>67</w:t>
                        </w:r>
                      </w:p>
                      <w:p>
                        <w:pPr>
                          <w:pStyle w:val="TableParagraph"/>
                          <w:spacing w:before="5" w:line="254" w:lineRule="exact"/>
                          <w:ind w:left="80" w:right="64"/>
                          <w:jc w:val="center"/>
                          <w:rPr>
                            <w:sz w:val="21"/>
                          </w:rPr>
                        </w:pPr>
                        <w:r>
                          <w:rPr>
                            <w:w w:val="95"/>
                            <w:sz w:val="21"/>
                          </w:rPr>
                          <w:t>／</w:t>
                        </w:r>
                        <w:r>
                          <w:rPr>
                            <w:rFonts w:ascii="Times New Roman" w:eastAsia="Times New Roman" w:hAnsi="Times New Roman"/>
                            <w:w w:val="95"/>
                            <w:sz w:val="21"/>
                          </w:rPr>
                          <w:t>25℃(</w:t>
                        </w:r>
                        <w:r>
                          <w:rPr>
                            <w:w w:val="95"/>
                            <w:sz w:val="21"/>
                          </w:rPr>
                          <w:t>纯</w:t>
                        </w:r>
                        <w:r>
                          <w:rPr>
                            <w:rFonts w:ascii="Times New Roman" w:eastAsia="Times New Roman" w:hAnsi="Times New Roman"/>
                            <w:w w:val="95"/>
                            <w:sz w:val="21"/>
                          </w:rPr>
                          <w:t>);</w:t>
                        </w:r>
                        <w:r>
                          <w:rPr>
                            <w:spacing w:val="-5"/>
                            <w:w w:val="95"/>
                            <w:sz w:val="21"/>
                          </w:rPr>
                          <w:t>溶解性：与水混溶，可</w:t>
                        </w:r>
                      </w:p>
                    </w:tc>
                    <w:tc>
                      <w:tcPr>
                        <w:tcW w:w="904"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spacing w:before="4"/>
                          <w:rPr>
                            <w:sz w:val="23"/>
                          </w:rPr>
                        </w:pPr>
                      </w:p>
                      <w:p>
                        <w:pPr>
                          <w:pStyle w:val="TableParagraph"/>
                          <w:spacing w:before="1"/>
                          <w:ind w:left="226" w:right="208"/>
                          <w:jc w:val="center"/>
                          <w:rPr>
                            <w:sz w:val="21"/>
                          </w:rPr>
                        </w:pPr>
                        <w:r>
                          <w:rPr>
                            <w:sz w:val="21"/>
                          </w:rPr>
                          <w:t>助燃</w:t>
                        </w:r>
                      </w:p>
                    </w:tc>
                    <w:tc>
                      <w:tcPr>
                        <w:tcW w:w="2538" w:type="dxa"/>
                        <w:tcBorders>
                          <w:top w:val="single" w:sz="4" w:space="0" w:color="000000"/>
                          <w:left w:val="single" w:sz="4" w:space="0" w:color="000000"/>
                          <w:bottom w:val="thickThinMediumGap" w:sz="4" w:space="0" w:color="000000"/>
                        </w:tcBorders>
                      </w:tcPr>
                      <w:p>
                        <w:pPr>
                          <w:pStyle w:val="TableParagraph"/>
                          <w:spacing w:line="242" w:lineRule="auto"/>
                          <w:ind w:left="147" w:right="64"/>
                          <w:jc w:val="both"/>
                          <w:rPr>
                            <w:sz w:val="21"/>
                          </w:rPr>
                        </w:pPr>
                        <w:r>
                          <w:rPr>
                            <w:spacing w:val="-2"/>
                            <w:sz w:val="21"/>
                          </w:rPr>
                          <w:t>有腐蚀性。受热分解产生</w:t>
                        </w:r>
                        <w:r>
                          <w:rPr>
                            <w:spacing w:val="-1"/>
                            <w:sz w:val="21"/>
                          </w:rPr>
                          <w:t>剧毒的氧化磷烟气。 强</w:t>
                        </w:r>
                        <w:r>
                          <w:rPr>
                            <w:spacing w:val="-2"/>
                            <w:sz w:val="21"/>
                          </w:rPr>
                          <w:t>酸；接触强腐蚀剂，放出大量热量，并发生溅射。与脂肪胺、链烷醇胺、烯</w:t>
                        </w:r>
                        <w:r>
                          <w:rPr>
                            <w:spacing w:val="-2"/>
                            <w:w w:val="95"/>
                            <w:sz w:val="21"/>
                          </w:rPr>
                          <w:t>基氧化物、芳香胺、氨基</w:t>
                        </w:r>
                      </w:p>
                      <w:p>
                        <w:pPr>
                          <w:pStyle w:val="TableParagraph"/>
                          <w:spacing w:line="254" w:lineRule="exact"/>
                          <w:ind w:left="147"/>
                          <w:rPr>
                            <w:sz w:val="21"/>
                          </w:rPr>
                        </w:pPr>
                        <w:r>
                          <w:rPr>
                            <w:w w:val="95"/>
                            <w:sz w:val="21"/>
                          </w:rPr>
                          <w:t>化合物、氨、氢氧化铵、</w:t>
                        </w:r>
                      </w:p>
                    </w:tc>
                  </w:tr>
                </w:tbl>
                <w:p>
                  <w:pPr>
                    <w:pStyle w:val="BodyText"/>
                  </w:pPr>
                </w:p>
              </w:txbxContent>
            </v:textbox>
          </v:shape>
        </w:pict>
      </w:r>
      <w:bookmarkStart w:id="8" w:name="原辅料理化性质"/>
      <w:bookmarkEnd w:id="8"/>
      <w:r>
        <w:rPr>
          <w:w w:val="99"/>
          <w:sz w:val="2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tabs>
          <w:tab w:val="left" w:pos="1571"/>
        </w:tabs>
        <w:spacing w:before="1"/>
        <w:ind w:left="631" w:right="0" w:firstLine="0"/>
        <w:jc w:val="left"/>
        <w:rPr>
          <w:sz w:val="28"/>
        </w:rPr>
      </w:pPr>
      <w:r>
        <w:rPr>
          <w:sz w:val="28"/>
        </w:rPr>
        <w:t>—</w:t>
      </w:r>
      <w:r>
        <w:rPr>
          <w:spacing w:val="59"/>
          <w:sz w:val="28"/>
        </w:rPr>
        <w:t xml:space="preserve"> </w:t>
      </w:r>
      <w:r>
        <w:rPr>
          <w:sz w:val="26"/>
        </w:rPr>
        <w:t>26</w:t>
      </w:r>
      <w:r>
        <w:rPr>
          <w:sz w:val="26"/>
        </w:rPr>
        <w:tab/>
      </w:r>
      <w:r>
        <w:rPr>
          <w:sz w:val="28"/>
        </w:rPr>
        <w:t>—</w:t>
      </w:r>
    </w:p>
    <w:p>
      <w:pPr>
        <w:spacing w:after="0"/>
        <w:jc w:val="left"/>
        <w:rPr>
          <w:sz w:val="28"/>
        </w:rPr>
        <w:sectPr>
          <w:pgSz w:w="11910" w:h="16840"/>
          <w:pgMar w:top="1580" w:right="879" w:bottom="280" w:left="900" w:header="720" w:footer="720" w:gutter="0"/>
          <w:pgNumType w:start="31"/>
          <w:cols w:num="1" w:space="720"/>
        </w:sectPr>
      </w:pPr>
    </w:p>
    <w:p>
      <w:pPr>
        <w:spacing w:before="134"/>
        <w:ind w:left="0" w:right="263" w:firstLine="0"/>
        <w:jc w:val="right"/>
        <w:rPr>
          <w:sz w:val="21"/>
        </w:rPr>
      </w:pPr>
      <w:r>
        <w:pict>
          <v:shape id="_x0000_s1036" o:spid="_x0000_s1035" type="#_x0000_t202" style="width:477.1pt;height:671.65pt;margin-top:85.05pt;margin-left:59.3pt;mso-height-relative:page;mso-position-horizontal-relative:page;mso-position-vertical-relative:page;mso-width-relative:page;position:absolute;z-index:251663360" coordsize="21600,21600" filled="f" stroked="f">
            <v:stroke joinstyle="miter"/>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09"/>
                    <w:gridCol w:w="113"/>
                    <w:gridCol w:w="1012"/>
                    <w:gridCol w:w="900"/>
                    <w:gridCol w:w="3337"/>
                    <w:gridCol w:w="904"/>
                    <w:gridCol w:w="2538"/>
                  </w:tblGrid>
                  <w:tr>
                    <w:tblPrEx>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807"/>
                    </w:trPr>
                    <w:tc>
                      <w:tcPr>
                        <w:tcW w:w="709"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1012"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900"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337" w:type="dxa"/>
                        <w:tcBorders>
                          <w:top w:val="single" w:sz="12" w:space="0" w:color="000000"/>
                          <w:left w:val="single" w:sz="4" w:space="0" w:color="000000"/>
                          <w:bottom w:val="single" w:sz="4" w:space="0" w:color="000000"/>
                          <w:right w:val="single" w:sz="4" w:space="0" w:color="000000"/>
                        </w:tcBorders>
                      </w:tcPr>
                      <w:p>
                        <w:pPr>
                          <w:pStyle w:val="TableParagraph"/>
                          <w:spacing w:before="1"/>
                          <w:ind w:left="76" w:right="58"/>
                          <w:jc w:val="center"/>
                          <w:rPr>
                            <w:sz w:val="21"/>
                          </w:rPr>
                        </w:pPr>
                        <w:r>
                          <w:rPr>
                            <w:sz w:val="21"/>
                          </w:rPr>
                          <w:t>混溶于乙醇</w:t>
                        </w:r>
                        <w:r>
                          <w:rPr>
                            <w:rFonts w:ascii="Times New Roman" w:eastAsia="Times New Roman"/>
                            <w:sz w:val="21"/>
                          </w:rPr>
                          <w:t>;</w:t>
                        </w:r>
                        <w:r>
                          <w:rPr>
                            <w:sz w:val="21"/>
                          </w:rPr>
                          <w:t>临界压力</w:t>
                        </w:r>
                        <w:r>
                          <w:rPr>
                            <w:rFonts w:ascii="Times New Roman" w:eastAsia="Times New Roman"/>
                            <w:sz w:val="21"/>
                          </w:rPr>
                          <w:t>(MPa)</w:t>
                        </w:r>
                        <w:r>
                          <w:rPr>
                            <w:sz w:val="21"/>
                          </w:rPr>
                          <w:t>：粘度</w:t>
                        </w:r>
                      </w:p>
                      <w:p>
                        <w:pPr>
                          <w:pStyle w:val="TableParagraph"/>
                          <w:spacing w:before="3"/>
                          <w:ind w:left="80" w:right="64"/>
                          <w:jc w:val="center"/>
                          <w:rPr>
                            <w:sz w:val="21"/>
                          </w:rPr>
                        </w:pPr>
                        <w:r>
                          <w:rPr>
                            <w:rFonts w:ascii="Times New Roman" w:eastAsia="Times New Roman"/>
                            <w:sz w:val="21"/>
                          </w:rPr>
                          <w:t>(mm</w:t>
                        </w:r>
                        <w:r>
                          <w:rPr>
                            <w:rFonts w:ascii="Times New Roman" w:eastAsia="Times New Roman"/>
                            <w:position w:val="7"/>
                            <w:sz w:val="13"/>
                          </w:rPr>
                          <w:t>2</w:t>
                        </w:r>
                        <w:r>
                          <w:rPr>
                            <w:rFonts w:ascii="Times New Roman" w:eastAsia="Times New Roman"/>
                            <w:sz w:val="21"/>
                          </w:rPr>
                          <w:t>/S)</w:t>
                        </w:r>
                        <w:r>
                          <w:rPr>
                            <w:sz w:val="21"/>
                          </w:rPr>
                          <w:t>：</w:t>
                        </w:r>
                        <w:r>
                          <w:rPr>
                            <w:rFonts w:ascii="Times New Roman" w:eastAsia="Times New Roman"/>
                            <w:sz w:val="21"/>
                          </w:rPr>
                          <w:t>47.0c.p.</w:t>
                        </w:r>
                        <w:r>
                          <w:rPr>
                            <w:sz w:val="21"/>
                          </w:rPr>
                          <w:t>；</w:t>
                        </w:r>
                      </w:p>
                    </w:tc>
                    <w:tc>
                      <w:tcPr>
                        <w:tcW w:w="904"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2538" w:type="dxa"/>
                        <w:tcBorders>
                          <w:top w:val="single" w:sz="12" w:space="0" w:color="000000"/>
                          <w:left w:val="single" w:sz="4" w:space="0" w:color="000000"/>
                          <w:bottom w:val="single" w:sz="4" w:space="0" w:color="000000"/>
                        </w:tcBorders>
                      </w:tcPr>
                      <w:p>
                        <w:pPr>
                          <w:pStyle w:val="TableParagraph"/>
                          <w:spacing w:before="1" w:line="242" w:lineRule="auto"/>
                          <w:ind w:left="113" w:right="64" w:hanging="70"/>
                          <w:jc w:val="center"/>
                          <w:rPr>
                            <w:sz w:val="21"/>
                          </w:rPr>
                        </w:pPr>
                        <w:r>
                          <w:rPr>
                            <w:spacing w:val="-6"/>
                            <w:sz w:val="21"/>
                          </w:rPr>
                          <w:t>碱、氧化钙、环氧氯丙烷异氰酸酯不能配伍。与硝基甲烷、发烟硫酸、有机</w:t>
                        </w:r>
                        <w:r>
                          <w:rPr>
                            <w:spacing w:val="-7"/>
                            <w:sz w:val="21"/>
                          </w:rPr>
                          <w:t>酸酐、硫酸、四硼氢化钠强氧化剂、醋酸乙烯酯和水接触发生爆炸。接触大多数金属能形成易燃氢  气。如果作为金属洗净剂金属中的杂质能引起形成剧毒的磷化氢气体。能腐</w:t>
                        </w:r>
                        <w:r>
                          <w:rPr>
                            <w:spacing w:val="-9"/>
                            <w:sz w:val="21"/>
                          </w:rPr>
                          <w:t>蚀某些塑料、橡胶、涂料玻璃和陶瓷。</w:t>
                        </w:r>
                      </w:p>
                      <w:p>
                        <w:pPr>
                          <w:pStyle w:val="TableParagraph"/>
                          <w:spacing w:before="5" w:line="270" w:lineRule="atLeast"/>
                          <w:ind w:left="444" w:right="363" w:firstLine="2"/>
                          <w:jc w:val="center"/>
                          <w:rPr>
                            <w:rFonts w:ascii="Times New Roman" w:eastAsia="Times New Roman"/>
                            <w:sz w:val="21"/>
                          </w:rPr>
                        </w:pPr>
                        <w:r>
                          <w:rPr>
                            <w:sz w:val="21"/>
                          </w:rPr>
                          <w:t>易燃性</w:t>
                        </w:r>
                        <w:r>
                          <w:rPr>
                            <w:rFonts w:ascii="Times New Roman" w:eastAsia="Times New Roman"/>
                            <w:sz w:val="21"/>
                          </w:rPr>
                          <w:t>(</w:t>
                        </w:r>
                        <w:r>
                          <w:rPr>
                            <w:sz w:val="21"/>
                          </w:rPr>
                          <w:t>红色</w:t>
                        </w:r>
                        <w:r>
                          <w:rPr>
                            <w:rFonts w:ascii="Times New Roman" w:eastAsia="Times New Roman"/>
                            <w:sz w:val="21"/>
                          </w:rPr>
                          <w:t>)</w:t>
                        </w:r>
                        <w:r>
                          <w:rPr>
                            <w:sz w:val="21"/>
                          </w:rPr>
                          <w:t>：</w:t>
                        </w:r>
                        <w:r>
                          <w:rPr>
                            <w:rFonts w:ascii="Times New Roman" w:eastAsia="Times New Roman"/>
                            <w:sz w:val="21"/>
                          </w:rPr>
                          <w:t xml:space="preserve">0 </w:t>
                        </w:r>
                        <w:r>
                          <w:rPr>
                            <w:sz w:val="21"/>
                          </w:rPr>
                          <w:t>反应活性</w:t>
                        </w:r>
                        <w:r>
                          <w:rPr>
                            <w:rFonts w:ascii="Times New Roman" w:eastAsia="Times New Roman"/>
                            <w:sz w:val="21"/>
                          </w:rPr>
                          <w:t>(</w:t>
                        </w:r>
                        <w:r>
                          <w:rPr>
                            <w:sz w:val="21"/>
                          </w:rPr>
                          <w:t>黄色</w:t>
                        </w:r>
                        <w:r>
                          <w:rPr>
                            <w:rFonts w:ascii="Times New Roman" w:eastAsia="Times New Roman"/>
                            <w:sz w:val="21"/>
                          </w:rPr>
                          <w:t>)</w:t>
                        </w:r>
                        <w:r>
                          <w:rPr>
                            <w:sz w:val="21"/>
                          </w:rPr>
                          <w:t>：</w:t>
                        </w:r>
                        <w:r>
                          <w:rPr>
                            <w:rFonts w:ascii="Times New Roman" w:eastAsia="Times New Roman"/>
                            <w:sz w:val="21"/>
                          </w:rPr>
                          <w:t>0</w:t>
                        </w:r>
                      </w:p>
                    </w:tc>
                  </w:tr>
                  <w:tr>
                    <w:tblPrEx>
                      <w:tblW w:w="0" w:type="auto"/>
                      <w:tblInd w:w="10" w:type="dxa"/>
                      <w:tblLayout w:type="fixed"/>
                      <w:tblCellMar>
                        <w:top w:w="0" w:type="dxa"/>
                        <w:left w:w="0" w:type="dxa"/>
                        <w:bottom w:w="0" w:type="dxa"/>
                        <w:right w:w="0" w:type="dxa"/>
                      </w:tblCellMar>
                    </w:tblPrEx>
                    <w:trPr>
                      <w:trHeight w:val="2441"/>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012"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7"/>
                          <w:rPr>
                            <w:sz w:val="24"/>
                          </w:rPr>
                        </w:pPr>
                      </w:p>
                      <w:p>
                        <w:pPr>
                          <w:pStyle w:val="TableParagraph"/>
                          <w:spacing w:before="1"/>
                          <w:ind w:left="171" w:right="155"/>
                          <w:jc w:val="center"/>
                          <w:rPr>
                            <w:sz w:val="21"/>
                          </w:rPr>
                        </w:pPr>
                        <w:r>
                          <w:rPr>
                            <w:sz w:val="21"/>
                          </w:rPr>
                          <w:t>硫酸</w:t>
                        </w:r>
                      </w:p>
                    </w:tc>
                    <w:tc>
                      <w:tcPr>
                        <w:tcW w:w="900"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spacing w:before="5"/>
                          <w:rPr>
                            <w:sz w:val="19"/>
                          </w:rPr>
                        </w:pPr>
                      </w:p>
                      <w:p>
                        <w:pPr>
                          <w:pStyle w:val="TableParagraph"/>
                          <w:spacing w:before="1"/>
                          <w:ind w:left="116" w:right="98"/>
                          <w:jc w:val="center"/>
                          <w:rPr>
                            <w:rFonts w:ascii="Times New Roman"/>
                            <w:sz w:val="21"/>
                          </w:rPr>
                        </w:pPr>
                        <w:r>
                          <w:rPr>
                            <w:rFonts w:ascii="Times New Roman"/>
                            <w:position w:val="2"/>
                            <w:sz w:val="21"/>
                          </w:rPr>
                          <w:t>H</w:t>
                        </w:r>
                        <w:r>
                          <w:rPr>
                            <w:rFonts w:ascii="Times New Roman"/>
                            <w:position w:val="2"/>
                            <w:sz w:val="21"/>
                            <w:vertAlign w:val="subscript"/>
                          </w:rPr>
                          <w:t>2</w:t>
                        </w:r>
                        <w:r>
                          <w:rPr>
                            <w:rFonts w:ascii="Times New Roman"/>
                            <w:position w:val="2"/>
                            <w:sz w:val="21"/>
                            <w:vertAlign w:val="baseline"/>
                          </w:rPr>
                          <w:t>SO</w:t>
                        </w:r>
                        <w:r>
                          <w:rPr>
                            <w:rFonts w:ascii="Times New Roman"/>
                            <w:position w:val="2"/>
                            <w:sz w:val="21"/>
                            <w:vertAlign w:val="subscript"/>
                          </w:rPr>
                          <w:t>4</w:t>
                        </w:r>
                      </w:p>
                    </w:tc>
                    <w:tc>
                      <w:tcPr>
                        <w:tcW w:w="3337"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11" w:right="93"/>
                          <w:jc w:val="both"/>
                          <w:rPr>
                            <w:sz w:val="21"/>
                          </w:rPr>
                        </w:pPr>
                        <w:r>
                          <w:rPr>
                            <w:spacing w:val="-6"/>
                            <w:sz w:val="21"/>
                          </w:rPr>
                          <w:t>外观与性状：纯品为无色透明油状</w:t>
                        </w:r>
                        <w:r>
                          <w:rPr>
                            <w:spacing w:val="-9"/>
                            <w:sz w:val="21"/>
                          </w:rPr>
                          <w:t>液体，无臭</w:t>
                        </w:r>
                        <w:r>
                          <w:rPr>
                            <w:rFonts w:ascii="Times New Roman" w:eastAsia="Times New Roman"/>
                            <w:sz w:val="21"/>
                          </w:rPr>
                          <w:t>;</w:t>
                        </w:r>
                        <w:r>
                          <w:rPr>
                            <w:spacing w:val="-8"/>
                            <w:sz w:val="21"/>
                          </w:rPr>
                          <w:t>主要用途：用于生产化</w:t>
                        </w:r>
                        <w:r>
                          <w:rPr>
                            <w:spacing w:val="-6"/>
                            <w:sz w:val="21"/>
                          </w:rPr>
                          <w:t>学肥料，在化工、医药、塑料、染</w:t>
                        </w:r>
                        <w:r>
                          <w:rPr>
                            <w:spacing w:val="-7"/>
                            <w:sz w:val="21"/>
                          </w:rPr>
                          <w:t>料、石油提炼等工业也有广泛的应</w:t>
                        </w:r>
                        <w:r>
                          <w:rPr>
                            <w:sz w:val="21"/>
                          </w:rPr>
                          <w:t>用</w:t>
                        </w:r>
                        <w:r>
                          <w:rPr>
                            <w:rFonts w:ascii="Times New Roman" w:eastAsia="Times New Roman"/>
                            <w:sz w:val="21"/>
                          </w:rPr>
                          <w:t>;</w:t>
                        </w:r>
                        <w:r>
                          <w:rPr>
                            <w:spacing w:val="-3"/>
                            <w:sz w:val="21"/>
                          </w:rPr>
                          <w:t>熔点：</w:t>
                        </w:r>
                        <w:r>
                          <w:rPr>
                            <w:rFonts w:ascii="Times New Roman" w:eastAsia="Times New Roman"/>
                            <w:spacing w:val="-8"/>
                            <w:sz w:val="21"/>
                          </w:rPr>
                          <w:t>10</w:t>
                        </w:r>
                        <w:r>
                          <w:rPr>
                            <w:spacing w:val="-8"/>
                            <w:sz w:val="21"/>
                          </w:rPr>
                          <w:t>．</w:t>
                        </w:r>
                        <w:r>
                          <w:rPr>
                            <w:rFonts w:ascii="Times New Roman" w:eastAsia="Times New Roman"/>
                            <w:spacing w:val="-8"/>
                            <w:sz w:val="21"/>
                          </w:rPr>
                          <w:t>5;</w:t>
                        </w:r>
                        <w:r>
                          <w:rPr>
                            <w:spacing w:val="-3"/>
                            <w:sz w:val="21"/>
                          </w:rPr>
                          <w:t>沸点：</w:t>
                        </w:r>
                        <w:r>
                          <w:rPr>
                            <w:rFonts w:ascii="Times New Roman" w:eastAsia="Times New Roman"/>
                            <w:spacing w:val="-8"/>
                            <w:sz w:val="21"/>
                          </w:rPr>
                          <w:t>330</w:t>
                        </w:r>
                        <w:r>
                          <w:rPr>
                            <w:spacing w:val="-8"/>
                            <w:sz w:val="21"/>
                          </w:rPr>
                          <w:t>．</w:t>
                        </w:r>
                        <w:r>
                          <w:rPr>
                            <w:rFonts w:ascii="Times New Roman" w:eastAsia="Times New Roman"/>
                            <w:spacing w:val="-8"/>
                            <w:sz w:val="21"/>
                          </w:rPr>
                          <w:t>0;</w:t>
                        </w:r>
                        <w:r>
                          <w:rPr>
                            <w:sz w:val="21"/>
                          </w:rPr>
                          <w:t>相对</w:t>
                        </w:r>
                        <w:r>
                          <w:rPr>
                            <w:w w:val="95"/>
                            <w:sz w:val="21"/>
                          </w:rPr>
                          <w:t>密度</w:t>
                        </w:r>
                        <w:r>
                          <w:rPr>
                            <w:rFonts w:ascii="Times New Roman" w:eastAsia="Times New Roman"/>
                            <w:w w:val="95"/>
                            <w:sz w:val="21"/>
                          </w:rPr>
                          <w:t>(</w:t>
                        </w:r>
                        <w:r>
                          <w:rPr>
                            <w:w w:val="95"/>
                            <w:sz w:val="21"/>
                          </w:rPr>
                          <w:t>水</w:t>
                        </w:r>
                        <w:r>
                          <w:rPr>
                            <w:rFonts w:ascii="Times New Roman" w:eastAsia="Times New Roman"/>
                            <w:w w:val="95"/>
                            <w:sz w:val="21"/>
                          </w:rPr>
                          <w:t>=1)</w:t>
                        </w:r>
                        <w:r>
                          <w:rPr>
                            <w:w w:val="95"/>
                            <w:sz w:val="21"/>
                          </w:rPr>
                          <w:t>：</w:t>
                        </w:r>
                        <w:r>
                          <w:rPr>
                            <w:rFonts w:ascii="Times New Roman" w:eastAsia="Times New Roman"/>
                            <w:w w:val="95"/>
                            <w:sz w:val="21"/>
                          </w:rPr>
                          <w:t>1</w:t>
                        </w:r>
                        <w:r>
                          <w:rPr>
                            <w:w w:val="95"/>
                            <w:sz w:val="21"/>
                          </w:rPr>
                          <w:t>．</w:t>
                        </w:r>
                        <w:r>
                          <w:rPr>
                            <w:rFonts w:ascii="Times New Roman" w:eastAsia="Times New Roman"/>
                            <w:w w:val="95"/>
                            <w:sz w:val="21"/>
                          </w:rPr>
                          <w:t>83;</w:t>
                        </w:r>
                        <w:r>
                          <w:rPr>
                            <w:w w:val="95"/>
                            <w:sz w:val="21"/>
                          </w:rPr>
                          <w:t>相对密度</w:t>
                        </w:r>
                        <w:r>
                          <w:rPr>
                            <w:rFonts w:ascii="Times New Roman" w:eastAsia="Times New Roman"/>
                            <w:w w:val="95"/>
                            <w:sz w:val="21"/>
                          </w:rPr>
                          <w:t>(</w:t>
                        </w:r>
                        <w:r>
                          <w:rPr>
                            <w:w w:val="95"/>
                            <w:sz w:val="21"/>
                          </w:rPr>
                          <w:t>空气</w:t>
                        </w:r>
                      </w:p>
                      <w:p>
                        <w:pPr>
                          <w:pStyle w:val="TableParagraph"/>
                          <w:spacing w:before="4"/>
                          <w:ind w:left="81" w:right="64"/>
                          <w:jc w:val="center"/>
                          <w:rPr>
                            <w:rFonts w:ascii="Times New Roman" w:eastAsia="Times New Roman"/>
                            <w:sz w:val="21"/>
                          </w:rPr>
                        </w:pPr>
                        <w:r>
                          <w:rPr>
                            <w:rFonts w:ascii="Times New Roman" w:eastAsia="Times New Roman"/>
                            <w:w w:val="95"/>
                            <w:sz w:val="21"/>
                          </w:rPr>
                          <w:t>=1):3</w:t>
                        </w:r>
                        <w:r>
                          <w:rPr>
                            <w:w w:val="95"/>
                            <w:sz w:val="21"/>
                          </w:rPr>
                          <w:t>．</w:t>
                        </w:r>
                        <w:r>
                          <w:rPr>
                            <w:rFonts w:ascii="Times New Roman" w:eastAsia="Times New Roman"/>
                            <w:w w:val="95"/>
                            <w:sz w:val="21"/>
                          </w:rPr>
                          <w:t>4;</w:t>
                        </w:r>
                        <w:r>
                          <w:rPr>
                            <w:w w:val="95"/>
                            <w:sz w:val="21"/>
                          </w:rPr>
                          <w:t>饱和蒸汽压</w:t>
                        </w:r>
                        <w:r>
                          <w:rPr>
                            <w:rFonts w:ascii="Times New Roman" w:eastAsia="Times New Roman"/>
                            <w:w w:val="95"/>
                            <w:sz w:val="21"/>
                          </w:rPr>
                          <w:t>(kPa)</w:t>
                        </w:r>
                        <w:r>
                          <w:rPr>
                            <w:w w:val="95"/>
                            <w:sz w:val="21"/>
                          </w:rPr>
                          <w:t>：</w:t>
                        </w:r>
                        <w:r>
                          <w:rPr>
                            <w:rFonts w:ascii="Times New Roman" w:eastAsia="Times New Roman"/>
                            <w:w w:val="95"/>
                            <w:sz w:val="21"/>
                          </w:rPr>
                          <w:t>0</w:t>
                        </w:r>
                        <w:r>
                          <w:rPr>
                            <w:w w:val="95"/>
                            <w:sz w:val="21"/>
                          </w:rPr>
                          <w:t>．</w:t>
                        </w:r>
                        <w:r>
                          <w:rPr>
                            <w:rFonts w:ascii="Times New Roman" w:eastAsia="Times New Roman"/>
                            <w:w w:val="95"/>
                            <w:sz w:val="21"/>
                          </w:rPr>
                          <w:t>13</w:t>
                        </w:r>
                      </w:p>
                      <w:p>
                        <w:pPr>
                          <w:pStyle w:val="TableParagraph"/>
                          <w:spacing w:before="2"/>
                          <w:ind w:left="82" w:right="64"/>
                          <w:jc w:val="center"/>
                          <w:rPr>
                            <w:sz w:val="21"/>
                          </w:rPr>
                        </w:pPr>
                        <w:r>
                          <w:rPr>
                            <w:sz w:val="21"/>
                          </w:rPr>
                          <w:t>／</w:t>
                        </w:r>
                        <w:r>
                          <w:rPr>
                            <w:rFonts w:ascii="Times New Roman" w:eastAsia="Times New Roman" w:hAnsi="Times New Roman"/>
                            <w:sz w:val="21"/>
                          </w:rPr>
                          <w:t>145</w:t>
                        </w:r>
                        <w:r>
                          <w:rPr>
                            <w:sz w:val="21"/>
                          </w:rPr>
                          <w:t>．</w:t>
                        </w:r>
                        <w:r>
                          <w:rPr>
                            <w:rFonts w:ascii="Times New Roman" w:eastAsia="Times New Roman" w:hAnsi="Times New Roman"/>
                            <w:sz w:val="21"/>
                          </w:rPr>
                          <w:t>8℃;</w:t>
                        </w:r>
                        <w:r>
                          <w:rPr>
                            <w:sz w:val="21"/>
                          </w:rPr>
                          <w:t>溶解性：与水混溶</w:t>
                        </w:r>
                      </w:p>
                    </w:tc>
                    <w:tc>
                      <w:tcPr>
                        <w:tcW w:w="904"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7"/>
                          <w:rPr>
                            <w:sz w:val="24"/>
                          </w:rPr>
                        </w:pPr>
                      </w:p>
                      <w:p>
                        <w:pPr>
                          <w:pStyle w:val="TableParagraph"/>
                          <w:spacing w:before="1"/>
                          <w:ind w:left="226" w:right="208"/>
                          <w:jc w:val="center"/>
                          <w:rPr>
                            <w:sz w:val="21"/>
                          </w:rPr>
                        </w:pPr>
                        <w:r>
                          <w:rPr>
                            <w:sz w:val="21"/>
                          </w:rPr>
                          <w:t>助燃</w:t>
                        </w:r>
                      </w:p>
                    </w:tc>
                    <w:tc>
                      <w:tcPr>
                        <w:tcW w:w="2538" w:type="dxa"/>
                        <w:tcBorders>
                          <w:top w:val="single" w:sz="4" w:space="0" w:color="000000"/>
                          <w:left w:val="single" w:sz="4" w:space="0" w:color="000000"/>
                          <w:bottom w:val="single" w:sz="4" w:space="0" w:color="000000"/>
                        </w:tcBorders>
                      </w:tcPr>
                      <w:p>
                        <w:pPr>
                          <w:pStyle w:val="TableParagraph"/>
                          <w:spacing w:line="242" w:lineRule="auto"/>
                          <w:ind w:left="113" w:right="31"/>
                          <w:jc w:val="center"/>
                          <w:rPr>
                            <w:sz w:val="21"/>
                          </w:rPr>
                        </w:pPr>
                        <w:r>
                          <w:rPr>
                            <w:sz w:val="21"/>
                          </w:rPr>
                          <w:t>与易燃物</w:t>
                        </w:r>
                        <w:r>
                          <w:rPr>
                            <w:rFonts w:ascii="Times New Roman" w:eastAsia="Times New Roman"/>
                            <w:spacing w:val="-3"/>
                            <w:sz w:val="21"/>
                          </w:rPr>
                          <w:t>(</w:t>
                        </w:r>
                        <w:r>
                          <w:rPr>
                            <w:sz w:val="21"/>
                          </w:rPr>
                          <w:t>如苯</w:t>
                        </w:r>
                        <w:r>
                          <w:rPr>
                            <w:rFonts w:ascii="Times New Roman" w:eastAsia="Times New Roman"/>
                            <w:sz w:val="21"/>
                          </w:rPr>
                          <w:t>)</w:t>
                        </w:r>
                        <w:r>
                          <w:rPr>
                            <w:sz w:val="21"/>
                          </w:rPr>
                          <w:t xml:space="preserve">和有机物 </w:t>
                        </w:r>
                        <w:r>
                          <w:rPr>
                            <w:rFonts w:ascii="Times New Roman" w:eastAsia="Times New Roman"/>
                            <w:spacing w:val="-3"/>
                            <w:w w:val="95"/>
                            <w:sz w:val="21"/>
                          </w:rPr>
                          <w:t>(</w:t>
                        </w:r>
                        <w:r>
                          <w:rPr>
                            <w:spacing w:val="-12"/>
                            <w:w w:val="95"/>
                            <w:sz w:val="21"/>
                          </w:rPr>
                          <w:t>如糖、纤维素等</w:t>
                        </w:r>
                        <w:r>
                          <w:rPr>
                            <w:rFonts w:ascii="Times New Roman" w:eastAsia="Times New Roman"/>
                            <w:w w:val="95"/>
                            <w:sz w:val="21"/>
                          </w:rPr>
                          <w:t>)</w:t>
                        </w:r>
                        <w:r>
                          <w:rPr>
                            <w:spacing w:val="-3"/>
                            <w:w w:val="95"/>
                            <w:sz w:val="21"/>
                          </w:rPr>
                          <w:t>接触会发</w:t>
                        </w:r>
                        <w:r>
                          <w:rPr>
                            <w:sz w:val="21"/>
                          </w:rPr>
                          <w:t>生剧烈反应，甚至引起燃烧。能与一些活性金属粉末发生反应，放出氢气。遇水大量放热，可发生沸溅。具有强腐蚀性。能腐蚀绝大多数金属和塑料、</w:t>
                        </w:r>
                      </w:p>
                      <w:p>
                        <w:pPr>
                          <w:pStyle w:val="TableParagraph"/>
                          <w:spacing w:line="247" w:lineRule="exact"/>
                          <w:ind w:left="111" w:right="31"/>
                          <w:jc w:val="center"/>
                          <w:rPr>
                            <w:sz w:val="21"/>
                          </w:rPr>
                        </w:pPr>
                        <w:r>
                          <w:rPr>
                            <w:sz w:val="21"/>
                          </w:rPr>
                          <w:t>橡胶及涂料。</w:t>
                        </w:r>
                      </w:p>
                    </w:tc>
                  </w:tr>
                  <w:tr>
                    <w:tblPrEx>
                      <w:tblW w:w="0" w:type="auto"/>
                      <w:tblInd w:w="10" w:type="dxa"/>
                      <w:tblLayout w:type="fixed"/>
                      <w:tblCellMar>
                        <w:top w:w="0" w:type="dxa"/>
                        <w:left w:w="0" w:type="dxa"/>
                        <w:bottom w:w="0" w:type="dxa"/>
                        <w:right w:w="0" w:type="dxa"/>
                      </w:tblCellMar>
                    </w:tblPrEx>
                    <w:trPr>
                      <w:trHeight w:val="6254"/>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012"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72"/>
                          <w:ind w:left="171" w:right="155"/>
                          <w:jc w:val="center"/>
                          <w:rPr>
                            <w:sz w:val="21"/>
                          </w:rPr>
                        </w:pPr>
                        <w:r>
                          <w:rPr>
                            <w:sz w:val="21"/>
                          </w:rPr>
                          <w:t>盐酸</w:t>
                        </w:r>
                      </w:p>
                    </w:tc>
                    <w:tc>
                      <w:tcPr>
                        <w:tcW w:w="900"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86"/>
                          <w:ind w:left="116" w:right="99"/>
                          <w:jc w:val="center"/>
                          <w:rPr>
                            <w:rFonts w:ascii="Times New Roman"/>
                            <w:sz w:val="21"/>
                          </w:rPr>
                        </w:pPr>
                        <w:r>
                          <w:rPr>
                            <w:rFonts w:ascii="Times New Roman"/>
                            <w:sz w:val="21"/>
                          </w:rPr>
                          <w:t>HCl</w:t>
                        </w:r>
                      </w:p>
                    </w:tc>
                    <w:tc>
                      <w:tcPr>
                        <w:tcW w:w="3337"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2"/>
                          <w:rPr>
                            <w:sz w:val="28"/>
                          </w:rPr>
                        </w:pPr>
                      </w:p>
                      <w:p>
                        <w:pPr>
                          <w:pStyle w:val="TableParagraph"/>
                          <w:spacing w:before="1" w:line="242" w:lineRule="auto"/>
                          <w:ind w:left="111" w:right="-15"/>
                          <w:rPr>
                            <w:sz w:val="21"/>
                          </w:rPr>
                        </w:pPr>
                        <w:r>
                          <w:rPr>
                            <w:spacing w:val="-5"/>
                            <w:sz w:val="21"/>
                          </w:rPr>
                          <w:t>外观与性状：无色或微黄色发烟液</w:t>
                        </w:r>
                        <w:r>
                          <w:rPr>
                            <w:spacing w:val="-6"/>
                            <w:sz w:val="21"/>
                          </w:rPr>
                          <w:t xml:space="preserve">体，有刺鼻的酸味；主要用途：重要的无机化工原料，广泛用于染 </w:t>
                        </w:r>
                        <w:r>
                          <w:rPr>
                            <w:spacing w:val="-5"/>
                            <w:sz w:val="21"/>
                          </w:rPr>
                          <w:t>料、医药、食品、印染、皮革、冶金等行业；熔点：</w:t>
                        </w:r>
                        <w:r>
                          <w:rPr>
                            <w:rFonts w:ascii="Times New Roman" w:eastAsia="Times New Roman" w:hAnsi="Times New Roman"/>
                            <w:sz w:val="21"/>
                          </w:rPr>
                          <w:t>-114</w:t>
                        </w:r>
                        <w:r>
                          <w:rPr>
                            <w:sz w:val="21"/>
                          </w:rPr>
                          <w:t>．</w:t>
                        </w:r>
                        <w:r>
                          <w:rPr>
                            <w:rFonts w:ascii="Times New Roman" w:eastAsia="Times New Roman" w:hAnsi="Times New Roman"/>
                            <w:sz w:val="21"/>
                          </w:rPr>
                          <w:t>8(</w:t>
                        </w:r>
                        <w:r>
                          <w:rPr>
                            <w:sz w:val="21"/>
                          </w:rPr>
                          <w:t>纯</w:t>
                        </w:r>
                        <w:r>
                          <w:rPr>
                            <w:rFonts w:ascii="Times New Roman" w:eastAsia="Times New Roman" w:hAnsi="Times New Roman"/>
                            <w:spacing w:val="-3"/>
                            <w:sz w:val="21"/>
                          </w:rPr>
                          <w:t>)</w:t>
                        </w:r>
                        <w:r>
                          <w:rPr>
                            <w:spacing w:val="-2"/>
                            <w:sz w:val="21"/>
                          </w:rPr>
                          <w:t>；沸</w:t>
                        </w:r>
                        <w:r>
                          <w:rPr>
                            <w:spacing w:val="-9"/>
                            <w:w w:val="95"/>
                            <w:sz w:val="21"/>
                          </w:rPr>
                          <w:t>点：</w:t>
                        </w:r>
                        <w:r>
                          <w:rPr>
                            <w:rFonts w:ascii="Times New Roman" w:eastAsia="Times New Roman" w:hAnsi="Times New Roman"/>
                            <w:spacing w:val="-15"/>
                            <w:w w:val="95"/>
                            <w:sz w:val="21"/>
                          </w:rPr>
                          <w:t>108</w:t>
                        </w:r>
                        <w:r>
                          <w:rPr>
                            <w:spacing w:val="-15"/>
                            <w:w w:val="95"/>
                            <w:sz w:val="21"/>
                          </w:rPr>
                          <w:t>．</w:t>
                        </w:r>
                        <w:r>
                          <w:rPr>
                            <w:rFonts w:ascii="Times New Roman" w:eastAsia="Times New Roman" w:hAnsi="Times New Roman"/>
                            <w:spacing w:val="-15"/>
                            <w:w w:val="95"/>
                            <w:sz w:val="21"/>
                          </w:rPr>
                          <w:t>6(20%)</w:t>
                        </w:r>
                        <w:r>
                          <w:rPr>
                            <w:spacing w:val="-4"/>
                            <w:w w:val="95"/>
                            <w:sz w:val="21"/>
                          </w:rPr>
                          <w:t>；相对密度</w:t>
                        </w:r>
                        <w:r>
                          <w:rPr>
                            <w:rFonts w:ascii="Times New Roman" w:eastAsia="Times New Roman" w:hAnsi="Times New Roman"/>
                            <w:w w:val="95"/>
                            <w:sz w:val="21"/>
                          </w:rPr>
                          <w:t>(</w:t>
                        </w:r>
                        <w:r>
                          <w:rPr>
                            <w:w w:val="95"/>
                            <w:sz w:val="21"/>
                          </w:rPr>
                          <w:t>水</w:t>
                        </w:r>
                        <w:r>
                          <w:rPr>
                            <w:rFonts w:ascii="Times New Roman" w:eastAsia="Times New Roman" w:hAnsi="Times New Roman"/>
                            <w:w w:val="95"/>
                            <w:sz w:val="21"/>
                          </w:rPr>
                          <w:t>=1)</w:t>
                        </w:r>
                        <w:r>
                          <w:rPr>
                            <w:w w:val="95"/>
                            <w:sz w:val="21"/>
                          </w:rPr>
                          <w:t xml:space="preserve">： </w:t>
                        </w:r>
                        <w:r>
                          <w:rPr>
                            <w:rFonts w:ascii="Times New Roman" w:eastAsia="Times New Roman" w:hAnsi="Times New Roman"/>
                            <w:spacing w:val="-11"/>
                            <w:sz w:val="21"/>
                          </w:rPr>
                          <w:t>1</w:t>
                        </w:r>
                        <w:r>
                          <w:rPr>
                            <w:spacing w:val="-11"/>
                            <w:sz w:val="21"/>
                          </w:rPr>
                          <w:t>．</w:t>
                        </w:r>
                        <w:r>
                          <w:rPr>
                            <w:rFonts w:ascii="Times New Roman" w:eastAsia="Times New Roman" w:hAnsi="Times New Roman"/>
                            <w:spacing w:val="-11"/>
                            <w:sz w:val="21"/>
                          </w:rPr>
                          <w:t>20</w:t>
                        </w:r>
                        <w:r>
                          <w:rPr>
                            <w:rFonts w:ascii="Times New Roman" w:eastAsia="Times New Roman" w:hAnsi="Times New Roman"/>
                            <w:spacing w:val="7"/>
                            <w:sz w:val="21"/>
                          </w:rPr>
                          <w:t xml:space="preserve"> </w:t>
                        </w:r>
                        <w:r>
                          <w:rPr>
                            <w:spacing w:val="-10"/>
                            <w:sz w:val="21"/>
                          </w:rPr>
                          <w:t>；相对密度</w:t>
                        </w:r>
                        <w:r>
                          <w:rPr>
                            <w:rFonts w:ascii="Times New Roman" w:eastAsia="Times New Roman" w:hAnsi="Times New Roman"/>
                            <w:sz w:val="21"/>
                          </w:rPr>
                          <w:t>(</w:t>
                        </w:r>
                        <w:r>
                          <w:rPr>
                            <w:sz w:val="21"/>
                          </w:rPr>
                          <w:t>空气</w:t>
                        </w:r>
                        <w:r>
                          <w:rPr>
                            <w:rFonts w:ascii="Times New Roman" w:eastAsia="Times New Roman" w:hAnsi="Times New Roman"/>
                            <w:spacing w:val="-6"/>
                            <w:sz w:val="21"/>
                          </w:rPr>
                          <w:t>=1):1</w:t>
                        </w:r>
                        <w:r>
                          <w:rPr>
                            <w:spacing w:val="-6"/>
                            <w:sz w:val="21"/>
                          </w:rPr>
                          <w:t>．</w:t>
                        </w:r>
                        <w:r>
                          <w:rPr>
                            <w:rFonts w:ascii="Times New Roman" w:eastAsia="Times New Roman" w:hAnsi="Times New Roman"/>
                            <w:spacing w:val="-6"/>
                            <w:sz w:val="21"/>
                          </w:rPr>
                          <w:t>26</w:t>
                        </w:r>
                        <w:r>
                          <w:rPr>
                            <w:rFonts w:ascii="Times New Roman" w:eastAsia="Times New Roman" w:hAnsi="Times New Roman"/>
                            <w:spacing w:val="3"/>
                            <w:sz w:val="21"/>
                          </w:rPr>
                          <w:t xml:space="preserve"> </w:t>
                        </w:r>
                        <w:r>
                          <w:rPr>
                            <w:sz w:val="21"/>
                          </w:rPr>
                          <w:t>； 饱和蒸汽压</w:t>
                        </w:r>
                        <w:r>
                          <w:rPr>
                            <w:rFonts w:ascii="Times New Roman" w:eastAsia="Times New Roman" w:hAnsi="Times New Roman"/>
                            <w:sz w:val="21"/>
                          </w:rPr>
                          <w:t>(kPa)</w:t>
                        </w:r>
                        <w:r>
                          <w:rPr>
                            <w:sz w:val="21"/>
                          </w:rPr>
                          <w:t>：</w:t>
                        </w:r>
                        <w:r>
                          <w:rPr>
                            <w:rFonts w:ascii="Times New Roman" w:eastAsia="Times New Roman" w:hAnsi="Times New Roman"/>
                            <w:sz w:val="21"/>
                          </w:rPr>
                          <w:t>30</w:t>
                        </w:r>
                        <w:r>
                          <w:rPr>
                            <w:sz w:val="21"/>
                          </w:rPr>
                          <w:t>．</w:t>
                        </w:r>
                        <w:r>
                          <w:rPr>
                            <w:rFonts w:ascii="Times New Roman" w:eastAsia="Times New Roman" w:hAnsi="Times New Roman"/>
                            <w:sz w:val="21"/>
                          </w:rPr>
                          <w:t>66</w:t>
                        </w:r>
                        <w:r>
                          <w:rPr>
                            <w:sz w:val="21"/>
                          </w:rPr>
                          <w:t>／</w:t>
                        </w:r>
                        <w:r>
                          <w:rPr>
                            <w:rFonts w:ascii="Times New Roman" w:eastAsia="Times New Roman" w:hAnsi="Times New Roman"/>
                            <w:sz w:val="21"/>
                          </w:rPr>
                          <w:t>21℃</w:t>
                        </w:r>
                        <w:r>
                          <w:rPr>
                            <w:sz w:val="21"/>
                          </w:rPr>
                          <w:t>； 溶解性：与水混溶，溶于碱液；</w:t>
                        </w:r>
                      </w:p>
                    </w:tc>
                    <w:tc>
                      <w:tcPr>
                        <w:tcW w:w="904"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72"/>
                          <w:ind w:left="226" w:right="208"/>
                          <w:jc w:val="center"/>
                          <w:rPr>
                            <w:sz w:val="21"/>
                          </w:rPr>
                        </w:pPr>
                        <w:r>
                          <w:rPr>
                            <w:sz w:val="21"/>
                          </w:rPr>
                          <w:t>不燃</w:t>
                        </w:r>
                      </w:p>
                    </w:tc>
                    <w:tc>
                      <w:tcPr>
                        <w:tcW w:w="2538" w:type="dxa"/>
                        <w:tcBorders>
                          <w:top w:val="single" w:sz="4" w:space="0" w:color="000000"/>
                          <w:left w:val="single" w:sz="4" w:space="0" w:color="000000"/>
                          <w:bottom w:val="single" w:sz="4" w:space="0" w:color="000000"/>
                        </w:tcBorders>
                      </w:tcPr>
                      <w:p>
                        <w:pPr>
                          <w:pStyle w:val="TableParagraph"/>
                          <w:spacing w:line="242" w:lineRule="auto"/>
                          <w:ind w:left="113" w:right="64" w:firstLine="33"/>
                          <w:jc w:val="center"/>
                          <w:rPr>
                            <w:sz w:val="21"/>
                          </w:rPr>
                        </w:pPr>
                        <w:r>
                          <w:rPr>
                            <w:spacing w:val="-1"/>
                            <w:sz w:val="21"/>
                          </w:rPr>
                          <w:t>能与一些活性金属粉末发</w:t>
                        </w:r>
                        <w:r>
                          <w:rPr>
                            <w:sz w:val="21"/>
                          </w:rPr>
                          <w:t>生反应，放出氢气。遇氰化物能产生剧毒的氰化氢</w:t>
                        </w:r>
                        <w:r>
                          <w:rPr>
                            <w:spacing w:val="-6"/>
                            <w:sz w:val="21"/>
                          </w:rPr>
                          <w:t>气体。与碱发生中合反应并放出大量的热。具有较强的腐蚀性。与乙酸酐、脂肪胺类、链烷醇胺类、烯基氧化物、芳香胺类、氨基化合物、</w:t>
                        </w:r>
                        <w:r>
                          <w:rPr>
                            <w:rFonts w:ascii="Times New Roman" w:eastAsia="Times New Roman"/>
                            <w:spacing w:val="-6"/>
                            <w:sz w:val="21"/>
                          </w:rPr>
                          <w:t>2-</w:t>
                        </w:r>
                        <w:r>
                          <w:rPr>
                            <w:spacing w:val="-6"/>
                            <w:sz w:val="21"/>
                          </w:rPr>
                          <w:t>氨基乙醇氨、氢氧化氨、二磷化三钙、氯磺酸、乙撑二胺、二甲亚胺、环氧氯丙烷、</w:t>
                        </w:r>
                        <w:r>
                          <w:rPr>
                            <w:spacing w:val="-8"/>
                            <w:sz w:val="21"/>
                          </w:rPr>
                          <w:t>异氰酸酯类、乙炔基金属发烟硫酸、有机酸酐、高氯酸、</w:t>
                        </w:r>
                        <w:r>
                          <w:rPr>
                            <w:rFonts w:ascii="Times New Roman" w:eastAsia="Times New Roman"/>
                            <w:spacing w:val="-8"/>
                            <w:sz w:val="21"/>
                          </w:rPr>
                          <w:t>3-</w:t>
                        </w:r>
                        <w:r>
                          <w:rPr>
                            <w:spacing w:val="-8"/>
                            <w:sz w:val="21"/>
                          </w:rPr>
                          <w:t>丙内酯、磷化铀硫酸、氢氧化钠及其他碱类、强氧化剂、醋酸乙烯酯及二氟乙烯接触发生反应。接触绝大多数金属， 放出易燃氢气。腐蚀某些塑料、橡胶和涂料。</w:t>
                        </w:r>
                      </w:p>
                      <w:p>
                        <w:pPr>
                          <w:pStyle w:val="TableParagraph"/>
                          <w:spacing w:before="7" w:line="270" w:lineRule="atLeast"/>
                          <w:ind w:left="339" w:right="259" w:firstLine="211"/>
                          <w:rPr>
                            <w:sz w:val="21"/>
                          </w:rPr>
                        </w:pPr>
                        <w:r>
                          <w:rPr>
                            <w:sz w:val="21"/>
                          </w:rPr>
                          <w:t>易燃性</w:t>
                        </w:r>
                        <w:r>
                          <w:rPr>
                            <w:rFonts w:ascii="Times New Roman" w:eastAsia="Times New Roman"/>
                            <w:sz w:val="21"/>
                          </w:rPr>
                          <w:t>(</w:t>
                        </w:r>
                        <w:r>
                          <w:rPr>
                            <w:sz w:val="21"/>
                          </w:rPr>
                          <w:t>红色</w:t>
                        </w:r>
                        <w:r>
                          <w:rPr>
                            <w:rFonts w:ascii="Times New Roman" w:eastAsia="Times New Roman"/>
                            <w:sz w:val="21"/>
                          </w:rPr>
                          <w:t>)</w:t>
                        </w:r>
                        <w:r>
                          <w:rPr>
                            <w:sz w:val="21"/>
                          </w:rPr>
                          <w:t>：</w:t>
                        </w:r>
                        <w:r>
                          <w:rPr>
                            <w:rFonts w:ascii="Times New Roman" w:eastAsia="Times New Roman"/>
                            <w:sz w:val="21"/>
                          </w:rPr>
                          <w:t xml:space="preserve">0 </w:t>
                        </w:r>
                        <w:r>
                          <w:rPr>
                            <w:w w:val="95"/>
                            <w:sz w:val="21"/>
                          </w:rPr>
                          <w:t>化学活性</w:t>
                        </w:r>
                        <w:r>
                          <w:rPr>
                            <w:rFonts w:ascii="Times New Roman" w:eastAsia="Times New Roman"/>
                            <w:w w:val="95"/>
                            <w:sz w:val="21"/>
                          </w:rPr>
                          <w:t>(</w:t>
                        </w:r>
                        <w:r>
                          <w:rPr>
                            <w:w w:val="95"/>
                            <w:sz w:val="21"/>
                          </w:rPr>
                          <w:t>黄色</w:t>
                        </w:r>
                        <w:r>
                          <w:rPr>
                            <w:rFonts w:ascii="Times New Roman" w:eastAsia="Times New Roman"/>
                            <w:w w:val="95"/>
                            <w:sz w:val="21"/>
                          </w:rPr>
                          <w:t>)</w:t>
                        </w:r>
                        <w:r>
                          <w:rPr>
                            <w:w w:val="95"/>
                            <w:sz w:val="21"/>
                          </w:rPr>
                          <w:t>：</w:t>
                        </w:r>
                        <w:r>
                          <w:rPr>
                            <w:rFonts w:ascii="Times New Roman" w:eastAsia="Times New Roman"/>
                            <w:w w:val="95"/>
                            <w:sz w:val="21"/>
                          </w:rPr>
                          <w:t>0</w:t>
                        </w:r>
                        <w:r>
                          <w:rPr>
                            <w:spacing w:val="-13"/>
                            <w:w w:val="95"/>
                            <w:sz w:val="21"/>
                          </w:rPr>
                          <w:t>。</w:t>
                        </w:r>
                      </w:p>
                    </w:tc>
                  </w:tr>
                  <w:tr>
                    <w:tblPrEx>
                      <w:tblW w:w="0" w:type="auto"/>
                      <w:tblInd w:w="10" w:type="dxa"/>
                      <w:tblLayout w:type="fixed"/>
                      <w:tblCellMar>
                        <w:top w:w="0" w:type="dxa"/>
                        <w:left w:w="0" w:type="dxa"/>
                        <w:bottom w:w="0" w:type="dxa"/>
                        <w:right w:w="0" w:type="dxa"/>
                      </w:tblCellMar>
                    </w:tblPrEx>
                    <w:trPr>
                      <w:trHeight w:val="814"/>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012" w:type="dxa"/>
                        <w:tcBorders>
                          <w:top w:val="single" w:sz="4" w:space="0" w:color="000000"/>
                          <w:left w:val="single" w:sz="4" w:space="0" w:color="000000"/>
                          <w:bottom w:val="thickThinMediumGap" w:sz="4" w:space="0" w:color="000000"/>
                          <w:right w:val="single" w:sz="4" w:space="0" w:color="000000"/>
                        </w:tcBorders>
                      </w:tcPr>
                      <w:p>
                        <w:pPr>
                          <w:pStyle w:val="TableParagraph"/>
                          <w:spacing w:before="10"/>
                          <w:rPr>
                            <w:sz w:val="20"/>
                          </w:rPr>
                        </w:pPr>
                      </w:p>
                      <w:p>
                        <w:pPr>
                          <w:pStyle w:val="TableParagraph"/>
                          <w:ind w:left="171" w:right="155"/>
                          <w:jc w:val="center"/>
                          <w:rPr>
                            <w:sz w:val="21"/>
                          </w:rPr>
                        </w:pPr>
                        <w:r>
                          <w:rPr>
                            <w:sz w:val="21"/>
                          </w:rPr>
                          <w:t>片碱</w:t>
                        </w:r>
                      </w:p>
                    </w:tc>
                    <w:tc>
                      <w:tcPr>
                        <w:tcW w:w="900" w:type="dxa"/>
                        <w:tcBorders>
                          <w:top w:val="single" w:sz="4" w:space="0" w:color="000000"/>
                          <w:left w:val="single" w:sz="4" w:space="0" w:color="000000"/>
                          <w:bottom w:val="thickThinMediumGap" w:sz="4" w:space="0" w:color="000000"/>
                          <w:right w:val="single" w:sz="4" w:space="0" w:color="000000"/>
                        </w:tcBorders>
                      </w:tcPr>
                      <w:p>
                        <w:pPr>
                          <w:pStyle w:val="TableParagraph"/>
                          <w:spacing w:before="11"/>
                          <w:rPr>
                            <w:sz w:val="21"/>
                          </w:rPr>
                        </w:pPr>
                      </w:p>
                      <w:p>
                        <w:pPr>
                          <w:pStyle w:val="TableParagraph"/>
                          <w:ind w:left="116" w:right="98"/>
                          <w:jc w:val="center"/>
                          <w:rPr>
                            <w:rFonts w:ascii="Times New Roman"/>
                            <w:sz w:val="21"/>
                          </w:rPr>
                        </w:pPr>
                        <w:r>
                          <w:rPr>
                            <w:rFonts w:ascii="Times New Roman"/>
                            <w:sz w:val="21"/>
                          </w:rPr>
                          <w:t>NaOH</w:t>
                        </w:r>
                      </w:p>
                    </w:tc>
                    <w:tc>
                      <w:tcPr>
                        <w:tcW w:w="3337" w:type="dxa"/>
                        <w:tcBorders>
                          <w:top w:val="single" w:sz="4" w:space="0" w:color="000000"/>
                          <w:left w:val="single" w:sz="4" w:space="0" w:color="000000"/>
                          <w:bottom w:val="thickThinMediumGap" w:sz="4" w:space="0" w:color="000000"/>
                          <w:right w:val="single" w:sz="4" w:space="0" w:color="000000"/>
                        </w:tcBorders>
                      </w:tcPr>
                      <w:p>
                        <w:pPr>
                          <w:pStyle w:val="TableParagraph"/>
                          <w:spacing w:line="265" w:lineRule="exact"/>
                          <w:ind w:left="111"/>
                          <w:rPr>
                            <w:sz w:val="21"/>
                          </w:rPr>
                        </w:pPr>
                        <w:r>
                          <w:rPr>
                            <w:spacing w:val="-4"/>
                            <w:w w:val="95"/>
                            <w:sz w:val="21"/>
                          </w:rPr>
                          <w:t>外观与性状：白色不透明固体，易</w:t>
                        </w:r>
                      </w:p>
                      <w:p>
                        <w:pPr>
                          <w:pStyle w:val="TableParagraph"/>
                          <w:spacing w:before="1" w:line="270" w:lineRule="atLeast"/>
                          <w:ind w:left="111" w:right="64"/>
                          <w:rPr>
                            <w:sz w:val="21"/>
                          </w:rPr>
                        </w:pPr>
                        <w:r>
                          <w:rPr>
                            <w:spacing w:val="-1"/>
                            <w:sz w:val="21"/>
                          </w:rPr>
                          <w:t>潮解；主要用途：用于肥皂工业、</w:t>
                        </w:r>
                        <w:r>
                          <w:rPr>
                            <w:spacing w:val="-1"/>
                            <w:w w:val="95"/>
                            <w:sz w:val="21"/>
                          </w:rPr>
                          <w:t>石油精炼、造纸、人造丝、染色、</w:t>
                        </w:r>
                      </w:p>
                    </w:tc>
                    <w:tc>
                      <w:tcPr>
                        <w:tcW w:w="904" w:type="dxa"/>
                        <w:tcBorders>
                          <w:top w:val="single" w:sz="4" w:space="0" w:color="000000"/>
                          <w:left w:val="single" w:sz="4" w:space="0" w:color="000000"/>
                          <w:bottom w:val="thickThinMediumGap" w:sz="4" w:space="0" w:color="000000"/>
                          <w:right w:val="single" w:sz="4" w:space="0" w:color="000000"/>
                        </w:tcBorders>
                      </w:tcPr>
                      <w:p>
                        <w:pPr>
                          <w:pStyle w:val="TableParagraph"/>
                          <w:spacing w:before="10"/>
                          <w:rPr>
                            <w:sz w:val="20"/>
                          </w:rPr>
                        </w:pPr>
                      </w:p>
                      <w:p>
                        <w:pPr>
                          <w:pStyle w:val="TableParagraph"/>
                          <w:ind w:left="226" w:right="208"/>
                          <w:jc w:val="center"/>
                          <w:rPr>
                            <w:sz w:val="21"/>
                          </w:rPr>
                        </w:pPr>
                        <w:r>
                          <w:rPr>
                            <w:sz w:val="21"/>
                          </w:rPr>
                          <w:t>不燃</w:t>
                        </w:r>
                      </w:p>
                    </w:tc>
                    <w:tc>
                      <w:tcPr>
                        <w:tcW w:w="2538" w:type="dxa"/>
                        <w:tcBorders>
                          <w:top w:val="single" w:sz="4" w:space="0" w:color="000000"/>
                          <w:left w:val="single" w:sz="4" w:space="0" w:color="000000"/>
                          <w:bottom w:val="thickThinMediumGap" w:sz="4" w:space="0" w:color="000000"/>
                        </w:tcBorders>
                      </w:tcPr>
                      <w:p>
                        <w:pPr>
                          <w:pStyle w:val="TableParagraph"/>
                          <w:spacing w:line="265" w:lineRule="exact"/>
                          <w:ind w:left="147"/>
                          <w:rPr>
                            <w:sz w:val="21"/>
                          </w:rPr>
                        </w:pPr>
                        <w:r>
                          <w:rPr>
                            <w:w w:val="95"/>
                            <w:sz w:val="21"/>
                          </w:rPr>
                          <w:t>本品不会燃烧，遇水和水</w:t>
                        </w:r>
                      </w:p>
                      <w:p>
                        <w:pPr>
                          <w:pStyle w:val="TableParagraph"/>
                          <w:spacing w:before="1" w:line="270" w:lineRule="atLeast"/>
                          <w:ind w:left="147" w:right="64"/>
                          <w:rPr>
                            <w:sz w:val="21"/>
                          </w:rPr>
                        </w:pPr>
                        <w:r>
                          <w:rPr>
                            <w:spacing w:val="-2"/>
                            <w:sz w:val="21"/>
                          </w:rPr>
                          <w:t>蒸气大量放热，形成腐蚀</w:t>
                        </w:r>
                        <w:r>
                          <w:rPr>
                            <w:spacing w:val="-2"/>
                            <w:w w:val="95"/>
                            <w:sz w:val="21"/>
                          </w:rPr>
                          <w:t>性溶液。与酸发生中和反</w:t>
                        </w:r>
                      </w:p>
                    </w:tc>
                  </w:tr>
                </w:tbl>
                <w:p>
                  <w:pPr>
                    <w:pStyle w:val="BodyText"/>
                  </w:pPr>
                </w:p>
              </w:txbxContent>
            </v:textbox>
          </v:shape>
        </w:pict>
      </w:r>
      <w:r>
        <w:rPr>
          <w:w w:val="99"/>
          <w:sz w:val="21"/>
        </w:rPr>
        <w:t>、</w:t>
      </w:r>
    </w:p>
    <w:p>
      <w:pPr>
        <w:pStyle w:val="BodyText"/>
        <w:rPr>
          <w:sz w:val="20"/>
        </w:rPr>
      </w:pPr>
    </w:p>
    <w:p>
      <w:pPr>
        <w:pStyle w:val="BodyText"/>
        <w:spacing w:before="9"/>
        <w:rPr>
          <w:sz w:val="22"/>
        </w:rPr>
      </w:pPr>
    </w:p>
    <w:p>
      <w:pPr>
        <w:spacing w:before="0"/>
        <w:ind w:left="0" w:right="263" w:firstLine="0"/>
        <w:jc w:val="right"/>
        <w:rPr>
          <w:sz w:val="21"/>
        </w:rPr>
      </w:pPr>
      <w:r>
        <w:rPr>
          <w:w w:val="99"/>
          <w:sz w:val="21"/>
        </w:rPr>
        <w:t>、</w:t>
      </w:r>
    </w:p>
    <w:p>
      <w:pPr>
        <w:pStyle w:val="BodyText"/>
        <w:rPr>
          <w:sz w:val="20"/>
        </w:rPr>
      </w:pPr>
    </w:p>
    <w:p>
      <w:pPr>
        <w:pStyle w:val="BodyText"/>
        <w:rPr>
          <w:sz w:val="20"/>
        </w:rPr>
      </w:pPr>
    </w:p>
    <w:p>
      <w:pPr>
        <w:pStyle w:val="BodyText"/>
      </w:pPr>
    </w:p>
    <w:p>
      <w:pPr>
        <w:spacing w:before="1"/>
        <w:ind w:left="0" w:right="263" w:firstLine="0"/>
        <w:jc w:val="right"/>
        <w:rPr>
          <w:sz w:val="21"/>
        </w:rPr>
      </w:pPr>
      <w:r>
        <w:rPr>
          <w:w w:val="99"/>
          <w:sz w:val="21"/>
        </w:rPr>
        <w:t>，</w:t>
      </w:r>
    </w:p>
    <w:p>
      <w:pPr>
        <w:pStyle w:val="BodyText"/>
        <w:rPr>
          <w:sz w:val="20"/>
        </w:rPr>
      </w:pPr>
    </w:p>
    <w:p>
      <w:pPr>
        <w:pStyle w:val="BodyText"/>
        <w:spacing w:before="8"/>
        <w:rPr>
          <w:sz w:val="22"/>
        </w:rPr>
      </w:pPr>
    </w:p>
    <w:p>
      <w:pPr>
        <w:spacing w:before="0"/>
        <w:ind w:left="0" w:right="263" w:firstLine="0"/>
        <w:jc w:val="right"/>
        <w:rPr>
          <w:sz w:val="21"/>
        </w:rPr>
      </w:pPr>
      <w:r>
        <w:rPr>
          <w:w w:val="99"/>
          <w:sz w:val="2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0"/>
        </w:rPr>
      </w:pPr>
    </w:p>
    <w:p>
      <w:pPr>
        <w:spacing w:before="0"/>
        <w:ind w:left="0" w:right="263" w:firstLine="0"/>
        <w:jc w:val="right"/>
        <w:rPr>
          <w:sz w:val="21"/>
        </w:rPr>
      </w:pPr>
      <w:r>
        <w:rPr>
          <w:w w:val="99"/>
          <w:sz w:val="21"/>
        </w:rPr>
        <w:t>，</w:t>
      </w:r>
    </w:p>
    <w:p>
      <w:pPr>
        <w:pStyle w:val="BodyText"/>
        <w:rPr>
          <w:sz w:val="20"/>
        </w:rPr>
      </w:pPr>
    </w:p>
    <w:p>
      <w:pPr>
        <w:pStyle w:val="BodyText"/>
        <w:rPr>
          <w:sz w:val="20"/>
        </w:rPr>
      </w:pPr>
    </w:p>
    <w:p>
      <w:pPr>
        <w:pStyle w:val="BodyText"/>
        <w:rPr>
          <w:sz w:val="20"/>
        </w:rPr>
      </w:pPr>
    </w:p>
    <w:p>
      <w:pPr>
        <w:pStyle w:val="BodyText"/>
        <w:spacing w:before="2"/>
        <w:rPr>
          <w:sz w:val="25"/>
        </w:rPr>
      </w:pPr>
    </w:p>
    <w:p>
      <w:pPr>
        <w:spacing w:before="1"/>
        <w:ind w:left="0" w:right="263" w:firstLine="0"/>
        <w:jc w:val="right"/>
        <w:rPr>
          <w:sz w:val="21"/>
        </w:rPr>
      </w:pPr>
      <w:r>
        <w:rPr>
          <w:w w:val="99"/>
          <w:sz w:val="21"/>
        </w:rPr>
        <w:t>、</w:t>
      </w:r>
    </w:p>
    <w:p>
      <w:pPr>
        <w:pStyle w:val="BodyText"/>
        <w:rPr>
          <w:sz w:val="20"/>
        </w:rPr>
      </w:pPr>
    </w:p>
    <w:p>
      <w:pPr>
        <w:pStyle w:val="BodyText"/>
        <w:rPr>
          <w:sz w:val="20"/>
        </w:rPr>
      </w:pPr>
    </w:p>
    <w:p>
      <w:pPr>
        <w:pStyle w:val="BodyText"/>
      </w:pPr>
    </w:p>
    <w:p>
      <w:pPr>
        <w:spacing w:before="0"/>
        <w:ind w:left="0" w:right="263" w:firstLine="0"/>
        <w:jc w:val="right"/>
        <w:rPr>
          <w:sz w:val="21"/>
        </w:rPr>
      </w:pPr>
      <w:r>
        <w:rPr>
          <w:w w:val="99"/>
          <w:sz w:val="21"/>
        </w:rPr>
        <w:t>、</w:t>
      </w:r>
    </w:p>
    <w:p>
      <w:pPr>
        <w:pStyle w:val="BodyText"/>
        <w:spacing w:before="7"/>
        <w:rPr>
          <w:sz w:val="21"/>
        </w:rPr>
      </w:pPr>
    </w:p>
    <w:p>
      <w:pPr>
        <w:spacing w:before="0"/>
        <w:ind w:left="0" w:right="263" w:firstLine="0"/>
        <w:jc w:val="right"/>
        <w:rPr>
          <w:sz w:val="21"/>
        </w:rPr>
      </w:pPr>
      <w:r>
        <w:rPr>
          <w:w w:val="99"/>
          <w:sz w:val="2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7"/>
        </w:rPr>
      </w:pPr>
    </w:p>
    <w:p>
      <w:pPr>
        <w:spacing w:before="0"/>
        <w:ind w:left="0" w:right="649" w:firstLine="0"/>
        <w:jc w:val="right"/>
        <w:rPr>
          <w:sz w:val="28"/>
        </w:rPr>
      </w:pPr>
      <w:r>
        <w:rPr>
          <w:sz w:val="28"/>
        </w:rPr>
        <w:t xml:space="preserve">— </w:t>
      </w:r>
      <w:r>
        <w:rPr>
          <w:sz w:val="26"/>
        </w:rPr>
        <w:t xml:space="preserve">27 </w:t>
      </w:r>
      <w:r>
        <w:rPr>
          <w:sz w:val="28"/>
        </w:rPr>
        <w:t>—</w:t>
      </w:r>
    </w:p>
    <w:p>
      <w:pPr>
        <w:spacing w:after="0"/>
        <w:jc w:val="right"/>
        <w:rPr>
          <w:sz w:val="28"/>
        </w:rPr>
        <w:sectPr>
          <w:pgSz w:w="11910" w:h="16840"/>
          <w:pgMar w:top="1580" w:right="879" w:bottom="280" w:left="900" w:header="720" w:footer="720" w:gutter="0"/>
          <w:pgNumType w:start="32"/>
          <w:cols w:num="1" w:space="720"/>
        </w:sectPr>
      </w:pPr>
    </w:p>
    <w:p>
      <w:pPr>
        <w:spacing w:before="134"/>
        <w:ind w:left="0" w:right="263" w:firstLine="0"/>
        <w:jc w:val="right"/>
        <w:rPr>
          <w:sz w:val="21"/>
        </w:rPr>
      </w:pPr>
      <w:r>
        <w:pict>
          <v:shape id="_x0000_s1037" o:spid="_x0000_s1036" type="#_x0000_t202" style="width:477.1pt;height:658.55pt;margin-top:5.1pt;margin-left:59.3pt;mso-height-relative:page;mso-position-horizontal-relative:page;mso-width-relative:page;position:absolute;z-index:251664384" coordsize="21600,21600" filled="f" stroked="f">
            <v:stroke joinstyle="miter"/>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09"/>
                    <w:gridCol w:w="113"/>
                    <w:gridCol w:w="1012"/>
                    <w:gridCol w:w="900"/>
                    <w:gridCol w:w="3337"/>
                    <w:gridCol w:w="904"/>
                    <w:gridCol w:w="2538"/>
                  </w:tblGrid>
                  <w:tr>
                    <w:tblPrEx>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56"/>
                    </w:trPr>
                    <w:tc>
                      <w:tcPr>
                        <w:tcW w:w="709"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1012"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900"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337" w:type="dxa"/>
                        <w:tcBorders>
                          <w:top w:val="single" w:sz="12" w:space="0" w:color="000000"/>
                          <w:left w:val="single" w:sz="4" w:space="0" w:color="000000"/>
                          <w:bottom w:val="single" w:sz="4" w:space="0" w:color="000000"/>
                          <w:right w:val="single" w:sz="4" w:space="0" w:color="000000"/>
                        </w:tcBorders>
                      </w:tcPr>
                      <w:p>
                        <w:pPr>
                          <w:pStyle w:val="TableParagraph"/>
                          <w:spacing w:before="1"/>
                          <w:ind w:left="108" w:right="64"/>
                          <w:jc w:val="center"/>
                          <w:rPr>
                            <w:sz w:val="21"/>
                          </w:rPr>
                        </w:pPr>
                        <w:r>
                          <w:rPr>
                            <w:w w:val="95"/>
                            <w:sz w:val="21"/>
                          </w:rPr>
                          <w:t>制革、医药、有机合成等；熔点：</w:t>
                        </w:r>
                      </w:p>
                      <w:p>
                        <w:pPr>
                          <w:pStyle w:val="TableParagraph"/>
                          <w:spacing w:before="3"/>
                          <w:ind w:left="80" w:right="64"/>
                          <w:jc w:val="center"/>
                          <w:rPr>
                            <w:sz w:val="21"/>
                          </w:rPr>
                        </w:pPr>
                        <w:r>
                          <w:rPr>
                            <w:rFonts w:ascii="Times New Roman" w:eastAsia="Times New Roman"/>
                            <w:spacing w:val="-8"/>
                            <w:w w:val="95"/>
                            <w:sz w:val="21"/>
                          </w:rPr>
                          <w:t>318</w:t>
                        </w:r>
                        <w:r>
                          <w:rPr>
                            <w:spacing w:val="-8"/>
                            <w:w w:val="95"/>
                            <w:sz w:val="21"/>
                          </w:rPr>
                          <w:t>．</w:t>
                        </w:r>
                        <w:r>
                          <w:rPr>
                            <w:rFonts w:ascii="Times New Roman" w:eastAsia="Times New Roman"/>
                            <w:spacing w:val="-8"/>
                            <w:w w:val="95"/>
                            <w:sz w:val="21"/>
                          </w:rPr>
                          <w:t>4</w:t>
                        </w:r>
                        <w:r>
                          <w:rPr>
                            <w:spacing w:val="-5"/>
                            <w:w w:val="95"/>
                            <w:sz w:val="21"/>
                          </w:rPr>
                          <w:t>；沸点：</w:t>
                        </w:r>
                        <w:r>
                          <w:rPr>
                            <w:rFonts w:ascii="Times New Roman" w:eastAsia="Times New Roman"/>
                            <w:spacing w:val="-9"/>
                            <w:w w:val="95"/>
                            <w:sz w:val="21"/>
                          </w:rPr>
                          <w:t>1390</w:t>
                        </w:r>
                        <w:r>
                          <w:rPr>
                            <w:spacing w:val="-3"/>
                            <w:w w:val="95"/>
                            <w:sz w:val="21"/>
                          </w:rPr>
                          <w:t>；相对密度</w:t>
                        </w:r>
                        <w:r>
                          <w:rPr>
                            <w:rFonts w:ascii="Times New Roman" w:eastAsia="Times New Roman"/>
                            <w:w w:val="95"/>
                            <w:sz w:val="21"/>
                          </w:rPr>
                          <w:t>(</w:t>
                        </w:r>
                        <w:r>
                          <w:rPr>
                            <w:w w:val="95"/>
                            <w:sz w:val="21"/>
                          </w:rPr>
                          <w:t>水</w:t>
                        </w:r>
                      </w:p>
                      <w:p>
                        <w:pPr>
                          <w:pStyle w:val="TableParagraph"/>
                          <w:spacing w:before="2"/>
                          <w:ind w:left="76" w:right="59"/>
                          <w:jc w:val="center"/>
                          <w:rPr>
                            <w:rFonts w:ascii="Times New Roman" w:eastAsia="Times New Roman"/>
                            <w:sz w:val="21"/>
                          </w:rPr>
                        </w:pPr>
                        <w:r>
                          <w:rPr>
                            <w:rFonts w:ascii="Times New Roman" w:eastAsia="Times New Roman"/>
                            <w:spacing w:val="-1"/>
                            <w:w w:val="99"/>
                            <w:sz w:val="21"/>
                          </w:rPr>
                          <w:t>=</w:t>
                        </w:r>
                        <w:r>
                          <w:rPr>
                            <w:rFonts w:ascii="Times New Roman" w:eastAsia="Times New Roman"/>
                            <w:spacing w:val="1"/>
                            <w:w w:val="99"/>
                            <w:sz w:val="21"/>
                          </w:rPr>
                          <w:t>1</w:t>
                        </w:r>
                        <w:r>
                          <w:rPr>
                            <w:rFonts w:ascii="Times New Roman" w:eastAsia="Times New Roman"/>
                            <w:spacing w:val="2"/>
                            <w:w w:val="99"/>
                            <w:sz w:val="21"/>
                          </w:rPr>
                          <w:t>)</w:t>
                        </w:r>
                        <w:r>
                          <w:rPr>
                            <w:spacing w:val="-63"/>
                            <w:w w:val="99"/>
                            <w:sz w:val="21"/>
                          </w:rPr>
                          <w:t>：</w:t>
                        </w:r>
                        <w:r>
                          <w:rPr>
                            <w:rFonts w:ascii="Times New Roman" w:eastAsia="Times New Roman"/>
                            <w:spacing w:val="1"/>
                            <w:w w:val="99"/>
                            <w:sz w:val="21"/>
                          </w:rPr>
                          <w:t>2</w:t>
                        </w:r>
                        <w:r>
                          <w:rPr>
                            <w:spacing w:val="-63"/>
                            <w:w w:val="99"/>
                            <w:sz w:val="21"/>
                          </w:rPr>
                          <w:t>．</w:t>
                        </w:r>
                        <w:r>
                          <w:rPr>
                            <w:rFonts w:ascii="Times New Roman" w:eastAsia="Times New Roman"/>
                            <w:spacing w:val="1"/>
                            <w:w w:val="99"/>
                            <w:sz w:val="21"/>
                          </w:rPr>
                          <w:t>1</w:t>
                        </w:r>
                        <w:r>
                          <w:rPr>
                            <w:rFonts w:ascii="Times New Roman" w:eastAsia="Times New Roman"/>
                            <w:spacing w:val="-2"/>
                            <w:w w:val="99"/>
                            <w:sz w:val="21"/>
                          </w:rPr>
                          <w:t>2</w:t>
                        </w:r>
                        <w:r>
                          <w:rPr>
                            <w:spacing w:val="-11"/>
                            <w:w w:val="99"/>
                            <w:sz w:val="21"/>
                          </w:rPr>
                          <w:t>；饱和蒸汽压</w:t>
                        </w:r>
                        <w:r>
                          <w:rPr>
                            <w:rFonts w:ascii="Times New Roman" w:eastAsia="Times New Roman"/>
                            <w:w w:val="99"/>
                            <w:sz w:val="21"/>
                          </w:rPr>
                          <w:t>(</w:t>
                        </w:r>
                        <w:r>
                          <w:rPr>
                            <w:rFonts w:ascii="Times New Roman" w:eastAsia="Times New Roman"/>
                            <w:spacing w:val="-2"/>
                            <w:w w:val="99"/>
                            <w:sz w:val="21"/>
                          </w:rPr>
                          <w:t>k</w:t>
                        </w:r>
                        <w:r>
                          <w:rPr>
                            <w:rFonts w:ascii="Times New Roman" w:eastAsia="Times New Roman"/>
                            <w:spacing w:val="1"/>
                            <w:w w:val="99"/>
                            <w:sz w:val="21"/>
                          </w:rPr>
                          <w:t>P</w:t>
                        </w:r>
                        <w:r>
                          <w:rPr>
                            <w:rFonts w:ascii="Times New Roman" w:eastAsia="Times New Roman"/>
                            <w:w w:val="99"/>
                            <w:sz w:val="21"/>
                          </w:rPr>
                          <w:t>a</w:t>
                        </w:r>
                        <w:r>
                          <w:rPr>
                            <w:rFonts w:ascii="Times New Roman" w:eastAsia="Times New Roman"/>
                            <w:spacing w:val="2"/>
                            <w:w w:val="99"/>
                            <w:sz w:val="21"/>
                          </w:rPr>
                          <w:t>)</w:t>
                        </w:r>
                        <w:r>
                          <w:rPr>
                            <w:spacing w:val="-63"/>
                            <w:w w:val="99"/>
                            <w:sz w:val="21"/>
                          </w:rPr>
                          <w:t>：</w:t>
                        </w:r>
                        <w:r>
                          <w:rPr>
                            <w:rFonts w:ascii="Times New Roman" w:eastAsia="Times New Roman"/>
                            <w:spacing w:val="1"/>
                            <w:w w:val="99"/>
                            <w:sz w:val="21"/>
                          </w:rPr>
                          <w:t>0</w:t>
                        </w:r>
                        <w:r>
                          <w:rPr>
                            <w:spacing w:val="-106"/>
                            <w:w w:val="99"/>
                            <w:sz w:val="21"/>
                          </w:rPr>
                          <w:t>．</w:t>
                        </w:r>
                        <w:r>
                          <w:rPr>
                            <w:rFonts w:ascii="Times New Roman" w:eastAsia="Times New Roman"/>
                            <w:spacing w:val="1"/>
                            <w:w w:val="99"/>
                            <w:sz w:val="21"/>
                          </w:rPr>
                          <w:t>1</w:t>
                        </w:r>
                        <w:r>
                          <w:rPr>
                            <w:rFonts w:ascii="Times New Roman" w:eastAsia="Times New Roman"/>
                            <w:w w:val="99"/>
                            <w:sz w:val="21"/>
                          </w:rPr>
                          <w:t>3</w:t>
                        </w:r>
                      </w:p>
                      <w:p>
                        <w:pPr>
                          <w:pStyle w:val="TableParagraph"/>
                          <w:spacing w:before="3" w:line="270" w:lineRule="atLeast"/>
                          <w:ind w:left="111" w:right="93"/>
                          <w:jc w:val="center"/>
                          <w:rPr>
                            <w:sz w:val="21"/>
                          </w:rPr>
                        </w:pPr>
                        <w:r>
                          <w:rPr>
                            <w:sz w:val="21"/>
                          </w:rPr>
                          <w:t>／</w:t>
                        </w:r>
                        <w:r>
                          <w:rPr>
                            <w:rFonts w:ascii="Times New Roman" w:eastAsia="Times New Roman" w:hAnsi="Times New Roman"/>
                            <w:sz w:val="21"/>
                          </w:rPr>
                          <w:t xml:space="preserve">739℃ </w:t>
                        </w:r>
                        <w:r>
                          <w:rPr>
                            <w:sz w:val="21"/>
                          </w:rPr>
                          <w:t>；溶解性：易溶于水、乙醇、甘油，不溶于丙酮；</w:t>
                        </w:r>
                      </w:p>
                    </w:tc>
                    <w:tc>
                      <w:tcPr>
                        <w:tcW w:w="904"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2538" w:type="dxa"/>
                        <w:tcBorders>
                          <w:top w:val="single" w:sz="12" w:space="0" w:color="000000"/>
                          <w:left w:val="single" w:sz="4" w:space="0" w:color="000000"/>
                          <w:bottom w:val="single" w:sz="4" w:space="0" w:color="000000"/>
                        </w:tcBorders>
                      </w:tcPr>
                      <w:p>
                        <w:pPr>
                          <w:pStyle w:val="TableParagraph"/>
                          <w:spacing w:before="1" w:line="242" w:lineRule="auto"/>
                          <w:ind w:left="550" w:right="78" w:hanging="437"/>
                          <w:rPr>
                            <w:rFonts w:ascii="Times New Roman" w:eastAsia="Times New Roman"/>
                            <w:sz w:val="21"/>
                          </w:rPr>
                        </w:pPr>
                        <w:r>
                          <w:rPr>
                            <w:sz w:val="21"/>
                          </w:rPr>
                          <w:t>应并放热。具有强腐蚀性易燃性</w:t>
                        </w:r>
                        <w:r>
                          <w:rPr>
                            <w:rFonts w:ascii="Times New Roman" w:eastAsia="Times New Roman"/>
                            <w:sz w:val="21"/>
                          </w:rPr>
                          <w:t>(</w:t>
                        </w:r>
                        <w:r>
                          <w:rPr>
                            <w:sz w:val="21"/>
                          </w:rPr>
                          <w:t>红色</w:t>
                        </w:r>
                        <w:r>
                          <w:rPr>
                            <w:rFonts w:ascii="Times New Roman" w:eastAsia="Times New Roman"/>
                            <w:sz w:val="21"/>
                          </w:rPr>
                          <w:t>)</w:t>
                        </w:r>
                        <w:r>
                          <w:rPr>
                            <w:sz w:val="21"/>
                          </w:rPr>
                          <w:t>：</w:t>
                        </w:r>
                        <w:r>
                          <w:rPr>
                            <w:rFonts w:ascii="Times New Roman" w:eastAsia="Times New Roman"/>
                            <w:sz w:val="21"/>
                          </w:rPr>
                          <w:t>0</w:t>
                        </w:r>
                      </w:p>
                      <w:p>
                        <w:pPr>
                          <w:pStyle w:val="TableParagraph"/>
                          <w:spacing w:line="268" w:lineRule="exact"/>
                          <w:ind w:left="339"/>
                          <w:rPr>
                            <w:sz w:val="21"/>
                          </w:rPr>
                        </w:pPr>
                        <w:r>
                          <w:rPr>
                            <w:sz w:val="21"/>
                          </w:rPr>
                          <w:t>反应活性</w:t>
                        </w:r>
                        <w:r>
                          <w:rPr>
                            <w:rFonts w:ascii="Times New Roman" w:eastAsia="Times New Roman"/>
                            <w:sz w:val="21"/>
                          </w:rPr>
                          <w:t>(</w:t>
                        </w:r>
                        <w:r>
                          <w:rPr>
                            <w:sz w:val="21"/>
                          </w:rPr>
                          <w:t>黄色</w:t>
                        </w:r>
                        <w:r>
                          <w:rPr>
                            <w:rFonts w:ascii="Times New Roman" w:eastAsia="Times New Roman"/>
                            <w:sz w:val="21"/>
                          </w:rPr>
                          <w:t>)</w:t>
                        </w:r>
                        <w:r>
                          <w:rPr>
                            <w:sz w:val="21"/>
                          </w:rPr>
                          <w:t>：</w:t>
                        </w:r>
                        <w:r>
                          <w:rPr>
                            <w:rFonts w:ascii="Times New Roman" w:eastAsia="Times New Roman"/>
                            <w:sz w:val="21"/>
                          </w:rPr>
                          <w:t>1</w:t>
                        </w:r>
                        <w:r>
                          <w:rPr>
                            <w:sz w:val="21"/>
                          </w:rPr>
                          <w:t>。</w:t>
                        </w:r>
                      </w:p>
                    </w:tc>
                  </w:tr>
                  <w:tr>
                    <w:tblPrEx>
                      <w:tblW w:w="0" w:type="auto"/>
                      <w:tblInd w:w="10" w:type="dxa"/>
                      <w:tblLayout w:type="fixed"/>
                      <w:tblCellMar>
                        <w:top w:w="0" w:type="dxa"/>
                        <w:left w:w="0" w:type="dxa"/>
                        <w:bottom w:w="0" w:type="dxa"/>
                        <w:right w:w="0" w:type="dxa"/>
                      </w:tblCellMar>
                    </w:tblPrEx>
                    <w:trPr>
                      <w:trHeight w:val="4347"/>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012"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19"/>
                          </w:rPr>
                        </w:pPr>
                      </w:p>
                      <w:p>
                        <w:pPr>
                          <w:pStyle w:val="TableParagraph"/>
                          <w:ind w:left="171" w:right="155"/>
                          <w:jc w:val="center"/>
                          <w:rPr>
                            <w:sz w:val="21"/>
                          </w:rPr>
                        </w:pPr>
                        <w:r>
                          <w:rPr>
                            <w:sz w:val="21"/>
                          </w:rPr>
                          <w:t>氢氟酸</w:t>
                        </w:r>
                      </w:p>
                    </w:tc>
                    <w:tc>
                      <w:tcPr>
                        <w:tcW w:w="900"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
                          <w:rPr>
                            <w:sz w:val="28"/>
                          </w:rPr>
                        </w:pPr>
                      </w:p>
                      <w:p>
                        <w:pPr>
                          <w:pStyle w:val="TableParagraph"/>
                          <w:ind w:left="116" w:right="99"/>
                          <w:jc w:val="center"/>
                          <w:rPr>
                            <w:rFonts w:ascii="Times New Roman"/>
                            <w:sz w:val="21"/>
                          </w:rPr>
                        </w:pPr>
                        <w:r>
                          <w:rPr>
                            <w:rFonts w:ascii="Times New Roman"/>
                            <w:sz w:val="21"/>
                          </w:rPr>
                          <w:t>HF</w:t>
                        </w:r>
                      </w:p>
                    </w:tc>
                    <w:tc>
                      <w:tcPr>
                        <w:tcW w:w="3337"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0"/>
                          <w:rPr>
                            <w:sz w:val="25"/>
                          </w:rPr>
                        </w:pPr>
                      </w:p>
                      <w:p>
                        <w:pPr>
                          <w:pStyle w:val="TableParagraph"/>
                          <w:spacing w:line="242" w:lineRule="auto"/>
                          <w:ind w:left="111" w:right="-15" w:hanging="109"/>
                          <w:jc w:val="center"/>
                          <w:rPr>
                            <w:sz w:val="21"/>
                          </w:rPr>
                        </w:pPr>
                        <w:r>
                          <w:rPr>
                            <w:spacing w:val="-2"/>
                            <w:sz w:val="21"/>
                          </w:rPr>
                          <w:t xml:space="preserve">分子量 </w:t>
                        </w:r>
                        <w:r>
                          <w:rPr>
                            <w:rFonts w:ascii="Times New Roman" w:eastAsia="Times New Roman" w:hAnsi="Times New Roman"/>
                            <w:sz w:val="21"/>
                          </w:rPr>
                          <w:t>20.0063</w:t>
                        </w:r>
                        <w:r>
                          <w:rPr>
                            <w:sz w:val="21"/>
                          </w:rPr>
                          <w:t xml:space="preserve">。氢氟酸为氟化氢 </w:t>
                        </w:r>
                        <w:r>
                          <w:rPr>
                            <w:spacing w:val="-4"/>
                            <w:sz w:val="21"/>
                          </w:rPr>
                          <w:t xml:space="preserve">的水溶液，清澈，无色、发烟的腐 </w:t>
                        </w:r>
                        <w:r>
                          <w:rPr>
                            <w:spacing w:val="-6"/>
                            <w:sz w:val="21"/>
                          </w:rPr>
                          <w:t>蚀性液体，有剧烈刺激性气味。氢</w:t>
                        </w:r>
                        <w:r>
                          <w:rPr>
                            <w:spacing w:val="-1"/>
                            <w:w w:val="99"/>
                            <w:sz w:val="21"/>
                          </w:rPr>
                          <w:t>氟酸密度</w:t>
                        </w:r>
                        <w:r>
                          <w:rPr>
                            <w:spacing w:val="2"/>
                            <w:sz w:val="21"/>
                          </w:rPr>
                          <w:t xml:space="preserve"> </w:t>
                        </w:r>
                        <w:r>
                          <w:rPr>
                            <w:rFonts w:ascii="Times New Roman" w:eastAsia="Times New Roman" w:hAnsi="Times New Roman"/>
                            <w:spacing w:val="1"/>
                            <w:w w:val="99"/>
                            <w:sz w:val="21"/>
                          </w:rPr>
                          <w:t>1</w:t>
                        </w:r>
                        <w:r>
                          <w:rPr>
                            <w:rFonts w:ascii="Times New Roman" w:eastAsia="Times New Roman" w:hAnsi="Times New Roman"/>
                            <w:w w:val="99"/>
                            <w:sz w:val="21"/>
                          </w:rPr>
                          <w:t>.</w:t>
                        </w:r>
                        <w:r>
                          <w:rPr>
                            <w:rFonts w:ascii="Times New Roman" w:eastAsia="Times New Roman" w:hAnsi="Times New Roman"/>
                            <w:spacing w:val="1"/>
                            <w:w w:val="99"/>
                            <w:sz w:val="21"/>
                          </w:rPr>
                          <w:t>15</w:t>
                        </w:r>
                        <w:r>
                          <w:rPr>
                            <w:rFonts w:ascii="Times New Roman" w:eastAsia="Times New Roman" w:hAnsi="Times New Roman"/>
                            <w:spacing w:val="-4"/>
                            <w:w w:val="99"/>
                            <w:sz w:val="21"/>
                          </w:rPr>
                          <w:t>g</w:t>
                        </w:r>
                        <w:r>
                          <w:rPr>
                            <w:rFonts w:ascii="Times New Roman" w:eastAsia="Times New Roman" w:hAnsi="Times New Roman"/>
                            <w:spacing w:val="1"/>
                            <w:w w:val="99"/>
                            <w:sz w:val="21"/>
                          </w:rPr>
                          <w:t>/</w:t>
                        </w:r>
                        <w:r>
                          <w:rPr>
                            <w:rFonts w:ascii="Times New Roman" w:eastAsia="Times New Roman" w:hAnsi="Times New Roman"/>
                            <w:w w:val="99"/>
                            <w:sz w:val="21"/>
                          </w:rPr>
                          <w:t>cm</w:t>
                        </w:r>
                        <w:r>
                          <w:rPr>
                            <w:rFonts w:ascii="Times New Roman" w:eastAsia="Times New Roman" w:hAnsi="Times New Roman"/>
                            <w:spacing w:val="1"/>
                            <w:w w:val="99"/>
                            <w:sz w:val="21"/>
                          </w:rPr>
                          <w:t>3</w:t>
                        </w:r>
                        <w:r>
                          <w:rPr>
                            <w:spacing w:val="-33"/>
                            <w:w w:val="99"/>
                            <w:sz w:val="21"/>
                          </w:rPr>
                          <w:t>，熔点</w:t>
                        </w:r>
                        <w:r>
                          <w:rPr>
                            <w:rFonts w:ascii="Times New Roman" w:eastAsia="Times New Roman" w:hAnsi="Times New Roman"/>
                            <w:w w:val="99"/>
                            <w:sz w:val="21"/>
                          </w:rPr>
                          <w:t>-</w:t>
                        </w:r>
                        <w:r>
                          <w:rPr>
                            <w:rFonts w:ascii="Times New Roman" w:eastAsia="Times New Roman" w:hAnsi="Times New Roman"/>
                            <w:spacing w:val="1"/>
                            <w:w w:val="99"/>
                            <w:sz w:val="21"/>
                          </w:rPr>
                          <w:t>83</w:t>
                        </w:r>
                        <w:r>
                          <w:rPr>
                            <w:rFonts w:ascii="Times New Roman" w:eastAsia="Times New Roman" w:hAnsi="Times New Roman"/>
                            <w:w w:val="99"/>
                            <w:sz w:val="21"/>
                          </w:rPr>
                          <w:t>.</w:t>
                        </w:r>
                        <w:r>
                          <w:rPr>
                            <w:rFonts w:ascii="Times New Roman" w:eastAsia="Times New Roman" w:hAnsi="Times New Roman"/>
                            <w:spacing w:val="1"/>
                            <w:w w:val="99"/>
                            <w:sz w:val="21"/>
                          </w:rPr>
                          <w:t>3</w:t>
                        </w:r>
                        <w:r>
                          <w:rPr>
                            <w:spacing w:val="-1"/>
                            <w:w w:val="99"/>
                            <w:sz w:val="21"/>
                          </w:rPr>
                          <w:t>℃，</w:t>
                        </w:r>
                        <w:r>
                          <w:rPr>
                            <w:spacing w:val="-3"/>
                            <w:sz w:val="21"/>
                          </w:rPr>
                          <w:t xml:space="preserve">沸点 </w:t>
                        </w:r>
                        <w:r>
                          <w:rPr>
                            <w:rFonts w:ascii="Times New Roman" w:eastAsia="Times New Roman" w:hAnsi="Times New Roman"/>
                            <w:sz w:val="21"/>
                          </w:rPr>
                          <w:t>19.54</w:t>
                        </w:r>
                        <w:r>
                          <w:rPr>
                            <w:sz w:val="21"/>
                          </w:rPr>
                          <w:t>℃。易溶于水、乙醇， 微溶于乙醚。</w:t>
                        </w:r>
                      </w:p>
                    </w:tc>
                    <w:tc>
                      <w:tcPr>
                        <w:tcW w:w="904"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19"/>
                          </w:rPr>
                        </w:pPr>
                      </w:p>
                      <w:p>
                        <w:pPr>
                          <w:pStyle w:val="TableParagraph"/>
                          <w:ind w:left="226" w:right="208"/>
                          <w:jc w:val="center"/>
                          <w:rPr>
                            <w:sz w:val="21"/>
                          </w:rPr>
                        </w:pPr>
                        <w:r>
                          <w:rPr>
                            <w:sz w:val="21"/>
                          </w:rPr>
                          <w:t>不燃</w:t>
                        </w:r>
                      </w:p>
                    </w:tc>
                    <w:tc>
                      <w:tcPr>
                        <w:tcW w:w="2538" w:type="dxa"/>
                        <w:tcBorders>
                          <w:top w:val="single" w:sz="4" w:space="0" w:color="000000"/>
                          <w:left w:val="single" w:sz="4" w:space="0" w:color="000000"/>
                          <w:bottom w:val="single" w:sz="4" w:space="0" w:color="000000"/>
                        </w:tcBorders>
                      </w:tcPr>
                      <w:p>
                        <w:pPr>
                          <w:pStyle w:val="TableParagraph"/>
                          <w:spacing w:line="242" w:lineRule="auto"/>
                          <w:ind w:left="113" w:right="31"/>
                          <w:jc w:val="center"/>
                          <w:rPr>
                            <w:sz w:val="21"/>
                          </w:rPr>
                        </w:pPr>
                        <w:r>
                          <w:rPr>
                            <w:spacing w:val="-8"/>
                            <w:sz w:val="21"/>
                          </w:rPr>
                          <w:t>健康危害： 对皮肤有强烈</w:t>
                        </w:r>
                        <w:r>
                          <w:rPr>
                            <w:sz w:val="21"/>
                          </w:rPr>
                          <w:t>的腐蚀作用。灼伤初期皮</w:t>
                        </w:r>
                        <w:r>
                          <w:rPr>
                            <w:spacing w:val="-6"/>
                            <w:sz w:val="21"/>
                          </w:rPr>
                          <w:t>肤潮红、干燥。创面苍白坏死，继而呈紫黑色或灰黑色。深部灼伤或处理不当时，可形成难以愈合的</w:t>
                        </w:r>
                        <w:r>
                          <w:rPr>
                            <w:spacing w:val="-8"/>
                            <w:sz w:val="21"/>
                          </w:rPr>
                          <w:t>深溃疡，损及骨膜和骨质本品灼伤疼痛剧烈。眼接触高浓度本品可引起角膜穿孔。接触其蒸气，可发生支气管炎、肺炎等。慢性影响：眼和上呼吸道刺激症状，或有鼻衄，嗅觉减退。可有牙齿酸蚀症。</w:t>
                        </w:r>
                        <w:r>
                          <w:rPr>
                            <w:spacing w:val="-24"/>
                            <w:sz w:val="21"/>
                          </w:rPr>
                          <w:t xml:space="preserve">骨骼 </w:t>
                        </w:r>
                        <w:r>
                          <w:rPr>
                            <w:rFonts w:ascii="Times New Roman" w:eastAsia="Times New Roman"/>
                            <w:sz w:val="21"/>
                          </w:rPr>
                          <w:t xml:space="preserve">X </w:t>
                        </w:r>
                        <w:r>
                          <w:rPr>
                            <w:sz w:val="21"/>
                          </w:rPr>
                          <w:t>线异常与工业性氟</w:t>
                        </w:r>
                      </w:p>
                      <w:p>
                        <w:pPr>
                          <w:pStyle w:val="TableParagraph"/>
                          <w:spacing w:before="3" w:line="247" w:lineRule="exact"/>
                          <w:ind w:left="108" w:right="31"/>
                          <w:jc w:val="center"/>
                          <w:rPr>
                            <w:sz w:val="21"/>
                          </w:rPr>
                        </w:pPr>
                        <w:r>
                          <w:rPr>
                            <w:sz w:val="21"/>
                          </w:rPr>
                          <w:t>病少见。</w:t>
                        </w:r>
                      </w:p>
                    </w:tc>
                  </w:tr>
                  <w:tr>
                    <w:tblPrEx>
                      <w:tblW w:w="0" w:type="auto"/>
                      <w:tblInd w:w="10" w:type="dxa"/>
                      <w:tblLayout w:type="fixed"/>
                      <w:tblCellMar>
                        <w:top w:w="0" w:type="dxa"/>
                        <w:left w:w="0" w:type="dxa"/>
                        <w:bottom w:w="0" w:type="dxa"/>
                        <w:right w:w="0" w:type="dxa"/>
                      </w:tblCellMar>
                    </w:tblPrEx>
                    <w:trPr>
                      <w:trHeight w:val="1896"/>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012"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spacing w:before="163" w:line="244" w:lineRule="auto"/>
                          <w:ind w:left="300" w:right="176" w:hanging="106"/>
                          <w:rPr>
                            <w:sz w:val="21"/>
                          </w:rPr>
                        </w:pPr>
                        <w:r>
                          <w:rPr>
                            <w:sz w:val="21"/>
                          </w:rPr>
                          <w:t>无铬钝化剂</w:t>
                        </w:r>
                      </w:p>
                    </w:tc>
                    <w:tc>
                      <w:tcPr>
                        <w:tcW w:w="900"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spacing w:before="6"/>
                          <w:rPr>
                            <w:sz w:val="20"/>
                          </w:rPr>
                        </w:pPr>
                      </w:p>
                      <w:p>
                        <w:pPr>
                          <w:pStyle w:val="TableParagraph"/>
                          <w:ind w:left="19"/>
                          <w:jc w:val="center"/>
                          <w:rPr>
                            <w:rFonts w:ascii="Times New Roman"/>
                            <w:sz w:val="21"/>
                          </w:rPr>
                        </w:pPr>
                        <w:r>
                          <w:rPr>
                            <w:rFonts w:ascii="Times New Roman"/>
                            <w:w w:val="99"/>
                            <w:sz w:val="21"/>
                          </w:rPr>
                          <w:t>/</w:t>
                        </w:r>
                      </w:p>
                    </w:tc>
                    <w:tc>
                      <w:tcPr>
                        <w:tcW w:w="3337"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3" w:hanging="1"/>
                          <w:jc w:val="center"/>
                          <w:rPr>
                            <w:sz w:val="21"/>
                          </w:rPr>
                        </w:pPr>
                        <w:r>
                          <w:rPr>
                            <w:sz w:val="21"/>
                          </w:rPr>
                          <w:t>本项目使用的无铬钝化剂为采用</w:t>
                        </w:r>
                        <w:r>
                          <w:rPr>
                            <w:spacing w:val="-5"/>
                            <w:w w:val="95"/>
                            <w:sz w:val="21"/>
                          </w:rPr>
                          <w:t>纳米硅晶、络合剂、植酸、掩蔽剂</w:t>
                        </w:r>
                        <w:r>
                          <w:rPr>
                            <w:spacing w:val="-28"/>
                            <w:sz w:val="21"/>
                          </w:rPr>
                          <w:t xml:space="preserve">和 </w:t>
                        </w:r>
                        <w:r>
                          <w:rPr>
                            <w:rFonts w:ascii="Times New Roman" w:eastAsia="Times New Roman"/>
                            <w:sz w:val="21"/>
                          </w:rPr>
                          <w:t>pH</w:t>
                        </w:r>
                        <w:r>
                          <w:rPr>
                            <w:rFonts w:ascii="Times New Roman" w:eastAsia="Times New Roman"/>
                            <w:spacing w:val="-3"/>
                            <w:sz w:val="21"/>
                          </w:rPr>
                          <w:t xml:space="preserve"> </w:t>
                        </w:r>
                        <w:r>
                          <w:rPr>
                            <w:sz w:val="21"/>
                          </w:rPr>
                          <w:t>缓冲剂等组成。主要用途： 在金属制品表面形成一层新型的</w:t>
                        </w:r>
                        <w:r>
                          <w:rPr>
                            <w:spacing w:val="-5"/>
                            <w:w w:val="95"/>
                            <w:sz w:val="21"/>
                          </w:rPr>
                          <w:t>环保型防腐膜，使金属表面转化为不易被氧化的状态，增强涂装附着</w:t>
                        </w:r>
                      </w:p>
                      <w:p>
                        <w:pPr>
                          <w:pStyle w:val="TableParagraph"/>
                          <w:spacing w:line="246" w:lineRule="exact"/>
                          <w:ind w:left="79" w:right="64"/>
                          <w:jc w:val="center"/>
                          <w:rPr>
                            <w:sz w:val="21"/>
                          </w:rPr>
                        </w:pPr>
                        <w:r>
                          <w:rPr>
                            <w:sz w:val="21"/>
                          </w:rPr>
                          <w:t>力。</w:t>
                        </w:r>
                      </w:p>
                    </w:tc>
                    <w:tc>
                      <w:tcPr>
                        <w:tcW w:w="904"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spacing w:before="6"/>
                          <w:rPr>
                            <w:sz w:val="20"/>
                          </w:rPr>
                        </w:pPr>
                      </w:p>
                      <w:p>
                        <w:pPr>
                          <w:pStyle w:val="TableParagraph"/>
                          <w:ind w:left="18"/>
                          <w:jc w:val="center"/>
                          <w:rPr>
                            <w:rFonts w:ascii="Times New Roman"/>
                            <w:sz w:val="21"/>
                          </w:rPr>
                        </w:pPr>
                        <w:r>
                          <w:rPr>
                            <w:rFonts w:ascii="Times New Roman"/>
                            <w:w w:val="99"/>
                            <w:sz w:val="21"/>
                          </w:rPr>
                          <w:t>/</w:t>
                        </w:r>
                      </w:p>
                    </w:tc>
                    <w:tc>
                      <w:tcPr>
                        <w:tcW w:w="2538" w:type="dxa"/>
                        <w:tcBorders>
                          <w:top w:val="single" w:sz="4" w:space="0" w:color="000000"/>
                          <w:left w:val="single" w:sz="4" w:space="0" w:color="000000"/>
                          <w:bottom w:val="single" w:sz="4" w:space="0" w:color="000000"/>
                        </w:tcBorders>
                      </w:tcPr>
                      <w:p>
                        <w:pPr>
                          <w:pStyle w:val="TableParagraph"/>
                          <w:rPr>
                            <w:sz w:val="22"/>
                          </w:rPr>
                        </w:pPr>
                      </w:p>
                      <w:p>
                        <w:pPr>
                          <w:pStyle w:val="TableParagraph"/>
                          <w:rPr>
                            <w:sz w:val="22"/>
                          </w:rPr>
                        </w:pPr>
                      </w:p>
                      <w:p>
                        <w:pPr>
                          <w:pStyle w:val="TableParagraph"/>
                          <w:spacing w:before="6"/>
                          <w:rPr>
                            <w:sz w:val="20"/>
                          </w:rPr>
                        </w:pPr>
                      </w:p>
                      <w:p>
                        <w:pPr>
                          <w:pStyle w:val="TableParagraph"/>
                          <w:ind w:right="1190"/>
                          <w:jc w:val="right"/>
                          <w:rPr>
                            <w:rFonts w:ascii="Times New Roman"/>
                            <w:sz w:val="21"/>
                          </w:rPr>
                        </w:pPr>
                        <w:r>
                          <w:rPr>
                            <w:rFonts w:ascii="Times New Roman"/>
                            <w:w w:val="99"/>
                            <w:sz w:val="21"/>
                          </w:rPr>
                          <w:t>/</w:t>
                        </w:r>
                      </w:p>
                    </w:tc>
                  </w:tr>
                  <w:tr>
                    <w:tblPrEx>
                      <w:tblW w:w="0" w:type="auto"/>
                      <w:tblInd w:w="10" w:type="dxa"/>
                      <w:tblLayout w:type="fixed"/>
                      <w:tblCellMar>
                        <w:top w:w="0" w:type="dxa"/>
                        <w:left w:w="0" w:type="dxa"/>
                        <w:bottom w:w="0" w:type="dxa"/>
                        <w:right w:w="0" w:type="dxa"/>
                      </w:tblCellMar>
                    </w:tblPrEx>
                    <w:trPr>
                      <w:trHeight w:val="1623"/>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012"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6" w:line="242" w:lineRule="auto"/>
                          <w:ind w:left="194" w:right="176"/>
                          <w:jc w:val="center"/>
                          <w:rPr>
                            <w:sz w:val="21"/>
                          </w:rPr>
                        </w:pPr>
                        <w:r>
                          <w:rPr>
                            <w:sz w:val="21"/>
                          </w:rPr>
                          <w:t>无镍中温封孔剂</w:t>
                        </w:r>
                      </w:p>
                    </w:tc>
                    <w:tc>
                      <w:tcPr>
                        <w:tcW w:w="900"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spacing w:before="10"/>
                          <w:rPr>
                            <w:sz w:val="31"/>
                          </w:rPr>
                        </w:pPr>
                      </w:p>
                      <w:p>
                        <w:pPr>
                          <w:pStyle w:val="TableParagraph"/>
                          <w:spacing w:before="1"/>
                          <w:ind w:left="19"/>
                          <w:jc w:val="center"/>
                          <w:rPr>
                            <w:rFonts w:ascii="Times New Roman"/>
                            <w:sz w:val="21"/>
                          </w:rPr>
                        </w:pPr>
                        <w:r>
                          <w:rPr>
                            <w:rFonts w:ascii="Times New Roman"/>
                            <w:w w:val="99"/>
                            <w:sz w:val="21"/>
                          </w:rPr>
                          <w:t>/</w:t>
                        </w:r>
                      </w:p>
                    </w:tc>
                    <w:tc>
                      <w:tcPr>
                        <w:tcW w:w="3337"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64" w:hanging="29"/>
                          <w:jc w:val="center"/>
                          <w:rPr>
                            <w:sz w:val="21"/>
                          </w:rPr>
                        </w:pPr>
                        <w:r>
                          <w:rPr>
                            <w:sz w:val="21"/>
                          </w:rPr>
                          <w:t xml:space="preserve">本项目所使用的封孔剂为无镍中 温封孔剂，外观为浅黄色透明液 </w:t>
                        </w:r>
                        <w:r>
                          <w:rPr>
                            <w:spacing w:val="-1"/>
                            <w:w w:val="95"/>
                            <w:sz w:val="21"/>
                          </w:rPr>
                          <w:t>体，有醋酸镁等碱土金属的盐类、</w:t>
                        </w:r>
                        <w:r>
                          <w:rPr>
                            <w:spacing w:val="-5"/>
                            <w:sz w:val="21"/>
                          </w:rPr>
                          <w:t>缓冲剂、稳定剂、渗透剂、表面活</w:t>
                        </w:r>
                      </w:p>
                      <w:p>
                        <w:pPr>
                          <w:pStyle w:val="TableParagraph"/>
                          <w:spacing w:line="270" w:lineRule="atLeast"/>
                          <w:ind w:left="111" w:right="93"/>
                          <w:jc w:val="center"/>
                          <w:rPr>
                            <w:rFonts w:ascii="Times New Roman" w:eastAsia="Times New Roman"/>
                            <w:sz w:val="21"/>
                          </w:rPr>
                        </w:pPr>
                        <w:r>
                          <w:rPr>
                            <w:w w:val="95"/>
                            <w:sz w:val="21"/>
                          </w:rPr>
                          <w:t>性剂等组成，不含重金属镍，弱酸</w:t>
                        </w:r>
                        <w:r>
                          <w:rPr>
                            <w:sz w:val="21"/>
                          </w:rPr>
                          <w:t>性（</w:t>
                        </w:r>
                        <w:r>
                          <w:rPr>
                            <w:rFonts w:ascii="Times New Roman" w:eastAsia="Times New Roman"/>
                            <w:sz w:val="21"/>
                          </w:rPr>
                          <w:t>pH3.3-5.5)</w:t>
                        </w:r>
                      </w:p>
                    </w:tc>
                    <w:tc>
                      <w:tcPr>
                        <w:tcW w:w="904" w:type="dxa"/>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spacing w:before="10"/>
                          <w:rPr>
                            <w:sz w:val="31"/>
                          </w:rPr>
                        </w:pPr>
                      </w:p>
                      <w:p>
                        <w:pPr>
                          <w:pStyle w:val="TableParagraph"/>
                          <w:spacing w:before="1"/>
                          <w:ind w:left="18"/>
                          <w:jc w:val="center"/>
                          <w:rPr>
                            <w:rFonts w:ascii="Times New Roman"/>
                            <w:sz w:val="21"/>
                          </w:rPr>
                        </w:pPr>
                        <w:r>
                          <w:rPr>
                            <w:rFonts w:ascii="Times New Roman"/>
                            <w:w w:val="99"/>
                            <w:sz w:val="21"/>
                          </w:rPr>
                          <w:t>/</w:t>
                        </w:r>
                      </w:p>
                    </w:tc>
                    <w:tc>
                      <w:tcPr>
                        <w:tcW w:w="2538" w:type="dxa"/>
                        <w:tcBorders>
                          <w:top w:val="single" w:sz="4" w:space="0" w:color="000000"/>
                          <w:left w:val="single" w:sz="4" w:space="0" w:color="000000"/>
                          <w:bottom w:val="single" w:sz="4" w:space="0" w:color="000000"/>
                        </w:tcBorders>
                      </w:tcPr>
                      <w:p>
                        <w:pPr>
                          <w:pStyle w:val="TableParagraph"/>
                          <w:rPr>
                            <w:sz w:val="22"/>
                          </w:rPr>
                        </w:pPr>
                      </w:p>
                      <w:p>
                        <w:pPr>
                          <w:pStyle w:val="TableParagraph"/>
                          <w:spacing w:before="10"/>
                          <w:rPr>
                            <w:sz w:val="31"/>
                          </w:rPr>
                        </w:pPr>
                      </w:p>
                      <w:p>
                        <w:pPr>
                          <w:pStyle w:val="TableParagraph"/>
                          <w:spacing w:before="1"/>
                          <w:ind w:right="1190"/>
                          <w:jc w:val="right"/>
                          <w:rPr>
                            <w:rFonts w:ascii="Times New Roman"/>
                            <w:sz w:val="21"/>
                          </w:rPr>
                        </w:pPr>
                        <w:r>
                          <w:rPr>
                            <w:rFonts w:ascii="Times New Roman"/>
                            <w:w w:val="99"/>
                            <w:sz w:val="21"/>
                          </w:rPr>
                          <w:t>/</w:t>
                        </w:r>
                      </w:p>
                    </w:tc>
                  </w:tr>
                  <w:tr>
                    <w:tblPrEx>
                      <w:tblW w:w="0" w:type="auto"/>
                      <w:tblInd w:w="10" w:type="dxa"/>
                      <w:tblLayout w:type="fixed"/>
                      <w:tblCellMar>
                        <w:top w:w="0" w:type="dxa"/>
                        <w:left w:w="0" w:type="dxa"/>
                        <w:bottom w:w="0" w:type="dxa"/>
                        <w:right w:w="0" w:type="dxa"/>
                      </w:tblCellMar>
                    </w:tblPrEx>
                    <w:trPr>
                      <w:trHeight w:val="3807"/>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012"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17"/>
                          </w:rPr>
                        </w:pPr>
                      </w:p>
                      <w:p>
                        <w:pPr>
                          <w:pStyle w:val="TableParagraph"/>
                          <w:spacing w:before="1"/>
                          <w:ind w:left="171" w:right="155"/>
                          <w:jc w:val="center"/>
                          <w:rPr>
                            <w:sz w:val="21"/>
                          </w:rPr>
                        </w:pPr>
                        <w:r>
                          <w:rPr>
                            <w:sz w:val="21"/>
                          </w:rPr>
                          <w:t>着色剂</w:t>
                        </w:r>
                      </w:p>
                    </w:tc>
                    <w:tc>
                      <w:tcPr>
                        <w:tcW w:w="900" w:type="dxa"/>
                        <w:tcBorders>
                          <w:top w:val="single" w:sz="4" w:space="0" w:color="000000"/>
                          <w:left w:val="single" w:sz="4" w:space="0" w:color="000000"/>
                          <w:bottom w:val="thickThinMediumGap"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8"/>
                          <w:rPr>
                            <w:sz w:val="28"/>
                          </w:rPr>
                        </w:pPr>
                      </w:p>
                      <w:p>
                        <w:pPr>
                          <w:pStyle w:val="TableParagraph"/>
                          <w:ind w:left="19"/>
                          <w:jc w:val="center"/>
                          <w:rPr>
                            <w:rFonts w:ascii="Times New Roman"/>
                            <w:sz w:val="21"/>
                          </w:rPr>
                        </w:pPr>
                        <w:r>
                          <w:rPr>
                            <w:rFonts w:ascii="Times New Roman"/>
                            <w:w w:val="99"/>
                            <w:sz w:val="21"/>
                          </w:rPr>
                          <w:t>/</w:t>
                        </w:r>
                      </w:p>
                    </w:tc>
                    <w:tc>
                      <w:tcPr>
                        <w:tcW w:w="3337"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26"/>
                          </w:rPr>
                        </w:pPr>
                      </w:p>
                      <w:p>
                        <w:pPr>
                          <w:pStyle w:val="TableParagraph"/>
                          <w:spacing w:line="242" w:lineRule="auto"/>
                          <w:ind w:left="622" w:right="67" w:hanging="476"/>
                          <w:rPr>
                            <w:sz w:val="21"/>
                          </w:rPr>
                        </w:pPr>
                        <w:r>
                          <w:rPr>
                            <w:sz w:val="21"/>
                          </w:rPr>
                          <w:t xml:space="preserve">主要成份为 </w:t>
                        </w:r>
                        <w:r>
                          <w:rPr>
                            <w:rFonts w:ascii="Times New Roman" w:eastAsia="Times New Roman"/>
                            <w:sz w:val="21"/>
                          </w:rPr>
                          <w:t>Fe</w:t>
                        </w:r>
                        <w:r>
                          <w:rPr>
                            <w:rFonts w:ascii="Times New Roman" w:eastAsia="Times New Roman"/>
                            <w:position w:val="7"/>
                            <w:sz w:val="13"/>
                          </w:rPr>
                          <w:t>2+</w:t>
                        </w:r>
                        <w:r>
                          <w:rPr>
                            <w:sz w:val="21"/>
                          </w:rPr>
                          <w:t>、酒石酸（</w:t>
                        </w:r>
                        <w:r>
                          <w:rPr>
                            <w:rFonts w:ascii="Times New Roman" w:eastAsia="Times New Roman"/>
                            <w:sz w:val="21"/>
                          </w:rPr>
                          <w:t>2.3-</w:t>
                        </w:r>
                        <w:r>
                          <w:rPr>
                            <w:sz w:val="21"/>
                          </w:rPr>
                          <w:t>二羟基丁二酸〉和硼酸。</w:t>
                        </w:r>
                      </w:p>
                    </w:tc>
                    <w:tc>
                      <w:tcPr>
                        <w:tcW w:w="904" w:type="dxa"/>
                        <w:tcBorders>
                          <w:top w:val="single" w:sz="4" w:space="0" w:color="000000"/>
                          <w:left w:val="single" w:sz="4" w:space="0" w:color="000000"/>
                          <w:bottom w:val="thickThinMediumGap"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17"/>
                          </w:rPr>
                        </w:pPr>
                      </w:p>
                      <w:p>
                        <w:pPr>
                          <w:pStyle w:val="TableParagraph"/>
                          <w:spacing w:before="1"/>
                          <w:ind w:left="226" w:right="208"/>
                          <w:jc w:val="center"/>
                          <w:rPr>
                            <w:sz w:val="21"/>
                          </w:rPr>
                        </w:pPr>
                        <w:r>
                          <w:rPr>
                            <w:sz w:val="21"/>
                          </w:rPr>
                          <w:t>不燃</w:t>
                        </w:r>
                      </w:p>
                    </w:tc>
                    <w:tc>
                      <w:tcPr>
                        <w:tcW w:w="2538" w:type="dxa"/>
                        <w:tcBorders>
                          <w:top w:val="single" w:sz="4" w:space="0" w:color="000000"/>
                          <w:left w:val="single" w:sz="4" w:space="0" w:color="000000"/>
                          <w:bottom w:val="thickThinMediumGap" w:sz="4" w:space="0" w:color="000000"/>
                        </w:tcBorders>
                      </w:tcPr>
                      <w:p>
                        <w:pPr>
                          <w:pStyle w:val="TableParagraph"/>
                          <w:spacing w:line="242" w:lineRule="auto"/>
                          <w:ind w:left="113" w:right="64" w:firstLine="33"/>
                          <w:jc w:val="center"/>
                          <w:rPr>
                            <w:sz w:val="21"/>
                          </w:rPr>
                        </w:pPr>
                        <w:r>
                          <w:rPr>
                            <w:spacing w:val="-1"/>
                            <w:sz w:val="21"/>
                          </w:rPr>
                          <w:t>主要危害物质为硼酸，工</w:t>
                        </w:r>
                        <w:r>
                          <w:rPr>
                            <w:sz w:val="21"/>
                          </w:rPr>
                          <w:t>业生产中，仅见引起皮肤</w:t>
                        </w:r>
                        <w:r>
                          <w:rPr>
                            <w:spacing w:val="-6"/>
                            <w:sz w:val="21"/>
                          </w:rPr>
                          <w:t>刺激、结膜炎、支气管炎一般无中毒发生。口服引起急性中毒，主要表现为胃肠道症状，有恶心、呕吐、腹痛、腹泻等，继之发生脱水、休克、昏迷或急性肾功能衰竭，可有高热、肝肾损害和惊厥，重者可致死。皮肤出现广泛</w:t>
                        </w:r>
                        <w:r>
                          <w:rPr>
                            <w:spacing w:val="-6"/>
                            <w:w w:val="95"/>
                            <w:sz w:val="21"/>
                          </w:rPr>
                          <w:t>鲜红色疹，重者成剥脱性</w:t>
                        </w:r>
                      </w:p>
                      <w:p>
                        <w:pPr>
                          <w:pStyle w:val="TableParagraph"/>
                          <w:spacing w:line="270" w:lineRule="atLeast"/>
                          <w:ind w:left="147" w:right="64"/>
                          <w:jc w:val="center"/>
                          <w:rPr>
                            <w:sz w:val="21"/>
                          </w:rPr>
                        </w:pPr>
                        <w:r>
                          <w:rPr>
                            <w:spacing w:val="-2"/>
                            <w:sz w:val="21"/>
                          </w:rPr>
                          <w:t>皮炎。该物质易被损伤皮</w:t>
                        </w:r>
                        <w:r>
                          <w:rPr>
                            <w:spacing w:val="-2"/>
                            <w:w w:val="95"/>
                            <w:sz w:val="21"/>
                          </w:rPr>
                          <w:t>肤吸收引起中毒。主要环</w:t>
                        </w:r>
                      </w:p>
                    </w:tc>
                  </w:tr>
                </w:tbl>
                <w:p>
                  <w:pPr>
                    <w:pStyle w:val="BodyText"/>
                  </w:pPr>
                </w:p>
              </w:txbxContent>
            </v:textbox>
          </v:shape>
        </w:pict>
      </w:r>
      <w:r>
        <w:rPr>
          <w:w w:val="99"/>
          <w:sz w:val="2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8"/>
        </w:rPr>
      </w:pPr>
    </w:p>
    <w:p>
      <w:pPr>
        <w:spacing w:before="0"/>
        <w:ind w:left="0" w:right="263" w:firstLine="0"/>
        <w:jc w:val="right"/>
        <w:rPr>
          <w:sz w:val="21"/>
        </w:rPr>
      </w:pPr>
      <w:r>
        <w:rPr>
          <w:w w:val="99"/>
          <w:sz w:val="21"/>
        </w:rPr>
        <w:t>，</w:t>
      </w:r>
    </w:p>
    <w:p>
      <w:pPr>
        <w:pStyle w:val="BodyText"/>
        <w:rPr>
          <w:sz w:val="20"/>
        </w:rPr>
      </w:pPr>
    </w:p>
    <w:p>
      <w:pPr>
        <w:pStyle w:val="BodyText"/>
        <w:rPr>
          <w:sz w:val="20"/>
        </w:rPr>
      </w:pPr>
    </w:p>
    <w:p>
      <w:pPr>
        <w:pStyle w:val="BodyText"/>
        <w:spacing w:before="1"/>
      </w:pPr>
    </w:p>
    <w:p>
      <w:pPr>
        <w:spacing w:before="0"/>
        <w:ind w:left="0" w:right="263" w:firstLine="0"/>
        <w:jc w:val="right"/>
        <w:rPr>
          <w:sz w:val="21"/>
        </w:rPr>
      </w:pPr>
      <w:r>
        <w:rPr>
          <w:w w:val="99"/>
          <w:sz w:val="2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162"/>
        <w:ind w:left="0" w:right="263" w:firstLine="0"/>
        <w:jc w:val="right"/>
        <w:rPr>
          <w:sz w:val="21"/>
        </w:rPr>
      </w:pPr>
      <w:r>
        <w:rPr>
          <w:w w:val="99"/>
          <w:sz w:val="2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7"/>
        </w:rPr>
      </w:pPr>
    </w:p>
    <w:p>
      <w:pPr>
        <w:tabs>
          <w:tab w:val="left" w:pos="1571"/>
        </w:tabs>
        <w:spacing w:before="1"/>
        <w:ind w:left="631" w:right="0" w:firstLine="0"/>
        <w:jc w:val="left"/>
        <w:rPr>
          <w:sz w:val="28"/>
        </w:rPr>
      </w:pPr>
      <w:r>
        <w:rPr>
          <w:sz w:val="28"/>
        </w:rPr>
        <w:t>—</w:t>
      </w:r>
      <w:r>
        <w:rPr>
          <w:spacing w:val="59"/>
          <w:sz w:val="28"/>
        </w:rPr>
        <w:t xml:space="preserve"> </w:t>
      </w:r>
      <w:r>
        <w:rPr>
          <w:sz w:val="26"/>
        </w:rPr>
        <w:t>28</w:t>
      </w:r>
      <w:r>
        <w:rPr>
          <w:sz w:val="26"/>
        </w:rPr>
        <w:tab/>
      </w:r>
      <w:r>
        <w:rPr>
          <w:sz w:val="28"/>
        </w:rPr>
        <w:t>—</w:t>
      </w:r>
    </w:p>
    <w:p>
      <w:pPr>
        <w:spacing w:after="0"/>
        <w:jc w:val="left"/>
        <w:rPr>
          <w:sz w:val="28"/>
        </w:rPr>
        <w:sectPr>
          <w:pgSz w:w="11910" w:h="16840"/>
          <w:pgMar w:top="1580" w:right="879" w:bottom="280" w:left="900" w:header="720" w:footer="720" w:gutter="0"/>
          <w:pgNumType w:start="33"/>
          <w:cols w:num="1" w:space="720"/>
        </w:sectPr>
      </w:pPr>
    </w:p>
    <w:p>
      <w:pPr>
        <w:pStyle w:val="BodyText"/>
        <w:rPr>
          <w:sz w:val="8"/>
        </w:rPr>
      </w:pPr>
      <w:r>
        <w:pict>
          <v:shape id="_x0000_s1038" o:spid="_x0000_s1037" type="#_x0000_t202" style="width:429.65pt;height:87.9pt;margin-top:435.35pt;margin-left:100.65pt;mso-height-relative:page;mso-position-horizontal-relative:page;mso-position-vertical-relative:page;mso-width-relative:page;position:absolute;z-index:25166540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15"/>
                    <w:gridCol w:w="2827"/>
                    <w:gridCol w:w="2568"/>
                    <w:gridCol w:w="2568"/>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27"/>
                    </w:trPr>
                    <w:tc>
                      <w:tcPr>
                        <w:tcW w:w="615" w:type="dxa"/>
                      </w:tcPr>
                      <w:p>
                        <w:pPr>
                          <w:pStyle w:val="TableParagraph"/>
                          <w:spacing w:before="76"/>
                          <w:ind w:left="75" w:right="70"/>
                          <w:jc w:val="center"/>
                          <w:rPr>
                            <w:sz w:val="21"/>
                          </w:rPr>
                        </w:pPr>
                        <w:r>
                          <w:rPr>
                            <w:sz w:val="21"/>
                          </w:rPr>
                          <w:t>序号</w:t>
                        </w:r>
                      </w:p>
                    </w:tc>
                    <w:tc>
                      <w:tcPr>
                        <w:tcW w:w="2827" w:type="dxa"/>
                      </w:tcPr>
                      <w:p>
                        <w:pPr>
                          <w:pStyle w:val="TableParagraph"/>
                          <w:spacing w:before="76"/>
                          <w:ind w:left="1073" w:right="1069"/>
                          <w:jc w:val="center"/>
                          <w:rPr>
                            <w:sz w:val="21"/>
                          </w:rPr>
                        </w:pPr>
                        <w:r>
                          <w:rPr>
                            <w:sz w:val="21"/>
                          </w:rPr>
                          <w:t>名称</w:t>
                        </w:r>
                      </w:p>
                    </w:tc>
                    <w:tc>
                      <w:tcPr>
                        <w:tcW w:w="2568" w:type="dxa"/>
                      </w:tcPr>
                      <w:p>
                        <w:pPr>
                          <w:pStyle w:val="TableParagraph"/>
                          <w:spacing w:before="76"/>
                          <w:ind w:left="842" w:right="835"/>
                          <w:jc w:val="center"/>
                          <w:rPr>
                            <w:sz w:val="21"/>
                          </w:rPr>
                        </w:pPr>
                        <w:r>
                          <w:rPr>
                            <w:sz w:val="21"/>
                          </w:rPr>
                          <w:t>年处理量</w:t>
                        </w:r>
                      </w:p>
                    </w:tc>
                    <w:tc>
                      <w:tcPr>
                        <w:tcW w:w="2568" w:type="dxa"/>
                      </w:tcPr>
                      <w:p>
                        <w:pPr>
                          <w:pStyle w:val="TableParagraph"/>
                          <w:spacing w:before="76"/>
                          <w:ind w:left="839" w:right="835"/>
                          <w:jc w:val="center"/>
                          <w:rPr>
                            <w:sz w:val="21"/>
                          </w:rPr>
                        </w:pPr>
                        <w:r>
                          <w:rPr>
                            <w:sz w:val="21"/>
                          </w:rPr>
                          <w:t>备注</w:t>
                        </w:r>
                      </w:p>
                    </w:tc>
                  </w:tr>
                  <w:tr>
                    <w:tblPrEx>
                      <w:tblW w:w="0" w:type="auto"/>
                      <w:tblInd w:w="5" w:type="dxa"/>
                      <w:tblLayout w:type="fixed"/>
                      <w:tblCellMar>
                        <w:top w:w="0" w:type="dxa"/>
                        <w:left w:w="0" w:type="dxa"/>
                        <w:bottom w:w="0" w:type="dxa"/>
                        <w:right w:w="0" w:type="dxa"/>
                      </w:tblCellMar>
                    </w:tblPrEx>
                    <w:trPr>
                      <w:trHeight w:val="427"/>
                    </w:trPr>
                    <w:tc>
                      <w:tcPr>
                        <w:tcW w:w="615" w:type="dxa"/>
                      </w:tcPr>
                      <w:p>
                        <w:pPr>
                          <w:pStyle w:val="TableParagraph"/>
                          <w:spacing w:before="90"/>
                          <w:ind w:left="8"/>
                          <w:jc w:val="center"/>
                          <w:rPr>
                            <w:rFonts w:ascii="Times New Roman"/>
                            <w:sz w:val="21"/>
                          </w:rPr>
                        </w:pPr>
                        <w:r>
                          <w:rPr>
                            <w:rFonts w:ascii="Times New Roman"/>
                            <w:w w:val="99"/>
                            <w:sz w:val="21"/>
                          </w:rPr>
                          <w:t>1</w:t>
                        </w:r>
                      </w:p>
                    </w:tc>
                    <w:tc>
                      <w:tcPr>
                        <w:tcW w:w="2827" w:type="dxa"/>
                      </w:tcPr>
                      <w:p>
                        <w:pPr>
                          <w:pStyle w:val="TableParagraph"/>
                          <w:spacing w:before="76"/>
                          <w:ind w:left="1073" w:right="1069"/>
                          <w:jc w:val="center"/>
                          <w:rPr>
                            <w:sz w:val="21"/>
                          </w:rPr>
                        </w:pPr>
                        <w:r>
                          <w:rPr>
                            <w:sz w:val="21"/>
                          </w:rPr>
                          <w:t>铁件</w:t>
                        </w:r>
                      </w:p>
                    </w:tc>
                    <w:tc>
                      <w:tcPr>
                        <w:tcW w:w="2568" w:type="dxa"/>
                      </w:tcPr>
                      <w:p>
                        <w:pPr>
                          <w:pStyle w:val="TableParagraph"/>
                          <w:spacing w:before="76"/>
                          <w:ind w:left="842" w:right="835"/>
                          <w:jc w:val="center"/>
                          <w:rPr>
                            <w:sz w:val="21"/>
                          </w:rPr>
                        </w:pPr>
                        <w:r>
                          <w:rPr>
                            <w:rFonts w:ascii="Times New Roman" w:eastAsia="Times New Roman"/>
                            <w:sz w:val="21"/>
                          </w:rPr>
                          <w:t xml:space="preserve">10000 </w:t>
                        </w:r>
                        <w:r>
                          <w:rPr>
                            <w:sz w:val="21"/>
                          </w:rPr>
                          <w:t>吨</w:t>
                        </w:r>
                      </w:p>
                    </w:tc>
                    <w:tc>
                      <w:tcPr>
                        <w:tcW w:w="2568" w:type="dxa"/>
                      </w:tcPr>
                      <w:p>
                        <w:pPr>
                          <w:pStyle w:val="TableParagraph"/>
                          <w:spacing w:before="90"/>
                          <w:ind w:left="842" w:right="835"/>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426"/>
                    </w:trPr>
                    <w:tc>
                      <w:tcPr>
                        <w:tcW w:w="615" w:type="dxa"/>
                      </w:tcPr>
                      <w:p>
                        <w:pPr>
                          <w:pStyle w:val="TableParagraph"/>
                          <w:spacing w:before="90"/>
                          <w:ind w:left="8"/>
                          <w:jc w:val="center"/>
                          <w:rPr>
                            <w:rFonts w:ascii="Times New Roman"/>
                            <w:sz w:val="21"/>
                          </w:rPr>
                        </w:pPr>
                        <w:r>
                          <w:rPr>
                            <w:rFonts w:ascii="Times New Roman"/>
                            <w:w w:val="99"/>
                            <w:sz w:val="21"/>
                          </w:rPr>
                          <w:t>2</w:t>
                        </w:r>
                      </w:p>
                    </w:tc>
                    <w:tc>
                      <w:tcPr>
                        <w:tcW w:w="2827" w:type="dxa"/>
                      </w:tcPr>
                      <w:p>
                        <w:pPr>
                          <w:pStyle w:val="TableParagraph"/>
                          <w:spacing w:before="76"/>
                          <w:ind w:left="1073" w:right="1069"/>
                          <w:jc w:val="center"/>
                          <w:rPr>
                            <w:sz w:val="21"/>
                          </w:rPr>
                        </w:pPr>
                        <w:r>
                          <w:rPr>
                            <w:sz w:val="21"/>
                          </w:rPr>
                          <w:t>铝件</w:t>
                        </w:r>
                      </w:p>
                    </w:tc>
                    <w:tc>
                      <w:tcPr>
                        <w:tcW w:w="2568" w:type="dxa"/>
                      </w:tcPr>
                      <w:p>
                        <w:pPr>
                          <w:pStyle w:val="TableParagraph"/>
                          <w:spacing w:before="76"/>
                          <w:ind w:left="842" w:right="835"/>
                          <w:jc w:val="center"/>
                          <w:rPr>
                            <w:sz w:val="21"/>
                          </w:rPr>
                        </w:pPr>
                        <w:r>
                          <w:rPr>
                            <w:rFonts w:ascii="Times New Roman" w:eastAsia="Times New Roman"/>
                            <w:sz w:val="21"/>
                          </w:rPr>
                          <w:t xml:space="preserve">80000 </w:t>
                        </w:r>
                        <w:r>
                          <w:rPr>
                            <w:sz w:val="21"/>
                          </w:rPr>
                          <w:t>吨</w:t>
                        </w:r>
                      </w:p>
                    </w:tc>
                    <w:tc>
                      <w:tcPr>
                        <w:tcW w:w="2568" w:type="dxa"/>
                      </w:tcPr>
                      <w:p>
                        <w:pPr>
                          <w:pStyle w:val="TableParagraph"/>
                          <w:spacing w:before="90"/>
                          <w:ind w:left="842" w:right="835"/>
                          <w:jc w:val="center"/>
                          <w:rPr>
                            <w:rFonts w:ascii="Times New Roman"/>
                            <w:sz w:val="21"/>
                          </w:rPr>
                        </w:pPr>
                        <w:r>
                          <w:rPr>
                            <w:rFonts w:ascii="Times New Roman"/>
                            <w:sz w:val="21"/>
                          </w:rPr>
                          <w:t>--</w:t>
                        </w:r>
                      </w:p>
                    </w:tc>
                  </w:tr>
                  <w:tr>
                    <w:tblPrEx>
                      <w:tblW w:w="0" w:type="auto"/>
                      <w:tblInd w:w="5" w:type="dxa"/>
                      <w:tblLayout w:type="fixed"/>
                      <w:tblCellMar>
                        <w:top w:w="0" w:type="dxa"/>
                        <w:left w:w="0" w:type="dxa"/>
                        <w:bottom w:w="0" w:type="dxa"/>
                        <w:right w:w="0" w:type="dxa"/>
                      </w:tblCellMar>
                    </w:tblPrEx>
                    <w:trPr>
                      <w:trHeight w:val="427"/>
                    </w:trPr>
                    <w:tc>
                      <w:tcPr>
                        <w:tcW w:w="615" w:type="dxa"/>
                      </w:tcPr>
                      <w:p>
                        <w:pPr>
                          <w:pStyle w:val="TableParagraph"/>
                          <w:spacing w:before="90"/>
                          <w:ind w:left="8"/>
                          <w:jc w:val="center"/>
                          <w:rPr>
                            <w:rFonts w:ascii="Times New Roman"/>
                            <w:sz w:val="21"/>
                          </w:rPr>
                        </w:pPr>
                        <w:r>
                          <w:rPr>
                            <w:rFonts w:ascii="Times New Roman"/>
                            <w:w w:val="99"/>
                            <w:sz w:val="21"/>
                          </w:rPr>
                          <w:t>3</w:t>
                        </w:r>
                      </w:p>
                    </w:tc>
                    <w:tc>
                      <w:tcPr>
                        <w:tcW w:w="2827" w:type="dxa"/>
                      </w:tcPr>
                      <w:p>
                        <w:pPr>
                          <w:pStyle w:val="TableParagraph"/>
                          <w:spacing w:before="76"/>
                          <w:ind w:left="1078" w:right="1069"/>
                          <w:jc w:val="center"/>
                          <w:rPr>
                            <w:sz w:val="21"/>
                          </w:rPr>
                        </w:pPr>
                        <w:r>
                          <w:rPr>
                            <w:sz w:val="21"/>
                          </w:rPr>
                          <w:t>不锈钢</w:t>
                        </w:r>
                      </w:p>
                    </w:tc>
                    <w:tc>
                      <w:tcPr>
                        <w:tcW w:w="2568" w:type="dxa"/>
                      </w:tcPr>
                      <w:p>
                        <w:pPr>
                          <w:pStyle w:val="TableParagraph"/>
                          <w:spacing w:before="76"/>
                          <w:ind w:left="842" w:right="835"/>
                          <w:jc w:val="center"/>
                          <w:rPr>
                            <w:sz w:val="21"/>
                          </w:rPr>
                        </w:pPr>
                        <w:r>
                          <w:rPr>
                            <w:rFonts w:ascii="Times New Roman" w:eastAsia="Times New Roman"/>
                            <w:sz w:val="21"/>
                          </w:rPr>
                          <w:t xml:space="preserve">10000 </w:t>
                        </w:r>
                        <w:r>
                          <w:rPr>
                            <w:sz w:val="21"/>
                          </w:rPr>
                          <w:t>吨</w:t>
                        </w:r>
                      </w:p>
                    </w:tc>
                    <w:tc>
                      <w:tcPr>
                        <w:tcW w:w="2568" w:type="dxa"/>
                      </w:tcPr>
                      <w:p>
                        <w:pPr>
                          <w:pStyle w:val="TableParagraph"/>
                          <w:spacing w:before="90"/>
                          <w:ind w:left="842" w:right="835"/>
                          <w:jc w:val="center"/>
                          <w:rPr>
                            <w:rFonts w:ascii="Times New Roman"/>
                            <w:sz w:val="21"/>
                          </w:rPr>
                        </w:pPr>
                        <w:r>
                          <w:rPr>
                            <w:rFonts w:ascii="Times New Roman"/>
                            <w:sz w:val="21"/>
                          </w:rPr>
                          <w:t>--</w:t>
                        </w:r>
                      </w:p>
                    </w:tc>
                  </w:tr>
                </w:tbl>
                <w:p>
                  <w:pPr>
                    <w:pStyle w:val="BodyText"/>
                  </w:pPr>
                </w:p>
              </w:txbxContent>
            </v:textbox>
          </v:shape>
        </w:pict>
      </w:r>
    </w:p>
    <w:tbl>
      <w:tblPr>
        <w:tblStyle w:val="TableNormal"/>
        <w:tblW w:w="0" w:type="auto"/>
        <w:tblInd w:w="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09"/>
        <w:gridCol w:w="113"/>
        <w:gridCol w:w="1012"/>
        <w:gridCol w:w="900"/>
        <w:gridCol w:w="3337"/>
        <w:gridCol w:w="904"/>
        <w:gridCol w:w="2538"/>
      </w:tblGrid>
      <w:tr>
        <w:tblPrEx>
          <w:tblW w:w="0" w:type="auto"/>
          <w:tblInd w:w="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2"/>
        </w:trPr>
        <w:tc>
          <w:tcPr>
            <w:tcW w:w="709" w:type="dxa"/>
            <w:vMerge w:val="restart"/>
            <w:tcBorders>
              <w:right w:val="single" w:sz="4" w:space="0" w:color="000000"/>
            </w:tcBorders>
          </w:tcPr>
          <w:p>
            <w:pPr>
              <w:pStyle w:val="TableParagraph"/>
              <w:rPr>
                <w:rFonts w:ascii="Times New Roman"/>
                <w:sz w:val="22"/>
              </w:rPr>
            </w:pPr>
          </w:p>
        </w:tc>
        <w:tc>
          <w:tcPr>
            <w:tcW w:w="113" w:type="dxa"/>
            <w:vMerge w:val="restart"/>
            <w:tcBorders>
              <w:left w:val="single" w:sz="4" w:space="0" w:color="000000"/>
              <w:bottom w:val="nil"/>
              <w:right w:val="single" w:sz="4" w:space="0" w:color="000000"/>
            </w:tcBorders>
          </w:tcPr>
          <w:p>
            <w:pPr>
              <w:pStyle w:val="TableParagraph"/>
              <w:rPr>
                <w:rFonts w:ascii="Times New Roman"/>
                <w:sz w:val="22"/>
              </w:rPr>
            </w:pPr>
          </w:p>
        </w:tc>
        <w:tc>
          <w:tcPr>
            <w:tcW w:w="1012"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90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3337"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904"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2538" w:type="dxa"/>
            <w:tcBorders>
              <w:top w:val="single" w:sz="12" w:space="0" w:color="000000"/>
              <w:left w:val="single" w:sz="4" w:space="0" w:color="000000"/>
              <w:bottom w:val="nil"/>
            </w:tcBorders>
          </w:tcPr>
          <w:p>
            <w:pPr>
              <w:pStyle w:val="TableParagraph"/>
              <w:spacing w:before="1" w:line="240" w:lineRule="exact"/>
              <w:ind w:left="147"/>
              <w:rPr>
                <w:sz w:val="21"/>
              </w:rPr>
            </w:pPr>
            <w:r>
              <w:rPr>
                <w:sz w:val="21"/>
              </w:rPr>
              <w:t>境危害为进入水体后对水</w:t>
            </w:r>
          </w:p>
        </w:tc>
      </w:tr>
      <w:tr>
        <w:tblPrEx>
          <w:tblW w:w="0" w:type="auto"/>
          <w:tblInd w:w="306" w:type="dxa"/>
          <w:tblLayout w:type="fixed"/>
          <w:tblCellMar>
            <w:top w:w="0" w:type="dxa"/>
            <w:left w:w="0" w:type="dxa"/>
            <w:bottom w:w="0" w:type="dxa"/>
            <w:right w:w="0" w:type="dxa"/>
          </w:tblCellMar>
        </w:tblPrEx>
        <w:trPr>
          <w:trHeight w:val="251"/>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012" w:type="dxa"/>
            <w:vMerge/>
            <w:tcBorders>
              <w:top w:val="nil"/>
              <w:left w:val="single" w:sz="4" w:space="0" w:color="000000"/>
              <w:bottom w:val="single" w:sz="4" w:space="0" w:color="000000"/>
              <w:right w:val="single" w:sz="4" w:space="0" w:color="000000"/>
            </w:tcBorders>
          </w:tcPr>
          <w:p>
            <w:pPr>
              <w:rPr>
                <w:sz w:val="2"/>
                <w:szCs w:val="2"/>
              </w:rPr>
            </w:pPr>
          </w:p>
        </w:tc>
        <w:tc>
          <w:tcPr>
            <w:tcW w:w="900" w:type="dxa"/>
            <w:vMerge/>
            <w:tcBorders>
              <w:top w:val="nil"/>
              <w:left w:val="single" w:sz="4" w:space="0" w:color="000000"/>
              <w:bottom w:val="single" w:sz="4" w:space="0" w:color="000000"/>
              <w:right w:val="single" w:sz="4" w:space="0" w:color="000000"/>
            </w:tcBorders>
          </w:tcPr>
          <w:p>
            <w:pPr>
              <w:rPr>
                <w:sz w:val="2"/>
                <w:szCs w:val="2"/>
              </w:rPr>
            </w:pPr>
          </w:p>
        </w:tc>
        <w:tc>
          <w:tcPr>
            <w:tcW w:w="3337" w:type="dxa"/>
            <w:vMerge/>
            <w:tcBorders>
              <w:top w:val="nil"/>
              <w:left w:val="single" w:sz="4" w:space="0" w:color="000000"/>
              <w:bottom w:val="single" w:sz="4" w:space="0" w:color="000000"/>
              <w:right w:val="single" w:sz="4" w:space="0" w:color="000000"/>
            </w:tcBorders>
          </w:tcPr>
          <w:p>
            <w:pPr>
              <w:rPr>
                <w:sz w:val="2"/>
                <w:szCs w:val="2"/>
              </w:rPr>
            </w:pPr>
          </w:p>
        </w:tc>
        <w:tc>
          <w:tcPr>
            <w:tcW w:w="904" w:type="dxa"/>
            <w:vMerge/>
            <w:tcBorders>
              <w:top w:val="nil"/>
              <w:left w:val="single" w:sz="4" w:space="0" w:color="000000"/>
              <w:bottom w:val="single" w:sz="4" w:space="0" w:color="000000"/>
              <w:right w:val="single" w:sz="4" w:space="0" w:color="000000"/>
            </w:tcBorders>
          </w:tcPr>
          <w:p>
            <w:pPr>
              <w:rPr>
                <w:sz w:val="2"/>
                <w:szCs w:val="2"/>
              </w:rPr>
            </w:pPr>
          </w:p>
        </w:tc>
        <w:tc>
          <w:tcPr>
            <w:tcW w:w="2538" w:type="dxa"/>
            <w:tcBorders>
              <w:top w:val="nil"/>
              <w:left w:val="single" w:sz="4" w:space="0" w:color="000000"/>
              <w:bottom w:val="nil"/>
            </w:tcBorders>
          </w:tcPr>
          <w:p>
            <w:pPr>
              <w:pStyle w:val="TableParagraph"/>
              <w:spacing w:line="231" w:lineRule="exact"/>
              <w:ind w:left="147"/>
              <w:rPr>
                <w:sz w:val="21"/>
              </w:rPr>
            </w:pPr>
            <w:r>
              <w:rPr>
                <w:sz w:val="21"/>
              </w:rPr>
              <w:t>生生物有毒作用。受高热</w:t>
            </w:r>
          </w:p>
        </w:tc>
      </w:tr>
      <w:tr>
        <w:tblPrEx>
          <w:tblW w:w="0" w:type="auto"/>
          <w:tblInd w:w="306" w:type="dxa"/>
          <w:tblLayout w:type="fixed"/>
          <w:tblCellMar>
            <w:top w:w="0" w:type="dxa"/>
            <w:left w:w="0" w:type="dxa"/>
            <w:bottom w:w="0" w:type="dxa"/>
            <w:right w:w="0" w:type="dxa"/>
          </w:tblCellMar>
        </w:tblPrEx>
        <w:trPr>
          <w:trHeight w:val="1347"/>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012" w:type="dxa"/>
            <w:vMerge/>
            <w:tcBorders>
              <w:top w:val="nil"/>
              <w:left w:val="single" w:sz="4" w:space="0" w:color="000000"/>
              <w:bottom w:val="single" w:sz="4" w:space="0" w:color="000000"/>
              <w:right w:val="single" w:sz="4" w:space="0" w:color="000000"/>
            </w:tcBorders>
          </w:tcPr>
          <w:p>
            <w:pPr>
              <w:rPr>
                <w:sz w:val="2"/>
                <w:szCs w:val="2"/>
              </w:rPr>
            </w:pPr>
          </w:p>
        </w:tc>
        <w:tc>
          <w:tcPr>
            <w:tcW w:w="900" w:type="dxa"/>
            <w:vMerge/>
            <w:tcBorders>
              <w:top w:val="nil"/>
              <w:left w:val="single" w:sz="4" w:space="0" w:color="000000"/>
              <w:bottom w:val="single" w:sz="4" w:space="0" w:color="000000"/>
              <w:right w:val="single" w:sz="4" w:space="0" w:color="000000"/>
            </w:tcBorders>
          </w:tcPr>
          <w:p>
            <w:pPr>
              <w:rPr>
                <w:sz w:val="2"/>
                <w:szCs w:val="2"/>
              </w:rPr>
            </w:pPr>
          </w:p>
        </w:tc>
        <w:tc>
          <w:tcPr>
            <w:tcW w:w="3337" w:type="dxa"/>
            <w:vMerge/>
            <w:tcBorders>
              <w:top w:val="nil"/>
              <w:left w:val="single" w:sz="4" w:space="0" w:color="000000"/>
              <w:bottom w:val="single" w:sz="4" w:space="0" w:color="000000"/>
              <w:right w:val="single" w:sz="4" w:space="0" w:color="000000"/>
            </w:tcBorders>
          </w:tcPr>
          <w:p>
            <w:pPr>
              <w:rPr>
                <w:sz w:val="2"/>
                <w:szCs w:val="2"/>
              </w:rPr>
            </w:pPr>
          </w:p>
        </w:tc>
        <w:tc>
          <w:tcPr>
            <w:tcW w:w="904" w:type="dxa"/>
            <w:vMerge/>
            <w:tcBorders>
              <w:top w:val="nil"/>
              <w:left w:val="single" w:sz="4" w:space="0" w:color="000000"/>
              <w:bottom w:val="single" w:sz="4" w:space="0" w:color="000000"/>
              <w:right w:val="single" w:sz="4" w:space="0" w:color="000000"/>
            </w:tcBorders>
          </w:tcPr>
          <w:p>
            <w:pPr>
              <w:rPr>
                <w:sz w:val="2"/>
                <w:szCs w:val="2"/>
              </w:rPr>
            </w:pPr>
          </w:p>
        </w:tc>
        <w:tc>
          <w:tcPr>
            <w:tcW w:w="2538" w:type="dxa"/>
            <w:tcBorders>
              <w:top w:val="nil"/>
              <w:left w:val="single" w:sz="4" w:space="0" w:color="000000"/>
              <w:bottom w:val="single" w:sz="4" w:space="0" w:color="000000"/>
            </w:tcBorders>
          </w:tcPr>
          <w:p>
            <w:pPr>
              <w:pStyle w:val="TableParagraph"/>
              <w:spacing w:line="242" w:lineRule="auto"/>
              <w:ind w:left="161" w:right="81" w:firstLine="91"/>
              <w:jc w:val="both"/>
              <w:rPr>
                <w:sz w:val="21"/>
              </w:rPr>
            </w:pPr>
            <w:r>
              <w:rPr>
                <w:sz w:val="21"/>
              </w:rPr>
              <w:t>分解时释放出有毒的气体。急性毒性</w:t>
            </w:r>
            <w:r>
              <w:rPr>
                <w:rFonts w:ascii="Times New Roman" w:eastAsia="Times New Roman"/>
                <w:sz w:val="21"/>
              </w:rPr>
              <w:t>:</w:t>
            </w:r>
            <w:r>
              <w:rPr>
                <w:sz w:val="21"/>
              </w:rPr>
              <w:t>大鼠经口</w:t>
            </w:r>
            <w:r>
              <w:rPr>
                <w:rFonts w:ascii="Times New Roman" w:eastAsia="Times New Roman"/>
                <w:sz w:val="21"/>
              </w:rPr>
              <w:t>LD;o(mg/kg): 2660</w:t>
            </w:r>
            <w:r>
              <w:rPr>
                <w:sz w:val="21"/>
              </w:rPr>
              <w:t>。刺激性</w:t>
            </w:r>
            <w:r>
              <w:rPr>
                <w:rFonts w:ascii="Times New Roman" w:eastAsia="Times New Roman"/>
                <w:sz w:val="21"/>
              </w:rPr>
              <w:t>:</w:t>
            </w:r>
            <w:r>
              <w:rPr>
                <w:sz w:val="21"/>
              </w:rPr>
              <w:t>人经皮</w:t>
            </w:r>
            <w:r>
              <w:rPr>
                <w:rFonts w:ascii="Times New Roman" w:eastAsia="Times New Roman"/>
                <w:sz w:val="21"/>
              </w:rPr>
              <w:t xml:space="preserve">:15mg/3 </w:t>
            </w:r>
            <w:r>
              <w:rPr>
                <w:sz w:val="21"/>
              </w:rPr>
              <w:t>天，间</w:t>
            </w:r>
          </w:p>
          <w:p>
            <w:pPr>
              <w:pStyle w:val="TableParagraph"/>
              <w:spacing w:line="245" w:lineRule="exact"/>
              <w:ind w:left="358"/>
              <w:rPr>
                <w:sz w:val="21"/>
              </w:rPr>
            </w:pPr>
            <w:r>
              <w:rPr>
                <w:sz w:val="21"/>
              </w:rPr>
              <w:t>歇染毒，中度刺激。</w:t>
            </w:r>
          </w:p>
        </w:tc>
      </w:tr>
      <w:tr>
        <w:tblPrEx>
          <w:tblW w:w="0" w:type="auto"/>
          <w:tblInd w:w="306" w:type="dxa"/>
          <w:tblLayout w:type="fixed"/>
          <w:tblCellMar>
            <w:top w:w="0" w:type="dxa"/>
            <w:left w:w="0" w:type="dxa"/>
            <w:bottom w:w="0" w:type="dxa"/>
            <w:right w:w="0" w:type="dxa"/>
          </w:tblCellMar>
        </w:tblPrEx>
        <w:trPr>
          <w:trHeight w:val="1613"/>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012"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900"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3337" w:type="dxa"/>
            <w:tcBorders>
              <w:top w:val="single" w:sz="4" w:space="0" w:color="000000"/>
              <w:left w:val="single" w:sz="4" w:space="0" w:color="000000"/>
              <w:bottom w:val="nil"/>
              <w:right w:val="single" w:sz="4" w:space="0" w:color="000000"/>
            </w:tcBorders>
          </w:tcPr>
          <w:p>
            <w:pPr>
              <w:pStyle w:val="TableParagraph"/>
              <w:spacing w:line="242" w:lineRule="auto"/>
              <w:ind w:left="111" w:right="93"/>
              <w:jc w:val="center"/>
              <w:rPr>
                <w:sz w:val="21"/>
              </w:rPr>
            </w:pPr>
            <w:r>
              <w:rPr>
                <w:spacing w:val="-3"/>
                <w:sz w:val="21"/>
              </w:rPr>
              <w:t>主要成分：</w:t>
            </w:r>
            <w:r>
              <w:rPr>
                <w:rFonts w:ascii="Times New Roman" w:eastAsia="Times New Roman" w:hAnsi="Times New Roman"/>
                <w:spacing w:val="-13"/>
                <w:sz w:val="21"/>
              </w:rPr>
              <w:t>12</w:t>
            </w:r>
            <w:r>
              <w:rPr>
                <w:rFonts w:ascii="Times New Roman" w:eastAsia="Times New Roman" w:hAnsi="Times New Roman"/>
                <w:spacing w:val="-7"/>
                <w:sz w:val="21"/>
              </w:rPr>
              <w:t xml:space="preserve"> </w:t>
            </w:r>
            <w:r>
              <w:rPr>
                <w:spacing w:val="-7"/>
                <w:sz w:val="21"/>
              </w:rPr>
              <w:t>碳基硫酸钠和水，十</w:t>
            </w:r>
            <w:r>
              <w:rPr>
                <w:sz w:val="21"/>
              </w:rPr>
              <w:t>二烷基硫酸钠是一种阴离子表面活性剂，分子量：</w:t>
            </w:r>
            <w:r>
              <w:rPr>
                <w:rFonts w:ascii="Times New Roman" w:eastAsia="Times New Roman" w:hAnsi="Times New Roman"/>
                <w:sz w:val="21"/>
              </w:rPr>
              <w:t>288.38</w:t>
            </w:r>
            <w:r>
              <w:rPr>
                <w:sz w:val="21"/>
              </w:rPr>
              <w:t>，</w:t>
            </w:r>
            <w:r>
              <w:rPr>
                <w:rFonts w:ascii="Times New Roman" w:eastAsia="Times New Roman" w:hAnsi="Times New Roman"/>
                <w:sz w:val="21"/>
              </w:rPr>
              <w:t>pH</w:t>
            </w:r>
            <w:r>
              <w:rPr>
                <w:sz w:val="21"/>
              </w:rPr>
              <w:t xml:space="preserve">： </w:t>
            </w:r>
            <w:r>
              <w:rPr>
                <w:rFonts w:ascii="Times New Roman" w:eastAsia="Times New Roman" w:hAnsi="Times New Roman"/>
                <w:spacing w:val="-1"/>
                <w:w w:val="95"/>
                <w:sz w:val="21"/>
              </w:rPr>
              <w:t>7.5-9.5</w:t>
            </w:r>
            <w:r>
              <w:rPr>
                <w:spacing w:val="-4"/>
                <w:w w:val="95"/>
                <w:sz w:val="21"/>
              </w:rPr>
              <w:t>，熔点</w:t>
            </w:r>
            <w:r>
              <w:rPr>
                <w:spacing w:val="-3"/>
                <w:w w:val="95"/>
                <w:sz w:val="21"/>
              </w:rPr>
              <w:t>（℃）：</w:t>
            </w:r>
            <w:r>
              <w:rPr>
                <w:rFonts w:ascii="Times New Roman" w:eastAsia="Times New Roman" w:hAnsi="Times New Roman"/>
                <w:spacing w:val="-3"/>
                <w:w w:val="95"/>
                <w:sz w:val="21"/>
              </w:rPr>
              <w:t>204-207</w:t>
            </w:r>
            <w:r>
              <w:rPr>
                <w:spacing w:val="-2"/>
                <w:w w:val="95"/>
                <w:sz w:val="21"/>
              </w:rPr>
              <w:t>，相对密度（水</w:t>
            </w:r>
            <w:r>
              <w:rPr>
                <w:rFonts w:ascii="Times New Roman" w:eastAsia="Times New Roman" w:hAnsi="Times New Roman"/>
                <w:spacing w:val="-2"/>
                <w:w w:val="95"/>
                <w:sz w:val="21"/>
              </w:rPr>
              <w:t>=1</w:t>
            </w:r>
            <w:r>
              <w:rPr>
                <w:spacing w:val="-2"/>
                <w:w w:val="95"/>
                <w:sz w:val="21"/>
              </w:rPr>
              <w:t>）：</w:t>
            </w:r>
            <w:r>
              <w:rPr>
                <w:rFonts w:ascii="Times New Roman" w:eastAsia="Times New Roman" w:hAnsi="Times New Roman"/>
                <w:spacing w:val="-2"/>
                <w:w w:val="95"/>
                <w:sz w:val="21"/>
              </w:rPr>
              <w:t>1.09</w:t>
            </w:r>
            <w:r>
              <w:rPr>
                <w:spacing w:val="-2"/>
                <w:w w:val="95"/>
                <w:sz w:val="21"/>
              </w:rPr>
              <w:t>，属于硫酸</w:t>
            </w:r>
          </w:p>
          <w:p>
            <w:pPr>
              <w:pStyle w:val="TableParagraph"/>
              <w:spacing w:line="237" w:lineRule="exact"/>
              <w:ind w:left="79" w:right="64"/>
              <w:jc w:val="center"/>
              <w:rPr>
                <w:sz w:val="21"/>
              </w:rPr>
            </w:pPr>
            <w:r>
              <w:rPr>
                <w:spacing w:val="-3"/>
                <w:w w:val="95"/>
                <w:sz w:val="21"/>
              </w:rPr>
              <w:t>酯类表面活性剂的典型代表，市场</w:t>
            </w:r>
          </w:p>
        </w:tc>
        <w:tc>
          <w:tcPr>
            <w:tcW w:w="904"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2538" w:type="dxa"/>
            <w:tcBorders>
              <w:top w:val="single" w:sz="4" w:space="0" w:color="000000"/>
              <w:left w:val="single" w:sz="4" w:space="0" w:color="000000"/>
              <w:bottom w:val="nil"/>
            </w:tcBorders>
          </w:tcPr>
          <w:p>
            <w:pPr>
              <w:pStyle w:val="TableParagraph"/>
              <w:rPr>
                <w:rFonts w:ascii="Times New Roman"/>
                <w:sz w:val="22"/>
              </w:rPr>
            </w:pPr>
          </w:p>
        </w:tc>
      </w:tr>
      <w:tr>
        <w:tblPrEx>
          <w:tblW w:w="0" w:type="auto"/>
          <w:tblInd w:w="306" w:type="dxa"/>
          <w:tblLayout w:type="fixed"/>
          <w:tblCellMar>
            <w:top w:w="0" w:type="dxa"/>
            <w:left w:w="0" w:type="dxa"/>
            <w:bottom w:w="0" w:type="dxa"/>
            <w:right w:w="0" w:type="dxa"/>
          </w:tblCellMar>
        </w:tblPrEx>
        <w:trPr>
          <w:trHeight w:val="264"/>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012" w:type="dxa"/>
            <w:tcBorders>
              <w:top w:val="nil"/>
              <w:left w:val="single" w:sz="4" w:space="0" w:color="000000"/>
              <w:bottom w:val="nil"/>
              <w:right w:val="single" w:sz="4" w:space="0" w:color="000000"/>
            </w:tcBorders>
          </w:tcPr>
          <w:p>
            <w:pPr>
              <w:pStyle w:val="TableParagraph"/>
              <w:spacing w:line="245" w:lineRule="exact"/>
              <w:ind w:left="194"/>
              <w:rPr>
                <w:sz w:val="21"/>
              </w:rPr>
            </w:pPr>
            <w:r>
              <w:rPr>
                <w:sz w:val="21"/>
              </w:rPr>
              <w:t>抛光液</w:t>
            </w:r>
          </w:p>
        </w:tc>
        <w:tc>
          <w:tcPr>
            <w:tcW w:w="900" w:type="dxa"/>
            <w:tcBorders>
              <w:top w:val="nil"/>
              <w:left w:val="single" w:sz="4" w:space="0" w:color="000000"/>
              <w:bottom w:val="nil"/>
              <w:right w:val="single" w:sz="4" w:space="0" w:color="000000"/>
            </w:tcBorders>
          </w:tcPr>
          <w:p>
            <w:pPr>
              <w:pStyle w:val="TableParagraph"/>
              <w:spacing w:before="10" w:line="234" w:lineRule="exact"/>
              <w:ind w:left="19"/>
              <w:jc w:val="center"/>
              <w:rPr>
                <w:rFonts w:ascii="Times New Roman"/>
                <w:sz w:val="21"/>
              </w:rPr>
            </w:pPr>
            <w:r>
              <w:rPr>
                <w:rFonts w:ascii="Times New Roman"/>
                <w:w w:val="99"/>
                <w:sz w:val="21"/>
              </w:rPr>
              <w:t>/</w:t>
            </w:r>
          </w:p>
        </w:tc>
        <w:tc>
          <w:tcPr>
            <w:tcW w:w="3337" w:type="dxa"/>
            <w:tcBorders>
              <w:top w:val="nil"/>
              <w:left w:val="single" w:sz="4" w:space="0" w:color="000000"/>
              <w:bottom w:val="nil"/>
              <w:right w:val="single" w:sz="4" w:space="0" w:color="000000"/>
            </w:tcBorders>
          </w:tcPr>
          <w:p>
            <w:pPr>
              <w:pStyle w:val="TableParagraph"/>
              <w:spacing w:line="245" w:lineRule="exact"/>
              <w:ind w:left="79" w:right="64"/>
              <w:jc w:val="center"/>
              <w:rPr>
                <w:sz w:val="21"/>
              </w:rPr>
            </w:pPr>
            <w:r>
              <w:rPr>
                <w:sz w:val="21"/>
              </w:rPr>
              <w:t>上销售的商品通常为白色至微黄</w:t>
            </w:r>
          </w:p>
        </w:tc>
        <w:tc>
          <w:tcPr>
            <w:tcW w:w="904" w:type="dxa"/>
            <w:tcBorders>
              <w:top w:val="nil"/>
              <w:left w:val="single" w:sz="4" w:space="0" w:color="000000"/>
              <w:bottom w:val="nil"/>
              <w:right w:val="single" w:sz="4" w:space="0" w:color="000000"/>
            </w:tcBorders>
          </w:tcPr>
          <w:p>
            <w:pPr>
              <w:pStyle w:val="TableParagraph"/>
              <w:spacing w:line="245" w:lineRule="exact"/>
              <w:ind w:left="247"/>
              <w:rPr>
                <w:sz w:val="21"/>
              </w:rPr>
            </w:pPr>
            <w:r>
              <w:rPr>
                <w:sz w:val="21"/>
              </w:rPr>
              <w:t>不燃</w:t>
            </w:r>
          </w:p>
        </w:tc>
        <w:tc>
          <w:tcPr>
            <w:tcW w:w="2538" w:type="dxa"/>
            <w:tcBorders>
              <w:top w:val="nil"/>
              <w:left w:val="single" w:sz="4" w:space="0" w:color="000000"/>
              <w:bottom w:val="nil"/>
            </w:tcBorders>
          </w:tcPr>
          <w:p>
            <w:pPr>
              <w:pStyle w:val="TableParagraph"/>
              <w:spacing w:line="245" w:lineRule="exact"/>
              <w:ind w:left="113" w:right="-44"/>
              <w:rPr>
                <w:sz w:val="21"/>
              </w:rPr>
            </w:pPr>
            <w:r>
              <w:rPr>
                <w:spacing w:val="-20"/>
                <w:sz w:val="21"/>
              </w:rPr>
              <w:t xml:space="preserve">毒性 </w:t>
            </w:r>
            <w:r>
              <w:rPr>
                <w:rFonts w:ascii="Times New Roman" w:eastAsia="Times New Roman"/>
                <w:sz w:val="21"/>
              </w:rPr>
              <w:t>LD50</w:t>
            </w:r>
            <w:r>
              <w:rPr>
                <w:rFonts w:ascii="Times New Roman" w:eastAsia="Times New Roman"/>
                <w:spacing w:val="-2"/>
                <w:sz w:val="21"/>
              </w:rPr>
              <w:t xml:space="preserve"> </w:t>
            </w:r>
            <w:r>
              <w:rPr>
                <w:spacing w:val="-27"/>
                <w:sz w:val="21"/>
              </w:rPr>
              <w:t xml:space="preserve">为 </w:t>
            </w:r>
            <w:r>
              <w:rPr>
                <w:rFonts w:ascii="Times New Roman" w:eastAsia="Times New Roman"/>
                <w:sz w:val="21"/>
              </w:rPr>
              <w:t>1300mg/kg</w:t>
            </w:r>
            <w:r>
              <w:rPr>
                <w:sz w:val="21"/>
              </w:rPr>
              <w:t>。</w:t>
            </w:r>
          </w:p>
        </w:tc>
      </w:tr>
      <w:tr>
        <w:tblPrEx>
          <w:tblW w:w="0" w:type="auto"/>
          <w:tblInd w:w="306" w:type="dxa"/>
          <w:tblLayout w:type="fixed"/>
          <w:tblCellMar>
            <w:top w:w="0" w:type="dxa"/>
            <w:left w:w="0" w:type="dxa"/>
            <w:bottom w:w="0" w:type="dxa"/>
            <w:right w:w="0" w:type="dxa"/>
          </w:tblCellMar>
        </w:tblPrEx>
        <w:trPr>
          <w:trHeight w:val="244"/>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012" w:type="dxa"/>
            <w:tcBorders>
              <w:top w:val="nil"/>
              <w:left w:val="single" w:sz="4" w:space="0" w:color="000000"/>
              <w:bottom w:val="nil"/>
              <w:right w:val="single" w:sz="4" w:space="0" w:color="000000"/>
            </w:tcBorders>
          </w:tcPr>
          <w:p>
            <w:pPr>
              <w:pStyle w:val="TableParagraph"/>
              <w:rPr>
                <w:rFonts w:ascii="Times New Roman"/>
                <w:sz w:val="16"/>
              </w:rPr>
            </w:pPr>
          </w:p>
        </w:tc>
        <w:tc>
          <w:tcPr>
            <w:tcW w:w="900" w:type="dxa"/>
            <w:tcBorders>
              <w:top w:val="nil"/>
              <w:left w:val="single" w:sz="4" w:space="0" w:color="000000"/>
              <w:bottom w:val="nil"/>
              <w:right w:val="single" w:sz="4" w:space="0" w:color="000000"/>
            </w:tcBorders>
          </w:tcPr>
          <w:p>
            <w:pPr>
              <w:pStyle w:val="TableParagraph"/>
              <w:rPr>
                <w:rFonts w:ascii="Times New Roman"/>
                <w:sz w:val="16"/>
              </w:rPr>
            </w:pPr>
          </w:p>
        </w:tc>
        <w:tc>
          <w:tcPr>
            <w:tcW w:w="3337" w:type="dxa"/>
            <w:tcBorders>
              <w:top w:val="nil"/>
              <w:left w:val="single" w:sz="4" w:space="0" w:color="000000"/>
              <w:bottom w:val="nil"/>
              <w:right w:val="single" w:sz="4" w:space="0" w:color="000000"/>
            </w:tcBorders>
          </w:tcPr>
          <w:p>
            <w:pPr>
              <w:pStyle w:val="TableParagraph"/>
              <w:spacing w:line="225" w:lineRule="exact"/>
              <w:ind w:left="62" w:right="46"/>
              <w:jc w:val="center"/>
              <w:rPr>
                <w:sz w:val="21"/>
              </w:rPr>
            </w:pPr>
            <w:r>
              <w:rPr>
                <w:sz w:val="21"/>
              </w:rPr>
              <w:t>色结晶粉末，无毒，微溶于醇，不</w:t>
            </w:r>
          </w:p>
        </w:tc>
        <w:tc>
          <w:tcPr>
            <w:tcW w:w="904" w:type="dxa"/>
            <w:tcBorders>
              <w:top w:val="nil"/>
              <w:left w:val="single" w:sz="4" w:space="0" w:color="000000"/>
              <w:bottom w:val="nil"/>
              <w:right w:val="single" w:sz="4" w:space="0" w:color="000000"/>
            </w:tcBorders>
          </w:tcPr>
          <w:p>
            <w:pPr>
              <w:pStyle w:val="TableParagraph"/>
              <w:rPr>
                <w:rFonts w:ascii="Times New Roman"/>
                <w:sz w:val="16"/>
              </w:rPr>
            </w:pPr>
          </w:p>
        </w:tc>
        <w:tc>
          <w:tcPr>
            <w:tcW w:w="2538" w:type="dxa"/>
            <w:tcBorders>
              <w:top w:val="nil"/>
              <w:left w:val="single" w:sz="4" w:space="0" w:color="000000"/>
              <w:bottom w:val="nil"/>
            </w:tcBorders>
          </w:tcPr>
          <w:p>
            <w:pPr>
              <w:pStyle w:val="TableParagraph"/>
              <w:rPr>
                <w:rFonts w:ascii="Times New Roman"/>
                <w:sz w:val="16"/>
              </w:rPr>
            </w:pPr>
          </w:p>
        </w:tc>
      </w:tr>
      <w:tr>
        <w:tblPrEx>
          <w:tblW w:w="0" w:type="auto"/>
          <w:tblInd w:w="306" w:type="dxa"/>
          <w:tblLayout w:type="fixed"/>
          <w:tblCellMar>
            <w:top w:w="0" w:type="dxa"/>
            <w:left w:w="0" w:type="dxa"/>
            <w:bottom w:w="0" w:type="dxa"/>
            <w:right w:w="0" w:type="dxa"/>
          </w:tblCellMar>
        </w:tblPrEx>
        <w:trPr>
          <w:trHeight w:val="252"/>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012" w:type="dxa"/>
            <w:tcBorders>
              <w:top w:val="nil"/>
              <w:left w:val="single" w:sz="4" w:space="0" w:color="000000"/>
              <w:bottom w:val="nil"/>
              <w:right w:val="single" w:sz="4" w:space="0" w:color="000000"/>
            </w:tcBorders>
          </w:tcPr>
          <w:p>
            <w:pPr>
              <w:pStyle w:val="TableParagraph"/>
              <w:rPr>
                <w:rFonts w:ascii="Times New Roman"/>
                <w:sz w:val="18"/>
              </w:rPr>
            </w:pPr>
          </w:p>
        </w:tc>
        <w:tc>
          <w:tcPr>
            <w:tcW w:w="900" w:type="dxa"/>
            <w:tcBorders>
              <w:top w:val="nil"/>
              <w:left w:val="single" w:sz="4" w:space="0" w:color="000000"/>
              <w:bottom w:val="nil"/>
              <w:right w:val="single" w:sz="4" w:space="0" w:color="000000"/>
            </w:tcBorders>
          </w:tcPr>
          <w:p>
            <w:pPr>
              <w:pStyle w:val="TableParagraph"/>
              <w:rPr>
                <w:rFonts w:ascii="Times New Roman"/>
                <w:sz w:val="18"/>
              </w:rPr>
            </w:pPr>
          </w:p>
        </w:tc>
        <w:tc>
          <w:tcPr>
            <w:tcW w:w="3337" w:type="dxa"/>
            <w:tcBorders>
              <w:top w:val="nil"/>
              <w:left w:val="single" w:sz="4" w:space="0" w:color="000000"/>
              <w:bottom w:val="nil"/>
              <w:right w:val="single" w:sz="4" w:space="0" w:color="000000"/>
            </w:tcBorders>
          </w:tcPr>
          <w:p>
            <w:pPr>
              <w:pStyle w:val="TableParagraph"/>
              <w:spacing w:line="232" w:lineRule="exact"/>
              <w:ind w:left="61" w:right="46"/>
              <w:jc w:val="center"/>
              <w:rPr>
                <w:sz w:val="21"/>
              </w:rPr>
            </w:pPr>
            <w:r>
              <w:rPr>
                <w:sz w:val="21"/>
              </w:rPr>
              <w:t>溶于氯仿、醚，易溶于水，与阴离</w:t>
            </w:r>
          </w:p>
        </w:tc>
        <w:tc>
          <w:tcPr>
            <w:tcW w:w="904" w:type="dxa"/>
            <w:tcBorders>
              <w:top w:val="nil"/>
              <w:left w:val="single" w:sz="4" w:space="0" w:color="000000"/>
              <w:bottom w:val="nil"/>
              <w:right w:val="single" w:sz="4" w:space="0" w:color="000000"/>
            </w:tcBorders>
          </w:tcPr>
          <w:p>
            <w:pPr>
              <w:pStyle w:val="TableParagraph"/>
              <w:rPr>
                <w:rFonts w:ascii="Times New Roman"/>
                <w:sz w:val="18"/>
              </w:rPr>
            </w:pPr>
          </w:p>
        </w:tc>
        <w:tc>
          <w:tcPr>
            <w:tcW w:w="2538" w:type="dxa"/>
            <w:tcBorders>
              <w:top w:val="nil"/>
              <w:left w:val="single" w:sz="4" w:space="0" w:color="000000"/>
              <w:bottom w:val="nil"/>
            </w:tcBorders>
          </w:tcPr>
          <w:p>
            <w:pPr>
              <w:pStyle w:val="TableParagraph"/>
              <w:rPr>
                <w:rFonts w:ascii="Times New Roman"/>
                <w:sz w:val="18"/>
              </w:rPr>
            </w:pPr>
          </w:p>
        </w:tc>
      </w:tr>
      <w:tr>
        <w:tblPrEx>
          <w:tblW w:w="0" w:type="auto"/>
          <w:tblInd w:w="306" w:type="dxa"/>
          <w:tblLayout w:type="fixed"/>
          <w:tblCellMar>
            <w:top w:w="0" w:type="dxa"/>
            <w:left w:w="0" w:type="dxa"/>
            <w:bottom w:w="0" w:type="dxa"/>
            <w:right w:w="0" w:type="dxa"/>
          </w:tblCellMar>
        </w:tblPrEx>
        <w:trPr>
          <w:trHeight w:val="252"/>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012" w:type="dxa"/>
            <w:tcBorders>
              <w:top w:val="nil"/>
              <w:left w:val="single" w:sz="4" w:space="0" w:color="000000"/>
              <w:bottom w:val="nil"/>
              <w:right w:val="single" w:sz="4" w:space="0" w:color="000000"/>
            </w:tcBorders>
          </w:tcPr>
          <w:p>
            <w:pPr>
              <w:pStyle w:val="TableParagraph"/>
              <w:rPr>
                <w:rFonts w:ascii="Times New Roman"/>
                <w:sz w:val="18"/>
              </w:rPr>
            </w:pPr>
          </w:p>
        </w:tc>
        <w:tc>
          <w:tcPr>
            <w:tcW w:w="900" w:type="dxa"/>
            <w:tcBorders>
              <w:top w:val="nil"/>
              <w:left w:val="single" w:sz="4" w:space="0" w:color="000000"/>
              <w:bottom w:val="nil"/>
              <w:right w:val="single" w:sz="4" w:space="0" w:color="000000"/>
            </w:tcBorders>
          </w:tcPr>
          <w:p>
            <w:pPr>
              <w:pStyle w:val="TableParagraph"/>
              <w:rPr>
                <w:rFonts w:ascii="Times New Roman"/>
                <w:sz w:val="18"/>
              </w:rPr>
            </w:pPr>
          </w:p>
        </w:tc>
        <w:tc>
          <w:tcPr>
            <w:tcW w:w="3337" w:type="dxa"/>
            <w:tcBorders>
              <w:top w:val="nil"/>
              <w:left w:val="single" w:sz="4" w:space="0" w:color="000000"/>
              <w:bottom w:val="nil"/>
              <w:right w:val="single" w:sz="4" w:space="0" w:color="000000"/>
            </w:tcBorders>
          </w:tcPr>
          <w:p>
            <w:pPr>
              <w:pStyle w:val="TableParagraph"/>
              <w:spacing w:line="232" w:lineRule="exact"/>
              <w:ind w:left="61" w:right="46"/>
              <w:jc w:val="center"/>
              <w:rPr>
                <w:sz w:val="21"/>
              </w:rPr>
            </w:pPr>
            <w:r>
              <w:rPr>
                <w:sz w:val="21"/>
              </w:rPr>
              <w:t>子、非离子复配伍性好，具有良好</w:t>
            </w:r>
          </w:p>
        </w:tc>
        <w:tc>
          <w:tcPr>
            <w:tcW w:w="904" w:type="dxa"/>
            <w:tcBorders>
              <w:top w:val="nil"/>
              <w:left w:val="single" w:sz="4" w:space="0" w:color="000000"/>
              <w:bottom w:val="nil"/>
              <w:right w:val="single" w:sz="4" w:space="0" w:color="000000"/>
            </w:tcBorders>
          </w:tcPr>
          <w:p>
            <w:pPr>
              <w:pStyle w:val="TableParagraph"/>
              <w:rPr>
                <w:rFonts w:ascii="Times New Roman"/>
                <w:sz w:val="18"/>
              </w:rPr>
            </w:pPr>
          </w:p>
        </w:tc>
        <w:tc>
          <w:tcPr>
            <w:tcW w:w="2538" w:type="dxa"/>
            <w:tcBorders>
              <w:top w:val="nil"/>
              <w:left w:val="single" w:sz="4" w:space="0" w:color="000000"/>
              <w:bottom w:val="nil"/>
            </w:tcBorders>
          </w:tcPr>
          <w:p>
            <w:pPr>
              <w:pStyle w:val="TableParagraph"/>
              <w:rPr>
                <w:rFonts w:ascii="Times New Roman"/>
                <w:sz w:val="18"/>
              </w:rPr>
            </w:pPr>
          </w:p>
        </w:tc>
      </w:tr>
      <w:tr>
        <w:tblPrEx>
          <w:tblW w:w="0" w:type="auto"/>
          <w:tblInd w:w="306" w:type="dxa"/>
          <w:tblLayout w:type="fixed"/>
          <w:tblCellMar>
            <w:top w:w="0" w:type="dxa"/>
            <w:left w:w="0" w:type="dxa"/>
            <w:bottom w:w="0" w:type="dxa"/>
            <w:right w:w="0" w:type="dxa"/>
          </w:tblCellMar>
        </w:tblPrEx>
        <w:trPr>
          <w:trHeight w:val="252"/>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012" w:type="dxa"/>
            <w:tcBorders>
              <w:top w:val="nil"/>
              <w:left w:val="single" w:sz="4" w:space="0" w:color="000000"/>
              <w:bottom w:val="nil"/>
              <w:right w:val="single" w:sz="4" w:space="0" w:color="000000"/>
            </w:tcBorders>
          </w:tcPr>
          <w:p>
            <w:pPr>
              <w:pStyle w:val="TableParagraph"/>
              <w:rPr>
                <w:rFonts w:ascii="Times New Roman"/>
                <w:sz w:val="18"/>
              </w:rPr>
            </w:pPr>
          </w:p>
        </w:tc>
        <w:tc>
          <w:tcPr>
            <w:tcW w:w="900" w:type="dxa"/>
            <w:tcBorders>
              <w:top w:val="nil"/>
              <w:left w:val="single" w:sz="4" w:space="0" w:color="000000"/>
              <w:bottom w:val="nil"/>
              <w:right w:val="single" w:sz="4" w:space="0" w:color="000000"/>
            </w:tcBorders>
          </w:tcPr>
          <w:p>
            <w:pPr>
              <w:pStyle w:val="TableParagraph"/>
              <w:rPr>
                <w:rFonts w:ascii="Times New Roman"/>
                <w:sz w:val="18"/>
              </w:rPr>
            </w:pPr>
          </w:p>
        </w:tc>
        <w:tc>
          <w:tcPr>
            <w:tcW w:w="3337" w:type="dxa"/>
            <w:tcBorders>
              <w:top w:val="nil"/>
              <w:left w:val="single" w:sz="4" w:space="0" w:color="000000"/>
              <w:bottom w:val="nil"/>
              <w:right w:val="single" w:sz="4" w:space="0" w:color="000000"/>
            </w:tcBorders>
          </w:tcPr>
          <w:p>
            <w:pPr>
              <w:pStyle w:val="TableParagraph"/>
              <w:spacing w:line="232" w:lineRule="exact"/>
              <w:ind w:left="76" w:right="32"/>
              <w:jc w:val="center"/>
              <w:rPr>
                <w:sz w:val="21"/>
              </w:rPr>
            </w:pPr>
            <w:r>
              <w:rPr>
                <w:sz w:val="21"/>
              </w:rPr>
              <w:t>的乳化性、起泡性、发泡、渗透、</w:t>
            </w:r>
          </w:p>
        </w:tc>
        <w:tc>
          <w:tcPr>
            <w:tcW w:w="904" w:type="dxa"/>
            <w:tcBorders>
              <w:top w:val="nil"/>
              <w:left w:val="single" w:sz="4" w:space="0" w:color="000000"/>
              <w:bottom w:val="nil"/>
              <w:right w:val="single" w:sz="4" w:space="0" w:color="000000"/>
            </w:tcBorders>
          </w:tcPr>
          <w:p>
            <w:pPr>
              <w:pStyle w:val="TableParagraph"/>
              <w:rPr>
                <w:rFonts w:ascii="Times New Roman"/>
                <w:sz w:val="18"/>
              </w:rPr>
            </w:pPr>
          </w:p>
        </w:tc>
        <w:tc>
          <w:tcPr>
            <w:tcW w:w="2538" w:type="dxa"/>
            <w:tcBorders>
              <w:top w:val="nil"/>
              <w:left w:val="single" w:sz="4" w:space="0" w:color="000000"/>
              <w:bottom w:val="nil"/>
            </w:tcBorders>
          </w:tcPr>
          <w:p>
            <w:pPr>
              <w:pStyle w:val="TableParagraph"/>
              <w:rPr>
                <w:rFonts w:ascii="Times New Roman"/>
                <w:sz w:val="18"/>
              </w:rPr>
            </w:pPr>
          </w:p>
        </w:tc>
      </w:tr>
      <w:tr>
        <w:tblPrEx>
          <w:tblW w:w="0" w:type="auto"/>
          <w:tblInd w:w="306" w:type="dxa"/>
          <w:tblLayout w:type="fixed"/>
          <w:tblCellMar>
            <w:top w:w="0" w:type="dxa"/>
            <w:left w:w="0" w:type="dxa"/>
            <w:bottom w:w="0" w:type="dxa"/>
            <w:right w:w="0" w:type="dxa"/>
          </w:tblCellMar>
        </w:tblPrEx>
        <w:trPr>
          <w:trHeight w:val="252"/>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012" w:type="dxa"/>
            <w:tcBorders>
              <w:top w:val="nil"/>
              <w:left w:val="single" w:sz="4" w:space="0" w:color="000000"/>
              <w:bottom w:val="nil"/>
              <w:right w:val="single" w:sz="4" w:space="0" w:color="000000"/>
            </w:tcBorders>
          </w:tcPr>
          <w:p>
            <w:pPr>
              <w:pStyle w:val="TableParagraph"/>
              <w:rPr>
                <w:rFonts w:ascii="Times New Roman"/>
                <w:sz w:val="18"/>
              </w:rPr>
            </w:pPr>
          </w:p>
        </w:tc>
        <w:tc>
          <w:tcPr>
            <w:tcW w:w="900" w:type="dxa"/>
            <w:tcBorders>
              <w:top w:val="nil"/>
              <w:left w:val="single" w:sz="4" w:space="0" w:color="000000"/>
              <w:bottom w:val="nil"/>
              <w:right w:val="single" w:sz="4" w:space="0" w:color="000000"/>
            </w:tcBorders>
          </w:tcPr>
          <w:p>
            <w:pPr>
              <w:pStyle w:val="TableParagraph"/>
              <w:rPr>
                <w:rFonts w:ascii="Times New Roman"/>
                <w:sz w:val="18"/>
              </w:rPr>
            </w:pPr>
          </w:p>
        </w:tc>
        <w:tc>
          <w:tcPr>
            <w:tcW w:w="3337" w:type="dxa"/>
            <w:tcBorders>
              <w:top w:val="nil"/>
              <w:left w:val="single" w:sz="4" w:space="0" w:color="000000"/>
              <w:bottom w:val="nil"/>
              <w:right w:val="single" w:sz="4" w:space="0" w:color="000000"/>
            </w:tcBorders>
          </w:tcPr>
          <w:p>
            <w:pPr>
              <w:pStyle w:val="TableParagraph"/>
              <w:spacing w:line="232" w:lineRule="exact"/>
              <w:ind w:left="61" w:right="46"/>
              <w:jc w:val="center"/>
              <w:rPr>
                <w:sz w:val="21"/>
              </w:rPr>
            </w:pPr>
            <w:r>
              <w:rPr>
                <w:sz w:val="21"/>
              </w:rPr>
              <w:t>去污和分散性能、泡沬丰富，生物</w:t>
            </w:r>
          </w:p>
        </w:tc>
        <w:tc>
          <w:tcPr>
            <w:tcW w:w="904" w:type="dxa"/>
            <w:tcBorders>
              <w:top w:val="nil"/>
              <w:left w:val="single" w:sz="4" w:space="0" w:color="000000"/>
              <w:bottom w:val="nil"/>
              <w:right w:val="single" w:sz="4" w:space="0" w:color="000000"/>
            </w:tcBorders>
          </w:tcPr>
          <w:p>
            <w:pPr>
              <w:pStyle w:val="TableParagraph"/>
              <w:rPr>
                <w:rFonts w:ascii="Times New Roman"/>
                <w:sz w:val="18"/>
              </w:rPr>
            </w:pPr>
          </w:p>
        </w:tc>
        <w:tc>
          <w:tcPr>
            <w:tcW w:w="2538" w:type="dxa"/>
            <w:tcBorders>
              <w:top w:val="nil"/>
              <w:left w:val="single" w:sz="4" w:space="0" w:color="000000"/>
              <w:bottom w:val="nil"/>
            </w:tcBorders>
          </w:tcPr>
          <w:p>
            <w:pPr>
              <w:pStyle w:val="TableParagraph"/>
              <w:rPr>
                <w:rFonts w:ascii="Times New Roman"/>
                <w:sz w:val="18"/>
              </w:rPr>
            </w:pPr>
          </w:p>
        </w:tc>
      </w:tr>
      <w:tr>
        <w:tblPrEx>
          <w:tblW w:w="0" w:type="auto"/>
          <w:tblInd w:w="306" w:type="dxa"/>
          <w:tblLayout w:type="fixed"/>
          <w:tblCellMar>
            <w:top w:w="0" w:type="dxa"/>
            <w:left w:w="0" w:type="dxa"/>
            <w:bottom w:w="0" w:type="dxa"/>
            <w:right w:w="0" w:type="dxa"/>
          </w:tblCellMar>
        </w:tblPrEx>
        <w:trPr>
          <w:trHeight w:val="258"/>
        </w:trPr>
        <w:tc>
          <w:tcPr>
            <w:tcW w:w="709"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012"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90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337" w:type="dxa"/>
            <w:tcBorders>
              <w:top w:val="nil"/>
              <w:left w:val="single" w:sz="4" w:space="0" w:color="000000"/>
              <w:bottom w:val="single" w:sz="4" w:space="0" w:color="000000"/>
              <w:right w:val="single" w:sz="4" w:space="0" w:color="000000"/>
            </w:tcBorders>
          </w:tcPr>
          <w:p>
            <w:pPr>
              <w:pStyle w:val="TableParagraph"/>
              <w:spacing w:line="238" w:lineRule="exact"/>
              <w:ind w:left="80" w:right="64"/>
              <w:jc w:val="center"/>
              <w:rPr>
                <w:sz w:val="21"/>
              </w:rPr>
            </w:pPr>
            <w:r>
              <w:rPr>
                <w:sz w:val="21"/>
              </w:rPr>
              <w:t>降解快。</w:t>
            </w:r>
          </w:p>
        </w:tc>
        <w:tc>
          <w:tcPr>
            <w:tcW w:w="904"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538" w:type="dxa"/>
            <w:tcBorders>
              <w:top w:val="nil"/>
              <w:left w:val="single" w:sz="4" w:space="0" w:color="000000"/>
              <w:bottom w:val="single" w:sz="4" w:space="0" w:color="000000"/>
            </w:tcBorders>
          </w:tcPr>
          <w:p>
            <w:pPr>
              <w:pStyle w:val="TableParagraph"/>
              <w:rPr>
                <w:rFonts w:ascii="Times New Roman"/>
                <w:sz w:val="18"/>
              </w:rPr>
            </w:pPr>
          </w:p>
        </w:tc>
      </w:tr>
      <w:tr>
        <w:tblPrEx>
          <w:tblW w:w="0" w:type="auto"/>
          <w:tblInd w:w="306" w:type="dxa"/>
          <w:tblLayout w:type="fixed"/>
          <w:tblCellMar>
            <w:top w:w="0" w:type="dxa"/>
            <w:left w:w="0" w:type="dxa"/>
            <w:bottom w:w="0" w:type="dxa"/>
            <w:right w:w="0" w:type="dxa"/>
          </w:tblCellMar>
        </w:tblPrEx>
        <w:trPr>
          <w:trHeight w:val="502"/>
        </w:trPr>
        <w:tc>
          <w:tcPr>
            <w:tcW w:w="709" w:type="dxa"/>
            <w:vMerge/>
            <w:tcBorders>
              <w:top w:val="nil"/>
              <w:right w:val="single" w:sz="4" w:space="0" w:color="000000"/>
            </w:tcBorders>
          </w:tcPr>
          <w:p>
            <w:pPr>
              <w:rPr>
                <w:sz w:val="2"/>
                <w:szCs w:val="2"/>
              </w:rPr>
            </w:pPr>
          </w:p>
        </w:tc>
        <w:tc>
          <w:tcPr>
            <w:tcW w:w="8804" w:type="dxa"/>
            <w:gridSpan w:val="6"/>
            <w:tcBorders>
              <w:top w:val="single" w:sz="4" w:space="0" w:color="000000"/>
              <w:left w:val="single" w:sz="4" w:space="0" w:color="000000"/>
              <w:bottom w:val="nil"/>
            </w:tcBorders>
          </w:tcPr>
          <w:p>
            <w:pPr>
              <w:pStyle w:val="TableParagraph"/>
              <w:spacing w:before="115"/>
              <w:ind w:left="593"/>
              <w:rPr>
                <w:sz w:val="24"/>
              </w:rPr>
            </w:pPr>
            <w:r>
              <w:rPr>
                <w:sz w:val="24"/>
              </w:rPr>
              <w:t>（</w:t>
            </w:r>
            <w:r>
              <w:rPr>
                <w:rFonts w:ascii="Times New Roman" w:eastAsia="Times New Roman"/>
                <w:sz w:val="24"/>
              </w:rPr>
              <w:t>3</w:t>
            </w:r>
            <w:r>
              <w:rPr>
                <w:sz w:val="24"/>
              </w:rPr>
              <w:t>）产品方案</w:t>
            </w:r>
          </w:p>
        </w:tc>
      </w:tr>
      <w:tr>
        <w:tblPrEx>
          <w:tblW w:w="0" w:type="auto"/>
          <w:tblInd w:w="306" w:type="dxa"/>
          <w:tblLayout w:type="fixed"/>
          <w:tblCellMar>
            <w:top w:w="0" w:type="dxa"/>
            <w:left w:w="0" w:type="dxa"/>
            <w:bottom w:w="0" w:type="dxa"/>
            <w:right w:w="0" w:type="dxa"/>
          </w:tblCellMar>
        </w:tblPrEx>
        <w:trPr>
          <w:trHeight w:val="469"/>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bottom w:val="nil"/>
            </w:tcBorders>
          </w:tcPr>
          <w:p>
            <w:pPr>
              <w:pStyle w:val="TableParagraph"/>
              <w:spacing w:before="61"/>
              <w:ind w:left="593"/>
              <w:rPr>
                <w:sz w:val="24"/>
              </w:rPr>
            </w:pPr>
            <w:r>
              <w:rPr>
                <w:sz w:val="24"/>
              </w:rPr>
              <w:t>拟建项目产品方案情况见下表。</w:t>
            </w:r>
          </w:p>
        </w:tc>
      </w:tr>
      <w:tr>
        <w:tblPrEx>
          <w:tblW w:w="0" w:type="auto"/>
          <w:tblInd w:w="306" w:type="dxa"/>
          <w:tblLayout w:type="fixed"/>
          <w:tblCellMar>
            <w:top w:w="0" w:type="dxa"/>
            <w:left w:w="0" w:type="dxa"/>
            <w:bottom w:w="0" w:type="dxa"/>
            <w:right w:w="0" w:type="dxa"/>
          </w:tblCellMar>
        </w:tblPrEx>
        <w:trPr>
          <w:trHeight w:val="1328"/>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bottom w:val="nil"/>
            </w:tcBorders>
          </w:tcPr>
          <w:p>
            <w:pPr>
              <w:pStyle w:val="TableParagraph"/>
              <w:tabs>
                <w:tab w:val="left" w:pos="859"/>
              </w:tabs>
              <w:spacing w:before="109"/>
              <w:ind w:left="19"/>
              <w:jc w:val="center"/>
              <w:rPr>
                <w:b/>
                <w:sz w:val="24"/>
              </w:rPr>
            </w:pPr>
            <w:r>
              <w:rPr>
                <w:b/>
                <w:sz w:val="24"/>
              </w:rPr>
              <w:t>表</w:t>
            </w:r>
            <w:r>
              <w:rPr>
                <w:b/>
                <w:spacing w:val="-62"/>
                <w:sz w:val="24"/>
              </w:rPr>
              <w:t xml:space="preserve"> </w:t>
            </w:r>
            <w:r>
              <w:rPr>
                <w:rFonts w:ascii="Times New Roman" w:eastAsia="Times New Roman"/>
                <w:b/>
                <w:sz w:val="24"/>
              </w:rPr>
              <w:t>14.</w:t>
            </w:r>
            <w:r>
              <w:rPr>
                <w:rFonts w:ascii="Times New Roman" w:eastAsia="Times New Roman"/>
                <w:b/>
                <w:sz w:val="24"/>
              </w:rPr>
              <w:tab/>
            </w:r>
            <w:r>
              <w:rPr>
                <w:b/>
                <w:sz w:val="24"/>
              </w:rPr>
              <w:t>产品方案一览表</w:t>
            </w:r>
          </w:p>
        </w:tc>
      </w:tr>
      <w:tr>
        <w:tblPrEx>
          <w:tblW w:w="0" w:type="auto"/>
          <w:tblInd w:w="306" w:type="dxa"/>
          <w:tblLayout w:type="fixed"/>
          <w:tblCellMar>
            <w:top w:w="0" w:type="dxa"/>
            <w:left w:w="0" w:type="dxa"/>
            <w:bottom w:w="0" w:type="dxa"/>
            <w:right w:w="0" w:type="dxa"/>
          </w:tblCellMar>
        </w:tblPrEx>
        <w:trPr>
          <w:trHeight w:val="1284"/>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bottom w:val="nil"/>
            </w:tcBorders>
          </w:tcPr>
          <w:p>
            <w:pPr>
              <w:pStyle w:val="TableParagraph"/>
              <w:rPr>
                <w:sz w:val="26"/>
              </w:rPr>
            </w:pPr>
          </w:p>
          <w:p>
            <w:pPr>
              <w:pStyle w:val="TableParagraph"/>
              <w:rPr>
                <w:sz w:val="26"/>
              </w:rPr>
            </w:pPr>
          </w:p>
          <w:p>
            <w:pPr>
              <w:pStyle w:val="TableParagraph"/>
              <w:spacing w:before="4"/>
              <w:rPr>
                <w:sz w:val="18"/>
              </w:rPr>
            </w:pPr>
          </w:p>
          <w:p>
            <w:pPr>
              <w:pStyle w:val="TableParagraph"/>
              <w:ind w:left="533"/>
              <w:rPr>
                <w:b/>
                <w:sz w:val="24"/>
              </w:rPr>
            </w:pPr>
            <w:r>
              <w:rPr>
                <w:rFonts w:ascii="Times New Roman" w:eastAsia="Times New Roman"/>
                <w:b/>
                <w:sz w:val="24"/>
              </w:rPr>
              <w:t>4</w:t>
            </w:r>
            <w:r>
              <w:rPr>
                <w:b/>
                <w:sz w:val="24"/>
              </w:rPr>
              <w:t>、劳动定员及工作制度</w:t>
            </w:r>
          </w:p>
        </w:tc>
      </w:tr>
      <w:tr>
        <w:tblPrEx>
          <w:tblW w:w="0" w:type="auto"/>
          <w:tblInd w:w="306" w:type="dxa"/>
          <w:tblLayout w:type="fixed"/>
          <w:tblCellMar>
            <w:top w:w="0" w:type="dxa"/>
            <w:left w:w="0" w:type="dxa"/>
            <w:bottom w:w="0" w:type="dxa"/>
            <w:right w:w="0" w:type="dxa"/>
          </w:tblCellMar>
        </w:tblPrEx>
        <w:trPr>
          <w:trHeight w:val="446"/>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bottom w:val="nil"/>
            </w:tcBorders>
          </w:tcPr>
          <w:p>
            <w:pPr>
              <w:pStyle w:val="TableParagraph"/>
              <w:spacing w:before="65"/>
              <w:ind w:left="593"/>
              <w:rPr>
                <w:sz w:val="24"/>
              </w:rPr>
            </w:pPr>
            <w:r>
              <w:rPr>
                <w:spacing w:val="-9"/>
                <w:sz w:val="24"/>
              </w:rPr>
              <w:t xml:space="preserve">项目劳动定员 </w:t>
            </w:r>
            <w:r>
              <w:rPr>
                <w:rFonts w:ascii="Times New Roman" w:eastAsia="Times New Roman"/>
                <w:sz w:val="24"/>
              </w:rPr>
              <w:t xml:space="preserve">50 </w:t>
            </w:r>
            <w:r>
              <w:rPr>
                <w:spacing w:val="-16"/>
                <w:sz w:val="24"/>
              </w:rPr>
              <w:t xml:space="preserve">人，年工作 </w:t>
            </w:r>
            <w:r>
              <w:rPr>
                <w:rFonts w:ascii="Times New Roman" w:eastAsia="Times New Roman"/>
                <w:sz w:val="24"/>
              </w:rPr>
              <w:t xml:space="preserve">300 </w:t>
            </w:r>
            <w:r>
              <w:rPr>
                <w:spacing w:val="-14"/>
                <w:sz w:val="24"/>
              </w:rPr>
              <w:t xml:space="preserve">天，每班工作 </w:t>
            </w:r>
            <w:r>
              <w:rPr>
                <w:rFonts w:ascii="Times New Roman" w:eastAsia="Times New Roman"/>
                <w:sz w:val="24"/>
              </w:rPr>
              <w:t xml:space="preserve">8 </w:t>
            </w:r>
            <w:r>
              <w:rPr>
                <w:spacing w:val="-5"/>
                <w:sz w:val="24"/>
              </w:rPr>
              <w:t>小时，</w:t>
            </w:r>
            <w:r>
              <w:rPr>
                <w:rFonts w:ascii="Times New Roman" w:eastAsia="Times New Roman"/>
                <w:spacing w:val="-14"/>
                <w:sz w:val="24"/>
              </w:rPr>
              <w:t xml:space="preserve">1 </w:t>
            </w:r>
            <w:r>
              <w:rPr>
                <w:spacing w:val="-6"/>
                <w:sz w:val="24"/>
              </w:rPr>
              <w:t>班制，生产工序年时</w:t>
            </w:r>
          </w:p>
        </w:tc>
      </w:tr>
      <w:tr>
        <w:tblPrEx>
          <w:tblW w:w="0" w:type="auto"/>
          <w:tblInd w:w="306" w:type="dxa"/>
          <w:tblLayout w:type="fixed"/>
          <w:tblCellMar>
            <w:top w:w="0" w:type="dxa"/>
            <w:left w:w="0" w:type="dxa"/>
            <w:bottom w:w="0" w:type="dxa"/>
            <w:right w:w="0" w:type="dxa"/>
          </w:tblCellMar>
        </w:tblPrEx>
        <w:trPr>
          <w:trHeight w:val="446"/>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bottom w:val="nil"/>
            </w:tcBorders>
          </w:tcPr>
          <w:p>
            <w:pPr>
              <w:pStyle w:val="TableParagraph"/>
              <w:spacing w:before="66"/>
              <w:ind w:left="113"/>
              <w:rPr>
                <w:sz w:val="24"/>
              </w:rPr>
            </w:pPr>
            <w:r>
              <w:rPr>
                <w:sz w:val="24"/>
              </w:rPr>
              <w:t xml:space="preserve">基数 </w:t>
            </w:r>
            <w:r>
              <w:rPr>
                <w:rFonts w:ascii="Times New Roman" w:eastAsia="Times New Roman"/>
                <w:sz w:val="24"/>
              </w:rPr>
              <w:t>2400h</w:t>
            </w:r>
            <w:r>
              <w:rPr>
                <w:sz w:val="24"/>
              </w:rPr>
              <w:t>。</w:t>
            </w:r>
          </w:p>
        </w:tc>
      </w:tr>
      <w:tr>
        <w:tblPrEx>
          <w:tblW w:w="0" w:type="auto"/>
          <w:tblInd w:w="306" w:type="dxa"/>
          <w:tblLayout w:type="fixed"/>
          <w:tblCellMar>
            <w:top w:w="0" w:type="dxa"/>
            <w:left w:w="0" w:type="dxa"/>
            <w:bottom w:w="0" w:type="dxa"/>
            <w:right w:w="0" w:type="dxa"/>
          </w:tblCellMar>
        </w:tblPrEx>
        <w:trPr>
          <w:trHeight w:val="451"/>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bottom w:val="nil"/>
            </w:tcBorders>
          </w:tcPr>
          <w:p>
            <w:pPr>
              <w:pStyle w:val="TableParagraph"/>
              <w:spacing w:before="65"/>
              <w:ind w:left="533"/>
              <w:rPr>
                <w:b/>
                <w:sz w:val="24"/>
              </w:rPr>
            </w:pPr>
            <w:r>
              <w:rPr>
                <w:rFonts w:ascii="Times New Roman" w:eastAsia="Times New Roman"/>
                <w:b/>
                <w:sz w:val="24"/>
              </w:rPr>
              <w:t>5</w:t>
            </w:r>
            <w:r>
              <w:rPr>
                <w:b/>
                <w:sz w:val="24"/>
              </w:rPr>
              <w:t>、水平衡分析</w:t>
            </w:r>
          </w:p>
        </w:tc>
      </w:tr>
      <w:tr>
        <w:tblPrEx>
          <w:tblW w:w="0" w:type="auto"/>
          <w:tblInd w:w="306" w:type="dxa"/>
          <w:tblLayout w:type="fixed"/>
          <w:tblCellMar>
            <w:top w:w="0" w:type="dxa"/>
            <w:left w:w="0" w:type="dxa"/>
            <w:bottom w:w="0" w:type="dxa"/>
            <w:right w:w="0" w:type="dxa"/>
          </w:tblCellMar>
        </w:tblPrEx>
        <w:trPr>
          <w:trHeight w:val="437"/>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bottom w:val="nil"/>
            </w:tcBorders>
          </w:tcPr>
          <w:p>
            <w:pPr>
              <w:pStyle w:val="TableParagraph"/>
              <w:spacing w:before="61"/>
              <w:ind w:left="593"/>
              <w:rPr>
                <w:sz w:val="24"/>
              </w:rPr>
            </w:pPr>
            <w:r>
              <w:rPr>
                <w:sz w:val="24"/>
              </w:rPr>
              <w:t>项目用水主要为生产上纯水制备用水（除油用水、清洗用水、酸洗用水、电解</w:t>
            </w:r>
          </w:p>
        </w:tc>
      </w:tr>
      <w:tr>
        <w:tblPrEx>
          <w:tblW w:w="0" w:type="auto"/>
          <w:tblInd w:w="306" w:type="dxa"/>
          <w:tblLayout w:type="fixed"/>
          <w:tblCellMar>
            <w:top w:w="0" w:type="dxa"/>
            <w:left w:w="0" w:type="dxa"/>
            <w:bottom w:w="0" w:type="dxa"/>
            <w:right w:w="0" w:type="dxa"/>
          </w:tblCellMar>
        </w:tblPrEx>
        <w:trPr>
          <w:trHeight w:val="446"/>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bottom w:val="nil"/>
            </w:tcBorders>
          </w:tcPr>
          <w:p>
            <w:pPr>
              <w:pStyle w:val="TableParagraph"/>
              <w:spacing w:before="69"/>
              <w:ind w:left="113"/>
              <w:rPr>
                <w:sz w:val="24"/>
              </w:rPr>
            </w:pPr>
            <w:r>
              <w:rPr>
                <w:sz w:val="24"/>
              </w:rPr>
              <w:t>抛光用水、碱洗用水、着色用水）、冷却补水、喷淋塔补水及生活用水。由自来水</w:t>
            </w:r>
          </w:p>
        </w:tc>
      </w:tr>
      <w:tr>
        <w:tblPrEx>
          <w:tblW w:w="0" w:type="auto"/>
          <w:tblInd w:w="306" w:type="dxa"/>
          <w:tblLayout w:type="fixed"/>
          <w:tblCellMar>
            <w:top w:w="0" w:type="dxa"/>
            <w:left w:w="0" w:type="dxa"/>
            <w:bottom w:w="0" w:type="dxa"/>
            <w:right w:w="0" w:type="dxa"/>
          </w:tblCellMar>
        </w:tblPrEx>
        <w:trPr>
          <w:trHeight w:val="443"/>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bottom w:val="nil"/>
            </w:tcBorders>
          </w:tcPr>
          <w:p>
            <w:pPr>
              <w:pStyle w:val="TableParagraph"/>
              <w:spacing w:before="70"/>
              <w:ind w:left="113"/>
              <w:rPr>
                <w:sz w:val="24"/>
              </w:rPr>
            </w:pPr>
            <w:r>
              <w:rPr>
                <w:sz w:val="24"/>
              </w:rPr>
              <w:t>管网供给。</w:t>
            </w:r>
          </w:p>
        </w:tc>
      </w:tr>
      <w:tr>
        <w:tblPrEx>
          <w:tblW w:w="0" w:type="auto"/>
          <w:tblInd w:w="306" w:type="dxa"/>
          <w:tblLayout w:type="fixed"/>
          <w:tblCellMar>
            <w:top w:w="0" w:type="dxa"/>
            <w:left w:w="0" w:type="dxa"/>
            <w:bottom w:w="0" w:type="dxa"/>
            <w:right w:w="0" w:type="dxa"/>
          </w:tblCellMar>
        </w:tblPrEx>
        <w:trPr>
          <w:trHeight w:val="459"/>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bottom w:val="nil"/>
            </w:tcBorders>
          </w:tcPr>
          <w:p>
            <w:pPr>
              <w:pStyle w:val="TableParagraph"/>
              <w:spacing w:before="73"/>
              <w:ind w:left="593"/>
              <w:rPr>
                <w:sz w:val="24"/>
              </w:rPr>
            </w:pPr>
            <w:r>
              <w:rPr>
                <w:sz w:val="24"/>
              </w:rPr>
              <w:t>（</w:t>
            </w:r>
            <w:r>
              <w:rPr>
                <w:rFonts w:ascii="Times New Roman" w:eastAsia="Times New Roman"/>
                <w:sz w:val="24"/>
              </w:rPr>
              <w:t>1</w:t>
            </w:r>
            <w:r>
              <w:rPr>
                <w:sz w:val="24"/>
              </w:rPr>
              <w:t>）供水</w:t>
            </w:r>
          </w:p>
        </w:tc>
      </w:tr>
      <w:tr>
        <w:tblPrEx>
          <w:tblW w:w="0" w:type="auto"/>
          <w:tblInd w:w="306" w:type="dxa"/>
          <w:tblLayout w:type="fixed"/>
          <w:tblCellMar>
            <w:top w:w="0" w:type="dxa"/>
            <w:left w:w="0" w:type="dxa"/>
            <w:bottom w:w="0" w:type="dxa"/>
            <w:right w:w="0" w:type="dxa"/>
          </w:tblCellMar>
        </w:tblPrEx>
        <w:trPr>
          <w:trHeight w:val="543"/>
        </w:trPr>
        <w:tc>
          <w:tcPr>
            <w:tcW w:w="709" w:type="dxa"/>
            <w:vMerge/>
            <w:tcBorders>
              <w:top w:val="nil"/>
              <w:right w:val="single" w:sz="4" w:space="0" w:color="000000"/>
            </w:tcBorders>
          </w:tcPr>
          <w:p>
            <w:pPr>
              <w:rPr>
                <w:sz w:val="2"/>
                <w:szCs w:val="2"/>
              </w:rPr>
            </w:pPr>
          </w:p>
        </w:tc>
        <w:tc>
          <w:tcPr>
            <w:tcW w:w="8804" w:type="dxa"/>
            <w:gridSpan w:val="6"/>
            <w:tcBorders>
              <w:top w:val="nil"/>
              <w:left w:val="single" w:sz="4" w:space="0" w:color="000000"/>
            </w:tcBorders>
          </w:tcPr>
          <w:p>
            <w:pPr>
              <w:pStyle w:val="TableParagraph"/>
              <w:spacing w:before="61"/>
              <w:ind w:left="593"/>
              <w:rPr>
                <w:b/>
                <w:sz w:val="24"/>
              </w:rPr>
            </w:pPr>
            <w:r>
              <w:rPr>
                <w:b/>
                <w:sz w:val="24"/>
              </w:rPr>
              <w:t>①纯水制备用水</w:t>
            </w:r>
          </w:p>
        </w:tc>
      </w:tr>
    </w:tbl>
    <w:p>
      <w:pPr>
        <w:pStyle w:val="BodyText"/>
        <w:rPr>
          <w:sz w:val="20"/>
        </w:rPr>
      </w:pPr>
    </w:p>
    <w:p>
      <w:pPr>
        <w:pStyle w:val="BodyText"/>
        <w:rPr>
          <w:sz w:val="20"/>
        </w:rPr>
      </w:pPr>
    </w:p>
    <w:p>
      <w:pPr>
        <w:pStyle w:val="BodyText"/>
        <w:rPr>
          <w:sz w:val="20"/>
        </w:rPr>
      </w:pPr>
    </w:p>
    <w:p>
      <w:pPr>
        <w:pStyle w:val="BodyText"/>
        <w:spacing w:before="3"/>
        <w:rPr>
          <w:sz w:val="19"/>
        </w:rPr>
      </w:pPr>
    </w:p>
    <w:p>
      <w:pPr>
        <w:spacing w:before="62"/>
        <w:ind w:left="0" w:right="649" w:firstLine="0"/>
        <w:jc w:val="right"/>
        <w:rPr>
          <w:sz w:val="28"/>
        </w:rPr>
      </w:pPr>
      <w:r>
        <w:rPr>
          <w:sz w:val="28"/>
        </w:rPr>
        <w:t xml:space="preserve">— </w:t>
      </w:r>
      <w:r>
        <w:rPr>
          <w:sz w:val="26"/>
        </w:rPr>
        <w:t xml:space="preserve">29 </w:t>
      </w:r>
      <w:r>
        <w:rPr>
          <w:sz w:val="28"/>
        </w:rPr>
        <w:t>—</w:t>
      </w:r>
    </w:p>
    <w:p>
      <w:pPr>
        <w:spacing w:after="0"/>
        <w:jc w:val="right"/>
        <w:rPr>
          <w:sz w:val="28"/>
        </w:rPr>
        <w:sectPr>
          <w:pgSz w:w="11910" w:h="16840"/>
          <w:pgMar w:top="1580" w:right="879" w:bottom="280" w:left="900" w:header="720" w:footer="720" w:gutter="0"/>
          <w:pgNumType w:start="34"/>
          <w:cols w:num="1" w:space="720"/>
        </w:sectPr>
      </w:pPr>
    </w:p>
    <w:p>
      <w:pPr>
        <w:pStyle w:val="ListParagraph"/>
        <w:numPr>
          <w:ilvl w:val="1"/>
          <w:numId w:val="6"/>
        </w:numPr>
        <w:tabs>
          <w:tab w:val="left" w:pos="1828"/>
        </w:tabs>
        <w:spacing w:before="124" w:after="0" w:line="240" w:lineRule="auto"/>
        <w:ind w:left="1827" w:right="0" w:hanging="235"/>
        <w:jc w:val="left"/>
        <w:rPr>
          <w:sz w:val="24"/>
        </w:rPr>
      </w:pPr>
      <w:r>
        <w:pict>
          <v:group id="_x0000_s1039" o:spid="_x0000_s1038" style="width:476.65pt;height:656.55pt;margin-top:5.15pt;margin-left:59.3pt;mso-height-relative:page;mso-position-horizontal-relative:page;mso-width-relative:page;position:absolute;z-index:-251650048" coordorigin="1186,103" coordsize="9533,13131">
            <v:shape id="_x0000_s1040" o:spid="_x0000_s1039" style="width:9533;height:13131;left:1186;position:absolute;top:409" coordorigin="1186,409" coordsize="9533,13131" path="m1186,113l10719,113m1186,13224l10719,13224m1196,103l1196,13233m10709,122l10709,13233e" filled="f" stroked="t" strokecolor="black">
              <v:path arrowok="t"/>
            </v:shape>
            <v:line id="_x0000_s1041" o:spid="_x0000_s1040" style="position:absolute" from="1905,122" to="1905,13214" coordsize="21600,21600" stroked="t" strokecolor="black"/>
          </v:group>
        </w:pict>
      </w:r>
      <w:r>
        <w:rPr>
          <w:sz w:val="24"/>
        </w:rPr>
        <w:t>除油用水</w:t>
      </w:r>
    </w:p>
    <w:p>
      <w:pPr>
        <w:pStyle w:val="BodyText"/>
        <w:spacing w:before="160" w:line="364" w:lineRule="auto"/>
        <w:ind w:left="1113" w:right="313" w:firstLine="480"/>
      </w:pPr>
      <w:r>
        <w:rPr>
          <w:spacing w:val="-3"/>
        </w:rPr>
        <w:t xml:space="preserve">根据企业提供的资料，本项目除油剂与水配比为 </w:t>
      </w:r>
      <w:r>
        <w:rPr>
          <w:rFonts w:ascii="Times New Roman" w:eastAsia="Times New Roman"/>
        </w:rPr>
        <w:t>1</w:t>
      </w:r>
      <w:r>
        <w:t>：</w:t>
      </w:r>
      <w:r>
        <w:rPr>
          <w:rFonts w:ascii="Times New Roman" w:eastAsia="Times New Roman"/>
        </w:rPr>
        <w:t>20</w:t>
      </w:r>
      <w:r>
        <w:rPr>
          <w:spacing w:val="-7"/>
        </w:rPr>
        <w:t xml:space="preserve">，除油剂用量为 </w:t>
      </w:r>
      <w:r>
        <w:rPr>
          <w:rFonts w:ascii="Times New Roman" w:eastAsia="Times New Roman"/>
          <w:spacing w:val="-4"/>
        </w:rPr>
        <w:t>0.8t/a</w:t>
      </w:r>
      <w:r>
        <w:rPr>
          <w:spacing w:val="-4"/>
        </w:rPr>
        <w:t xml:space="preserve">， </w:t>
      </w:r>
      <w:r>
        <w:rPr>
          <w:spacing w:val="1"/>
        </w:rPr>
        <w:t xml:space="preserve">则用水量为 </w:t>
      </w:r>
      <w:r>
        <w:rPr>
          <w:rFonts w:ascii="Times New Roman" w:eastAsia="Times New Roman"/>
          <w:spacing w:val="3"/>
        </w:rPr>
        <w:t>16m</w:t>
      </w:r>
      <w:r>
        <w:rPr>
          <w:rFonts w:ascii="Times New Roman" w:eastAsia="Times New Roman"/>
          <w:spacing w:val="3"/>
          <w:position w:val="8"/>
          <w:sz w:val="15"/>
        </w:rPr>
        <w:t>3</w:t>
      </w:r>
      <w:r>
        <w:rPr>
          <w:rFonts w:ascii="Times New Roman" w:eastAsia="Times New Roman"/>
          <w:spacing w:val="3"/>
        </w:rPr>
        <w:t>/a</w:t>
      </w:r>
      <w:r>
        <w:rPr>
          <w:spacing w:val="-1"/>
        </w:rPr>
        <w:t xml:space="preserve">，损耗量约 </w:t>
      </w:r>
      <w:r>
        <w:rPr>
          <w:rFonts w:ascii="Times New Roman" w:eastAsia="Times New Roman"/>
          <w:spacing w:val="9"/>
        </w:rPr>
        <w:t>5%</w:t>
      </w:r>
      <w:r>
        <w:rPr>
          <w:spacing w:val="4"/>
        </w:rPr>
        <w:t xml:space="preserve">，则补充水量为 </w:t>
      </w:r>
      <w:r>
        <w:rPr>
          <w:rFonts w:ascii="Times New Roman" w:eastAsia="Times New Roman"/>
          <w:spacing w:val="3"/>
        </w:rPr>
        <w:t>0.8m</w:t>
      </w:r>
      <w:r>
        <w:rPr>
          <w:rFonts w:ascii="Times New Roman" w:eastAsia="Times New Roman"/>
          <w:spacing w:val="3"/>
          <w:position w:val="8"/>
          <w:sz w:val="15"/>
        </w:rPr>
        <w:t>3</w:t>
      </w:r>
      <w:r>
        <w:rPr>
          <w:rFonts w:ascii="Times New Roman" w:eastAsia="Times New Roman"/>
          <w:spacing w:val="3"/>
        </w:rPr>
        <w:t>/a</w:t>
      </w:r>
      <w:r>
        <w:rPr>
          <w:spacing w:val="9"/>
        </w:rPr>
        <w:t>，该工序总用水量为</w:t>
      </w:r>
      <w:r>
        <w:rPr>
          <w:rFonts w:ascii="Times New Roman" w:eastAsia="Times New Roman"/>
          <w:spacing w:val="9"/>
        </w:rPr>
        <w:t>16.8m</w:t>
      </w:r>
      <w:r>
        <w:rPr>
          <w:rFonts w:ascii="Times New Roman" w:eastAsia="Times New Roman"/>
          <w:spacing w:val="9"/>
          <w:position w:val="8"/>
          <w:sz w:val="15"/>
        </w:rPr>
        <w:t>3</w:t>
      </w:r>
      <w:r>
        <w:rPr>
          <w:rFonts w:ascii="Times New Roman" w:eastAsia="Times New Roman"/>
          <w:spacing w:val="9"/>
        </w:rPr>
        <w:t>/a</w:t>
      </w:r>
      <w:r>
        <w:rPr>
          <w:spacing w:val="9"/>
        </w:rPr>
        <w:t>，由纯水机制备提供。</w:t>
      </w:r>
    </w:p>
    <w:p>
      <w:pPr>
        <w:pStyle w:val="ListParagraph"/>
        <w:numPr>
          <w:ilvl w:val="1"/>
          <w:numId w:val="6"/>
        </w:numPr>
        <w:tabs>
          <w:tab w:val="left" w:pos="1813"/>
        </w:tabs>
        <w:spacing w:before="0" w:after="0" w:line="304" w:lineRule="exact"/>
        <w:ind w:left="1813" w:right="0" w:hanging="220"/>
        <w:jc w:val="left"/>
        <w:rPr>
          <w:sz w:val="24"/>
        </w:rPr>
      </w:pPr>
      <w:r>
        <w:rPr>
          <w:sz w:val="24"/>
        </w:rPr>
        <w:t>预处理清洗用水</w:t>
      </w:r>
    </w:p>
    <w:p>
      <w:pPr>
        <w:pStyle w:val="BodyText"/>
        <w:spacing w:before="161" w:line="364" w:lineRule="auto"/>
        <w:ind w:left="1113" w:right="424" w:firstLine="480"/>
        <w:jc w:val="both"/>
      </w:pPr>
      <w:r>
        <w:rPr>
          <w:spacing w:val="-3"/>
        </w:rPr>
        <w:t xml:space="preserve">根据企业提供的资料可知，清水槽的更换频次为 </w:t>
      </w:r>
      <w:r>
        <w:rPr>
          <w:rFonts w:ascii="Times New Roman" w:eastAsia="Times New Roman"/>
        </w:rPr>
        <w:t xml:space="preserve">12 </w:t>
      </w:r>
      <w:r>
        <w:t>次</w:t>
      </w:r>
      <w:r>
        <w:rPr>
          <w:rFonts w:ascii="Times New Roman" w:eastAsia="Times New Roman"/>
        </w:rPr>
        <w:t>/</w:t>
      </w:r>
      <w:r>
        <w:rPr>
          <w:spacing w:val="-2"/>
        </w:rPr>
        <w:t>年，更换的废水经过污</w:t>
      </w:r>
      <w:r>
        <w:rPr>
          <w:spacing w:val="-6"/>
        </w:rPr>
        <w:t xml:space="preserve">水处理设施处理后回用 </w:t>
      </w:r>
      <w:r>
        <w:rPr>
          <w:rFonts w:ascii="Times New Roman" w:eastAsia="Times New Roman"/>
        </w:rPr>
        <w:t xml:space="preserve">1 </w:t>
      </w:r>
      <w:r>
        <w:rPr>
          <w:spacing w:val="-10"/>
        </w:rPr>
        <w:t xml:space="preserve">次，损耗量 </w:t>
      </w:r>
      <w:r>
        <w:rPr>
          <w:rFonts w:ascii="Times New Roman" w:eastAsia="Times New Roman"/>
        </w:rPr>
        <w:t>1.8m</w:t>
      </w:r>
      <w:r>
        <w:rPr>
          <w:rFonts w:ascii="Times New Roman" w:eastAsia="Times New Roman"/>
          <w:position w:val="8"/>
          <w:sz w:val="15"/>
        </w:rPr>
        <w:t>3</w:t>
      </w:r>
      <w:r>
        <w:rPr>
          <w:rFonts w:ascii="Times New Roman" w:eastAsia="Times New Roman"/>
        </w:rPr>
        <w:t>/d</w:t>
      </w:r>
      <w:r>
        <w:rPr>
          <w:spacing w:val="-12"/>
        </w:rPr>
        <w:t xml:space="preserve">，年运行 </w:t>
      </w:r>
      <w:r>
        <w:rPr>
          <w:rFonts w:ascii="Times New Roman" w:eastAsia="Times New Roman"/>
        </w:rPr>
        <w:t>300d</w:t>
      </w:r>
      <w:r>
        <w:t>。</w:t>
      </w:r>
    </w:p>
    <w:p>
      <w:pPr>
        <w:pStyle w:val="BodyText"/>
        <w:spacing w:line="364" w:lineRule="auto"/>
        <w:ind w:left="1113" w:right="424" w:firstLine="480"/>
        <w:jc w:val="both"/>
      </w:pPr>
      <w:r>
        <w:rPr>
          <w:spacing w:val="-5"/>
        </w:rPr>
        <w:t xml:space="preserve">本项目清水槽总容积约为 </w:t>
      </w:r>
      <w:r>
        <w:rPr>
          <w:rFonts w:ascii="Times New Roman" w:eastAsia="Times New Roman"/>
        </w:rPr>
        <w:t>980m</w:t>
      </w:r>
      <w:r>
        <w:rPr>
          <w:rFonts w:ascii="Times New Roman" w:eastAsia="Times New Roman"/>
          <w:position w:val="8"/>
          <w:sz w:val="15"/>
        </w:rPr>
        <w:t>3</w:t>
      </w:r>
      <w:r>
        <w:rPr>
          <w:spacing w:val="-9"/>
        </w:rPr>
        <w:t xml:space="preserve">，加水量约为 </w:t>
      </w:r>
      <w:r>
        <w:rPr>
          <w:rFonts w:ascii="Times New Roman" w:eastAsia="Times New Roman"/>
        </w:rPr>
        <w:t>85%</w:t>
      </w:r>
      <w:r>
        <w:rPr>
          <w:spacing w:val="-7"/>
        </w:rPr>
        <w:t xml:space="preserve">，则总有效容积为 </w:t>
      </w:r>
      <w:r>
        <w:rPr>
          <w:rFonts w:ascii="Times New Roman" w:eastAsia="Times New Roman"/>
          <w:spacing w:val="-4"/>
        </w:rPr>
        <w:t>833m</w:t>
      </w:r>
      <w:r>
        <w:rPr>
          <w:rFonts w:ascii="Times New Roman" w:eastAsia="Times New Roman"/>
          <w:spacing w:val="-4"/>
          <w:position w:val="8"/>
          <w:sz w:val="15"/>
        </w:rPr>
        <w:t>3</w:t>
      </w:r>
      <w:r>
        <w:rPr>
          <w:spacing w:val="-4"/>
        </w:rPr>
        <w:t xml:space="preserve">， </w:t>
      </w:r>
      <w:r>
        <w:rPr>
          <w:spacing w:val="-10"/>
        </w:rPr>
        <w:t xml:space="preserve">纯水用量为 </w:t>
      </w:r>
      <w:r>
        <w:rPr>
          <w:rFonts w:ascii="Times New Roman" w:eastAsia="Times New Roman"/>
        </w:rPr>
        <w:t>4998m</w:t>
      </w:r>
      <w:r>
        <w:rPr>
          <w:rFonts w:ascii="Times New Roman" w:eastAsia="Times New Roman"/>
          <w:position w:val="8"/>
          <w:sz w:val="15"/>
        </w:rPr>
        <w:t>3</w:t>
      </w:r>
      <w:r>
        <w:rPr>
          <w:rFonts w:ascii="Times New Roman" w:eastAsia="Times New Roman"/>
        </w:rPr>
        <w:t>/a</w:t>
      </w:r>
      <w:r>
        <w:rPr>
          <w:spacing w:val="-9"/>
        </w:rPr>
        <w:t xml:space="preserve">，补充水量 </w:t>
      </w:r>
      <w:r>
        <w:rPr>
          <w:rFonts w:ascii="Times New Roman" w:eastAsia="Times New Roman"/>
        </w:rPr>
        <w:t>540m</w:t>
      </w:r>
      <w:r>
        <w:rPr>
          <w:rFonts w:ascii="Times New Roman" w:eastAsia="Times New Roman"/>
          <w:position w:val="8"/>
          <w:sz w:val="15"/>
        </w:rPr>
        <w:t>3</w:t>
      </w:r>
      <w:r>
        <w:rPr>
          <w:rFonts w:ascii="Times New Roman" w:eastAsia="Times New Roman"/>
        </w:rPr>
        <w:t>/a</w:t>
      </w:r>
      <w:r>
        <w:rPr>
          <w:spacing w:val="-5"/>
        </w:rPr>
        <w:t xml:space="preserve">，则工序纯水用水量为 </w:t>
      </w:r>
      <w:r>
        <w:rPr>
          <w:rFonts w:ascii="Times New Roman" w:eastAsia="Times New Roman"/>
        </w:rPr>
        <w:t>5538m</w:t>
      </w:r>
      <w:r>
        <w:rPr>
          <w:rFonts w:ascii="Times New Roman" w:eastAsia="Times New Roman"/>
          <w:position w:val="8"/>
          <w:sz w:val="15"/>
        </w:rPr>
        <w:t>3</w:t>
      </w:r>
      <w:r>
        <w:rPr>
          <w:rFonts w:ascii="Times New Roman" w:eastAsia="Times New Roman"/>
        </w:rPr>
        <w:t>/a</w:t>
      </w:r>
      <w:r>
        <w:rPr>
          <w:spacing w:val="-3"/>
        </w:rPr>
        <w:t>，由纯水</w:t>
      </w:r>
      <w:r>
        <w:t>机制备提供。</w:t>
      </w:r>
    </w:p>
    <w:p>
      <w:pPr>
        <w:pStyle w:val="ListParagraph"/>
        <w:numPr>
          <w:ilvl w:val="1"/>
          <w:numId w:val="6"/>
        </w:numPr>
        <w:tabs>
          <w:tab w:val="left" w:pos="1816"/>
        </w:tabs>
        <w:spacing w:before="0" w:after="0" w:line="304" w:lineRule="exact"/>
        <w:ind w:left="1815" w:right="0" w:hanging="223"/>
        <w:jc w:val="left"/>
        <w:rPr>
          <w:sz w:val="24"/>
        </w:rPr>
      </w:pPr>
      <w:r>
        <w:rPr>
          <w:sz w:val="24"/>
        </w:rPr>
        <w:t>电泳清洗用水</w:t>
      </w:r>
    </w:p>
    <w:p>
      <w:pPr>
        <w:pStyle w:val="BodyText"/>
        <w:spacing w:before="159" w:line="364" w:lineRule="auto"/>
        <w:ind w:left="1113" w:right="424" w:firstLine="480"/>
        <w:jc w:val="both"/>
      </w:pPr>
      <w:r>
        <w:rPr>
          <w:spacing w:val="-3"/>
        </w:rPr>
        <w:t xml:space="preserve">根据企业提供的资料可知，电泳清水槽的更换频次为 </w:t>
      </w:r>
      <w:r>
        <w:rPr>
          <w:rFonts w:ascii="Times New Roman" w:eastAsia="Times New Roman"/>
        </w:rPr>
        <w:t xml:space="preserve">12 </w:t>
      </w:r>
      <w:r>
        <w:t>次</w:t>
      </w:r>
      <w:r>
        <w:rPr>
          <w:rFonts w:ascii="Times New Roman" w:eastAsia="Times New Roman"/>
        </w:rPr>
        <w:t>/</w:t>
      </w:r>
      <w:r>
        <w:rPr>
          <w:spacing w:val="-3"/>
        </w:rPr>
        <w:t>年，更换的废水损</w:t>
      </w:r>
      <w:r>
        <w:rPr>
          <w:spacing w:val="-21"/>
        </w:rPr>
        <w:t xml:space="preserve">耗量 </w:t>
      </w:r>
      <w:r>
        <w:rPr>
          <w:rFonts w:ascii="Times New Roman" w:eastAsia="Times New Roman"/>
        </w:rPr>
        <w:t>0.05m</w:t>
      </w:r>
      <w:r>
        <w:rPr>
          <w:rFonts w:ascii="Times New Roman" w:eastAsia="Times New Roman"/>
          <w:position w:val="8"/>
          <w:sz w:val="15"/>
        </w:rPr>
        <w:t>3</w:t>
      </w:r>
      <w:r>
        <w:rPr>
          <w:rFonts w:ascii="Times New Roman" w:eastAsia="Times New Roman"/>
        </w:rPr>
        <w:t>/d</w:t>
      </w:r>
      <w:r>
        <w:rPr>
          <w:spacing w:val="-12"/>
        </w:rPr>
        <w:t xml:space="preserve">，年运行 </w:t>
      </w:r>
      <w:r>
        <w:rPr>
          <w:rFonts w:ascii="Times New Roman" w:eastAsia="Times New Roman"/>
        </w:rPr>
        <w:t>300d</w:t>
      </w:r>
      <w:r>
        <w:t>。</w:t>
      </w:r>
    </w:p>
    <w:p>
      <w:pPr>
        <w:pStyle w:val="BodyText"/>
        <w:spacing w:line="364" w:lineRule="auto"/>
        <w:ind w:left="1113" w:right="424" w:firstLine="480"/>
        <w:jc w:val="both"/>
      </w:pPr>
      <w:r>
        <w:rPr>
          <w:spacing w:val="-8"/>
        </w:rPr>
        <w:t xml:space="preserve">电泳后清洗设置 </w:t>
      </w:r>
      <w:r>
        <w:rPr>
          <w:rFonts w:ascii="Times New Roman" w:eastAsia="Times New Roman"/>
        </w:rPr>
        <w:t xml:space="preserve">1 </w:t>
      </w:r>
      <w:r>
        <w:rPr>
          <w:spacing w:val="-12"/>
        </w:rPr>
        <w:t xml:space="preserve">个清水槽 </w:t>
      </w:r>
      <w:r>
        <w:rPr>
          <w:rFonts w:ascii="Times New Roman" w:eastAsia="Times New Roman"/>
          <w:spacing w:val="-7"/>
        </w:rPr>
        <w:t>4.8m</w:t>
      </w:r>
      <w:r>
        <w:rPr>
          <w:rFonts w:ascii="Times New Roman" w:eastAsia="Times New Roman"/>
          <w:spacing w:val="-7"/>
          <w:position w:val="8"/>
          <w:sz w:val="15"/>
        </w:rPr>
        <w:t>3</w:t>
      </w:r>
      <w:r>
        <w:rPr>
          <w:spacing w:val="-11"/>
        </w:rPr>
        <w:t xml:space="preserve">，加水量约为 </w:t>
      </w:r>
      <w:r>
        <w:rPr>
          <w:rFonts w:ascii="Times New Roman" w:eastAsia="Times New Roman"/>
          <w:spacing w:val="-11"/>
        </w:rPr>
        <w:t>85%</w:t>
      </w:r>
      <w:r>
        <w:rPr>
          <w:spacing w:val="-11"/>
        </w:rPr>
        <w:t xml:space="preserve">，有效容积为 </w:t>
      </w:r>
      <w:r>
        <w:rPr>
          <w:rFonts w:ascii="Times New Roman" w:eastAsia="Times New Roman"/>
          <w:spacing w:val="-7"/>
        </w:rPr>
        <w:t>4.1m</w:t>
      </w:r>
      <w:r>
        <w:rPr>
          <w:rFonts w:ascii="Times New Roman" w:eastAsia="Times New Roman"/>
          <w:spacing w:val="-7"/>
          <w:position w:val="8"/>
          <w:sz w:val="15"/>
        </w:rPr>
        <w:t>3</w:t>
      </w:r>
      <w:r>
        <w:rPr>
          <w:spacing w:val="-8"/>
        </w:rPr>
        <w:t>，纯水</w:t>
      </w:r>
      <w:r>
        <w:rPr>
          <w:spacing w:val="-15"/>
        </w:rPr>
        <w:t xml:space="preserve">用量为 </w:t>
      </w:r>
      <w:r>
        <w:rPr>
          <w:rFonts w:ascii="Times New Roman" w:eastAsia="Times New Roman"/>
        </w:rPr>
        <w:t>49.2m</w:t>
      </w:r>
      <w:r>
        <w:rPr>
          <w:rFonts w:ascii="Times New Roman" w:eastAsia="Times New Roman"/>
          <w:position w:val="8"/>
          <w:sz w:val="15"/>
        </w:rPr>
        <w:t>3</w:t>
      </w:r>
      <w:r>
        <w:rPr>
          <w:rFonts w:ascii="Times New Roman" w:eastAsia="Times New Roman"/>
        </w:rPr>
        <w:t>/a</w:t>
      </w:r>
      <w:r>
        <w:rPr>
          <w:spacing w:val="-10"/>
        </w:rPr>
        <w:t xml:space="preserve">，补充水量 </w:t>
      </w:r>
      <w:r>
        <w:rPr>
          <w:rFonts w:ascii="Times New Roman" w:eastAsia="Times New Roman"/>
        </w:rPr>
        <w:t>15m</w:t>
      </w:r>
      <w:r>
        <w:rPr>
          <w:rFonts w:ascii="Times New Roman" w:eastAsia="Times New Roman"/>
          <w:position w:val="8"/>
          <w:sz w:val="15"/>
        </w:rPr>
        <w:t>3</w:t>
      </w:r>
      <w:r>
        <w:rPr>
          <w:rFonts w:ascii="Times New Roman" w:eastAsia="Times New Roman"/>
        </w:rPr>
        <w:t>/a</w:t>
      </w:r>
      <w:r>
        <w:rPr>
          <w:spacing w:val="-5"/>
        </w:rPr>
        <w:t xml:space="preserve">，则工序纯水用水量为 </w:t>
      </w:r>
      <w:r>
        <w:rPr>
          <w:rFonts w:ascii="Times New Roman" w:eastAsia="Times New Roman"/>
        </w:rPr>
        <w:t>64.2m</w:t>
      </w:r>
      <w:r>
        <w:rPr>
          <w:rFonts w:ascii="Times New Roman" w:eastAsia="Times New Roman"/>
          <w:position w:val="8"/>
          <w:sz w:val="15"/>
        </w:rPr>
        <w:t>3</w:t>
      </w:r>
      <w:r>
        <w:rPr>
          <w:rFonts w:ascii="Times New Roman" w:eastAsia="Times New Roman"/>
        </w:rPr>
        <w:t>/a</w:t>
      </w:r>
      <w:r>
        <w:t>，由纯水机制备提供。</w:t>
      </w:r>
    </w:p>
    <w:p>
      <w:pPr>
        <w:pStyle w:val="ListParagraph"/>
        <w:numPr>
          <w:ilvl w:val="1"/>
          <w:numId w:val="6"/>
        </w:numPr>
        <w:tabs>
          <w:tab w:val="left" w:pos="1828"/>
        </w:tabs>
        <w:spacing w:before="0" w:after="0" w:line="307" w:lineRule="exact"/>
        <w:ind w:left="1827" w:right="0" w:hanging="235"/>
        <w:jc w:val="left"/>
        <w:rPr>
          <w:sz w:val="24"/>
        </w:rPr>
      </w:pPr>
      <w:r>
        <w:rPr>
          <w:sz w:val="24"/>
        </w:rPr>
        <w:t>酸洗用水</w:t>
      </w:r>
    </w:p>
    <w:p>
      <w:pPr>
        <w:pStyle w:val="BodyText"/>
        <w:spacing w:before="157" w:line="364" w:lineRule="auto"/>
        <w:ind w:left="1113" w:right="371" w:firstLine="480"/>
        <w:jc w:val="both"/>
      </w:pPr>
      <w:r>
        <w:rPr>
          <w:spacing w:val="-1"/>
        </w:rPr>
        <w:t xml:space="preserve">本项目酸洗槽内废液半年更换一次，需要加适量的纯水，根据企业提供资料， </w:t>
      </w:r>
      <w:r>
        <w:rPr>
          <w:spacing w:val="-12"/>
        </w:rPr>
        <w:t xml:space="preserve">更换量为 </w:t>
      </w:r>
      <w:r>
        <w:rPr>
          <w:rFonts w:ascii="Times New Roman" w:eastAsia="Times New Roman"/>
          <w:spacing w:val="-5"/>
        </w:rPr>
        <w:t>200m</w:t>
      </w:r>
      <w:r>
        <w:rPr>
          <w:rFonts w:ascii="Times New Roman" w:eastAsia="Times New Roman"/>
          <w:spacing w:val="-5"/>
          <w:position w:val="8"/>
          <w:sz w:val="15"/>
        </w:rPr>
        <w:t>3</w:t>
      </w:r>
      <w:r>
        <w:rPr>
          <w:rFonts w:ascii="Times New Roman" w:eastAsia="Times New Roman"/>
          <w:spacing w:val="-5"/>
        </w:rPr>
        <w:t>/a</w:t>
      </w:r>
      <w:r>
        <w:rPr>
          <w:spacing w:val="-8"/>
        </w:rPr>
        <w:t xml:space="preserve">，补充损耗水量为 </w:t>
      </w:r>
      <w:r>
        <w:rPr>
          <w:rFonts w:ascii="Times New Roman" w:eastAsia="Times New Roman"/>
          <w:spacing w:val="-6"/>
        </w:rPr>
        <w:t>20m</w:t>
      </w:r>
      <w:r>
        <w:rPr>
          <w:rFonts w:ascii="Times New Roman" w:eastAsia="Times New Roman"/>
          <w:spacing w:val="-6"/>
          <w:position w:val="8"/>
          <w:sz w:val="15"/>
        </w:rPr>
        <w:t>3</w:t>
      </w:r>
      <w:r>
        <w:rPr>
          <w:rFonts w:ascii="Times New Roman" w:eastAsia="Times New Roman"/>
          <w:spacing w:val="-6"/>
        </w:rPr>
        <w:t>/a</w:t>
      </w:r>
      <w:r>
        <w:rPr>
          <w:spacing w:val="-9"/>
        </w:rPr>
        <w:t xml:space="preserve">，则补充水量为 </w:t>
      </w:r>
      <w:r>
        <w:rPr>
          <w:rFonts w:ascii="Times New Roman" w:eastAsia="Times New Roman"/>
          <w:spacing w:val="-5"/>
        </w:rPr>
        <w:t>220m</w:t>
      </w:r>
      <w:r>
        <w:rPr>
          <w:rFonts w:ascii="Times New Roman" w:eastAsia="Times New Roman"/>
          <w:spacing w:val="-5"/>
          <w:position w:val="8"/>
          <w:sz w:val="15"/>
        </w:rPr>
        <w:t>3</w:t>
      </w:r>
      <w:r>
        <w:rPr>
          <w:rFonts w:ascii="Times New Roman" w:eastAsia="Times New Roman"/>
          <w:spacing w:val="-5"/>
        </w:rPr>
        <w:t>/a</w:t>
      </w:r>
      <w:r>
        <w:rPr>
          <w:spacing w:val="-2"/>
        </w:rPr>
        <w:t>，由纯水机制备提供。</w:t>
      </w:r>
    </w:p>
    <w:p>
      <w:pPr>
        <w:pStyle w:val="ListParagraph"/>
        <w:numPr>
          <w:ilvl w:val="1"/>
          <w:numId w:val="6"/>
        </w:numPr>
        <w:tabs>
          <w:tab w:val="left" w:pos="1801"/>
        </w:tabs>
        <w:spacing w:before="0" w:after="0" w:line="307" w:lineRule="exact"/>
        <w:ind w:left="1801" w:right="0" w:hanging="208"/>
        <w:jc w:val="left"/>
        <w:rPr>
          <w:sz w:val="24"/>
        </w:rPr>
      </w:pPr>
      <w:r>
        <w:rPr>
          <w:sz w:val="24"/>
        </w:rPr>
        <w:t>电解抛光用水</w:t>
      </w:r>
    </w:p>
    <w:p>
      <w:pPr>
        <w:pStyle w:val="BodyText"/>
        <w:spacing w:before="158" w:line="364" w:lineRule="auto"/>
        <w:ind w:left="1113" w:right="424" w:firstLine="480"/>
        <w:jc w:val="both"/>
      </w:pPr>
      <w:r>
        <w:rPr>
          <w:spacing w:val="-4"/>
        </w:rPr>
        <w:t>本项目电解抛光槽内废液半年更换一次，需要加适量的纯水，根据企业提供资</w:t>
      </w:r>
      <w:r>
        <w:rPr>
          <w:spacing w:val="-14"/>
        </w:rPr>
        <w:t xml:space="preserve">料，更换量为 </w:t>
      </w:r>
      <w:r>
        <w:rPr>
          <w:rFonts w:ascii="Times New Roman" w:eastAsia="Times New Roman"/>
        </w:rPr>
        <w:t>400m</w:t>
      </w:r>
      <w:r>
        <w:rPr>
          <w:rFonts w:ascii="Times New Roman" w:eastAsia="Times New Roman"/>
          <w:position w:val="8"/>
          <w:sz w:val="15"/>
        </w:rPr>
        <w:t>3</w:t>
      </w:r>
      <w:r>
        <w:rPr>
          <w:rFonts w:ascii="Times New Roman" w:eastAsia="Times New Roman"/>
        </w:rPr>
        <w:t>/a</w:t>
      </w:r>
      <w:r>
        <w:rPr>
          <w:spacing w:val="-12"/>
        </w:rPr>
        <w:t xml:space="preserve">。补充损耗水量为 </w:t>
      </w:r>
      <w:r>
        <w:rPr>
          <w:rFonts w:ascii="Times New Roman" w:eastAsia="Times New Roman"/>
        </w:rPr>
        <w:t>30m</w:t>
      </w:r>
      <w:r>
        <w:rPr>
          <w:rFonts w:ascii="Times New Roman" w:eastAsia="Times New Roman"/>
          <w:position w:val="8"/>
          <w:sz w:val="15"/>
        </w:rPr>
        <w:t>3</w:t>
      </w:r>
      <w:r>
        <w:rPr>
          <w:rFonts w:ascii="Times New Roman" w:eastAsia="Times New Roman"/>
        </w:rPr>
        <w:t>/a</w:t>
      </w:r>
      <w:r>
        <w:rPr>
          <w:spacing w:val="-13"/>
        </w:rPr>
        <w:t xml:space="preserve">。则总用水量为 </w:t>
      </w:r>
      <w:r>
        <w:rPr>
          <w:rFonts w:ascii="Times New Roman" w:eastAsia="Times New Roman"/>
          <w:spacing w:val="-4"/>
        </w:rPr>
        <w:t>430m</w:t>
      </w:r>
      <w:r>
        <w:rPr>
          <w:rFonts w:ascii="Times New Roman" w:eastAsia="Times New Roman"/>
          <w:spacing w:val="-4"/>
          <w:position w:val="8"/>
          <w:sz w:val="15"/>
        </w:rPr>
        <w:t>3</w:t>
      </w:r>
      <w:r>
        <w:rPr>
          <w:rFonts w:ascii="Times New Roman" w:eastAsia="Times New Roman"/>
          <w:spacing w:val="-4"/>
        </w:rPr>
        <w:t>/a</w:t>
      </w:r>
      <w:r>
        <w:rPr>
          <w:spacing w:val="-2"/>
        </w:rPr>
        <w:t>，由纯水机制备提供。</w:t>
      </w:r>
    </w:p>
    <w:p>
      <w:pPr>
        <w:pStyle w:val="ListParagraph"/>
        <w:numPr>
          <w:ilvl w:val="1"/>
          <w:numId w:val="6"/>
        </w:numPr>
        <w:tabs>
          <w:tab w:val="left" w:pos="1773"/>
        </w:tabs>
        <w:spacing w:before="0" w:after="0" w:line="307" w:lineRule="exact"/>
        <w:ind w:left="1772" w:right="0" w:hanging="180"/>
        <w:jc w:val="left"/>
        <w:rPr>
          <w:sz w:val="24"/>
        </w:rPr>
      </w:pPr>
      <w:r>
        <w:rPr>
          <w:sz w:val="24"/>
        </w:rPr>
        <w:t>磁力抛光用水</w:t>
      </w:r>
    </w:p>
    <w:p>
      <w:pPr>
        <w:pStyle w:val="BodyText"/>
        <w:spacing w:before="158" w:line="364" w:lineRule="auto"/>
        <w:ind w:left="1113" w:right="424" w:firstLine="480"/>
        <w:jc w:val="both"/>
      </w:pPr>
      <w:r>
        <w:rPr>
          <w:spacing w:val="2"/>
        </w:rPr>
        <w:t xml:space="preserve">根据企业提供的资料，本项目磁力抛光液与水配比为 </w:t>
      </w:r>
      <w:r>
        <w:rPr>
          <w:rFonts w:ascii="Times New Roman" w:eastAsia="Times New Roman"/>
          <w:spacing w:val="6"/>
        </w:rPr>
        <w:t>1</w:t>
      </w:r>
      <w:r>
        <w:rPr>
          <w:spacing w:val="6"/>
        </w:rPr>
        <w:t>：</w:t>
      </w:r>
      <w:r>
        <w:rPr>
          <w:rFonts w:ascii="Times New Roman" w:eastAsia="Times New Roman"/>
          <w:spacing w:val="6"/>
        </w:rPr>
        <w:t>50</w:t>
      </w:r>
      <w:r>
        <w:rPr>
          <w:spacing w:val="5"/>
        </w:rPr>
        <w:t>，抛光液用量为</w:t>
      </w:r>
      <w:r>
        <w:rPr>
          <w:rFonts w:ascii="Times New Roman" w:eastAsia="Times New Roman"/>
          <w:spacing w:val="5"/>
        </w:rPr>
        <w:t>0.5t/a</w:t>
      </w:r>
      <w:r>
        <w:rPr>
          <w:spacing w:val="-4"/>
        </w:rPr>
        <w:t xml:space="preserve">，则用水量为 </w:t>
      </w:r>
      <w:r>
        <w:rPr>
          <w:rFonts w:ascii="Times New Roman" w:eastAsia="Times New Roman"/>
        </w:rPr>
        <w:t>25m</w:t>
      </w:r>
      <w:r>
        <w:rPr>
          <w:rFonts w:ascii="Times New Roman" w:eastAsia="Times New Roman"/>
          <w:position w:val="8"/>
          <w:sz w:val="15"/>
        </w:rPr>
        <w:t>3</w:t>
      </w:r>
      <w:r>
        <w:rPr>
          <w:rFonts w:ascii="Times New Roman" w:eastAsia="Times New Roman"/>
        </w:rPr>
        <w:t>/a</w:t>
      </w:r>
      <w:r>
        <w:rPr>
          <w:spacing w:val="-10"/>
        </w:rPr>
        <w:t xml:space="preserve">，损耗量约 </w:t>
      </w:r>
      <w:r>
        <w:rPr>
          <w:rFonts w:ascii="Times New Roman" w:eastAsia="Times New Roman"/>
        </w:rPr>
        <w:t>5%</w:t>
      </w:r>
      <w:r>
        <w:rPr>
          <w:spacing w:val="-8"/>
        </w:rPr>
        <w:t xml:space="preserve">，则补充水量为 </w:t>
      </w:r>
      <w:r>
        <w:rPr>
          <w:rFonts w:ascii="Times New Roman" w:eastAsia="Times New Roman"/>
        </w:rPr>
        <w:t>1.25m</w:t>
      </w:r>
      <w:r>
        <w:rPr>
          <w:rFonts w:ascii="Times New Roman" w:eastAsia="Times New Roman"/>
          <w:position w:val="8"/>
          <w:sz w:val="15"/>
        </w:rPr>
        <w:t>3</w:t>
      </w:r>
      <w:r>
        <w:rPr>
          <w:rFonts w:ascii="Times New Roman" w:eastAsia="Times New Roman"/>
        </w:rPr>
        <w:t>/a</w:t>
      </w:r>
      <w:r>
        <w:t>，该工序总用水</w:t>
      </w:r>
      <w:r>
        <w:rPr>
          <w:spacing w:val="-20"/>
        </w:rPr>
        <w:t xml:space="preserve">量为 </w:t>
      </w:r>
      <w:r>
        <w:rPr>
          <w:rFonts w:ascii="Times New Roman" w:eastAsia="Times New Roman"/>
        </w:rPr>
        <w:t>26.25m</w:t>
      </w:r>
      <w:r>
        <w:rPr>
          <w:rFonts w:ascii="Times New Roman" w:eastAsia="Times New Roman"/>
          <w:position w:val="8"/>
          <w:sz w:val="15"/>
        </w:rPr>
        <w:t>3</w:t>
      </w:r>
      <w:r>
        <w:rPr>
          <w:rFonts w:ascii="Times New Roman" w:eastAsia="Times New Roman"/>
        </w:rPr>
        <w:t>/a</w:t>
      </w:r>
      <w:r>
        <w:t>，由纯水机制备提供。</w:t>
      </w:r>
    </w:p>
    <w:p>
      <w:pPr>
        <w:pStyle w:val="BodyText"/>
        <w:rPr>
          <w:sz w:val="20"/>
        </w:rPr>
      </w:pPr>
    </w:p>
    <w:p>
      <w:pPr>
        <w:pStyle w:val="BodyText"/>
        <w:rPr>
          <w:sz w:val="20"/>
        </w:rPr>
      </w:pPr>
    </w:p>
    <w:p>
      <w:pPr>
        <w:pStyle w:val="BodyText"/>
        <w:rPr>
          <w:sz w:val="20"/>
        </w:rPr>
      </w:pPr>
    </w:p>
    <w:p>
      <w:pPr>
        <w:tabs>
          <w:tab w:val="left" w:pos="1571"/>
        </w:tabs>
        <w:spacing w:before="218"/>
        <w:ind w:left="631" w:right="0" w:firstLine="0"/>
        <w:jc w:val="left"/>
        <w:rPr>
          <w:sz w:val="28"/>
        </w:rPr>
      </w:pPr>
      <w:r>
        <w:rPr>
          <w:sz w:val="28"/>
        </w:rPr>
        <w:t>—</w:t>
      </w:r>
      <w:r>
        <w:rPr>
          <w:spacing w:val="59"/>
          <w:sz w:val="28"/>
        </w:rPr>
        <w:t xml:space="preserve"> </w:t>
      </w:r>
      <w:r>
        <w:rPr>
          <w:sz w:val="26"/>
        </w:rPr>
        <w:t>30</w:t>
      </w:r>
      <w:r>
        <w:rPr>
          <w:sz w:val="26"/>
        </w:rPr>
        <w:tab/>
      </w:r>
      <w:r>
        <w:rPr>
          <w:sz w:val="28"/>
        </w:rPr>
        <w:t>—</w:t>
      </w:r>
    </w:p>
    <w:p>
      <w:pPr>
        <w:spacing w:after="0"/>
        <w:jc w:val="left"/>
        <w:rPr>
          <w:sz w:val="28"/>
        </w:rPr>
        <w:sectPr>
          <w:pgSz w:w="11910" w:h="16840"/>
          <w:pgMar w:top="1580" w:right="879" w:bottom="280" w:left="900" w:header="720" w:footer="720" w:gutter="0"/>
          <w:pgNumType w:start="35"/>
          <w:cols w:num="1" w:space="720"/>
        </w:sectPr>
      </w:pPr>
    </w:p>
    <w:p>
      <w:pPr>
        <w:pStyle w:val="ListParagraph"/>
        <w:numPr>
          <w:ilvl w:val="1"/>
          <w:numId w:val="6"/>
        </w:numPr>
        <w:tabs>
          <w:tab w:val="left" w:pos="1828"/>
        </w:tabs>
        <w:spacing w:before="124" w:after="0" w:line="240" w:lineRule="auto"/>
        <w:ind w:left="1827" w:right="0" w:hanging="235"/>
        <w:jc w:val="left"/>
        <w:rPr>
          <w:sz w:val="24"/>
        </w:rPr>
      </w:pPr>
      <w:r>
        <w:pict>
          <v:group id="_x0000_s1042" o:spid="_x0000_s1041" style="width:476.65pt;height:656.55pt;margin-top:5.15pt;margin-left:59.3pt;mso-height-relative:page;mso-position-horizontal-relative:page;mso-width-relative:page;position:absolute;z-index:-251649024" coordorigin="1186,103" coordsize="9533,13131">
            <v:shape id="_x0000_s1043" o:spid="_x0000_s1042" style="width:9533;height:13131;left:1186;position:absolute;top:409" coordorigin="1186,409" coordsize="9533,13131" path="m1186,113l10719,113m1186,13224l10719,13224m1196,103l1196,13233m10709,122l10709,13233e" filled="f" stroked="t" strokecolor="black">
              <v:path arrowok="t"/>
            </v:shape>
            <v:line id="_x0000_s1044" o:spid="_x0000_s1043" style="position:absolute" from="1905,122" to="1905,13214" coordsize="21600,21600" stroked="t" strokecolor="black"/>
          </v:group>
        </w:pict>
      </w:r>
      <w:r>
        <w:rPr>
          <w:sz w:val="24"/>
        </w:rPr>
        <w:t>着色用水</w:t>
      </w:r>
    </w:p>
    <w:p>
      <w:pPr>
        <w:pStyle w:val="BodyText"/>
        <w:spacing w:before="160" w:line="364" w:lineRule="auto"/>
        <w:ind w:left="1113" w:right="438" w:firstLine="480"/>
      </w:pPr>
      <w:r>
        <w:rPr>
          <w:spacing w:val="-3"/>
        </w:rPr>
        <w:t xml:space="preserve">根据企业提供的资料，本项目使用着色剂与水配比为 </w:t>
      </w:r>
      <w:r>
        <w:rPr>
          <w:rFonts w:ascii="Times New Roman" w:eastAsia="Times New Roman"/>
        </w:rPr>
        <w:t>1</w:t>
      </w:r>
      <w:r>
        <w:t>：</w:t>
      </w:r>
      <w:r>
        <w:rPr>
          <w:rFonts w:ascii="Times New Roman" w:eastAsia="Times New Roman"/>
        </w:rPr>
        <w:t>200</w:t>
      </w:r>
      <w:r>
        <w:t>，着色剂用量为</w:t>
      </w:r>
      <w:r>
        <w:rPr>
          <w:rFonts w:ascii="Times New Roman" w:eastAsia="Times New Roman"/>
        </w:rPr>
        <w:t>1t/a</w:t>
      </w:r>
      <w:r>
        <w:rPr>
          <w:spacing w:val="-9"/>
        </w:rPr>
        <w:t xml:space="preserve">，则用水量为 </w:t>
      </w:r>
      <w:r>
        <w:rPr>
          <w:rFonts w:ascii="Times New Roman" w:eastAsia="Times New Roman"/>
        </w:rPr>
        <w:t>200m</w:t>
      </w:r>
      <w:r>
        <w:rPr>
          <w:rFonts w:ascii="Times New Roman" w:eastAsia="Times New Roman"/>
          <w:position w:val="8"/>
          <w:sz w:val="15"/>
        </w:rPr>
        <w:t>3</w:t>
      </w:r>
      <w:r>
        <w:rPr>
          <w:rFonts w:ascii="Times New Roman" w:eastAsia="Times New Roman"/>
        </w:rPr>
        <w:t>/a</w:t>
      </w:r>
      <w:r>
        <w:rPr>
          <w:spacing w:val="-10"/>
        </w:rPr>
        <w:t xml:space="preserve">，损耗量约 </w:t>
      </w:r>
      <w:r>
        <w:rPr>
          <w:rFonts w:ascii="Times New Roman" w:eastAsia="Times New Roman"/>
        </w:rPr>
        <w:t>5%</w:t>
      </w:r>
      <w:r>
        <w:rPr>
          <w:spacing w:val="-8"/>
        </w:rPr>
        <w:t xml:space="preserve">，则补充水量为 </w:t>
      </w:r>
      <w:r>
        <w:rPr>
          <w:rFonts w:ascii="Times New Roman" w:eastAsia="Times New Roman"/>
        </w:rPr>
        <w:t>10m</w:t>
      </w:r>
      <w:r>
        <w:rPr>
          <w:rFonts w:ascii="Times New Roman" w:eastAsia="Times New Roman"/>
          <w:position w:val="8"/>
          <w:sz w:val="15"/>
        </w:rPr>
        <w:t>3</w:t>
      </w:r>
      <w:r>
        <w:rPr>
          <w:rFonts w:ascii="Times New Roman" w:eastAsia="Times New Roman"/>
        </w:rPr>
        <w:t>/a</w:t>
      </w:r>
      <w:r>
        <w:rPr>
          <w:spacing w:val="-2"/>
        </w:rPr>
        <w:t>，该工序总用水量</w:t>
      </w:r>
      <w:r>
        <w:rPr>
          <w:spacing w:val="-30"/>
        </w:rPr>
        <w:t xml:space="preserve">为 </w:t>
      </w:r>
      <w:r>
        <w:rPr>
          <w:rFonts w:ascii="Times New Roman" w:eastAsia="Times New Roman"/>
        </w:rPr>
        <w:t>210m</w:t>
      </w:r>
      <w:r>
        <w:rPr>
          <w:rFonts w:ascii="Times New Roman" w:eastAsia="Times New Roman"/>
          <w:position w:val="8"/>
          <w:sz w:val="15"/>
        </w:rPr>
        <w:t>3</w:t>
      </w:r>
      <w:r>
        <w:rPr>
          <w:rFonts w:ascii="Times New Roman" w:eastAsia="Times New Roman"/>
        </w:rPr>
        <w:t>/a</w:t>
      </w:r>
      <w:r>
        <w:t>，由纯水机制备提供。</w:t>
      </w:r>
    </w:p>
    <w:p>
      <w:pPr>
        <w:pStyle w:val="BodyText"/>
        <w:spacing w:line="304" w:lineRule="exact"/>
        <w:ind w:left="1593"/>
      </w:pPr>
      <w:r>
        <w:rPr>
          <w:rFonts w:ascii="Times New Roman" w:eastAsia="Times New Roman"/>
        </w:rPr>
        <w:t>E.</w:t>
      </w:r>
      <w:r>
        <w:t>碱洗用水</w:t>
      </w:r>
    </w:p>
    <w:p>
      <w:pPr>
        <w:pStyle w:val="BodyText"/>
        <w:spacing w:before="161" w:line="364" w:lineRule="auto"/>
        <w:ind w:left="1113" w:right="424" w:firstLine="480"/>
        <w:jc w:val="both"/>
      </w:pPr>
      <w:r>
        <w:t xml:space="preserve">根据企业提供的资料，碱洗液浓度约为 </w:t>
      </w:r>
      <w:r>
        <w:rPr>
          <w:rFonts w:ascii="Times New Roman" w:eastAsia="Times New Roman"/>
        </w:rPr>
        <w:t>200g/L</w:t>
      </w:r>
      <w:r>
        <w:rPr>
          <w:spacing w:val="2"/>
        </w:rPr>
        <w:t>，本项目碱洗工序片碱用量为</w:t>
      </w:r>
      <w:r>
        <w:rPr>
          <w:rFonts w:ascii="Times New Roman" w:eastAsia="Times New Roman"/>
          <w:spacing w:val="-3"/>
        </w:rPr>
        <w:t>50t/a</w:t>
      </w:r>
      <w:r>
        <w:rPr>
          <w:spacing w:val="-9"/>
        </w:rPr>
        <w:t xml:space="preserve">，则该工序用水量为 </w:t>
      </w:r>
      <w:r>
        <w:rPr>
          <w:rFonts w:ascii="Times New Roman" w:eastAsia="Times New Roman"/>
        </w:rPr>
        <w:t>250m</w:t>
      </w:r>
      <w:r>
        <w:rPr>
          <w:rFonts w:ascii="Times New Roman" w:eastAsia="Times New Roman"/>
          <w:position w:val="8"/>
          <w:sz w:val="15"/>
        </w:rPr>
        <w:t>3</w:t>
      </w:r>
      <w:r>
        <w:rPr>
          <w:rFonts w:ascii="Times New Roman" w:eastAsia="Times New Roman"/>
        </w:rPr>
        <w:t>/a</w:t>
      </w:r>
      <w:r>
        <w:rPr>
          <w:spacing w:val="-11"/>
        </w:rPr>
        <w:t xml:space="preserve">，损耗量约 </w:t>
      </w:r>
      <w:r>
        <w:rPr>
          <w:rFonts w:ascii="Times New Roman" w:eastAsia="Times New Roman"/>
          <w:spacing w:val="-4"/>
        </w:rPr>
        <w:t>5%</w:t>
      </w:r>
      <w:r>
        <w:rPr>
          <w:spacing w:val="-10"/>
        </w:rPr>
        <w:t xml:space="preserve">，则补充水量为 </w:t>
      </w:r>
      <w:r>
        <w:rPr>
          <w:rFonts w:ascii="Times New Roman" w:eastAsia="Times New Roman"/>
        </w:rPr>
        <w:t>12.5m</w:t>
      </w:r>
      <w:r>
        <w:rPr>
          <w:rFonts w:ascii="Times New Roman" w:eastAsia="Times New Roman"/>
          <w:position w:val="8"/>
          <w:sz w:val="15"/>
        </w:rPr>
        <w:t>3</w:t>
      </w:r>
      <w:r>
        <w:rPr>
          <w:rFonts w:ascii="Times New Roman" w:eastAsia="Times New Roman"/>
        </w:rPr>
        <w:t>/a</w:t>
      </w:r>
      <w:r>
        <w:rPr>
          <w:spacing w:val="-4"/>
        </w:rPr>
        <w:t>，该工序</w:t>
      </w:r>
      <w:r>
        <w:rPr>
          <w:spacing w:val="-10"/>
        </w:rPr>
        <w:t xml:space="preserve">总用水量为 </w:t>
      </w:r>
      <w:r>
        <w:rPr>
          <w:rFonts w:ascii="Times New Roman" w:eastAsia="Times New Roman"/>
        </w:rPr>
        <w:t>262.5m</w:t>
      </w:r>
      <w:r>
        <w:rPr>
          <w:rFonts w:ascii="Times New Roman" w:eastAsia="Times New Roman"/>
          <w:position w:val="8"/>
          <w:sz w:val="15"/>
        </w:rPr>
        <w:t>3</w:t>
      </w:r>
      <w:r>
        <w:rPr>
          <w:rFonts w:ascii="Times New Roman" w:eastAsia="Times New Roman"/>
        </w:rPr>
        <w:t>/a</w:t>
      </w:r>
      <w:r>
        <w:t>，由纯水机制备提供。</w:t>
      </w:r>
    </w:p>
    <w:p>
      <w:pPr>
        <w:pStyle w:val="BodyText"/>
        <w:spacing w:line="362" w:lineRule="auto"/>
        <w:ind w:left="1113" w:right="515" w:firstLine="480"/>
        <w:jc w:val="both"/>
      </w:pPr>
      <w:r>
        <w:rPr>
          <w:spacing w:val="-7"/>
        </w:rPr>
        <w:t xml:space="preserve">项目总用纯水量为 </w:t>
      </w:r>
      <w:r>
        <w:rPr>
          <w:rFonts w:ascii="Times New Roman" w:eastAsia="Times New Roman"/>
        </w:rPr>
        <w:t>6578.75m</w:t>
      </w:r>
      <w:r>
        <w:rPr>
          <w:rFonts w:ascii="Times New Roman" w:eastAsia="Times New Roman"/>
          <w:position w:val="8"/>
          <w:sz w:val="15"/>
        </w:rPr>
        <w:t>3</w:t>
      </w:r>
      <w:r>
        <w:rPr>
          <w:rFonts w:ascii="Times New Roman" w:eastAsia="Times New Roman"/>
        </w:rPr>
        <w:t>/a</w:t>
      </w:r>
      <w:r>
        <w:rPr>
          <w:spacing w:val="-7"/>
        </w:rPr>
        <w:t xml:space="preserve">，纯水机制水率为 </w:t>
      </w:r>
      <w:r>
        <w:rPr>
          <w:rFonts w:ascii="Times New Roman" w:eastAsia="Times New Roman"/>
        </w:rPr>
        <w:t>80%</w:t>
      </w:r>
      <w:r>
        <w:rPr>
          <w:spacing w:val="-2"/>
        </w:rPr>
        <w:t>，则项目纯水制备用水</w:t>
      </w:r>
      <w:r>
        <w:rPr>
          <w:spacing w:val="-30"/>
        </w:rPr>
        <w:t xml:space="preserve">为 </w:t>
      </w:r>
      <w:r>
        <w:rPr>
          <w:rFonts w:ascii="Times New Roman" w:eastAsia="Times New Roman"/>
        </w:rPr>
        <w:t>88223.44m</w:t>
      </w:r>
      <w:r>
        <w:rPr>
          <w:rFonts w:ascii="Times New Roman" w:eastAsia="Times New Roman"/>
          <w:position w:val="8"/>
          <w:sz w:val="15"/>
        </w:rPr>
        <w:t>3</w:t>
      </w:r>
      <w:r>
        <w:rPr>
          <w:rFonts w:ascii="Times New Roman" w:eastAsia="Times New Roman"/>
        </w:rPr>
        <w:t>/a</w:t>
      </w:r>
      <w:r>
        <w:t>。</w:t>
      </w:r>
    </w:p>
    <w:p>
      <w:pPr>
        <w:pStyle w:val="Heading5"/>
        <w:spacing w:before="1"/>
        <w:ind w:left="1593"/>
      </w:pPr>
      <w:r>
        <w:t>②冷却补水</w:t>
      </w:r>
    </w:p>
    <w:p>
      <w:pPr>
        <w:pStyle w:val="BodyText"/>
        <w:spacing w:before="161" w:line="364" w:lineRule="auto"/>
        <w:ind w:left="1113" w:right="402" w:firstLine="480"/>
      </w:pPr>
      <w:r>
        <w:rPr>
          <w:spacing w:val="-7"/>
        </w:rPr>
        <w:t xml:space="preserve">项目热镀锌车间设 </w:t>
      </w:r>
      <w:r>
        <w:rPr>
          <w:rFonts w:ascii="Times New Roman" w:eastAsia="Times New Roman"/>
        </w:rPr>
        <w:t xml:space="preserve">2 </w:t>
      </w:r>
      <w:r>
        <w:rPr>
          <w:spacing w:val="-5"/>
        </w:rPr>
        <w:t xml:space="preserve">个冷却水池，冷却水池容积约 </w:t>
      </w:r>
      <w:r>
        <w:rPr>
          <w:rFonts w:ascii="Times New Roman" w:eastAsia="Times New Roman"/>
        </w:rPr>
        <w:t>60m</w:t>
      </w:r>
      <w:r>
        <w:rPr>
          <w:rFonts w:ascii="Times New Roman" w:eastAsia="Times New Roman"/>
          <w:position w:val="8"/>
          <w:sz w:val="15"/>
        </w:rPr>
        <w:t>3</w:t>
      </w:r>
      <w:r>
        <w:t>，工作时冷却水池内</w:t>
      </w:r>
      <w:r>
        <w:rPr>
          <w:spacing w:val="-9"/>
        </w:rPr>
        <w:t xml:space="preserve">水约占容积的 </w:t>
      </w:r>
      <w:r>
        <w:rPr>
          <w:rFonts w:ascii="Times New Roman" w:eastAsia="Times New Roman"/>
        </w:rPr>
        <w:t>5/6</w:t>
      </w:r>
      <w:r>
        <w:t>（</w:t>
      </w:r>
      <w:r>
        <w:rPr>
          <w:spacing w:val="-15"/>
        </w:rPr>
        <w:t xml:space="preserve">容积约 </w:t>
      </w:r>
      <w:r>
        <w:rPr>
          <w:rFonts w:ascii="Times New Roman" w:eastAsia="Times New Roman"/>
        </w:rPr>
        <w:t>50m</w:t>
      </w:r>
      <w:r>
        <w:rPr>
          <w:rFonts w:ascii="Times New Roman" w:eastAsia="Times New Roman"/>
          <w:position w:val="8"/>
          <w:sz w:val="15"/>
        </w:rPr>
        <w:t>3</w:t>
      </w:r>
      <w:r>
        <w:t>）</w:t>
      </w:r>
      <w:r>
        <w:rPr>
          <w:spacing w:val="-1"/>
        </w:rPr>
        <w:t xml:space="preserve">。由于工件带出和高温蒸发，冷却水部分损耗， </w:t>
      </w:r>
      <w:r>
        <w:rPr>
          <w:spacing w:val="-8"/>
        </w:rPr>
        <w:t xml:space="preserve">该部分损耗量按 </w:t>
      </w:r>
      <w:r>
        <w:rPr>
          <w:rFonts w:ascii="Times New Roman" w:eastAsia="Times New Roman"/>
        </w:rPr>
        <w:t xml:space="preserve">5%/d </w:t>
      </w:r>
      <w:r>
        <w:rPr>
          <w:spacing w:val="-10"/>
        </w:rPr>
        <w:t xml:space="preserve">计，则冷却水损耗量约 </w:t>
      </w:r>
      <w:r>
        <w:rPr>
          <w:rFonts w:ascii="Times New Roman" w:eastAsia="Times New Roman"/>
        </w:rPr>
        <w:t>750</w:t>
      </w:r>
      <w:r>
        <w:rPr>
          <w:rFonts w:ascii="Times New Roman" w:eastAsia="Times New Roman"/>
          <w:sz w:val="21"/>
        </w:rPr>
        <w:t>m</w:t>
      </w:r>
      <w:r>
        <w:rPr>
          <w:rFonts w:ascii="Times New Roman" w:eastAsia="Times New Roman"/>
          <w:position w:val="7"/>
          <w:sz w:val="13"/>
        </w:rPr>
        <w:t>3</w:t>
      </w:r>
      <w:r>
        <w:rPr>
          <w:rFonts w:ascii="Times New Roman" w:eastAsia="Times New Roman"/>
          <w:sz w:val="21"/>
        </w:rPr>
        <w:t>/a</w:t>
      </w:r>
      <w:r>
        <w:rPr>
          <w:spacing w:val="-6"/>
        </w:rPr>
        <w:t>。因此，镀锌后冷却补水量为</w:t>
      </w:r>
      <w:r>
        <w:rPr>
          <w:rFonts w:ascii="Times New Roman" w:eastAsia="Times New Roman"/>
          <w:spacing w:val="-6"/>
        </w:rPr>
        <w:t>750</w:t>
      </w:r>
      <w:r>
        <w:rPr>
          <w:rFonts w:ascii="Times New Roman" w:eastAsia="Times New Roman"/>
          <w:spacing w:val="-6"/>
          <w:sz w:val="21"/>
        </w:rPr>
        <w:t>m</w:t>
      </w:r>
      <w:r>
        <w:rPr>
          <w:rFonts w:ascii="Times New Roman" w:eastAsia="Times New Roman"/>
          <w:spacing w:val="-6"/>
          <w:position w:val="7"/>
          <w:sz w:val="13"/>
        </w:rPr>
        <w:t>3</w:t>
      </w:r>
      <w:r>
        <w:rPr>
          <w:rFonts w:ascii="Times New Roman" w:eastAsia="Times New Roman"/>
          <w:spacing w:val="-6"/>
          <w:sz w:val="21"/>
        </w:rPr>
        <w:t>/a</w:t>
      </w:r>
      <w:r>
        <w:rPr>
          <w:spacing w:val="-6"/>
        </w:rPr>
        <w:t>。</w:t>
      </w:r>
    </w:p>
    <w:p>
      <w:pPr>
        <w:pStyle w:val="Heading5"/>
        <w:spacing w:line="305" w:lineRule="exact"/>
        <w:ind w:left="1593"/>
      </w:pPr>
      <w:r>
        <w:t>③喷淋塔补水</w:t>
      </w:r>
    </w:p>
    <w:p>
      <w:pPr>
        <w:pStyle w:val="BodyText"/>
        <w:spacing w:before="160" w:line="364" w:lineRule="auto"/>
        <w:ind w:left="1113" w:right="304" w:firstLine="480"/>
      </w:pPr>
      <w:r>
        <w:rPr>
          <w:spacing w:val="-3"/>
        </w:rPr>
        <w:t xml:space="preserve">生产配备的环保措施洗喷淋塔喷淋水总循环约 </w:t>
      </w:r>
      <w:r>
        <w:rPr>
          <w:rFonts w:ascii="Times New Roman" w:eastAsia="Times New Roman"/>
        </w:rPr>
        <w:t>16m</w:t>
      </w:r>
      <w:r>
        <w:rPr>
          <w:rFonts w:ascii="Times New Roman" w:eastAsia="Times New Roman"/>
          <w:position w:val="8"/>
          <w:sz w:val="15"/>
        </w:rPr>
        <w:t>3</w:t>
      </w:r>
      <w:r>
        <w:rPr>
          <w:rFonts w:ascii="Times New Roman" w:eastAsia="Times New Roman"/>
        </w:rPr>
        <w:t>/h</w:t>
      </w:r>
      <w:r>
        <w:rPr>
          <w:spacing w:val="-23"/>
        </w:rPr>
        <w:t xml:space="preserve">。年循环水量 </w:t>
      </w:r>
      <w:r>
        <w:rPr>
          <w:rFonts w:ascii="Times New Roman" w:eastAsia="Times New Roman"/>
          <w:spacing w:val="-3"/>
        </w:rPr>
        <w:t>38400m</w:t>
      </w:r>
      <w:r>
        <w:rPr>
          <w:rFonts w:ascii="Times New Roman" w:eastAsia="Times New Roman"/>
          <w:spacing w:val="-3"/>
          <w:position w:val="8"/>
          <w:sz w:val="15"/>
        </w:rPr>
        <w:t>3</w:t>
      </w:r>
      <w:r>
        <w:rPr>
          <w:rFonts w:ascii="Times New Roman" w:eastAsia="Times New Roman"/>
          <w:spacing w:val="-3"/>
        </w:rPr>
        <w:t>/a</w:t>
      </w:r>
      <w:r>
        <w:rPr>
          <w:spacing w:val="-3"/>
        </w:rPr>
        <w:t xml:space="preserve">， </w:t>
      </w:r>
      <w:r>
        <w:rPr>
          <w:spacing w:val="4"/>
        </w:rPr>
        <w:t xml:space="preserve">喷淋塔损耗水量约为循环水量的 </w:t>
      </w:r>
      <w:r>
        <w:rPr>
          <w:rFonts w:ascii="Times New Roman" w:eastAsia="Times New Roman"/>
          <w:spacing w:val="4"/>
        </w:rPr>
        <w:t>0.8%</w:t>
      </w:r>
      <w:r>
        <w:rPr>
          <w:spacing w:val="7"/>
        </w:rPr>
        <w:t>，洗涤塔定期进行补水，则洗涤塔补水为</w:t>
      </w:r>
      <w:r>
        <w:rPr>
          <w:rFonts w:ascii="Times New Roman" w:eastAsia="Times New Roman"/>
          <w:spacing w:val="7"/>
        </w:rPr>
        <w:t>307.2m</w:t>
      </w:r>
      <w:r>
        <w:rPr>
          <w:rFonts w:ascii="Times New Roman" w:eastAsia="Times New Roman"/>
          <w:spacing w:val="7"/>
          <w:position w:val="8"/>
          <w:sz w:val="15"/>
        </w:rPr>
        <w:t>3</w:t>
      </w:r>
      <w:r>
        <w:rPr>
          <w:rFonts w:ascii="Times New Roman" w:eastAsia="Times New Roman"/>
          <w:spacing w:val="7"/>
        </w:rPr>
        <w:t>/a</w:t>
      </w:r>
      <w:r>
        <w:rPr>
          <w:spacing w:val="7"/>
        </w:rPr>
        <w:t>。</w:t>
      </w:r>
    </w:p>
    <w:p>
      <w:pPr>
        <w:pStyle w:val="Heading5"/>
        <w:spacing w:line="304" w:lineRule="exact"/>
        <w:ind w:left="1593"/>
      </w:pPr>
      <w:r>
        <w:t>④生活用水</w:t>
      </w:r>
    </w:p>
    <w:p>
      <w:pPr>
        <w:pStyle w:val="BodyText"/>
        <w:spacing w:before="161" w:line="362" w:lineRule="auto"/>
        <w:ind w:left="1113" w:right="424" w:firstLine="480"/>
      </w:pPr>
      <w:r>
        <w:rPr>
          <w:spacing w:val="-11"/>
        </w:rPr>
        <w:t xml:space="preserve">年生产时间 </w:t>
      </w:r>
      <w:r>
        <w:rPr>
          <w:rFonts w:ascii="Times New Roman" w:eastAsia="Times New Roman" w:hAnsi="Times New Roman"/>
        </w:rPr>
        <w:t>300d</w:t>
      </w:r>
      <w:r>
        <w:rPr>
          <w:spacing w:val="-11"/>
        </w:rPr>
        <w:t xml:space="preserve">，劳动定员 </w:t>
      </w:r>
      <w:r>
        <w:rPr>
          <w:rFonts w:ascii="Times New Roman" w:eastAsia="Times New Roman" w:hAnsi="Times New Roman"/>
        </w:rPr>
        <w:t xml:space="preserve">50 </w:t>
      </w:r>
      <w:r>
        <w:rPr>
          <w:spacing w:val="-10"/>
        </w:rPr>
        <w:t xml:space="preserve">人，生活用水定额 </w:t>
      </w:r>
      <w:r>
        <w:rPr>
          <w:rFonts w:ascii="Times New Roman" w:eastAsia="Times New Roman" w:hAnsi="Times New Roman"/>
        </w:rPr>
        <w:t>50L/</w:t>
      </w:r>
      <w:r>
        <w:t>人</w:t>
      </w:r>
      <w:r>
        <w:rPr>
          <w:spacing w:val="-5"/>
        </w:rPr>
        <w:t>·日，则工人生活用</w:t>
      </w:r>
      <w:r>
        <w:rPr>
          <w:spacing w:val="-15"/>
        </w:rPr>
        <w:t xml:space="preserve">水量为 </w:t>
      </w:r>
      <w:r>
        <w:rPr>
          <w:rFonts w:ascii="Times New Roman" w:eastAsia="Times New Roman" w:hAnsi="Times New Roman"/>
        </w:rPr>
        <w:t>750m</w:t>
      </w:r>
      <w:r>
        <w:rPr>
          <w:rFonts w:ascii="Times New Roman" w:eastAsia="Times New Roman" w:hAnsi="Times New Roman"/>
          <w:position w:val="8"/>
          <w:sz w:val="15"/>
        </w:rPr>
        <w:t>3</w:t>
      </w:r>
      <w:r>
        <w:rPr>
          <w:rFonts w:ascii="Times New Roman" w:eastAsia="Times New Roman" w:hAnsi="Times New Roman"/>
        </w:rPr>
        <w:t>/a</w:t>
      </w:r>
      <w:r>
        <w:t>。由供水官网提供。</w:t>
      </w:r>
    </w:p>
    <w:p>
      <w:pPr>
        <w:pStyle w:val="BodyText"/>
        <w:spacing w:before="5"/>
        <w:ind w:left="1593"/>
      </w:pPr>
      <w:r>
        <w:t xml:space="preserve">项目总用水量为 </w:t>
      </w:r>
      <w:r>
        <w:rPr>
          <w:rFonts w:ascii="Times New Roman" w:eastAsia="Times New Roman"/>
        </w:rPr>
        <w:t>10030.64m</w:t>
      </w:r>
      <w:r>
        <w:rPr>
          <w:rFonts w:ascii="Times New Roman" w:eastAsia="Times New Roman"/>
          <w:position w:val="8"/>
          <w:sz w:val="15"/>
        </w:rPr>
        <w:t>3</w:t>
      </w:r>
      <w:r>
        <w:rPr>
          <w:rFonts w:ascii="Times New Roman" w:eastAsia="Times New Roman"/>
        </w:rPr>
        <w:t>/a</w:t>
      </w:r>
      <w:r>
        <w:t>。</w:t>
      </w:r>
    </w:p>
    <w:p>
      <w:pPr>
        <w:pStyle w:val="BodyText"/>
        <w:spacing w:before="160"/>
        <w:ind w:left="1533"/>
      </w:pPr>
      <w:r>
        <w:t>（</w:t>
      </w:r>
      <w:r>
        <w:rPr>
          <w:rFonts w:ascii="Times New Roman" w:eastAsia="Times New Roman"/>
        </w:rPr>
        <w:t>2</w:t>
      </w:r>
      <w:r>
        <w:t>）排水</w:t>
      </w:r>
    </w:p>
    <w:p>
      <w:pPr>
        <w:pStyle w:val="Heading5"/>
        <w:spacing w:before="159"/>
        <w:ind w:left="1593"/>
      </w:pPr>
      <w:r>
        <w:t>①生活污水</w:t>
      </w:r>
    </w:p>
    <w:p>
      <w:pPr>
        <w:pStyle w:val="BodyText"/>
        <w:spacing w:before="158" w:line="364" w:lineRule="auto"/>
        <w:ind w:left="1113" w:right="424" w:firstLine="480"/>
      </w:pPr>
      <w:r>
        <w:rPr>
          <w:spacing w:val="-4"/>
        </w:rPr>
        <w:t xml:space="preserve">生活污水产生量按照生活用水量的 </w:t>
      </w:r>
      <w:r>
        <w:rPr>
          <w:rFonts w:ascii="Times New Roman" w:eastAsia="Times New Roman"/>
        </w:rPr>
        <w:t>80%</w:t>
      </w:r>
      <w:r>
        <w:rPr>
          <w:spacing w:val="-7"/>
        </w:rPr>
        <w:t xml:space="preserve">计，则产生量为 </w:t>
      </w:r>
      <w:r>
        <w:rPr>
          <w:rFonts w:ascii="Times New Roman" w:eastAsia="Times New Roman"/>
        </w:rPr>
        <w:t>600m</w:t>
      </w:r>
      <w:r>
        <w:rPr>
          <w:rFonts w:ascii="Times New Roman" w:eastAsia="Times New Roman"/>
          <w:position w:val="8"/>
          <w:sz w:val="15"/>
        </w:rPr>
        <w:t>3</w:t>
      </w:r>
      <w:r>
        <w:rPr>
          <w:rFonts w:ascii="Times New Roman" w:eastAsia="Times New Roman"/>
        </w:rPr>
        <w:t>/a</w:t>
      </w:r>
      <w:r>
        <w:t>。经化粪池处理后经市政污水管网进入宁津县嘉诚水质净化有限公司深度处理。</w:t>
      </w:r>
    </w:p>
    <w:p>
      <w:pPr>
        <w:pStyle w:val="Heading5"/>
        <w:spacing w:before="1"/>
        <w:ind w:left="1593"/>
      </w:pPr>
      <w:r>
        <w:t>②纯水制备废水</w:t>
      </w:r>
    </w:p>
    <w:p>
      <w:pPr>
        <w:pStyle w:val="BodyText"/>
        <w:rPr>
          <w:b/>
          <w:sz w:val="20"/>
        </w:rPr>
      </w:pPr>
    </w:p>
    <w:p>
      <w:pPr>
        <w:pStyle w:val="BodyText"/>
        <w:rPr>
          <w:b/>
          <w:sz w:val="20"/>
        </w:rPr>
      </w:pPr>
    </w:p>
    <w:p>
      <w:pPr>
        <w:pStyle w:val="BodyText"/>
        <w:rPr>
          <w:b/>
          <w:sz w:val="20"/>
        </w:rPr>
      </w:pPr>
    </w:p>
    <w:p>
      <w:pPr>
        <w:pStyle w:val="BodyText"/>
        <w:spacing w:before="7"/>
        <w:rPr>
          <w:b/>
        </w:rPr>
      </w:pPr>
    </w:p>
    <w:p>
      <w:pPr>
        <w:spacing w:before="62"/>
        <w:ind w:left="0" w:right="649" w:firstLine="0"/>
        <w:jc w:val="right"/>
        <w:rPr>
          <w:sz w:val="28"/>
        </w:rPr>
      </w:pPr>
      <w:r>
        <w:rPr>
          <w:sz w:val="28"/>
        </w:rPr>
        <w:t xml:space="preserve">— </w:t>
      </w:r>
      <w:r>
        <w:rPr>
          <w:sz w:val="26"/>
        </w:rPr>
        <w:t xml:space="preserve">31 </w:t>
      </w:r>
      <w:r>
        <w:rPr>
          <w:sz w:val="28"/>
        </w:rPr>
        <w:t>—</w:t>
      </w:r>
    </w:p>
    <w:p>
      <w:pPr>
        <w:spacing w:after="0"/>
        <w:jc w:val="right"/>
        <w:rPr>
          <w:sz w:val="28"/>
        </w:rPr>
        <w:sectPr>
          <w:pgSz w:w="11910" w:h="16840"/>
          <w:pgMar w:top="1580" w:right="879" w:bottom="280" w:left="900" w:header="720" w:footer="720" w:gutter="0"/>
          <w:pgNumType w:start="36"/>
          <w:cols w:num="1" w:space="720"/>
        </w:sectPr>
      </w:pPr>
    </w:p>
    <w:p>
      <w:pPr>
        <w:pStyle w:val="BodyText"/>
        <w:spacing w:before="124" w:line="364" w:lineRule="auto"/>
        <w:ind w:left="1113" w:right="424" w:firstLine="480"/>
      </w:pPr>
      <w:r>
        <w:pict>
          <v:group id="_x0000_s1045" o:spid="_x0000_s1044" style="width:476.65pt;height:651.9pt;margin-top:5.15pt;margin-left:59.3pt;mso-height-relative:page;mso-position-horizontal-relative:page;mso-width-relative:page;position:absolute;z-index:-251648000" coordorigin="1186,103" coordsize="9533,13038">
            <v:shape id="_x0000_s1046" o:spid="_x0000_s1045" style="width:9533;height:13038;left:1186;position:absolute;top:502" coordorigin="1186,502" coordsize="9533,13038" path="m1186,113l10719,113m1186,13131l10719,13131m1196,103l1196,13140m10709,122l10709,13140e" filled="f" stroked="t" strokecolor="black">
              <v:path arrowok="t"/>
            </v:shape>
            <v:line id="_x0000_s1047" o:spid="_x0000_s1046" style="position:absolute" from="1905,122" to="1905,13121" coordsize="21600,21600" stroked="t" strokecolor="black"/>
          </v:group>
        </w:pict>
      </w:r>
      <w:r>
        <w:rPr>
          <w:spacing w:val="-6"/>
        </w:rPr>
        <w:t xml:space="preserve">生产上所需纯水由纯水机提供，纯水机制水率约为 </w:t>
      </w:r>
      <w:r>
        <w:rPr>
          <w:rFonts w:ascii="Times New Roman" w:eastAsia="Times New Roman"/>
          <w:spacing w:val="-10"/>
        </w:rPr>
        <w:t>80%</w:t>
      </w:r>
      <w:r>
        <w:rPr>
          <w:spacing w:val="-5"/>
        </w:rPr>
        <w:t>，则产生纯水制备废水</w:t>
      </w:r>
      <w:r>
        <w:rPr>
          <w:spacing w:val="-30"/>
        </w:rPr>
        <w:t xml:space="preserve">为 </w:t>
      </w:r>
      <w:r>
        <w:rPr>
          <w:rFonts w:ascii="Times New Roman" w:eastAsia="Times New Roman"/>
        </w:rPr>
        <w:t>1644.69m</w:t>
      </w:r>
      <w:r>
        <w:rPr>
          <w:rFonts w:ascii="Times New Roman" w:eastAsia="Times New Roman"/>
          <w:position w:val="8"/>
          <w:sz w:val="15"/>
        </w:rPr>
        <w:t>3</w:t>
      </w:r>
      <w:r>
        <w:rPr>
          <w:rFonts w:ascii="Times New Roman" w:eastAsia="Times New Roman"/>
        </w:rPr>
        <w:t>/a</w:t>
      </w:r>
      <w:r>
        <w:t>。直接排入市政管网进入宁津县嘉诚水质净化有限公司深度处理。</w:t>
      </w:r>
    </w:p>
    <w:p>
      <w:pPr>
        <w:pStyle w:val="Heading5"/>
        <w:spacing w:line="306" w:lineRule="exact"/>
        <w:ind w:left="1593"/>
      </w:pPr>
      <w:r>
        <w:t>③预清洗废水</w:t>
      </w:r>
    </w:p>
    <w:p>
      <w:pPr>
        <w:pStyle w:val="BodyText"/>
        <w:spacing w:before="208" w:line="362" w:lineRule="auto"/>
        <w:ind w:left="1113" w:right="424" w:firstLine="480"/>
      </w:pPr>
      <w:r>
        <w:rPr>
          <w:spacing w:val="-5"/>
        </w:rPr>
        <w:t xml:space="preserve">项目预清洗工序废水产生量为 </w:t>
      </w:r>
      <w:r>
        <w:rPr>
          <w:rFonts w:ascii="Times New Roman" w:eastAsia="Times New Roman"/>
        </w:rPr>
        <w:t>4998</w:t>
      </w:r>
      <w:r>
        <w:rPr>
          <w:rFonts w:ascii="Times New Roman" w:eastAsia="Times New Roman"/>
          <w:spacing w:val="-2"/>
        </w:rPr>
        <w:t>m</w:t>
      </w:r>
      <w:r>
        <w:rPr>
          <w:rFonts w:ascii="Times New Roman" w:eastAsia="Times New Roman"/>
          <w:spacing w:val="1"/>
          <w:w w:val="104"/>
          <w:position w:val="8"/>
          <w:sz w:val="15"/>
        </w:rPr>
        <w:t>3</w:t>
      </w:r>
      <w:r>
        <w:rPr>
          <w:rFonts w:ascii="Times New Roman" w:eastAsia="Times New Roman"/>
        </w:rPr>
        <w:t>/</w:t>
      </w:r>
      <w:r>
        <w:rPr>
          <w:rFonts w:ascii="Times New Roman" w:eastAsia="Times New Roman"/>
          <w:spacing w:val="-1"/>
        </w:rPr>
        <w:t>a</w:t>
      </w:r>
      <w:r>
        <w:rPr>
          <w:spacing w:val="-10"/>
        </w:rPr>
        <w:t>，废水经厂区污水处理站处理后通过市</w:t>
      </w:r>
      <w:r>
        <w:t>政污水管网进入宁津县嘉诚水质净化有限公司深度处理。</w:t>
      </w:r>
    </w:p>
    <w:p>
      <w:pPr>
        <w:pStyle w:val="Heading5"/>
        <w:spacing w:before="53"/>
        <w:ind w:left="1593"/>
      </w:pPr>
      <w:r>
        <w:t>④电泳清洗废水</w:t>
      </w:r>
    </w:p>
    <w:p>
      <w:pPr>
        <w:pStyle w:val="BodyText"/>
        <w:spacing w:before="208" w:line="362" w:lineRule="auto"/>
        <w:ind w:left="1113" w:right="353" w:firstLine="480"/>
      </w:pPr>
      <w:r>
        <w:t xml:space="preserve">项目电泳清洗工序废水产生量为 </w:t>
      </w:r>
      <w:r>
        <w:rPr>
          <w:rFonts w:ascii="Times New Roman" w:eastAsia="Times New Roman"/>
        </w:rPr>
        <w:t>64.2m</w:t>
      </w:r>
      <w:r>
        <w:rPr>
          <w:rFonts w:ascii="Times New Roman" w:eastAsia="Times New Roman"/>
          <w:position w:val="8"/>
          <w:sz w:val="15"/>
        </w:rPr>
        <w:t>3</w:t>
      </w:r>
      <w:r>
        <w:rPr>
          <w:rFonts w:ascii="Times New Roman" w:eastAsia="Times New Roman"/>
        </w:rPr>
        <w:t>/a</w:t>
      </w:r>
      <w:r>
        <w:t>，废水经厂区污水处理站处理后通过市政污水管网进入宁津县嘉诚水质净化有限公司深度处理。</w:t>
      </w:r>
    </w:p>
    <w:p>
      <w:pPr>
        <w:pStyle w:val="Heading5"/>
        <w:spacing w:before="53"/>
        <w:ind w:left="1533"/>
      </w:pPr>
      <w:r>
        <w:t>④酸洗废水</w:t>
      </w:r>
    </w:p>
    <w:p>
      <w:pPr>
        <w:pStyle w:val="BodyText"/>
        <w:spacing w:before="206" w:line="362" w:lineRule="auto"/>
        <w:ind w:left="1593" w:right="2353"/>
      </w:pPr>
      <w:r>
        <w:rPr>
          <w:spacing w:val="-10"/>
        </w:rPr>
        <w:t xml:space="preserve">清水总加入 </w:t>
      </w:r>
      <w:r>
        <w:rPr>
          <w:rFonts w:ascii="Times New Roman" w:eastAsia="Times New Roman"/>
        </w:rPr>
        <w:t>220t/a</w:t>
      </w:r>
      <w:r>
        <w:rPr>
          <w:spacing w:val="-8"/>
        </w:rPr>
        <w:t xml:space="preserve">，其中消耗量为 </w:t>
      </w:r>
      <w:r>
        <w:rPr>
          <w:rFonts w:ascii="Times New Roman" w:eastAsia="Times New Roman"/>
        </w:rPr>
        <w:t>20t/a</w:t>
      </w:r>
      <w:r>
        <w:rPr>
          <w:spacing w:val="-10"/>
        </w:rPr>
        <w:t xml:space="preserve">，剩余量为 </w:t>
      </w:r>
      <w:r>
        <w:rPr>
          <w:rFonts w:ascii="Times New Roman" w:eastAsia="Times New Roman"/>
          <w:spacing w:val="-3"/>
        </w:rPr>
        <w:t>200t/a</w:t>
      </w:r>
      <w:r>
        <w:rPr>
          <w:spacing w:val="-3"/>
        </w:rPr>
        <w:t xml:space="preserve">； </w:t>
      </w:r>
      <w:r>
        <w:rPr>
          <w:spacing w:val="-11"/>
        </w:rPr>
        <w:t xml:space="preserve">盐酸总用量 </w:t>
      </w:r>
      <w:r>
        <w:rPr>
          <w:rFonts w:ascii="Times New Roman" w:eastAsia="Times New Roman"/>
        </w:rPr>
        <w:t>100t/a</w:t>
      </w:r>
      <w:r>
        <w:rPr>
          <w:spacing w:val="-10"/>
        </w:rPr>
        <w:t xml:space="preserve">，消耗量为 </w:t>
      </w:r>
      <w:r>
        <w:rPr>
          <w:rFonts w:ascii="Times New Roman" w:eastAsia="Times New Roman"/>
        </w:rPr>
        <w:t>36t/a</w:t>
      </w:r>
      <w:r>
        <w:rPr>
          <w:spacing w:val="-11"/>
        </w:rPr>
        <w:t xml:space="preserve">，剩余量为 </w:t>
      </w:r>
      <w:r>
        <w:rPr>
          <w:rFonts w:ascii="Times New Roman" w:eastAsia="Times New Roman"/>
        </w:rPr>
        <w:t>64t/a</w:t>
      </w:r>
      <w:r>
        <w:t>；</w:t>
      </w:r>
    </w:p>
    <w:p>
      <w:pPr>
        <w:pStyle w:val="BodyText"/>
        <w:spacing w:before="5" w:line="364" w:lineRule="auto"/>
        <w:ind w:left="1593" w:right="3793"/>
      </w:pPr>
      <w:r>
        <w:rPr>
          <w:spacing w:val="-12"/>
        </w:rPr>
        <w:t xml:space="preserve">磷酸加入 </w:t>
      </w:r>
      <w:r>
        <w:rPr>
          <w:rFonts w:ascii="Times New Roman" w:eastAsia="Times New Roman"/>
        </w:rPr>
        <w:t>240t/a</w:t>
      </w:r>
      <w:r>
        <w:rPr>
          <w:spacing w:val="-12"/>
        </w:rPr>
        <w:t xml:space="preserve">，消耗量 </w:t>
      </w:r>
      <w:r>
        <w:rPr>
          <w:rFonts w:ascii="Times New Roman" w:eastAsia="Times New Roman"/>
        </w:rPr>
        <w:t>204t/a</w:t>
      </w:r>
      <w:r>
        <w:rPr>
          <w:spacing w:val="-15"/>
        </w:rPr>
        <w:t xml:space="preserve">，剩余 </w:t>
      </w:r>
      <w:r>
        <w:rPr>
          <w:rFonts w:ascii="Times New Roman" w:eastAsia="Times New Roman"/>
          <w:spacing w:val="-4"/>
        </w:rPr>
        <w:t>36t/a</w:t>
      </w:r>
      <w:r>
        <w:rPr>
          <w:spacing w:val="-4"/>
        </w:rPr>
        <w:t xml:space="preserve">； </w:t>
      </w:r>
      <w:r>
        <w:rPr>
          <w:spacing w:val="-13"/>
        </w:rPr>
        <w:t xml:space="preserve">硝酸加入 </w:t>
      </w:r>
      <w:r>
        <w:rPr>
          <w:rFonts w:ascii="Times New Roman" w:eastAsia="Times New Roman"/>
        </w:rPr>
        <w:t>50t/a</w:t>
      </w:r>
      <w:r>
        <w:rPr>
          <w:spacing w:val="-13"/>
        </w:rPr>
        <w:t xml:space="preserve">，消耗量 </w:t>
      </w:r>
      <w:r>
        <w:rPr>
          <w:rFonts w:ascii="Times New Roman" w:eastAsia="Times New Roman"/>
        </w:rPr>
        <w:t>15t/a</w:t>
      </w:r>
      <w:r>
        <w:rPr>
          <w:spacing w:val="-16"/>
        </w:rPr>
        <w:t xml:space="preserve">，剩余 </w:t>
      </w:r>
      <w:r>
        <w:rPr>
          <w:rFonts w:ascii="Times New Roman" w:eastAsia="Times New Roman"/>
        </w:rPr>
        <w:t>35t/a</w:t>
      </w:r>
      <w:r>
        <w:t>；</w:t>
      </w:r>
    </w:p>
    <w:p>
      <w:pPr>
        <w:pStyle w:val="BodyText"/>
        <w:spacing w:line="306" w:lineRule="exact"/>
        <w:ind w:left="1593"/>
      </w:pPr>
      <w:r>
        <w:t xml:space="preserve">氢氟酸加入 </w:t>
      </w:r>
      <w:r>
        <w:rPr>
          <w:rFonts w:ascii="Times New Roman" w:eastAsia="Times New Roman"/>
        </w:rPr>
        <w:t>10t/a</w:t>
      </w:r>
      <w:r>
        <w:t xml:space="preserve">，消耗量 </w:t>
      </w:r>
      <w:r>
        <w:rPr>
          <w:rFonts w:ascii="Times New Roman" w:eastAsia="Times New Roman"/>
        </w:rPr>
        <w:t>3.5t/a</w:t>
      </w:r>
      <w:r>
        <w:t xml:space="preserve">，剩余 </w:t>
      </w:r>
      <w:r>
        <w:rPr>
          <w:rFonts w:ascii="Times New Roman" w:eastAsia="Times New Roman"/>
        </w:rPr>
        <w:t>6.5t/a</w:t>
      </w:r>
      <w:r>
        <w:t>；</w:t>
      </w:r>
    </w:p>
    <w:p>
      <w:pPr>
        <w:pStyle w:val="BodyText"/>
        <w:spacing w:before="161" w:line="362" w:lineRule="auto"/>
        <w:ind w:left="1113" w:right="424" w:firstLine="480"/>
      </w:pPr>
      <w:r>
        <w:t xml:space="preserve">酸洗废水总量为 </w:t>
      </w:r>
      <w:r>
        <w:rPr>
          <w:rFonts w:ascii="Times New Roman" w:eastAsia="Times New Roman"/>
        </w:rPr>
        <w:t>341.5t/a</w:t>
      </w:r>
      <w:r>
        <w:t>，废水经厂区污水处理站处理后通过市政污水管网进入宁津县嘉诚水质净化有限公司深度处理。</w:t>
      </w:r>
    </w:p>
    <w:p>
      <w:pPr>
        <w:pStyle w:val="Heading5"/>
        <w:spacing w:before="53"/>
        <w:ind w:left="1533"/>
      </w:pPr>
      <w:r>
        <w:t>⑤电磁抛光废水</w:t>
      </w:r>
    </w:p>
    <w:p>
      <w:pPr>
        <w:pStyle w:val="BodyText"/>
        <w:spacing w:before="206"/>
        <w:ind w:left="1593"/>
      </w:pPr>
      <w:r>
        <w:t xml:space="preserve">清水加入 </w:t>
      </w:r>
      <w:r>
        <w:rPr>
          <w:rFonts w:ascii="Times New Roman" w:eastAsia="Times New Roman"/>
        </w:rPr>
        <w:t>430t/a</w:t>
      </w:r>
      <w:r>
        <w:t xml:space="preserve">，消耗量为 </w:t>
      </w:r>
      <w:r>
        <w:rPr>
          <w:rFonts w:ascii="Times New Roman" w:eastAsia="Times New Roman"/>
        </w:rPr>
        <w:t>30t/a</w:t>
      </w:r>
      <w:r>
        <w:t xml:space="preserve">，剩余量为 </w:t>
      </w:r>
      <w:r>
        <w:rPr>
          <w:rFonts w:ascii="Times New Roman" w:eastAsia="Times New Roman"/>
        </w:rPr>
        <w:t>400t/a</w:t>
      </w:r>
      <w:r>
        <w:t>；</w:t>
      </w:r>
    </w:p>
    <w:p>
      <w:pPr>
        <w:pStyle w:val="BodyText"/>
        <w:spacing w:before="161" w:line="362" w:lineRule="auto"/>
        <w:ind w:left="1593" w:right="2713"/>
      </w:pPr>
      <w:r>
        <w:rPr>
          <w:spacing w:val="-9"/>
        </w:rPr>
        <w:t xml:space="preserve">硫酸加入量为 </w:t>
      </w:r>
      <w:r>
        <w:rPr>
          <w:rFonts w:ascii="Times New Roman" w:eastAsia="Times New Roman"/>
        </w:rPr>
        <w:t>200t/a</w:t>
      </w:r>
      <w:r>
        <w:rPr>
          <w:spacing w:val="-10"/>
        </w:rPr>
        <w:t xml:space="preserve">，消耗量为 </w:t>
      </w:r>
      <w:r>
        <w:rPr>
          <w:rFonts w:ascii="Times New Roman" w:eastAsia="Times New Roman"/>
        </w:rPr>
        <w:t>196t/a</w:t>
      </w:r>
      <w:r>
        <w:rPr>
          <w:spacing w:val="-10"/>
        </w:rPr>
        <w:t xml:space="preserve">，剩余量为 </w:t>
      </w:r>
      <w:r>
        <w:rPr>
          <w:rFonts w:ascii="Times New Roman" w:eastAsia="Times New Roman"/>
          <w:spacing w:val="-4"/>
        </w:rPr>
        <w:t>4t/a</w:t>
      </w:r>
      <w:r>
        <w:rPr>
          <w:spacing w:val="-4"/>
        </w:rPr>
        <w:t xml:space="preserve">； </w:t>
      </w:r>
      <w:r>
        <w:rPr>
          <w:spacing w:val="-13"/>
        </w:rPr>
        <w:t xml:space="preserve">磷酸加入 </w:t>
      </w:r>
      <w:r>
        <w:rPr>
          <w:rFonts w:ascii="Times New Roman" w:eastAsia="Times New Roman"/>
        </w:rPr>
        <w:t>120t/a</w:t>
      </w:r>
      <w:r>
        <w:rPr>
          <w:spacing w:val="-10"/>
        </w:rPr>
        <w:t xml:space="preserve">，消耗量为 </w:t>
      </w:r>
      <w:r>
        <w:rPr>
          <w:rFonts w:ascii="Times New Roman" w:eastAsia="Times New Roman"/>
        </w:rPr>
        <w:t>102t/a</w:t>
      </w:r>
      <w:r>
        <w:rPr>
          <w:spacing w:val="-16"/>
        </w:rPr>
        <w:t xml:space="preserve">，剩余 </w:t>
      </w:r>
      <w:r>
        <w:rPr>
          <w:rFonts w:ascii="Times New Roman" w:eastAsia="Times New Roman"/>
        </w:rPr>
        <w:t>18t/a</w:t>
      </w:r>
      <w:r>
        <w:t>。</w:t>
      </w:r>
    </w:p>
    <w:p>
      <w:pPr>
        <w:pStyle w:val="BodyText"/>
        <w:spacing w:before="4" w:line="362" w:lineRule="auto"/>
        <w:ind w:left="1113" w:right="424" w:firstLine="480"/>
        <w:jc w:val="both"/>
      </w:pPr>
      <w:r>
        <w:rPr>
          <w:spacing w:val="-8"/>
        </w:rPr>
        <w:t xml:space="preserve">氧化废水总量为 </w:t>
      </w:r>
      <w:r>
        <w:rPr>
          <w:rFonts w:ascii="Times New Roman" w:eastAsia="Times New Roman"/>
        </w:rPr>
        <w:t>422t/a</w:t>
      </w:r>
      <w:r>
        <w:rPr>
          <w:spacing w:val="-1"/>
        </w:rPr>
        <w:t>，废水经厂区污水处理站处理后通过市政污水管网进入</w:t>
      </w:r>
      <w:r>
        <w:t>宁津县嘉诚水质净化有限公司深度处理。</w:t>
      </w:r>
    </w:p>
    <w:p>
      <w:pPr>
        <w:pStyle w:val="BodyText"/>
        <w:spacing w:before="5" w:line="364" w:lineRule="auto"/>
        <w:ind w:left="1113" w:right="424" w:firstLine="480"/>
        <w:jc w:val="both"/>
      </w:pPr>
      <w:r>
        <w:rPr>
          <w:spacing w:val="-5"/>
        </w:rPr>
        <w:t>着色工序用水定期补充损耗，不外排；磁力抛光工序用水定期补充损耗，不外</w:t>
      </w:r>
      <w:r>
        <w:rPr>
          <w:spacing w:val="-8"/>
        </w:rPr>
        <w:t>排；碱洗工序用水定期补充损耗，不外排；镀锌冷却工序用水定期补充损耗，不外</w:t>
      </w:r>
      <w:r>
        <w:t>排；酸雾塔用水循环使用，定期补充损耗，不外排。</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tabs>
          <w:tab w:val="left" w:pos="1571"/>
        </w:tabs>
        <w:spacing w:before="61"/>
        <w:ind w:left="631" w:right="0" w:firstLine="0"/>
        <w:jc w:val="left"/>
        <w:rPr>
          <w:sz w:val="28"/>
        </w:rPr>
      </w:pPr>
      <w:r>
        <w:rPr>
          <w:sz w:val="28"/>
        </w:rPr>
        <w:t>—</w:t>
      </w:r>
      <w:r>
        <w:rPr>
          <w:spacing w:val="59"/>
          <w:sz w:val="28"/>
        </w:rPr>
        <w:t xml:space="preserve"> </w:t>
      </w:r>
      <w:r>
        <w:rPr>
          <w:sz w:val="26"/>
        </w:rPr>
        <w:t>32</w:t>
      </w:r>
      <w:r>
        <w:rPr>
          <w:sz w:val="26"/>
        </w:rPr>
        <w:tab/>
      </w:r>
      <w:r>
        <w:rPr>
          <w:sz w:val="28"/>
        </w:rPr>
        <w:t>—</w:t>
      </w:r>
    </w:p>
    <w:p>
      <w:pPr>
        <w:spacing w:after="0"/>
        <w:jc w:val="left"/>
        <w:rPr>
          <w:sz w:val="28"/>
        </w:rPr>
        <w:sectPr>
          <w:pgSz w:w="11910" w:h="16840"/>
          <w:pgMar w:top="1580" w:right="879" w:bottom="280" w:left="900" w:header="720" w:footer="720" w:gutter="0"/>
          <w:pgNumType w:start="37"/>
          <w:cols w:num="1" w:space="72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0"/>
        </w:rPr>
      </w:pPr>
    </w:p>
    <w:p>
      <w:pPr>
        <w:pStyle w:val="Heading5"/>
        <w:ind w:left="3547"/>
      </w:pPr>
      <w:r>
        <w:pict>
          <v:group id="_x0000_s1048" o:spid="_x0000_s1047" style="width:476.65pt;height:663.2pt;margin-top:-430.6pt;margin-left:59.3pt;mso-height-relative:page;mso-position-horizontal-relative:page;mso-width-relative:page;position:absolute;z-index:-251646976" coordorigin="1186,-8613" coordsize="9533,132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9" o:spid="_x0000_s1048" type="#_x0000_t75" style="width:6215;height:8361;left:3182;position:absolute;top:-8593" coordsize="21600,21600" filled="f" stroked="f">
              <v:imagedata r:id="rId8" o:title=""/>
              <o:lock v:ext="edit" aspectratio="t"/>
            </v:shape>
            <v:shape id="_x0000_s1050" o:spid="_x0000_s1049" style="width:9533;height:13264;left:1186;position:absolute;top:-8440" coordorigin="1186,-8440" coordsize="9533,13264" path="m1186,-8603l10719,-8603m1186,4641l10719,4641m1196,-8613l1196,4650m10709,-8594l10709,4650e" filled="f" stroked="t" strokecolor="black">
              <v:path arrowok="t"/>
            </v:shape>
            <v:line id="_x0000_s1051" o:spid="_x0000_s1050" style="position:absolute" from="1905,-8594" to="1905,4631" coordsize="21600,21600" stroked="t" strokecolor="black"/>
          </v:group>
        </w:pict>
      </w:r>
      <w:r>
        <w:t>图 1 拟建项目水平衡图（单位：</w:t>
      </w:r>
      <w:r>
        <w:rPr>
          <w:rFonts w:ascii="Times New Roman" w:eastAsia="Times New Roman"/>
        </w:rPr>
        <w:t>m</w:t>
      </w:r>
      <w:r>
        <w:rPr>
          <w:rFonts w:ascii="Times New Roman" w:eastAsia="Times New Roman"/>
          <w:position w:val="8"/>
          <w:sz w:val="15"/>
        </w:rPr>
        <w:t>3</w:t>
      </w:r>
      <w:r>
        <w:rPr>
          <w:rFonts w:ascii="Times New Roman" w:eastAsia="Times New Roman"/>
        </w:rPr>
        <w:t>/a</w:t>
      </w:r>
      <w:r>
        <w:t>）</w:t>
      </w:r>
    </w:p>
    <w:p>
      <w:pPr>
        <w:spacing w:before="125"/>
        <w:ind w:left="1533" w:right="0" w:firstLine="0"/>
        <w:jc w:val="left"/>
        <w:rPr>
          <w:b/>
          <w:sz w:val="24"/>
        </w:rPr>
      </w:pPr>
      <w:r>
        <w:rPr>
          <w:rFonts w:ascii="Times New Roman" w:eastAsia="Times New Roman"/>
          <w:b/>
          <w:sz w:val="24"/>
        </w:rPr>
        <w:t>6</w:t>
      </w:r>
      <w:r>
        <w:rPr>
          <w:b/>
          <w:sz w:val="24"/>
        </w:rPr>
        <w:t>、总平面布置</w:t>
      </w:r>
    </w:p>
    <w:p>
      <w:pPr>
        <w:pStyle w:val="BodyText"/>
        <w:spacing w:before="158" w:line="364" w:lineRule="auto"/>
        <w:ind w:left="1113" w:right="424" w:firstLine="480"/>
        <w:jc w:val="both"/>
      </w:pPr>
      <w:r>
        <w:rPr>
          <w:spacing w:val="-2"/>
        </w:rPr>
        <w:t xml:space="preserve">项目位于宁津县三岭大街与宏图路交叉口东南角，租赁生产车间 </w:t>
      </w:r>
      <w:r>
        <w:rPr>
          <w:rFonts w:ascii="Times New Roman" w:eastAsia="Times New Roman"/>
        </w:rPr>
        <w:t xml:space="preserve">3 </w:t>
      </w:r>
      <w:r>
        <w:rPr>
          <w:spacing w:val="-25"/>
        </w:rPr>
        <w:t xml:space="preserve">座 </w:t>
      </w:r>
      <w:r>
        <w:rPr>
          <w:rFonts w:ascii="Times New Roman" w:eastAsia="Times New Roman"/>
        </w:rPr>
        <w:t>1#</w:t>
      </w:r>
      <w:r>
        <w:rPr>
          <w:spacing w:val="2"/>
        </w:rPr>
        <w:t>车间</w:t>
      </w:r>
      <w:r>
        <w:rPr>
          <w:rFonts w:ascii="Times New Roman" w:eastAsia="Times New Roman"/>
          <w:spacing w:val="2"/>
        </w:rPr>
        <w:t>2#</w:t>
      </w:r>
      <w:r>
        <w:rPr>
          <w:spacing w:val="1"/>
        </w:rPr>
        <w:t>车间用于金属件酸洗着色等，</w:t>
      </w:r>
      <w:r>
        <w:rPr>
          <w:rFonts w:ascii="Times New Roman" w:eastAsia="Times New Roman"/>
          <w:spacing w:val="-9"/>
        </w:rPr>
        <w:t>3#</w:t>
      </w:r>
      <w:r>
        <w:rPr>
          <w:spacing w:val="-3"/>
        </w:rPr>
        <w:t>车间用于抛丸喷塑电泳镀锌等。厂区内各建筑物</w:t>
      </w:r>
      <w:r>
        <w:rPr>
          <w:spacing w:val="-2"/>
        </w:rPr>
        <w:t xml:space="preserve">之间设置道路，便于原料及成品运输，作业区地面硬化。危废间位于 </w:t>
      </w:r>
      <w:r>
        <w:rPr>
          <w:rFonts w:ascii="Times New Roman" w:eastAsia="Times New Roman"/>
        </w:rPr>
        <w:t>3#</w:t>
      </w:r>
      <w:r>
        <w:t>车间。</w:t>
      </w:r>
    </w:p>
    <w:p>
      <w:pPr>
        <w:pStyle w:val="ListParagraph"/>
        <w:numPr>
          <w:ilvl w:val="0"/>
          <w:numId w:val="8"/>
        </w:numPr>
        <w:tabs>
          <w:tab w:val="left" w:pos="2199"/>
        </w:tabs>
        <w:spacing w:before="0" w:after="0" w:line="362" w:lineRule="auto"/>
        <w:ind w:left="1113" w:right="424" w:firstLine="480"/>
        <w:jc w:val="left"/>
        <w:rPr>
          <w:sz w:val="24"/>
        </w:rPr>
      </w:pPr>
      <w:r>
        <w:rPr>
          <w:sz w:val="24"/>
        </w:rPr>
        <w:t>项目厂区按照工艺流程布置，在满足生产工艺流程要求前提下，各工段布设距离较短，利于生产，便于管理，节约投资，减少占地。</w:t>
      </w:r>
    </w:p>
    <w:p>
      <w:pPr>
        <w:pStyle w:val="ListParagraph"/>
        <w:numPr>
          <w:ilvl w:val="0"/>
          <w:numId w:val="8"/>
        </w:numPr>
        <w:tabs>
          <w:tab w:val="left" w:pos="2199"/>
        </w:tabs>
        <w:spacing w:before="4" w:after="0" w:line="362" w:lineRule="auto"/>
        <w:ind w:left="1113" w:right="424" w:firstLine="480"/>
        <w:jc w:val="left"/>
        <w:rPr>
          <w:sz w:val="24"/>
        </w:rPr>
      </w:pPr>
      <w:r>
        <w:rPr>
          <w:sz w:val="24"/>
        </w:rPr>
        <w:t>厂区南侧设置出入口，出入口与道路相通，便于项目原材料及产品的运入和运出。</w:t>
      </w:r>
    </w:p>
    <w:p>
      <w:pPr>
        <w:pStyle w:val="BodyText"/>
        <w:spacing w:before="5"/>
        <w:ind w:left="1593"/>
      </w:pPr>
      <w:r>
        <w:t xml:space="preserve">综上所述，本项目厂区布置基本合理。项目总平面布置图见附图 </w:t>
      </w:r>
      <w:r>
        <w:rPr>
          <w:rFonts w:ascii="Times New Roman" w:eastAsia="Times New Roman"/>
        </w:rPr>
        <w:t>3</w:t>
      </w:r>
      <w:r>
        <w:t>。</w:t>
      </w:r>
    </w:p>
    <w:p>
      <w:pPr>
        <w:pStyle w:val="BodyText"/>
        <w:rPr>
          <w:sz w:val="20"/>
        </w:rPr>
      </w:pPr>
    </w:p>
    <w:p>
      <w:pPr>
        <w:pStyle w:val="BodyText"/>
        <w:rPr>
          <w:sz w:val="20"/>
        </w:rPr>
      </w:pPr>
    </w:p>
    <w:p>
      <w:pPr>
        <w:pStyle w:val="BodyText"/>
        <w:rPr>
          <w:sz w:val="20"/>
        </w:rPr>
      </w:pPr>
    </w:p>
    <w:p>
      <w:pPr>
        <w:spacing w:before="225"/>
        <w:ind w:left="0" w:right="649" w:firstLine="0"/>
        <w:jc w:val="right"/>
        <w:rPr>
          <w:sz w:val="28"/>
        </w:rPr>
      </w:pPr>
      <w:r>
        <w:rPr>
          <w:sz w:val="28"/>
        </w:rPr>
        <w:t xml:space="preserve">— </w:t>
      </w:r>
      <w:r>
        <w:rPr>
          <w:sz w:val="26"/>
        </w:rPr>
        <w:t xml:space="preserve">33 </w:t>
      </w:r>
      <w:r>
        <w:rPr>
          <w:sz w:val="28"/>
        </w:rPr>
        <w:t>—</w:t>
      </w:r>
    </w:p>
    <w:p>
      <w:pPr>
        <w:spacing w:after="0"/>
        <w:jc w:val="right"/>
        <w:rPr>
          <w:sz w:val="28"/>
        </w:rPr>
        <w:sectPr>
          <w:pgSz w:w="11910" w:h="16840"/>
          <w:pgMar w:top="1580" w:right="879" w:bottom="280" w:left="900" w:header="720" w:footer="720" w:gutter="0"/>
          <w:pgNumType w:start="38"/>
          <w:cols w:num="1" w:space="720"/>
        </w:sectPr>
      </w:pPr>
    </w:p>
    <w:p>
      <w:pPr>
        <w:pStyle w:val="BodyText"/>
        <w:rPr>
          <w:sz w:val="8"/>
        </w:rPr>
      </w:pPr>
      <w:r>
        <w:drawing>
          <wp:anchor distT="0" distB="0" distL="0" distR="0" simplePos="0" relativeHeight="251670528" behindDoc="1" locked="0" layoutInCell="1" allowOverlap="1">
            <wp:simplePos x="0" y="0"/>
            <wp:positionH relativeFrom="page">
              <wp:posOffset>1974850</wp:posOffset>
            </wp:positionH>
            <wp:positionV relativeFrom="page">
              <wp:posOffset>1388110</wp:posOffset>
            </wp:positionV>
            <wp:extent cx="4156075" cy="5497195"/>
            <wp:effectExtent l="0" t="0" r="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eg"/>
                    <pic:cNvPicPr>
                      <a:picLocks noChangeAspect="1"/>
                    </pic:cNvPicPr>
                  </pic:nvPicPr>
                  <pic:blipFill>
                    <a:blip xmlns:r="http://schemas.openxmlformats.org/officeDocument/2006/relationships" r:embed="rId9" cstate="print"/>
                    <a:stretch>
                      <a:fillRect/>
                    </a:stretch>
                  </pic:blipFill>
                  <pic:spPr>
                    <a:xfrm>
                      <a:off x="0" y="0"/>
                      <a:ext cx="4156212" cy="5497353"/>
                    </a:xfrm>
                    <a:prstGeom prst="rect">
                      <a:avLst/>
                    </a:prstGeom>
                  </pic:spPr>
                </pic:pic>
              </a:graphicData>
            </a:graphic>
          </wp:anchor>
        </w:drawing>
      </w:r>
    </w:p>
    <w:tbl>
      <w:tblPr>
        <w:tblStyle w:val="TableNormal"/>
        <w:tblW w:w="0" w:type="auto"/>
        <w:tblInd w:w="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09"/>
        <w:gridCol w:w="2464"/>
        <w:gridCol w:w="791"/>
        <w:gridCol w:w="5549"/>
      </w:tblGrid>
      <w:tr>
        <w:tblPrEx>
          <w:tblW w:w="0" w:type="auto"/>
          <w:tblInd w:w="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6140"/>
        </w:trPr>
        <w:tc>
          <w:tcPr>
            <w:tcW w:w="709" w:type="dxa"/>
            <w:tcBorders>
              <w:bottom w:val="nil"/>
              <w:right w:val="single" w:sz="4" w:space="0" w:color="000000"/>
            </w:tcBorders>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10"/>
              <w:rPr>
                <w:sz w:val="23"/>
              </w:rPr>
            </w:pPr>
          </w:p>
          <w:p>
            <w:pPr>
              <w:pStyle w:val="TableParagraph"/>
              <w:spacing w:line="280" w:lineRule="exact"/>
              <w:ind w:left="113"/>
              <w:rPr>
                <w:sz w:val="24"/>
              </w:rPr>
            </w:pPr>
            <w:r>
              <w:rPr>
                <w:sz w:val="24"/>
              </w:rPr>
              <w:t>工艺</w:t>
            </w:r>
          </w:p>
        </w:tc>
        <w:tc>
          <w:tcPr>
            <w:tcW w:w="2464" w:type="dxa"/>
            <w:vMerge w:val="restart"/>
            <w:tcBorders>
              <w:left w:val="single" w:sz="4" w:space="0" w:color="000000"/>
              <w:right w:val="nil"/>
            </w:tcBorders>
          </w:tcPr>
          <w:p>
            <w:pPr>
              <w:pStyle w:val="TableParagraph"/>
              <w:spacing w:before="1"/>
              <w:ind w:left="593"/>
              <w:rPr>
                <w:b/>
                <w:sz w:val="24"/>
              </w:rPr>
            </w:pPr>
            <w:r>
              <w:rPr>
                <w:b/>
                <w:sz w:val="24"/>
              </w:rPr>
              <w:t>一、工艺流程图</w:t>
            </w:r>
          </w:p>
        </w:tc>
        <w:tc>
          <w:tcPr>
            <w:tcW w:w="791" w:type="dxa"/>
            <w:vMerge w:val="restart"/>
            <w:tcBorders>
              <w:left w:val="nil"/>
              <w:right w:val="nil"/>
            </w:tcBorders>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7"/>
              <w:rPr>
                <w:sz w:val="29"/>
              </w:rPr>
            </w:pPr>
          </w:p>
          <w:p>
            <w:pPr>
              <w:pStyle w:val="TableParagraph"/>
              <w:ind w:left="200"/>
              <w:rPr>
                <w:b/>
                <w:sz w:val="24"/>
              </w:rPr>
            </w:pPr>
            <w:r>
              <w:rPr>
                <w:b/>
                <w:spacing w:val="-32"/>
                <w:sz w:val="24"/>
              </w:rPr>
              <w:t xml:space="preserve">图 </w:t>
            </w:r>
            <w:r>
              <w:rPr>
                <w:b/>
                <w:sz w:val="24"/>
              </w:rPr>
              <w:t>2</w:t>
            </w: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34"/>
              </w:rPr>
            </w:pPr>
          </w:p>
          <w:p>
            <w:pPr>
              <w:pStyle w:val="TableParagraph"/>
              <w:spacing w:before="1"/>
              <w:ind w:left="200"/>
              <w:rPr>
                <w:b/>
                <w:sz w:val="24"/>
              </w:rPr>
            </w:pPr>
            <w:r>
              <w:rPr>
                <w:b/>
                <w:spacing w:val="-32"/>
                <w:sz w:val="24"/>
              </w:rPr>
              <w:t xml:space="preserve">图 </w:t>
            </w:r>
            <w:r>
              <w:rPr>
                <w:b/>
                <w:sz w:val="24"/>
              </w:rPr>
              <w:t>3</w:t>
            </w:r>
          </w:p>
        </w:tc>
        <w:tc>
          <w:tcPr>
            <w:tcW w:w="5549" w:type="dxa"/>
            <w:vMerge w:val="restart"/>
            <w:tcBorders>
              <w:left w:val="nil"/>
            </w:tcBorders>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7"/>
              <w:rPr>
                <w:sz w:val="29"/>
              </w:rPr>
            </w:pPr>
          </w:p>
          <w:p>
            <w:pPr>
              <w:pStyle w:val="TableParagraph"/>
              <w:ind w:left="189"/>
              <w:rPr>
                <w:b/>
                <w:sz w:val="24"/>
              </w:rPr>
            </w:pPr>
            <w:r>
              <w:rPr>
                <w:b/>
                <w:w w:val="95"/>
                <w:sz w:val="24"/>
              </w:rPr>
              <w:t>喷塑件生产工艺及产污流程图</w:t>
            </w: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34"/>
              </w:rPr>
            </w:pPr>
          </w:p>
          <w:p>
            <w:pPr>
              <w:pStyle w:val="TableParagraph"/>
              <w:spacing w:before="1"/>
              <w:ind w:left="189"/>
              <w:rPr>
                <w:b/>
                <w:sz w:val="24"/>
              </w:rPr>
            </w:pPr>
            <w:r>
              <w:rPr>
                <w:b/>
                <w:w w:val="95"/>
                <w:sz w:val="24"/>
              </w:rPr>
              <w:t>镀锌件生产工艺及产污流程图</w:t>
            </w:r>
          </w:p>
        </w:tc>
      </w:tr>
      <w:tr>
        <w:tblPrEx>
          <w:tblW w:w="0" w:type="auto"/>
          <w:tblInd w:w="306" w:type="dxa"/>
          <w:tblLayout w:type="fixed"/>
          <w:tblCellMar>
            <w:top w:w="0" w:type="dxa"/>
            <w:left w:w="0" w:type="dxa"/>
            <w:bottom w:w="0" w:type="dxa"/>
            <w:right w:w="0" w:type="dxa"/>
          </w:tblCellMar>
        </w:tblPrEx>
        <w:trPr>
          <w:trHeight w:val="291"/>
        </w:trPr>
        <w:tc>
          <w:tcPr>
            <w:tcW w:w="709" w:type="dxa"/>
            <w:tcBorders>
              <w:top w:val="nil"/>
              <w:bottom w:val="nil"/>
              <w:right w:val="single" w:sz="4" w:space="0" w:color="000000"/>
            </w:tcBorders>
          </w:tcPr>
          <w:p>
            <w:pPr>
              <w:pStyle w:val="TableParagraph"/>
              <w:spacing w:line="272" w:lineRule="exact"/>
              <w:ind w:left="113"/>
              <w:rPr>
                <w:sz w:val="24"/>
              </w:rPr>
            </w:pPr>
            <w:r>
              <w:rPr>
                <w:sz w:val="24"/>
              </w:rPr>
              <w:t>流程</w:t>
            </w:r>
          </w:p>
        </w:tc>
        <w:tc>
          <w:tcPr>
            <w:tcW w:w="2464" w:type="dxa"/>
            <w:vMerge/>
            <w:tcBorders>
              <w:top w:val="nil"/>
              <w:left w:val="single" w:sz="4" w:space="0" w:color="000000"/>
              <w:right w:val="nil"/>
            </w:tcBorders>
          </w:tcPr>
          <w:p>
            <w:pPr>
              <w:rPr>
                <w:sz w:val="2"/>
                <w:szCs w:val="2"/>
              </w:rPr>
            </w:pPr>
          </w:p>
        </w:tc>
        <w:tc>
          <w:tcPr>
            <w:tcW w:w="791" w:type="dxa"/>
            <w:vMerge/>
            <w:tcBorders>
              <w:top w:val="nil"/>
              <w:left w:val="nil"/>
              <w:right w:val="nil"/>
            </w:tcBorders>
          </w:tcPr>
          <w:p>
            <w:pPr>
              <w:rPr>
                <w:sz w:val="2"/>
                <w:szCs w:val="2"/>
              </w:rPr>
            </w:pPr>
          </w:p>
        </w:tc>
        <w:tc>
          <w:tcPr>
            <w:tcW w:w="5549" w:type="dxa"/>
            <w:vMerge/>
            <w:tcBorders>
              <w:top w:val="nil"/>
              <w:left w:val="nil"/>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290"/>
        </w:trPr>
        <w:tc>
          <w:tcPr>
            <w:tcW w:w="709" w:type="dxa"/>
            <w:tcBorders>
              <w:top w:val="nil"/>
              <w:bottom w:val="nil"/>
              <w:right w:val="single" w:sz="4" w:space="0" w:color="000000"/>
            </w:tcBorders>
          </w:tcPr>
          <w:p>
            <w:pPr>
              <w:pStyle w:val="TableParagraph"/>
              <w:spacing w:line="271" w:lineRule="exact"/>
              <w:ind w:left="113"/>
              <w:rPr>
                <w:sz w:val="24"/>
              </w:rPr>
            </w:pPr>
            <w:r>
              <w:rPr>
                <w:sz w:val="24"/>
              </w:rPr>
              <w:t>和产</w:t>
            </w:r>
          </w:p>
        </w:tc>
        <w:tc>
          <w:tcPr>
            <w:tcW w:w="2464" w:type="dxa"/>
            <w:vMerge/>
            <w:tcBorders>
              <w:top w:val="nil"/>
              <w:left w:val="single" w:sz="4" w:space="0" w:color="000000"/>
              <w:right w:val="nil"/>
            </w:tcBorders>
          </w:tcPr>
          <w:p>
            <w:pPr>
              <w:rPr>
                <w:sz w:val="2"/>
                <w:szCs w:val="2"/>
              </w:rPr>
            </w:pPr>
          </w:p>
        </w:tc>
        <w:tc>
          <w:tcPr>
            <w:tcW w:w="791" w:type="dxa"/>
            <w:vMerge/>
            <w:tcBorders>
              <w:top w:val="nil"/>
              <w:left w:val="nil"/>
              <w:right w:val="nil"/>
            </w:tcBorders>
          </w:tcPr>
          <w:p>
            <w:pPr>
              <w:rPr>
                <w:sz w:val="2"/>
                <w:szCs w:val="2"/>
              </w:rPr>
            </w:pPr>
          </w:p>
        </w:tc>
        <w:tc>
          <w:tcPr>
            <w:tcW w:w="5549" w:type="dxa"/>
            <w:vMerge/>
            <w:tcBorders>
              <w:top w:val="nil"/>
              <w:left w:val="nil"/>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290"/>
        </w:trPr>
        <w:tc>
          <w:tcPr>
            <w:tcW w:w="709" w:type="dxa"/>
            <w:tcBorders>
              <w:top w:val="nil"/>
              <w:bottom w:val="nil"/>
              <w:right w:val="single" w:sz="4" w:space="0" w:color="000000"/>
            </w:tcBorders>
          </w:tcPr>
          <w:p>
            <w:pPr>
              <w:pStyle w:val="TableParagraph"/>
              <w:spacing w:line="271" w:lineRule="exact"/>
              <w:ind w:left="113"/>
              <w:rPr>
                <w:sz w:val="24"/>
              </w:rPr>
            </w:pPr>
            <w:r>
              <w:rPr>
                <w:sz w:val="24"/>
              </w:rPr>
              <w:t>排污</w:t>
            </w:r>
          </w:p>
        </w:tc>
        <w:tc>
          <w:tcPr>
            <w:tcW w:w="2464" w:type="dxa"/>
            <w:vMerge/>
            <w:tcBorders>
              <w:top w:val="nil"/>
              <w:left w:val="single" w:sz="4" w:space="0" w:color="000000"/>
              <w:right w:val="nil"/>
            </w:tcBorders>
          </w:tcPr>
          <w:p>
            <w:pPr>
              <w:rPr>
                <w:sz w:val="2"/>
                <w:szCs w:val="2"/>
              </w:rPr>
            </w:pPr>
          </w:p>
        </w:tc>
        <w:tc>
          <w:tcPr>
            <w:tcW w:w="791" w:type="dxa"/>
            <w:vMerge/>
            <w:tcBorders>
              <w:top w:val="nil"/>
              <w:left w:val="nil"/>
              <w:right w:val="nil"/>
            </w:tcBorders>
          </w:tcPr>
          <w:p>
            <w:pPr>
              <w:rPr>
                <w:sz w:val="2"/>
                <w:szCs w:val="2"/>
              </w:rPr>
            </w:pPr>
          </w:p>
        </w:tc>
        <w:tc>
          <w:tcPr>
            <w:tcW w:w="5549" w:type="dxa"/>
            <w:vMerge/>
            <w:tcBorders>
              <w:top w:val="nil"/>
              <w:left w:val="nil"/>
            </w:tcBorders>
          </w:tcPr>
          <w:p>
            <w:pPr>
              <w:rPr>
                <w:sz w:val="2"/>
                <w:szCs w:val="2"/>
              </w:rPr>
            </w:pPr>
          </w:p>
        </w:tc>
      </w:tr>
      <w:tr>
        <w:tblPrEx>
          <w:tblW w:w="0" w:type="auto"/>
          <w:tblInd w:w="306" w:type="dxa"/>
          <w:tblLayout w:type="fixed"/>
          <w:tblCellMar>
            <w:top w:w="0" w:type="dxa"/>
            <w:left w:w="0" w:type="dxa"/>
            <w:bottom w:w="0" w:type="dxa"/>
            <w:right w:w="0" w:type="dxa"/>
          </w:tblCellMar>
        </w:tblPrEx>
        <w:trPr>
          <w:trHeight w:val="6140"/>
        </w:trPr>
        <w:tc>
          <w:tcPr>
            <w:tcW w:w="709" w:type="dxa"/>
            <w:tcBorders>
              <w:top w:val="nil"/>
              <w:right w:val="single" w:sz="4" w:space="0" w:color="000000"/>
            </w:tcBorders>
          </w:tcPr>
          <w:p>
            <w:pPr>
              <w:pStyle w:val="TableParagraph"/>
              <w:spacing w:line="300" w:lineRule="exact"/>
              <w:ind w:left="113"/>
              <w:rPr>
                <w:sz w:val="24"/>
              </w:rPr>
            </w:pPr>
            <w:r>
              <w:rPr>
                <w:sz w:val="24"/>
              </w:rPr>
              <w:t>环节</w:t>
            </w:r>
          </w:p>
        </w:tc>
        <w:tc>
          <w:tcPr>
            <w:tcW w:w="2464" w:type="dxa"/>
            <w:vMerge/>
            <w:tcBorders>
              <w:top w:val="nil"/>
              <w:left w:val="single" w:sz="4" w:space="0" w:color="000000"/>
              <w:right w:val="nil"/>
            </w:tcBorders>
          </w:tcPr>
          <w:p>
            <w:pPr>
              <w:rPr>
                <w:sz w:val="2"/>
                <w:szCs w:val="2"/>
              </w:rPr>
            </w:pPr>
          </w:p>
        </w:tc>
        <w:tc>
          <w:tcPr>
            <w:tcW w:w="791" w:type="dxa"/>
            <w:vMerge/>
            <w:tcBorders>
              <w:top w:val="nil"/>
              <w:left w:val="nil"/>
              <w:right w:val="nil"/>
            </w:tcBorders>
          </w:tcPr>
          <w:p>
            <w:pPr>
              <w:rPr>
                <w:sz w:val="2"/>
                <w:szCs w:val="2"/>
              </w:rPr>
            </w:pPr>
          </w:p>
        </w:tc>
        <w:tc>
          <w:tcPr>
            <w:tcW w:w="5549" w:type="dxa"/>
            <w:vMerge/>
            <w:tcBorders>
              <w:top w:val="nil"/>
              <w:left w:val="nil"/>
            </w:tcBorders>
          </w:tcPr>
          <w:p>
            <w:pPr>
              <w:rPr>
                <w:sz w:val="2"/>
                <w:szCs w:val="2"/>
              </w:rPr>
            </w:pPr>
          </w:p>
        </w:tc>
      </w:tr>
    </w:tbl>
    <w:p>
      <w:pPr>
        <w:pStyle w:val="BodyText"/>
        <w:rPr>
          <w:sz w:val="20"/>
        </w:rPr>
      </w:pPr>
    </w:p>
    <w:p>
      <w:pPr>
        <w:pStyle w:val="BodyText"/>
        <w:rPr>
          <w:sz w:val="20"/>
        </w:rPr>
      </w:pPr>
    </w:p>
    <w:p>
      <w:pPr>
        <w:pStyle w:val="BodyText"/>
        <w:spacing w:before="3"/>
        <w:rPr>
          <w:sz w:val="18"/>
        </w:rPr>
      </w:pPr>
    </w:p>
    <w:p>
      <w:pPr>
        <w:tabs>
          <w:tab w:val="left" w:pos="1571"/>
        </w:tabs>
        <w:spacing w:before="61"/>
        <w:ind w:left="631" w:right="0" w:firstLine="0"/>
        <w:jc w:val="left"/>
        <w:rPr>
          <w:sz w:val="28"/>
        </w:rPr>
      </w:pPr>
      <w:r>
        <w:drawing>
          <wp:anchor distT="0" distB="0" distL="0" distR="0" simplePos="0" relativeHeight="251671552" behindDoc="1" locked="0" layoutInCell="1" allowOverlap="1">
            <wp:simplePos x="0" y="0"/>
            <wp:positionH relativeFrom="page">
              <wp:posOffset>2785745</wp:posOffset>
            </wp:positionH>
            <wp:positionV relativeFrom="paragraph">
              <wp:posOffset>-2712720</wp:posOffset>
            </wp:positionV>
            <wp:extent cx="2884170" cy="1842770"/>
            <wp:effectExtent l="0" t="0" r="0" b="0"/>
            <wp:wrapNone/>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jpeg"/>
                    <pic:cNvPicPr>
                      <a:picLocks noChangeAspect="1"/>
                    </pic:cNvPicPr>
                  </pic:nvPicPr>
                  <pic:blipFill>
                    <a:blip xmlns:r="http://schemas.openxmlformats.org/officeDocument/2006/relationships" r:embed="rId10" cstate="print"/>
                    <a:stretch>
                      <a:fillRect/>
                    </a:stretch>
                  </pic:blipFill>
                  <pic:spPr>
                    <a:xfrm>
                      <a:off x="0" y="0"/>
                      <a:ext cx="2883885" cy="1843087"/>
                    </a:xfrm>
                    <a:prstGeom prst="rect">
                      <a:avLst/>
                    </a:prstGeom>
                  </pic:spPr>
                </pic:pic>
              </a:graphicData>
            </a:graphic>
          </wp:anchor>
        </w:drawing>
      </w:r>
      <w:r>
        <w:rPr>
          <w:sz w:val="28"/>
        </w:rPr>
        <w:t>—</w:t>
      </w:r>
      <w:r>
        <w:rPr>
          <w:spacing w:val="59"/>
          <w:sz w:val="28"/>
        </w:rPr>
        <w:t xml:space="preserve"> </w:t>
      </w:r>
      <w:r>
        <w:rPr>
          <w:sz w:val="26"/>
        </w:rPr>
        <w:t>34</w:t>
      </w:r>
      <w:r>
        <w:rPr>
          <w:sz w:val="26"/>
        </w:rPr>
        <w:tab/>
      </w:r>
      <w:r>
        <w:rPr>
          <w:sz w:val="28"/>
        </w:rPr>
        <w:t>—</w:t>
      </w:r>
    </w:p>
    <w:p>
      <w:pPr>
        <w:spacing w:after="0"/>
        <w:jc w:val="left"/>
        <w:rPr>
          <w:sz w:val="28"/>
        </w:rPr>
        <w:sectPr>
          <w:pgSz w:w="11910" w:h="16840"/>
          <w:pgMar w:top="1580" w:right="879" w:bottom="280" w:left="900" w:header="720" w:footer="720" w:gutter="0"/>
          <w:pgNumType w:start="39"/>
          <w:cols w:num="1" w:space="720"/>
        </w:sectPr>
      </w:pPr>
    </w:p>
    <w:p>
      <w:pPr>
        <w:pStyle w:val="Heading5"/>
        <w:spacing w:before="124"/>
        <w:ind w:left="1593"/>
      </w:pPr>
      <w:r>
        <w:pict>
          <v:group id="_x0000_s1052" o:spid="_x0000_s1051" style="width:476.65pt;height:653.8pt;margin-top:5.15pt;margin-left:59.3pt;mso-height-relative:page;mso-position-horizontal-relative:page;mso-width-relative:page;position:absolute;z-index:-251643904" coordorigin="1186,103" coordsize="9533,13076">
            <v:shape id="_x0000_s1053" o:spid="_x0000_s1052" style="width:9533;height:13076;left:1186;position:absolute;top:464" coordorigin="1186,464" coordsize="9533,13076" path="m1186,113l10719,113m1186,13169l10719,13169m1196,103l1196,13178m10709,122l10709,13178e" filled="f" stroked="t" strokecolor="black">
              <v:path arrowok="t"/>
            </v:shape>
            <v:line id="_x0000_s1054" o:spid="_x0000_s1053" style="position:absolute" from="1905,122" to="1905,13159" coordsize="21600,21600" stroked="t" strokecolor="black"/>
          </v:group>
        </w:pict>
      </w:r>
      <w:r>
        <w:t>喷塑件工艺流程简述：</w:t>
      </w:r>
    </w:p>
    <w:p>
      <w:pPr>
        <w:pStyle w:val="BodyText"/>
        <w:spacing w:before="208"/>
        <w:ind w:left="1593"/>
      </w:pPr>
      <w:bookmarkStart w:id="9" w:name="原料：本项目原料为铁件、铝件、不锈钢件，均为成品件。"/>
      <w:bookmarkEnd w:id="9"/>
      <w:r>
        <w:rPr>
          <w:b/>
        </w:rPr>
        <w:t>原料：</w:t>
      </w:r>
      <w:r>
        <w:t>本项目原料为铁件、铝件、不锈钢件，均为成品件。</w:t>
      </w:r>
    </w:p>
    <w:p>
      <w:pPr>
        <w:pStyle w:val="BodyText"/>
        <w:spacing w:before="206" w:line="364" w:lineRule="auto"/>
        <w:ind w:left="1113" w:right="304" w:firstLine="480"/>
      </w:pPr>
      <w:bookmarkStart w:id="10" w:name="抛丸：将一部分金属件放入抛丸机中进行抛丸，除去工件表面的锈、氧化膜等。需要进行抛"/>
      <w:bookmarkEnd w:id="10"/>
      <w:r>
        <w:rPr>
          <w:b/>
          <w:spacing w:val="-20"/>
        </w:rPr>
        <w:t>抛丸：</w:t>
      </w:r>
      <w:r>
        <w:rPr>
          <w:spacing w:val="-7"/>
        </w:rPr>
        <w:t>将一部分金属件放入抛丸机中进行抛丸，除去工件表面的锈、氧化膜等。</w:t>
      </w:r>
      <w:r>
        <w:rPr>
          <w:spacing w:val="-3"/>
        </w:rPr>
        <w:t xml:space="preserve">需要进行抛丸的工件根据客户的订单要求，每年约 </w:t>
      </w:r>
      <w:r>
        <w:rPr>
          <w:rFonts w:ascii="Times New Roman" w:eastAsia="Times New Roman"/>
        </w:rPr>
        <w:t>2000</w:t>
      </w:r>
      <w:r>
        <w:rPr>
          <w:rFonts w:ascii="Times New Roman" w:eastAsia="Times New Roman"/>
          <w:spacing w:val="15"/>
        </w:rPr>
        <w:t xml:space="preserve"> </w:t>
      </w:r>
      <w:r>
        <w:t>吨左右，其余工件不需要</w:t>
      </w:r>
      <w:r>
        <w:rPr>
          <w:spacing w:val="-6"/>
        </w:rPr>
        <w:t xml:space="preserve">抛丸。此过程产生废气 </w:t>
      </w:r>
      <w:r>
        <w:rPr>
          <w:rFonts w:ascii="Times New Roman" w:eastAsia="Times New Roman"/>
        </w:rPr>
        <w:t>G1-1</w:t>
      </w:r>
      <w:r>
        <w:rPr>
          <w:spacing w:val="-8"/>
        </w:rPr>
        <w:t xml:space="preserve">、设备运行噪声 </w:t>
      </w:r>
      <w:r>
        <w:rPr>
          <w:rFonts w:ascii="Times New Roman" w:eastAsia="Times New Roman"/>
        </w:rPr>
        <w:t>N1</w:t>
      </w:r>
      <w:r>
        <w:t>。</w:t>
      </w:r>
    </w:p>
    <w:p>
      <w:pPr>
        <w:pStyle w:val="BodyText"/>
        <w:spacing w:before="48" w:line="364" w:lineRule="auto"/>
        <w:ind w:left="1113" w:right="304" w:firstLine="480"/>
      </w:pPr>
      <w:bookmarkStart w:id="11" w:name="喷砂：将一部分金属件放入喷砂间中进行喷砂，除去工件表面的锈、氧化膜等。需要进行喷"/>
      <w:bookmarkEnd w:id="11"/>
      <w:r>
        <w:rPr>
          <w:b/>
          <w:spacing w:val="-20"/>
        </w:rPr>
        <w:t>喷砂：</w:t>
      </w:r>
      <w:r>
        <w:rPr>
          <w:spacing w:val="-7"/>
        </w:rPr>
        <w:t>将一部分金属件放入喷砂间中进行喷砂，除去工件表面的锈、氧化膜等。</w:t>
      </w:r>
      <w:r>
        <w:rPr>
          <w:spacing w:val="-3"/>
        </w:rPr>
        <w:t xml:space="preserve">需要进行喷砂的工件根据客户的订单要求，每年约 </w:t>
      </w:r>
      <w:r>
        <w:rPr>
          <w:rFonts w:ascii="Times New Roman" w:eastAsia="Times New Roman"/>
        </w:rPr>
        <w:t>1000</w:t>
      </w:r>
      <w:r>
        <w:rPr>
          <w:rFonts w:ascii="Times New Roman" w:eastAsia="Times New Roman"/>
          <w:spacing w:val="15"/>
        </w:rPr>
        <w:t xml:space="preserve"> </w:t>
      </w:r>
      <w:r>
        <w:t>吨左右，其余工件不需要</w:t>
      </w:r>
      <w:r>
        <w:rPr>
          <w:spacing w:val="-6"/>
        </w:rPr>
        <w:t xml:space="preserve">抛丸。此过程产生废气 </w:t>
      </w:r>
      <w:r>
        <w:rPr>
          <w:rFonts w:ascii="Times New Roman" w:eastAsia="Times New Roman"/>
        </w:rPr>
        <w:t>G1-2</w:t>
      </w:r>
      <w:r>
        <w:rPr>
          <w:spacing w:val="-8"/>
        </w:rPr>
        <w:t xml:space="preserve">、设备运行噪声 </w:t>
      </w:r>
      <w:r>
        <w:rPr>
          <w:rFonts w:ascii="Times New Roman" w:eastAsia="Times New Roman"/>
        </w:rPr>
        <w:t>N1</w:t>
      </w:r>
      <w:r>
        <w:t>。</w:t>
      </w:r>
    </w:p>
    <w:p>
      <w:pPr>
        <w:pStyle w:val="BodyText"/>
        <w:spacing w:before="47" w:line="362" w:lineRule="auto"/>
        <w:ind w:left="1113" w:right="424" w:firstLine="480"/>
        <w:jc w:val="both"/>
      </w:pPr>
      <w:bookmarkStart w:id="12" w:name="除油：一部分金属件需要进行除油处理，将金属件放入超声波清洗仪内置配比好的除油剂。"/>
      <w:bookmarkEnd w:id="12"/>
      <w:r>
        <w:rPr>
          <w:b/>
          <w:spacing w:val="-9"/>
        </w:rPr>
        <w:t>除油：</w:t>
      </w:r>
      <w:r>
        <w:rPr>
          <w:spacing w:val="-3"/>
        </w:rPr>
        <w:t>一部分金属件需要进行除油处理，将金属件放入超声波清洗仪内置配比</w:t>
      </w:r>
      <w:r>
        <w:rPr>
          <w:spacing w:val="-7"/>
        </w:rPr>
        <w:t>好的除油剂。超声波清洗仪中的槽液不外排，生产消耗后按比例增加。该工序会产</w:t>
      </w:r>
      <w:r>
        <w:rPr>
          <w:spacing w:val="-15"/>
        </w:rPr>
        <w:t xml:space="preserve">生固废 </w:t>
      </w:r>
      <w:r>
        <w:rPr>
          <w:rFonts w:ascii="Times New Roman" w:eastAsia="Times New Roman"/>
        </w:rPr>
        <w:t xml:space="preserve">S1 </w:t>
      </w:r>
      <w:r>
        <w:t>槽渣（油泥）。</w:t>
      </w:r>
    </w:p>
    <w:p>
      <w:pPr>
        <w:pStyle w:val="BodyText"/>
        <w:spacing w:before="54" w:line="364" w:lineRule="auto"/>
        <w:ind w:left="1113" w:right="424" w:firstLine="480"/>
        <w:jc w:val="both"/>
      </w:pPr>
      <w:r>
        <w:rPr>
          <w:b/>
        </w:rPr>
        <w:t>碱洗：</w:t>
      </w:r>
      <w:r>
        <w:t>不需要进行喷砂</w:t>
      </w:r>
      <w:r>
        <w:rPr>
          <w:rFonts w:ascii="Times New Roman" w:eastAsia="Times New Roman"/>
        </w:rPr>
        <w:t>/</w:t>
      </w:r>
      <w:r>
        <w:t>抛丸</w:t>
      </w:r>
      <w:r>
        <w:rPr>
          <w:rFonts w:ascii="Times New Roman" w:eastAsia="Times New Roman"/>
        </w:rPr>
        <w:t>/</w:t>
      </w:r>
      <w:r>
        <w:t>除油的工件进入碱洗工序，碱洗槽中加入片碱和</w:t>
      </w:r>
      <w:r>
        <w:rPr>
          <w:spacing w:val="-12"/>
        </w:rPr>
        <w:t xml:space="preserve">水，溶液浓度为 </w:t>
      </w:r>
      <w:r>
        <w:rPr>
          <w:rFonts w:ascii="Times New Roman" w:eastAsia="Times New Roman"/>
        </w:rPr>
        <w:t>200mg/L</w:t>
      </w:r>
      <w:r>
        <w:rPr>
          <w:spacing w:val="-3"/>
        </w:rPr>
        <w:t xml:space="preserve">，将工件浸入碱洗槽中。碱洗槽内的液体是循环利用，定期添加，池内底部预留的有沉淀槽，定期清理，会产生固废 </w:t>
      </w:r>
      <w:r>
        <w:rPr>
          <w:rFonts w:ascii="Times New Roman" w:eastAsia="Times New Roman"/>
        </w:rPr>
        <w:t xml:space="preserve">S2 </w:t>
      </w:r>
      <w:r>
        <w:t>槽渣。</w:t>
      </w:r>
    </w:p>
    <w:p>
      <w:pPr>
        <w:pStyle w:val="BodyText"/>
        <w:spacing w:before="48" w:line="364" w:lineRule="auto"/>
        <w:ind w:left="1113" w:right="424" w:firstLine="400"/>
        <w:jc w:val="both"/>
      </w:pPr>
      <w:bookmarkStart w:id="13" w:name="钝化：根据客户对于产品的要求，一部分铁件需要进行钝化处理，在钝化槽中加入无铬钝化"/>
      <w:bookmarkEnd w:id="13"/>
      <w:r>
        <w:rPr>
          <w:b/>
        </w:rPr>
        <w:t>钝化：</w:t>
      </w:r>
      <w:r>
        <w:rPr>
          <w:spacing w:val="-1"/>
        </w:rPr>
        <w:t>根据客户对于产品的要求，一部分铁件需要进行钝化处理，在钝化槽中</w:t>
      </w:r>
      <w:r>
        <w:rPr>
          <w:spacing w:val="-7"/>
        </w:rPr>
        <w:t>加入无铬钝化剂、磷酸等，由于金属与氧化性介质发生作用，在金属表面会生成一</w:t>
      </w:r>
      <w:r>
        <w:t>种非常薄的</w:t>
      </w:r>
      <w:r>
        <w:rPr>
          <w:rFonts w:ascii="Times New Roman" w:eastAsia="Times New Roman"/>
        </w:rPr>
        <w:t>(</w:t>
      </w:r>
      <w:r>
        <w:rPr>
          <w:spacing w:val="-24"/>
        </w:rPr>
        <w:t xml:space="preserve">约 </w:t>
      </w:r>
      <w:r>
        <w:rPr>
          <w:rFonts w:ascii="Times New Roman" w:eastAsia="Times New Roman"/>
        </w:rPr>
        <w:t>1nm)</w:t>
      </w:r>
      <w:r>
        <w:rPr>
          <w:spacing w:val="-1"/>
        </w:rPr>
        <w:t xml:space="preserve">，致密的，覆盖性能良好的钝化膜。钝化槽中的槽液不外排， </w:t>
      </w:r>
      <w:r>
        <w:rPr>
          <w:spacing w:val="-3"/>
        </w:rPr>
        <w:t xml:space="preserve">生产消耗后按比例增加。该工序会产生固废 </w:t>
      </w:r>
      <w:r>
        <w:rPr>
          <w:rFonts w:ascii="Times New Roman" w:eastAsia="Times New Roman"/>
        </w:rPr>
        <w:t xml:space="preserve">S3 </w:t>
      </w:r>
      <w:r>
        <w:t>槽渣。</w:t>
      </w:r>
    </w:p>
    <w:p>
      <w:pPr>
        <w:pStyle w:val="BodyText"/>
        <w:spacing w:before="45" w:line="364" w:lineRule="auto"/>
        <w:ind w:left="1113" w:right="424" w:firstLine="400"/>
        <w:jc w:val="both"/>
      </w:pPr>
      <w:bookmarkStart w:id="14" w:name="酸洗：除去需要钝化的工件外，其余工件进行酸洗，在酸洗槽中加入硝酸、磷酸、盐酸、氢"/>
      <w:bookmarkEnd w:id="14"/>
      <w:r>
        <w:rPr>
          <w:b/>
        </w:rPr>
        <w:t>酸洗：</w:t>
      </w:r>
      <w:r>
        <w:rPr>
          <w:spacing w:val="-1"/>
        </w:rPr>
        <w:t>除去需要钝化的工件外，其余工件进行酸洗，在酸洗槽中加入硝酸、磷</w:t>
      </w:r>
      <w:r>
        <w:rPr>
          <w:spacing w:val="3"/>
        </w:rPr>
        <w:t>酸、盐酸、氢氟酸及水后进行铁件、铝件、不锈钢件酸洗工作。该工序产生废气</w:t>
      </w:r>
      <w:r>
        <w:rPr>
          <w:rFonts w:ascii="Times New Roman" w:eastAsia="Times New Roman"/>
          <w:spacing w:val="-7"/>
        </w:rPr>
        <w:t>G2</w:t>
      </w:r>
      <w:r>
        <w:rPr>
          <w:spacing w:val="-12"/>
        </w:rPr>
        <w:t xml:space="preserve">：氮氧化物、氯化氢、氢氟酸；产生酸洗废水 </w:t>
      </w:r>
      <w:r>
        <w:rPr>
          <w:rFonts w:ascii="Times New Roman" w:eastAsia="Times New Roman"/>
          <w:spacing w:val="-7"/>
        </w:rPr>
        <w:t>W1</w:t>
      </w:r>
      <w:r>
        <w:rPr>
          <w:spacing w:val="-13"/>
        </w:rPr>
        <w:t xml:space="preserve">，每年更换 </w:t>
      </w:r>
      <w:r>
        <w:rPr>
          <w:rFonts w:ascii="Times New Roman" w:eastAsia="Times New Roman"/>
        </w:rPr>
        <w:t xml:space="preserve">2 </w:t>
      </w:r>
      <w:r>
        <w:rPr>
          <w:spacing w:val="-13"/>
        </w:rPr>
        <w:t xml:space="preserve">次；产生固废 </w:t>
      </w:r>
      <w:r>
        <w:rPr>
          <w:rFonts w:ascii="Times New Roman" w:eastAsia="Times New Roman"/>
          <w:spacing w:val="-7"/>
        </w:rPr>
        <w:t xml:space="preserve">S4 </w:t>
      </w:r>
      <w:r>
        <w:t>槽渣。</w:t>
      </w:r>
    </w:p>
    <w:p>
      <w:pPr>
        <w:pStyle w:val="BodyText"/>
        <w:spacing w:before="46" w:line="364" w:lineRule="auto"/>
        <w:ind w:left="1113" w:right="424" w:firstLine="400"/>
        <w:jc w:val="both"/>
      </w:pPr>
      <w:bookmarkStart w:id="15" w:name="清洗：酸洗后的工件进入清水槽清洗。该工序产生清洗废水W2，清水池内的水预计每年更"/>
      <w:bookmarkEnd w:id="15"/>
      <w:r>
        <w:rPr>
          <w:b/>
        </w:rPr>
        <w:t>清洗：</w:t>
      </w:r>
      <w:r>
        <w:t xml:space="preserve">酸洗后的工件进入清水槽清洗。该工序产生清洗废水 </w:t>
      </w:r>
      <w:r>
        <w:rPr>
          <w:rFonts w:ascii="Times New Roman" w:eastAsia="Times New Roman"/>
        </w:rPr>
        <w:t>W2</w:t>
      </w:r>
      <w:r>
        <w:t xml:space="preserve">，清水池内的水预计每年更换 </w:t>
      </w:r>
      <w:r>
        <w:rPr>
          <w:rFonts w:ascii="Times New Roman" w:eastAsia="Times New Roman"/>
        </w:rPr>
        <w:t xml:space="preserve">12 </w:t>
      </w:r>
      <w:r>
        <w:t>次，所产生的废水进入自建污水处理设施处理后，通过纯净水回收系统进入清水槽内，再次使用后排放。</w:t>
      </w:r>
    </w:p>
    <w:p>
      <w:pPr>
        <w:pStyle w:val="BodyText"/>
        <w:spacing w:before="45" w:line="364" w:lineRule="auto"/>
        <w:ind w:left="1113" w:right="424" w:firstLine="400"/>
        <w:jc w:val="both"/>
      </w:pPr>
      <w:bookmarkStart w:id="16" w:name="电解抛光：本项目电解阳极工件为不锈钢件、铝件，加入磷酸、硫酸、水，通过电加热将槽"/>
      <w:bookmarkEnd w:id="16"/>
      <w:r>
        <w:rPr>
          <w:b/>
        </w:rPr>
        <w:t>电解抛光：</w:t>
      </w:r>
      <w:r>
        <w:t xml:space="preserve">本项目电解阳极工件为不锈钢件、铝件，加入磷酸、硫酸、水，通过电加热将槽内温度加热到 </w:t>
      </w:r>
      <w:r>
        <w:rPr>
          <w:rFonts w:ascii="Times New Roman" w:eastAsia="Times New Roman"/>
        </w:rPr>
        <w:t xml:space="preserve">40 </w:t>
      </w:r>
      <w:r>
        <w:t>摄氏度，主要目的为了缩短电解抛光的时间。该工</w:t>
      </w:r>
    </w:p>
    <w:p>
      <w:pPr>
        <w:pStyle w:val="BodyText"/>
        <w:rPr>
          <w:sz w:val="20"/>
        </w:rPr>
      </w:pPr>
    </w:p>
    <w:p>
      <w:pPr>
        <w:pStyle w:val="BodyText"/>
        <w:rPr>
          <w:sz w:val="20"/>
        </w:rPr>
      </w:pPr>
    </w:p>
    <w:p>
      <w:pPr>
        <w:pStyle w:val="BodyText"/>
        <w:rPr>
          <w:sz w:val="20"/>
        </w:rPr>
      </w:pPr>
    </w:p>
    <w:p>
      <w:pPr>
        <w:pStyle w:val="BodyText"/>
        <w:spacing w:before="12"/>
        <w:rPr>
          <w:sz w:val="14"/>
        </w:rPr>
      </w:pPr>
    </w:p>
    <w:p>
      <w:pPr>
        <w:spacing w:before="62"/>
        <w:ind w:left="0" w:right="649" w:firstLine="0"/>
        <w:jc w:val="right"/>
        <w:rPr>
          <w:sz w:val="28"/>
        </w:rPr>
      </w:pPr>
      <w:r>
        <w:rPr>
          <w:sz w:val="28"/>
        </w:rPr>
        <w:t xml:space="preserve">— </w:t>
      </w:r>
      <w:r>
        <w:rPr>
          <w:sz w:val="26"/>
        </w:rPr>
        <w:t xml:space="preserve">35 </w:t>
      </w:r>
      <w:r>
        <w:rPr>
          <w:sz w:val="28"/>
        </w:rPr>
        <w:t>—</w:t>
      </w:r>
    </w:p>
    <w:p>
      <w:pPr>
        <w:spacing w:after="0"/>
        <w:jc w:val="right"/>
        <w:rPr>
          <w:sz w:val="28"/>
        </w:rPr>
        <w:sectPr>
          <w:pgSz w:w="11910" w:h="16840"/>
          <w:pgMar w:top="1580" w:right="879" w:bottom="280" w:left="900" w:header="720" w:footer="720" w:gutter="0"/>
          <w:pgNumType w:start="40"/>
          <w:cols w:num="1" w:space="720"/>
        </w:sectPr>
      </w:pPr>
    </w:p>
    <w:p>
      <w:pPr>
        <w:pStyle w:val="BodyText"/>
        <w:spacing w:before="124" w:line="364" w:lineRule="auto"/>
        <w:ind w:left="1113" w:right="311"/>
      </w:pPr>
      <w:r>
        <w:pict>
          <v:group id="_x0000_s1055" o:spid="_x0000_s1054" style="width:476.65pt;height:651.4pt;margin-top:5.15pt;margin-left:59.3pt;mso-height-relative:page;mso-position-horizontal-relative:page;mso-width-relative:page;position:absolute;z-index:-251642880" coordorigin="1186,103" coordsize="9533,13028">
            <v:shape id="_x0000_s1056" o:spid="_x0000_s1055" style="width:9533;height:13028;left:1186;position:absolute;top:512" coordorigin="1186,512" coordsize="9533,13028" path="m1186,113l10719,113m1186,13121l10719,13121m1196,103l1196,13130m10709,122l10709,13130e" filled="f" stroked="t" strokecolor="black">
              <v:path arrowok="t"/>
            </v:shape>
            <v:line id="_x0000_s1057" o:spid="_x0000_s1056" style="position:absolute" from="1905,122" to="1905,13111" coordsize="21600,21600" stroked="t" strokecolor="black"/>
          </v:group>
        </w:pict>
      </w:r>
      <w:r>
        <w:rPr>
          <w:spacing w:val="-10"/>
        </w:rPr>
        <w:t xml:space="preserve">序产生废气 </w:t>
      </w:r>
      <w:r>
        <w:rPr>
          <w:rFonts w:ascii="Times New Roman" w:eastAsia="Times New Roman"/>
        </w:rPr>
        <w:t xml:space="preserve">G3 </w:t>
      </w:r>
      <w:r>
        <w:rPr>
          <w:spacing w:val="-1"/>
        </w:rPr>
        <w:t>硫酸雾，该酸池内的酸液是循环利用，定期进行更换，产生电解抛</w:t>
      </w:r>
      <w:r>
        <w:rPr>
          <w:spacing w:val="-16"/>
        </w:rPr>
        <w:t xml:space="preserve">光废水 </w:t>
      </w:r>
      <w:r>
        <w:rPr>
          <w:rFonts w:ascii="Times New Roman" w:eastAsia="Times New Roman"/>
        </w:rPr>
        <w:t>W3</w:t>
      </w:r>
      <w:r>
        <w:rPr>
          <w:spacing w:val="-3"/>
        </w:rPr>
        <w:t xml:space="preserve">，酸池内底部预留的有沉淀槽，定期清理，会产生固废 </w:t>
      </w:r>
      <w:r>
        <w:rPr>
          <w:rFonts w:ascii="Times New Roman" w:eastAsia="Times New Roman"/>
        </w:rPr>
        <w:t xml:space="preserve">S5 </w:t>
      </w:r>
      <w:r>
        <w:rPr>
          <w:spacing w:val="-3"/>
        </w:rPr>
        <w:t xml:space="preserve">槽渣和油泥， </w:t>
      </w:r>
      <w:r>
        <w:rPr>
          <w:spacing w:val="-6"/>
        </w:rPr>
        <w:t xml:space="preserve">工序运行中产生噪声 </w:t>
      </w:r>
      <w:r>
        <w:rPr>
          <w:rFonts w:ascii="Times New Roman" w:eastAsia="Times New Roman"/>
        </w:rPr>
        <w:t>N2</w:t>
      </w:r>
      <w:r>
        <w:t>。</w:t>
      </w:r>
    </w:p>
    <w:p>
      <w:pPr>
        <w:pStyle w:val="BodyText"/>
        <w:spacing w:before="47" w:line="364" w:lineRule="auto"/>
        <w:ind w:left="1113" w:right="424" w:firstLine="400"/>
        <w:jc w:val="both"/>
      </w:pPr>
      <w:bookmarkStart w:id="17" w:name="磁力抛光：磁力抛光是利用高强磁场力量，引导不锈钢磁针产生快速旋转运动对工件进行研"/>
      <w:bookmarkEnd w:id="17"/>
      <w:r>
        <w:rPr>
          <w:b/>
        </w:rPr>
        <w:t>磁力抛光：</w:t>
      </w:r>
      <w:r>
        <w:rPr>
          <w:spacing w:val="-1"/>
        </w:rPr>
        <w:t>磁力抛光是利用高强磁场力量，引导不锈钢磁针产生快速旋转运动</w:t>
      </w:r>
      <w:r>
        <w:rPr>
          <w:spacing w:val="-6"/>
        </w:rPr>
        <w:t>对工件进行研磨，从而达到高效去除产品表面毛刺、披锋、去氧化皮、除焊斑等效</w:t>
      </w:r>
      <w:r>
        <w:rPr>
          <w:spacing w:val="-8"/>
        </w:rPr>
        <w:t>果。本项目磁力抛光工件为铝件，将铝件放入磁力抛光机中，加入抛光液、磁针和</w:t>
      </w:r>
      <w:r>
        <w:rPr>
          <w:spacing w:val="-9"/>
        </w:rPr>
        <w:t xml:space="preserve">水，抛光液与水的比例为 </w:t>
      </w:r>
      <w:r>
        <w:rPr>
          <w:rFonts w:ascii="Times New Roman" w:eastAsia="Times New Roman"/>
          <w:spacing w:val="-3"/>
        </w:rPr>
        <w:t>1:50</w:t>
      </w:r>
      <w:r>
        <w:rPr>
          <w:spacing w:val="-6"/>
        </w:rPr>
        <w:t>，磁力抛光液不外排，生产消耗后按比例增加。该过</w:t>
      </w:r>
      <w:r>
        <w:rPr>
          <w:spacing w:val="-9"/>
        </w:rPr>
        <w:t xml:space="preserve">程会产生固废 </w:t>
      </w:r>
      <w:r>
        <w:rPr>
          <w:rFonts w:ascii="Times New Roman" w:eastAsia="Times New Roman"/>
        </w:rPr>
        <w:t xml:space="preserve">S5 </w:t>
      </w:r>
      <w:r>
        <w:rPr>
          <w:spacing w:val="-15"/>
        </w:rPr>
        <w:t xml:space="preserve">槽渣和 </w:t>
      </w:r>
      <w:r>
        <w:rPr>
          <w:rFonts w:ascii="Times New Roman" w:eastAsia="Times New Roman"/>
        </w:rPr>
        <w:t xml:space="preserve">N3 </w:t>
      </w:r>
      <w:r>
        <w:t>机械噪声。</w:t>
      </w:r>
    </w:p>
    <w:p>
      <w:pPr>
        <w:pStyle w:val="BodyText"/>
        <w:spacing w:before="46" w:line="362" w:lineRule="auto"/>
        <w:ind w:left="1113" w:right="424" w:firstLine="400"/>
      </w:pPr>
      <w:bookmarkStart w:id="18" w:name="着色：金属表面着色是指采用化学、电解、物理、机械、热处理等方法，使金属表面形成各"/>
      <w:bookmarkEnd w:id="18"/>
      <w:r>
        <w:rPr>
          <w:b/>
        </w:rPr>
        <w:t>着色：</w:t>
      </w:r>
      <w:r>
        <w:t>金属表面着色是指采用化学、电解、物理、机械、热处理等方法，使金属表面形成各种色泽的膜层。</w:t>
      </w:r>
    </w:p>
    <w:p>
      <w:pPr>
        <w:pStyle w:val="BodyText"/>
        <w:spacing w:before="51" w:line="364" w:lineRule="auto"/>
        <w:ind w:left="1113" w:right="304" w:firstLine="480"/>
      </w:pPr>
      <w:r>
        <w:rPr>
          <w:spacing w:val="-2"/>
        </w:rPr>
        <w:t xml:space="preserve">本项目采用化学着色，着色槽中加入着色剂和水，比例为 </w:t>
      </w:r>
      <w:r>
        <w:rPr>
          <w:rFonts w:ascii="Times New Roman" w:eastAsia="Times New Roman"/>
        </w:rPr>
        <w:t>1:200</w:t>
      </w:r>
      <w:r>
        <w:t>，将工件浸入</w:t>
      </w:r>
      <w:r>
        <w:rPr>
          <w:spacing w:val="-14"/>
        </w:rPr>
        <w:t>着色槽中，着色剂渗入金属表面氧化膜的空隙中，发生化学或物理作用，从而着色。</w:t>
      </w:r>
      <w:r>
        <w:rPr>
          <w:spacing w:val="-2"/>
        </w:rPr>
        <w:t xml:space="preserve">着色槽中的槽液不外排，生产消耗后按比例增加。该工序产生固废 </w:t>
      </w:r>
      <w:r>
        <w:rPr>
          <w:rFonts w:ascii="Times New Roman" w:eastAsia="Times New Roman"/>
        </w:rPr>
        <w:t xml:space="preserve">S7 </w:t>
      </w:r>
      <w:r>
        <w:t>槽渣。</w:t>
      </w:r>
    </w:p>
    <w:p>
      <w:pPr>
        <w:pStyle w:val="BodyText"/>
        <w:spacing w:before="47" w:line="364" w:lineRule="auto"/>
        <w:ind w:left="1113" w:right="304" w:firstLine="400"/>
        <w:jc w:val="both"/>
      </w:pPr>
      <w:bookmarkStart w:id="19" w:name="封孔：根据客户订单要求，一部分工件需要进行封孔处理。金属工件经氧化着色后需经过封"/>
      <w:bookmarkEnd w:id="19"/>
      <w:r>
        <w:rPr>
          <w:b/>
        </w:rPr>
        <w:t>封孔：</w:t>
      </w:r>
      <w:r>
        <w:t>根据客户订单要求，一部分工件需要进行封孔处理。金属工件经氧化着</w:t>
      </w:r>
      <w:r>
        <w:rPr>
          <w:spacing w:val="-4"/>
        </w:rPr>
        <w:t>色后需经过封闭处理，以提高氧化膜的抗蚀、绝缘和耐磨等性能，并减弱它对杂质</w:t>
      </w:r>
      <w:r>
        <w:rPr>
          <w:spacing w:val="-14"/>
        </w:rPr>
        <w:t>或油污的吸附。目前行业中对氧化膜的封孔主要要热封孔，冷封孔，中温封孔三种。</w:t>
      </w:r>
    </w:p>
    <w:p>
      <w:pPr>
        <w:pStyle w:val="BodyText"/>
        <w:spacing w:before="47" w:line="364" w:lineRule="auto"/>
        <w:ind w:left="1113" w:right="424" w:firstLine="480"/>
        <w:jc w:val="both"/>
      </w:pPr>
      <w:r>
        <w:rPr>
          <w:spacing w:val="-5"/>
        </w:rPr>
        <w:t>本项目采用中温封孔，在封孔槽中加入无镍中温封孔剂和磷酸，使槽液保持在</w:t>
      </w:r>
      <w:r>
        <w:rPr>
          <w:spacing w:val="-6"/>
        </w:rPr>
        <w:t>一个酸性环境中，然后将工件浸入封孔槽中。封孔槽内的酸液是循环利用，定期添</w:t>
      </w:r>
      <w:r>
        <w:rPr>
          <w:spacing w:val="-3"/>
        </w:rPr>
        <w:t xml:space="preserve">加，酸池内底部预留的有沉淀槽，定期清理，会产生固废 </w:t>
      </w:r>
      <w:r>
        <w:rPr>
          <w:rFonts w:ascii="Times New Roman" w:eastAsia="Times New Roman"/>
        </w:rPr>
        <w:t xml:space="preserve">S8 </w:t>
      </w:r>
      <w:r>
        <w:t>槽渣。</w:t>
      </w:r>
    </w:p>
    <w:p>
      <w:pPr>
        <w:pStyle w:val="BodyText"/>
        <w:spacing w:before="45" w:line="364" w:lineRule="auto"/>
        <w:ind w:left="1113" w:right="421" w:firstLine="400"/>
        <w:jc w:val="both"/>
      </w:pPr>
      <w:bookmarkStart w:id="20" w:name="水洗：封孔的工件进入清水池清洗。该工序产生清洗废水W4，清水池内的水预计每年更换"/>
      <w:bookmarkEnd w:id="20"/>
      <w:r>
        <w:rPr>
          <w:b/>
        </w:rPr>
        <w:t>水洗：</w:t>
      </w:r>
      <w:r>
        <w:t xml:space="preserve">封孔的工件进入清水池清洗。该工序产生清洗废水 </w:t>
      </w:r>
      <w:r>
        <w:rPr>
          <w:rFonts w:ascii="Times New Roman" w:eastAsia="Times New Roman"/>
        </w:rPr>
        <w:t>W4</w:t>
      </w:r>
      <w:r>
        <w:t xml:space="preserve">，清水池内的水预计每年更换 </w:t>
      </w:r>
      <w:r>
        <w:rPr>
          <w:rFonts w:ascii="Times New Roman" w:eastAsia="Times New Roman"/>
        </w:rPr>
        <w:t xml:space="preserve">12 </w:t>
      </w:r>
      <w:r>
        <w:t>次，所产生的废水进入自建污水处理设施处理后，通过纯净水回收系统进入清水池内，再次使用后排放。</w:t>
      </w:r>
    </w:p>
    <w:p>
      <w:pPr>
        <w:pStyle w:val="BodyText"/>
        <w:spacing w:before="48" w:line="364" w:lineRule="auto"/>
        <w:ind w:left="1113" w:right="304" w:firstLine="400"/>
      </w:pPr>
      <w:bookmarkStart w:id="21" w:name="电泳：阴极电泳涂装是采用水溶性阳离子树脂，以环氧树脂为主链的聚胺树脂，在水中离解"/>
      <w:bookmarkEnd w:id="21"/>
      <w:r>
        <w:rPr>
          <w:b/>
          <w:spacing w:val="-16"/>
        </w:rPr>
        <w:t>电泳：</w:t>
      </w:r>
      <w:r>
        <w:rPr>
          <w:spacing w:val="-4"/>
        </w:rPr>
        <w:t xml:space="preserve">阴极电泳涂装是采用水溶性阳离子树脂，以环氧树脂为主链的聚胺树脂， </w:t>
      </w:r>
      <w:r>
        <w:rPr>
          <w:spacing w:val="-3"/>
        </w:rPr>
        <w:t>在水中离解成带正电荷的树脂阳离子，在直流电场的作用下，向极性相反的方向阴</w:t>
      </w:r>
      <w:r>
        <w:rPr>
          <w:spacing w:val="2"/>
        </w:rPr>
        <w:t>极移动，在阴极区界面的</w:t>
      </w:r>
      <w:r>
        <w:rPr>
          <w:rFonts w:ascii="Times New Roman" w:eastAsia="Times New Roman"/>
        </w:rPr>
        <w:t>OH</w:t>
      </w:r>
      <w:r>
        <w:t>－积聚，并与带正电荷的树脂阳离子反应，便在阴极</w:t>
      </w:r>
    </w:p>
    <w:p>
      <w:pPr>
        <w:pStyle w:val="BodyText"/>
        <w:spacing w:line="305" w:lineRule="exact"/>
        <w:ind w:left="1113"/>
      </w:pPr>
      <w:r>
        <w:t>（被涂工件）表面发生沉积。</w:t>
      </w:r>
    </w:p>
    <w:p>
      <w:pPr>
        <w:pStyle w:val="BodyText"/>
        <w:spacing w:before="208"/>
        <w:ind w:left="1514"/>
      </w:pPr>
      <w:bookmarkStart w:id="22" w:name="电泳涂装溶液是一种水剂胶体溶液，组成主要包括：树脂、溶剂、阻聚剂、催化剂、乳化剂"/>
      <w:bookmarkEnd w:id="22"/>
      <w:r>
        <w:t>电泳涂装溶液是一种水剂胶体溶液，组成主要包括：树脂、溶剂、阻聚剂、催</w:t>
      </w:r>
    </w:p>
    <w:p>
      <w:pPr>
        <w:pStyle w:val="BodyText"/>
        <w:rPr>
          <w:sz w:val="20"/>
        </w:rPr>
      </w:pPr>
    </w:p>
    <w:p>
      <w:pPr>
        <w:pStyle w:val="BodyText"/>
        <w:rPr>
          <w:sz w:val="20"/>
        </w:rPr>
      </w:pPr>
    </w:p>
    <w:p>
      <w:pPr>
        <w:pStyle w:val="BodyText"/>
        <w:rPr>
          <w:sz w:val="20"/>
        </w:rPr>
      </w:pPr>
    </w:p>
    <w:p>
      <w:pPr>
        <w:pStyle w:val="BodyText"/>
        <w:rPr>
          <w:sz w:val="20"/>
        </w:rPr>
      </w:pPr>
    </w:p>
    <w:p>
      <w:pPr>
        <w:tabs>
          <w:tab w:val="left" w:pos="1571"/>
        </w:tabs>
        <w:spacing w:before="205"/>
        <w:ind w:left="631" w:right="0" w:firstLine="0"/>
        <w:jc w:val="left"/>
        <w:rPr>
          <w:sz w:val="28"/>
        </w:rPr>
      </w:pPr>
      <w:r>
        <w:rPr>
          <w:sz w:val="28"/>
        </w:rPr>
        <w:t>—</w:t>
      </w:r>
      <w:r>
        <w:rPr>
          <w:spacing w:val="59"/>
          <w:sz w:val="28"/>
        </w:rPr>
        <w:t xml:space="preserve"> </w:t>
      </w:r>
      <w:r>
        <w:rPr>
          <w:sz w:val="26"/>
        </w:rPr>
        <w:t>36</w:t>
      </w:r>
      <w:r>
        <w:rPr>
          <w:sz w:val="26"/>
        </w:rPr>
        <w:tab/>
      </w:r>
      <w:r>
        <w:rPr>
          <w:sz w:val="28"/>
        </w:rPr>
        <w:t>—</w:t>
      </w:r>
    </w:p>
    <w:p>
      <w:pPr>
        <w:spacing w:after="0"/>
        <w:jc w:val="left"/>
        <w:rPr>
          <w:sz w:val="28"/>
        </w:rPr>
        <w:sectPr>
          <w:pgSz w:w="11910" w:h="16840"/>
          <w:pgMar w:top="1580" w:right="879" w:bottom="280" w:left="900" w:header="720" w:footer="720" w:gutter="0"/>
          <w:pgNumType w:start="41"/>
          <w:cols w:num="1" w:space="720"/>
        </w:sectPr>
      </w:pPr>
    </w:p>
    <w:p>
      <w:pPr>
        <w:pStyle w:val="BodyText"/>
        <w:spacing w:before="124" w:line="364" w:lineRule="auto"/>
        <w:ind w:left="1113" w:right="424"/>
        <w:jc w:val="both"/>
      </w:pPr>
      <w:r>
        <w:pict>
          <v:group id="_x0000_s1058" o:spid="_x0000_s1057" style="width:476.65pt;height:669.95pt;margin-top:85.05pt;margin-left:59.3pt;mso-height-relative:page;mso-position-horizontal-relative:page;mso-position-vertical-relative:page;mso-width-relative:page;position:absolute;z-index:-251641856" coordorigin="1186,1701" coordsize="9533,13399">
            <v:shape id="_x0000_s1059" o:spid="_x0000_s1058" style="width:9533;height:13399;left:1186;position:absolute;top:1738" coordorigin="1186,1739" coordsize="9533,13399" path="m1186,1711l10719,1711m1186,15090l10719,15090m1196,1701l1196,15099m10709,1720l10709,15099e" filled="f" stroked="t" strokecolor="black">
              <v:path arrowok="t"/>
            </v:shape>
            <v:line id="_x0000_s1060" o:spid="_x0000_s1059" style="position:absolute" from="1905,1720" to="1905,15080" coordsize="21600,21600" stroked="t" strokecolor="black"/>
          </v:group>
        </w:pict>
      </w:r>
      <w:r>
        <w:rPr>
          <w:spacing w:val="-9"/>
        </w:rPr>
        <w:t>化剂、乳化剂、表面活性剂和平衡离子。电泳槽中的槽液不需要更换，只需定期添</w:t>
      </w:r>
      <w:r>
        <w:rPr>
          <w:spacing w:val="-2"/>
        </w:rPr>
        <w:t xml:space="preserve">加其中的药液成分，使电泳液维持所需要的浓度。此过程产生有机废气 </w:t>
      </w:r>
      <w:r>
        <w:rPr>
          <w:rFonts w:ascii="Times New Roman" w:eastAsia="Times New Roman"/>
        </w:rPr>
        <w:t>G4</w:t>
      </w:r>
      <w:r>
        <w:t>。</w:t>
      </w:r>
    </w:p>
    <w:p>
      <w:pPr>
        <w:pStyle w:val="BodyText"/>
        <w:spacing w:before="46" w:line="364" w:lineRule="auto"/>
        <w:ind w:left="1113" w:right="424" w:firstLine="480"/>
        <w:jc w:val="both"/>
      </w:pPr>
      <w:r>
        <w:rPr>
          <w:b/>
          <w:spacing w:val="-9"/>
        </w:rPr>
        <w:t>清洗：</w:t>
      </w:r>
      <w:r>
        <w:rPr>
          <w:spacing w:val="-2"/>
        </w:rPr>
        <w:t>采用喷淋的方式洗去工件洗去工件表面附着的多余的电泳漆，此工序会</w:t>
      </w:r>
      <w:r>
        <w:rPr>
          <w:spacing w:val="-13"/>
        </w:rPr>
        <w:t xml:space="preserve">产生废水 </w:t>
      </w:r>
      <w:r>
        <w:rPr>
          <w:rFonts w:ascii="Times New Roman" w:eastAsia="Times New Roman"/>
        </w:rPr>
        <w:t>W5</w:t>
      </w:r>
      <w:r>
        <w:t>。</w:t>
      </w:r>
    </w:p>
    <w:p>
      <w:pPr>
        <w:pStyle w:val="BodyText"/>
        <w:spacing w:line="364" w:lineRule="auto"/>
        <w:ind w:left="1113" w:right="424" w:firstLine="403"/>
        <w:jc w:val="both"/>
      </w:pPr>
      <w:bookmarkStart w:id="23" w:name="烘干：将电泳后的工件通过U型桥式烘干室加热使电泳漆膜固化，涂料的成膜过程就是涂层"/>
      <w:bookmarkEnd w:id="23"/>
      <w:r>
        <w:rPr>
          <w:b/>
          <w:spacing w:val="-5"/>
        </w:rPr>
        <w:t>烘干：</w:t>
      </w:r>
      <w:r>
        <w:rPr>
          <w:spacing w:val="-7"/>
        </w:rPr>
        <w:t xml:space="preserve">将电泳后的工件通过 </w:t>
      </w:r>
      <w:r>
        <w:rPr>
          <w:rFonts w:ascii="Times New Roman" w:eastAsia="Times New Roman" w:hAnsi="Times New Roman"/>
        </w:rPr>
        <w:t xml:space="preserve">U </w:t>
      </w:r>
      <w:r>
        <w:rPr>
          <w:spacing w:val="-2"/>
        </w:rPr>
        <w:t>型桥式烘干室加热使电泳漆膜固化，涂料的成膜</w:t>
      </w:r>
      <w:r>
        <w:rPr>
          <w:spacing w:val="-6"/>
        </w:rPr>
        <w:t>过程就是涂层的固化过程。烘干室采用天然气燃烧炉燃烧产生的热气直接对电泳物</w:t>
      </w:r>
      <w:r>
        <w:rPr>
          <w:spacing w:val="-7"/>
        </w:rPr>
        <w:t>件进行烘干。天然气燃烧的气体经过滤网过滤对物件表面进行烘干，工件连续从烘</w:t>
      </w:r>
      <w:r>
        <w:rPr>
          <w:spacing w:val="-4"/>
        </w:rPr>
        <w:t xml:space="preserve">干室一端进，另一端出，停留时间约 </w:t>
      </w:r>
      <w:r>
        <w:rPr>
          <w:rFonts w:ascii="Times New Roman" w:eastAsia="Times New Roman" w:hAnsi="Times New Roman"/>
        </w:rPr>
        <w:t>0.5h</w:t>
      </w:r>
      <w:r>
        <w:rPr>
          <w:spacing w:val="-9"/>
        </w:rPr>
        <w:t xml:space="preserve">，烘干温度为 </w:t>
      </w:r>
      <w:r>
        <w:rPr>
          <w:rFonts w:ascii="Times New Roman" w:eastAsia="Times New Roman" w:hAnsi="Times New Roman"/>
        </w:rPr>
        <w:t>160℃</w:t>
      </w:r>
      <w:r>
        <w:rPr>
          <w:spacing w:val="-2"/>
        </w:rPr>
        <w:t>。此过程产生有机废</w:t>
      </w:r>
      <w:r>
        <w:rPr>
          <w:spacing w:val="-31"/>
        </w:rPr>
        <w:t xml:space="preserve">气 </w:t>
      </w:r>
      <w:r>
        <w:rPr>
          <w:rFonts w:ascii="Times New Roman" w:eastAsia="Times New Roman" w:hAnsi="Times New Roman"/>
        </w:rPr>
        <w:t>G5</w:t>
      </w:r>
      <w:r>
        <w:rPr>
          <w:spacing w:val="-10"/>
        </w:rPr>
        <w:t xml:space="preserve">、燃烧废气 </w:t>
      </w:r>
      <w:r>
        <w:rPr>
          <w:rFonts w:ascii="Times New Roman" w:eastAsia="Times New Roman" w:hAnsi="Times New Roman"/>
        </w:rPr>
        <w:t xml:space="preserve">G6 </w:t>
      </w:r>
      <w:r>
        <w:rPr>
          <w:spacing w:val="-30"/>
        </w:rPr>
        <w:t xml:space="preserve">和 </w:t>
      </w:r>
      <w:r>
        <w:rPr>
          <w:rFonts w:ascii="Times New Roman" w:eastAsia="Times New Roman" w:hAnsi="Times New Roman"/>
        </w:rPr>
        <w:t xml:space="preserve">N3 </w:t>
      </w:r>
      <w:r>
        <w:t>机械噪声。</w:t>
      </w:r>
    </w:p>
    <w:p>
      <w:pPr>
        <w:pStyle w:val="BodyText"/>
        <w:spacing w:before="45" w:line="364" w:lineRule="auto"/>
        <w:ind w:left="1113" w:right="304" w:firstLine="400"/>
      </w:pPr>
      <w:bookmarkStart w:id="24" w:name="喷塑：将需要进行喷涂的工件送进进入喷粉室。粉末在供粉器中与空气混合后被送入喷粉枪"/>
      <w:bookmarkEnd w:id="24"/>
      <w:r>
        <w:rPr>
          <w:b/>
        </w:rPr>
        <w:t>喷塑：</w:t>
      </w:r>
      <w:r>
        <w:t>将需要进行喷涂的工件送进进入喷粉室。粉末在供粉器中与空气混合后</w:t>
      </w:r>
      <w:r>
        <w:rPr>
          <w:spacing w:val="-5"/>
        </w:rPr>
        <w:t>被送入喷粉枪，将高压静电发生器产生的高电压接到喷粉枪内部，粉末在喷粉枪的</w:t>
      </w:r>
      <w:r>
        <w:rPr>
          <w:spacing w:val="-9"/>
        </w:rPr>
        <w:t>内部被带上电荷，在气力和静电力的共同作用下，粉末粒子定向喷涂到工件上，同</w:t>
      </w:r>
      <w:r>
        <w:rPr>
          <w:spacing w:val="-17"/>
        </w:rPr>
        <w:t xml:space="preserve">时也可吸附到工件背面。当附着在工件上的粉末超过一定厚度时，则发生静电相斥， </w:t>
      </w:r>
      <w:r>
        <w:rPr>
          <w:spacing w:val="-3"/>
        </w:rPr>
        <w:t>后来的粉末就不易被吸附到工件表面，使工件表面达到均匀的膜厚。此工序主要产</w:t>
      </w:r>
      <w:r>
        <w:rPr>
          <w:spacing w:val="-12"/>
        </w:rPr>
        <w:t xml:space="preserve">生颗粒物废气 </w:t>
      </w:r>
      <w:r>
        <w:rPr>
          <w:rFonts w:ascii="Times New Roman" w:eastAsia="Times New Roman"/>
        </w:rPr>
        <w:t xml:space="preserve">G7 </w:t>
      </w:r>
      <w:r>
        <w:rPr>
          <w:spacing w:val="-9"/>
        </w:rPr>
        <w:t xml:space="preserve">设备运行噪声 </w:t>
      </w:r>
      <w:r>
        <w:rPr>
          <w:rFonts w:ascii="Times New Roman" w:eastAsia="Times New Roman"/>
        </w:rPr>
        <w:t>N5</w:t>
      </w:r>
      <w:r>
        <w:t>。</w:t>
      </w:r>
    </w:p>
    <w:p>
      <w:pPr>
        <w:pStyle w:val="BodyText"/>
        <w:spacing w:before="45" w:line="364" w:lineRule="auto"/>
        <w:ind w:left="1113" w:right="424" w:firstLine="480"/>
        <w:jc w:val="both"/>
      </w:pPr>
      <w:r>
        <w:rPr>
          <w:b/>
          <w:spacing w:val="-6"/>
        </w:rPr>
        <w:t>固化：</w:t>
      </w:r>
      <w:r>
        <w:rPr>
          <w:spacing w:val="-4"/>
        </w:rPr>
        <w:t>烘干固化在固化炉进行，由天然气燃烧器提供热量。燃烧机燃烧天然气</w:t>
      </w:r>
      <w:r>
        <w:rPr>
          <w:spacing w:val="-3"/>
        </w:rPr>
        <w:t>过程产生的天然气燃烧热风对静电喷涂工序的塑粉树脂进行固化，烘干的温度约为</w:t>
      </w:r>
      <w:r>
        <w:rPr>
          <w:rFonts w:ascii="Times New Roman" w:eastAsia="Times New Roman" w:hAnsi="Times New Roman"/>
        </w:rPr>
        <w:t>180~200℃</w:t>
      </w:r>
      <w:r>
        <w:rPr>
          <w:spacing w:val="-5"/>
        </w:rPr>
        <w:t xml:space="preserve">。该工序产生设备运行噪声 </w:t>
      </w:r>
      <w:r>
        <w:rPr>
          <w:rFonts w:ascii="Times New Roman" w:eastAsia="Times New Roman" w:hAnsi="Times New Roman"/>
        </w:rPr>
        <w:t>N6</w:t>
      </w:r>
      <w:r>
        <w:rPr>
          <w:spacing w:val="-10"/>
        </w:rPr>
        <w:t xml:space="preserve">、固化废气 </w:t>
      </w:r>
      <w:r>
        <w:rPr>
          <w:rFonts w:ascii="Times New Roman" w:eastAsia="Times New Roman" w:hAnsi="Times New Roman"/>
        </w:rPr>
        <w:t>G8</w:t>
      </w:r>
      <w:r>
        <w:rPr>
          <w:spacing w:val="-10"/>
        </w:rPr>
        <w:t xml:space="preserve">、燃烧废气 </w:t>
      </w:r>
      <w:r>
        <w:rPr>
          <w:rFonts w:ascii="Times New Roman" w:eastAsia="Times New Roman" w:hAnsi="Times New Roman"/>
        </w:rPr>
        <w:t>G9</w:t>
      </w:r>
      <w:r>
        <w:t>。</w:t>
      </w:r>
    </w:p>
    <w:p>
      <w:pPr>
        <w:pStyle w:val="Heading5"/>
        <w:spacing w:line="307" w:lineRule="exact"/>
        <w:ind w:left="1593"/>
      </w:pPr>
      <w:r>
        <w:t>镀锌件工艺流程简述：</w:t>
      </w:r>
    </w:p>
    <w:p>
      <w:pPr>
        <w:spacing w:before="206"/>
        <w:ind w:left="1593" w:right="0" w:firstLine="0"/>
        <w:jc w:val="left"/>
        <w:rPr>
          <w:sz w:val="24"/>
        </w:rPr>
      </w:pPr>
      <w:bookmarkStart w:id="25" w:name="原料：预处理完成金属件。"/>
      <w:bookmarkEnd w:id="25"/>
      <w:r>
        <w:rPr>
          <w:b/>
          <w:sz w:val="24"/>
        </w:rPr>
        <w:t>原料：</w:t>
      </w:r>
      <w:r>
        <w:rPr>
          <w:sz w:val="24"/>
        </w:rPr>
        <w:t>预处理完成金属件。</w:t>
      </w:r>
    </w:p>
    <w:p>
      <w:pPr>
        <w:pStyle w:val="BodyText"/>
        <w:spacing w:before="208" w:line="364" w:lineRule="auto"/>
        <w:ind w:left="1113" w:right="304" w:firstLine="480"/>
      </w:pPr>
      <w:bookmarkStart w:id="26" w:name="热镀锌：项目使用天然气对镀锌槽进行加热，通过控制燃烧量来达到控制镀锌槽中熔融锌的"/>
      <w:bookmarkEnd w:id="26"/>
      <w:r>
        <w:rPr>
          <w:b/>
          <w:spacing w:val="-8"/>
        </w:rPr>
        <w:t>热镀锌：</w:t>
      </w:r>
      <w:r>
        <w:rPr>
          <w:spacing w:val="-2"/>
        </w:rPr>
        <w:t>项目使用天然气对镀锌槽进行加热，通过控制燃烧量来达到控制镀锌</w:t>
      </w:r>
      <w:r>
        <w:rPr>
          <w:spacing w:val="-6"/>
        </w:rPr>
        <w:t>槽中熔融锌的温度。本项目设置有余热回收利用系统，利用镀锌炉排放出的废热空</w:t>
      </w:r>
      <w:r>
        <w:rPr>
          <w:spacing w:val="-15"/>
        </w:rPr>
        <w:t xml:space="preserve">气能源，将未利用完全的余热经换热器将水预热到一定温度，供应给酸槽进行保温， </w:t>
      </w:r>
      <w:r>
        <w:rPr>
          <w:spacing w:val="-3"/>
        </w:rPr>
        <w:t xml:space="preserve">实现热量的完全利用。此过程产生热镀烟气 </w:t>
      </w:r>
      <w:r>
        <w:rPr>
          <w:rFonts w:ascii="Times New Roman" w:eastAsia="Times New Roman"/>
        </w:rPr>
        <w:t>G10</w:t>
      </w:r>
      <w:r>
        <w:rPr>
          <w:spacing w:val="-10"/>
        </w:rPr>
        <w:t xml:space="preserve">、燃烧废气 </w:t>
      </w:r>
      <w:r>
        <w:rPr>
          <w:rFonts w:ascii="Times New Roman" w:eastAsia="Times New Roman"/>
        </w:rPr>
        <w:t>G11</w:t>
      </w:r>
      <w:r>
        <w:rPr>
          <w:spacing w:val="-10"/>
        </w:rPr>
        <w:t xml:space="preserve">，产生固废 </w:t>
      </w:r>
      <w:r>
        <w:rPr>
          <w:rFonts w:ascii="Times New Roman" w:eastAsia="Times New Roman"/>
        </w:rPr>
        <w:t>9</w:t>
      </w:r>
      <w:r>
        <w:t>（锌灰、锌渣）</w:t>
      </w:r>
      <w:r>
        <w:rPr>
          <w:spacing w:val="-8"/>
        </w:rPr>
        <w:t xml:space="preserve">、设备运行噪声 </w:t>
      </w:r>
      <w:r>
        <w:rPr>
          <w:rFonts w:ascii="Times New Roman" w:eastAsia="Times New Roman"/>
        </w:rPr>
        <w:t>N7</w:t>
      </w:r>
      <w:r>
        <w:t>。</w:t>
      </w:r>
    </w:p>
    <w:p>
      <w:pPr>
        <w:pStyle w:val="BodyText"/>
        <w:spacing w:before="44" w:line="364" w:lineRule="auto"/>
        <w:ind w:left="1113" w:right="304" w:firstLine="480"/>
        <w:jc w:val="both"/>
      </w:pPr>
      <w:r>
        <w:t>（</w:t>
      </w:r>
      <w:r>
        <w:rPr>
          <w:spacing w:val="-3"/>
        </w:rPr>
        <w:t>热镀锌是为了使工件表面形成由铁锌互熔层、铁锌合金层以及锌结晶层组成</w:t>
      </w:r>
      <w:r>
        <w:rPr>
          <w:spacing w:val="-7"/>
        </w:rPr>
        <w:t xml:space="preserve">的热浸镀锌层，从而提高工作表面的抗腐蚀性能，金属锌的熔点为 </w:t>
      </w:r>
      <w:r>
        <w:rPr>
          <w:rFonts w:ascii="Times New Roman" w:eastAsia="Times New Roman" w:hAnsi="Times New Roman"/>
          <w:spacing w:val="-4"/>
        </w:rPr>
        <w:t>419℃</w:t>
      </w:r>
      <w:r>
        <w:rPr>
          <w:spacing w:val="-2"/>
        </w:rPr>
        <w:t xml:space="preserve">，热镀锌的温度为 </w:t>
      </w:r>
      <w:r>
        <w:rPr>
          <w:rFonts w:ascii="Times New Roman" w:eastAsia="Times New Roman" w:hAnsi="Times New Roman"/>
        </w:rPr>
        <w:t>440±5℃</w:t>
      </w:r>
      <w:r>
        <w:rPr>
          <w:spacing w:val="-16"/>
        </w:rPr>
        <w:t>。因此，锌熔化后应继续加热至锌液达到热浸镀锌的工作温度后，</w:t>
      </w:r>
    </w:p>
    <w:p>
      <w:pPr>
        <w:pStyle w:val="BodyText"/>
        <w:rPr>
          <w:sz w:val="20"/>
        </w:rPr>
      </w:pPr>
    </w:p>
    <w:p>
      <w:pPr>
        <w:pStyle w:val="BodyText"/>
        <w:spacing w:before="9"/>
        <w:rPr>
          <w:sz w:val="29"/>
        </w:rPr>
      </w:pPr>
    </w:p>
    <w:p>
      <w:pPr>
        <w:spacing w:before="62"/>
        <w:ind w:left="0" w:right="649" w:firstLine="0"/>
        <w:jc w:val="right"/>
        <w:rPr>
          <w:sz w:val="28"/>
        </w:rPr>
      </w:pPr>
      <w:r>
        <w:rPr>
          <w:sz w:val="28"/>
        </w:rPr>
        <w:t xml:space="preserve">— </w:t>
      </w:r>
      <w:r>
        <w:rPr>
          <w:sz w:val="26"/>
        </w:rPr>
        <w:t xml:space="preserve">37 </w:t>
      </w:r>
      <w:r>
        <w:rPr>
          <w:sz w:val="28"/>
        </w:rPr>
        <w:t>—</w:t>
      </w:r>
    </w:p>
    <w:p>
      <w:pPr>
        <w:spacing w:after="0"/>
        <w:jc w:val="right"/>
        <w:rPr>
          <w:sz w:val="28"/>
        </w:rPr>
      </w:pPr>
      <w:r>
        <w:rPr>
          <w:sz w:val="28"/>
        </w:rPr>
        <w:br/>
      </w:r>
      <w:r>
        <w:rPr>
          <w:sz w:val="2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 w:history="1">
        <w:r>
          <w:rPr>
            <w:rFonts w:ascii="SimSun" w:eastAsia="SimSun" w:hAnsi="SimSun" w:cs="SimSun"/>
            <w:b/>
            <w:bCs/>
            <w:color w:val="0000EE"/>
            <w:sz w:val="30"/>
            <w:szCs w:val="30"/>
            <w:u w:val="single" w:color="0000EE"/>
          </w:rPr>
          <w:t>https://d.book118.com/777051004035006046</w:t>
        </w:r>
      </w:hyperlink>
    </w:p>
    <w:p>
      <w:pPr>
        <w:spacing w:after="0"/>
        <w:jc w:val="right"/>
        <w:rPr>
          <w:sz w:val="28"/>
        </w:rPr>
      </w:pPr>
    </w:p>
    <w:sectPr>
      <w:pgSz w:w="11910" w:h="16840"/>
      <w:pgMar w:top="1580" w:right="879" w:bottom="280" w:left="900" w:header="720" w:footer="720" w:gutter="0"/>
      <w:pgNumType w:start="42"/>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MS UI Gothic">
    <w:panose1 w:val="020B0600070205080204"/>
    <w:charset w:val="80"/>
    <w:family w:val="swiss"/>
    <w:pitch w:val="default"/>
    <w:sig w:usb0="E00002FF" w:usb1="6AC7FDFB" w:usb2="08000012" w:usb3="00000000" w:csb0="4002009F" w:csb1="DFD7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1B69C97"/>
    <w:multiLevelType w:val="multilevel"/>
    <w:tmpl w:val="91B69C97"/>
    <w:lvl w:ilvl="0">
      <w:start w:val="1"/>
      <w:numFmt w:val="decimal"/>
      <w:lvlText w:val="（%1）"/>
      <w:lvlJc w:val="left"/>
      <w:pPr>
        <w:ind w:left="1194"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05" w:hanging="601"/>
      </w:pPr>
      <w:rPr>
        <w:rFonts w:hint="default"/>
        <w:lang w:val="zh-CN" w:eastAsia="zh-CN" w:bidi="zh-CN"/>
      </w:rPr>
    </w:lvl>
    <w:lvl w:ilvl="2">
      <w:start w:val="0"/>
      <w:numFmt w:val="bullet"/>
      <w:lvlText w:val="•"/>
      <w:lvlJc w:val="left"/>
      <w:pPr>
        <w:ind w:left="2611" w:hanging="601"/>
      </w:pPr>
      <w:rPr>
        <w:rFonts w:hint="default"/>
        <w:lang w:val="zh-CN" w:eastAsia="zh-CN" w:bidi="zh-CN"/>
      </w:rPr>
    </w:lvl>
    <w:lvl w:ilvl="3">
      <w:start w:val="0"/>
      <w:numFmt w:val="bullet"/>
      <w:lvlText w:val="•"/>
      <w:lvlJc w:val="left"/>
      <w:pPr>
        <w:ind w:left="3317" w:hanging="601"/>
      </w:pPr>
      <w:rPr>
        <w:rFonts w:hint="default"/>
        <w:lang w:val="zh-CN" w:eastAsia="zh-CN" w:bidi="zh-CN"/>
      </w:rPr>
    </w:lvl>
    <w:lvl w:ilvl="4">
      <w:start w:val="0"/>
      <w:numFmt w:val="bullet"/>
      <w:lvlText w:val="•"/>
      <w:lvlJc w:val="left"/>
      <w:pPr>
        <w:ind w:left="4023" w:hanging="601"/>
      </w:pPr>
      <w:rPr>
        <w:rFonts w:hint="default"/>
        <w:lang w:val="zh-CN" w:eastAsia="zh-CN" w:bidi="zh-CN"/>
      </w:rPr>
    </w:lvl>
    <w:lvl w:ilvl="5">
      <w:start w:val="0"/>
      <w:numFmt w:val="bullet"/>
      <w:lvlText w:val="•"/>
      <w:lvlJc w:val="left"/>
      <w:pPr>
        <w:ind w:left="4729" w:hanging="601"/>
      </w:pPr>
      <w:rPr>
        <w:rFonts w:hint="default"/>
        <w:lang w:val="zh-CN" w:eastAsia="zh-CN" w:bidi="zh-CN"/>
      </w:rPr>
    </w:lvl>
    <w:lvl w:ilvl="6">
      <w:start w:val="0"/>
      <w:numFmt w:val="bullet"/>
      <w:lvlText w:val="•"/>
      <w:lvlJc w:val="left"/>
      <w:pPr>
        <w:ind w:left="5434" w:hanging="601"/>
      </w:pPr>
      <w:rPr>
        <w:rFonts w:hint="default"/>
        <w:lang w:val="zh-CN" w:eastAsia="zh-CN" w:bidi="zh-CN"/>
      </w:rPr>
    </w:lvl>
    <w:lvl w:ilvl="7">
      <w:start w:val="0"/>
      <w:numFmt w:val="bullet"/>
      <w:lvlText w:val="•"/>
      <w:lvlJc w:val="left"/>
      <w:pPr>
        <w:ind w:left="6140" w:hanging="601"/>
      </w:pPr>
      <w:rPr>
        <w:rFonts w:hint="default"/>
        <w:lang w:val="zh-CN" w:eastAsia="zh-CN" w:bidi="zh-CN"/>
      </w:rPr>
    </w:lvl>
    <w:lvl w:ilvl="8">
      <w:start w:val="0"/>
      <w:numFmt w:val="bullet"/>
      <w:lvlText w:val="•"/>
      <w:lvlJc w:val="left"/>
      <w:pPr>
        <w:ind w:left="6846" w:hanging="601"/>
      </w:pPr>
      <w:rPr>
        <w:rFonts w:hint="default"/>
        <w:lang w:val="zh-CN" w:eastAsia="zh-CN" w:bidi="zh-CN"/>
      </w:rPr>
    </w:lvl>
  </w:abstractNum>
  <w:abstractNum w:abstractNumId="1">
    <w:nsid w:val="9377BC45"/>
    <w:multiLevelType w:val="multilevel"/>
    <w:tmpl w:val="9377BC45"/>
    <w:lvl w:ilvl="0">
      <w:start w:val="0"/>
      <w:numFmt w:val="bullet"/>
      <w:lvlText w:val=""/>
      <w:lvlJc w:val="left"/>
      <w:pPr>
        <w:ind w:left="1135" w:hanging="360"/>
      </w:pPr>
      <w:rPr>
        <w:rFonts w:ascii="Wingdings" w:eastAsia="Wingdings" w:hAnsi="Wingdings" w:cs="Wingdings" w:hint="default"/>
        <w:w w:val="100"/>
        <w:sz w:val="24"/>
        <w:szCs w:val="24"/>
        <w:lang w:val="zh-CN" w:eastAsia="zh-CN" w:bidi="zh-CN"/>
      </w:rPr>
    </w:lvl>
    <w:lvl w:ilvl="1">
      <w:start w:val="0"/>
      <w:numFmt w:val="bullet"/>
      <w:lvlText w:val="•"/>
      <w:lvlJc w:val="left"/>
      <w:pPr>
        <w:ind w:left="2038" w:hanging="360"/>
      </w:pPr>
      <w:rPr>
        <w:rFonts w:hint="default"/>
        <w:lang w:val="zh-CN" w:eastAsia="zh-CN" w:bidi="zh-CN"/>
      </w:rPr>
    </w:lvl>
    <w:lvl w:ilvl="2">
      <w:start w:val="0"/>
      <w:numFmt w:val="bullet"/>
      <w:lvlText w:val="•"/>
      <w:lvlJc w:val="left"/>
      <w:pPr>
        <w:ind w:left="2937" w:hanging="360"/>
      </w:pPr>
      <w:rPr>
        <w:rFonts w:hint="default"/>
        <w:lang w:val="zh-CN" w:eastAsia="zh-CN" w:bidi="zh-CN"/>
      </w:rPr>
    </w:lvl>
    <w:lvl w:ilvl="3">
      <w:start w:val="0"/>
      <w:numFmt w:val="bullet"/>
      <w:lvlText w:val="•"/>
      <w:lvlJc w:val="left"/>
      <w:pPr>
        <w:ind w:left="3836" w:hanging="360"/>
      </w:pPr>
      <w:rPr>
        <w:rFonts w:hint="default"/>
        <w:lang w:val="zh-CN" w:eastAsia="zh-CN" w:bidi="zh-CN"/>
      </w:rPr>
    </w:lvl>
    <w:lvl w:ilvl="4">
      <w:start w:val="0"/>
      <w:numFmt w:val="bullet"/>
      <w:lvlText w:val="•"/>
      <w:lvlJc w:val="left"/>
      <w:pPr>
        <w:ind w:left="4734" w:hanging="360"/>
      </w:pPr>
      <w:rPr>
        <w:rFonts w:hint="default"/>
        <w:lang w:val="zh-CN" w:eastAsia="zh-CN" w:bidi="zh-CN"/>
      </w:rPr>
    </w:lvl>
    <w:lvl w:ilvl="5">
      <w:start w:val="0"/>
      <w:numFmt w:val="bullet"/>
      <w:lvlText w:val="•"/>
      <w:lvlJc w:val="left"/>
      <w:pPr>
        <w:ind w:left="5633" w:hanging="360"/>
      </w:pPr>
      <w:rPr>
        <w:rFonts w:hint="default"/>
        <w:lang w:val="zh-CN" w:eastAsia="zh-CN" w:bidi="zh-CN"/>
      </w:rPr>
    </w:lvl>
    <w:lvl w:ilvl="6">
      <w:start w:val="0"/>
      <w:numFmt w:val="bullet"/>
      <w:lvlText w:val="•"/>
      <w:lvlJc w:val="left"/>
      <w:pPr>
        <w:ind w:left="6532" w:hanging="360"/>
      </w:pPr>
      <w:rPr>
        <w:rFonts w:hint="default"/>
        <w:lang w:val="zh-CN" w:eastAsia="zh-CN" w:bidi="zh-CN"/>
      </w:rPr>
    </w:lvl>
    <w:lvl w:ilvl="7">
      <w:start w:val="0"/>
      <w:numFmt w:val="bullet"/>
      <w:lvlText w:val="•"/>
      <w:lvlJc w:val="left"/>
      <w:pPr>
        <w:ind w:left="7430" w:hanging="360"/>
      </w:pPr>
      <w:rPr>
        <w:rFonts w:hint="default"/>
        <w:lang w:val="zh-CN" w:eastAsia="zh-CN" w:bidi="zh-CN"/>
      </w:rPr>
    </w:lvl>
    <w:lvl w:ilvl="8">
      <w:start w:val="0"/>
      <w:numFmt w:val="bullet"/>
      <w:lvlText w:val="•"/>
      <w:lvlJc w:val="left"/>
      <w:pPr>
        <w:ind w:left="8329" w:hanging="360"/>
      </w:pPr>
      <w:rPr>
        <w:rFonts w:hint="default"/>
        <w:lang w:val="zh-CN" w:eastAsia="zh-CN" w:bidi="zh-CN"/>
      </w:rPr>
    </w:lvl>
  </w:abstractNum>
  <w:abstractNum w:abstractNumId="2">
    <w:nsid w:val="9ACF65A0"/>
    <w:multiLevelType w:val="multilevel"/>
    <w:tmpl w:val="9ACF65A0"/>
    <w:lvl w:ilvl="0">
      <w:start w:val="1"/>
      <w:numFmt w:val="decimal"/>
      <w:lvlText w:val="（%1）"/>
      <w:lvlJc w:val="left"/>
      <w:pPr>
        <w:ind w:left="112" w:hanging="601"/>
        <w:jc w:val="left"/>
      </w:pPr>
      <w:rPr>
        <w:rFonts w:ascii="宋体" w:eastAsia="宋体" w:hAnsi="宋体" w:cs="宋体" w:hint="default"/>
        <w:spacing w:val="-39"/>
        <w:w w:val="100"/>
        <w:sz w:val="22"/>
        <w:szCs w:val="22"/>
        <w:lang w:val="zh-CN" w:eastAsia="zh-CN" w:bidi="zh-CN"/>
      </w:rPr>
    </w:lvl>
    <w:lvl w:ilvl="1">
      <w:start w:val="0"/>
      <w:numFmt w:val="bullet"/>
      <w:lvlText w:val="•"/>
      <w:lvlJc w:val="left"/>
      <w:pPr>
        <w:ind w:left="980" w:hanging="601"/>
      </w:pPr>
      <w:rPr>
        <w:rFonts w:hint="default"/>
        <w:lang w:val="zh-CN" w:eastAsia="zh-CN" w:bidi="zh-CN"/>
      </w:rPr>
    </w:lvl>
    <w:lvl w:ilvl="2">
      <w:start w:val="0"/>
      <w:numFmt w:val="bullet"/>
      <w:lvlText w:val="•"/>
      <w:lvlJc w:val="left"/>
      <w:pPr>
        <w:ind w:left="1841" w:hanging="601"/>
      </w:pPr>
      <w:rPr>
        <w:rFonts w:hint="default"/>
        <w:lang w:val="zh-CN" w:eastAsia="zh-CN" w:bidi="zh-CN"/>
      </w:rPr>
    </w:lvl>
    <w:lvl w:ilvl="3">
      <w:start w:val="0"/>
      <w:numFmt w:val="bullet"/>
      <w:lvlText w:val="•"/>
      <w:lvlJc w:val="left"/>
      <w:pPr>
        <w:ind w:left="2701" w:hanging="601"/>
      </w:pPr>
      <w:rPr>
        <w:rFonts w:hint="default"/>
        <w:lang w:val="zh-CN" w:eastAsia="zh-CN" w:bidi="zh-CN"/>
      </w:rPr>
    </w:lvl>
    <w:lvl w:ilvl="4">
      <w:start w:val="0"/>
      <w:numFmt w:val="bullet"/>
      <w:lvlText w:val="•"/>
      <w:lvlJc w:val="left"/>
      <w:pPr>
        <w:ind w:left="3562" w:hanging="601"/>
      </w:pPr>
      <w:rPr>
        <w:rFonts w:hint="default"/>
        <w:lang w:val="zh-CN" w:eastAsia="zh-CN" w:bidi="zh-CN"/>
      </w:rPr>
    </w:lvl>
    <w:lvl w:ilvl="5">
      <w:start w:val="0"/>
      <w:numFmt w:val="bullet"/>
      <w:lvlText w:val="•"/>
      <w:lvlJc w:val="left"/>
      <w:pPr>
        <w:ind w:left="4423" w:hanging="601"/>
      </w:pPr>
      <w:rPr>
        <w:rFonts w:hint="default"/>
        <w:lang w:val="zh-CN" w:eastAsia="zh-CN" w:bidi="zh-CN"/>
      </w:rPr>
    </w:lvl>
    <w:lvl w:ilvl="6">
      <w:start w:val="0"/>
      <w:numFmt w:val="bullet"/>
      <w:lvlText w:val="•"/>
      <w:lvlJc w:val="left"/>
      <w:pPr>
        <w:ind w:left="5283" w:hanging="601"/>
      </w:pPr>
      <w:rPr>
        <w:rFonts w:hint="default"/>
        <w:lang w:val="zh-CN" w:eastAsia="zh-CN" w:bidi="zh-CN"/>
      </w:rPr>
    </w:lvl>
    <w:lvl w:ilvl="7">
      <w:start w:val="0"/>
      <w:numFmt w:val="bullet"/>
      <w:lvlText w:val="•"/>
      <w:lvlJc w:val="left"/>
      <w:pPr>
        <w:ind w:left="6144" w:hanging="601"/>
      </w:pPr>
      <w:rPr>
        <w:rFonts w:hint="default"/>
        <w:lang w:val="zh-CN" w:eastAsia="zh-CN" w:bidi="zh-CN"/>
      </w:rPr>
    </w:lvl>
    <w:lvl w:ilvl="8">
      <w:start w:val="0"/>
      <w:numFmt w:val="bullet"/>
      <w:lvlText w:val="•"/>
      <w:lvlJc w:val="left"/>
      <w:pPr>
        <w:ind w:left="7004" w:hanging="601"/>
      </w:pPr>
      <w:rPr>
        <w:rFonts w:hint="default"/>
        <w:lang w:val="zh-CN" w:eastAsia="zh-CN" w:bidi="zh-CN"/>
      </w:rPr>
    </w:lvl>
  </w:abstractNum>
  <w:abstractNum w:abstractNumId="3">
    <w:nsid w:val="9D5D7490"/>
    <w:multiLevelType w:val="multilevel"/>
    <w:tmpl w:val="9D5D7490"/>
    <w:lvl w:ilvl="0">
      <w:start w:val="2"/>
      <w:numFmt w:val="decimal"/>
      <w:lvlText w:val="（%1）"/>
      <w:lvlJc w:val="left"/>
      <w:pPr>
        <w:ind w:left="2152" w:hanging="617"/>
        <w:jc w:val="left"/>
      </w:pPr>
      <w:rPr>
        <w:rFonts w:ascii="宋体" w:eastAsia="宋体" w:hAnsi="宋体" w:cs="宋体" w:hint="default"/>
        <w:b/>
        <w:bCs/>
        <w:w w:val="99"/>
        <w:sz w:val="22"/>
        <w:szCs w:val="22"/>
        <w:lang w:val="zh-CN" w:eastAsia="zh-CN" w:bidi="zh-CN"/>
      </w:rPr>
    </w:lvl>
    <w:lvl w:ilvl="1">
      <w:start w:val="3"/>
      <w:numFmt w:val="decimal"/>
      <w:lvlText w:val="（%2）"/>
      <w:lvlJc w:val="left"/>
      <w:pPr>
        <w:ind w:left="2499" w:hanging="601"/>
        <w:jc w:val="left"/>
      </w:pPr>
      <w:rPr>
        <w:rFonts w:ascii="宋体" w:eastAsia="宋体" w:hAnsi="宋体" w:cs="宋体" w:hint="default"/>
        <w:w w:val="100"/>
        <w:sz w:val="22"/>
        <w:szCs w:val="22"/>
        <w:lang w:val="zh-CN" w:eastAsia="zh-CN" w:bidi="zh-CN"/>
      </w:rPr>
    </w:lvl>
    <w:lvl w:ilvl="2">
      <w:start w:val="0"/>
      <w:numFmt w:val="bullet"/>
      <w:lvlText w:val="•"/>
      <w:lvlJc w:val="left"/>
      <w:pPr>
        <w:ind w:left="3347" w:hanging="601"/>
      </w:pPr>
      <w:rPr>
        <w:rFonts w:hint="default"/>
        <w:lang w:val="zh-CN" w:eastAsia="zh-CN" w:bidi="zh-CN"/>
      </w:rPr>
    </w:lvl>
    <w:lvl w:ilvl="3">
      <w:start w:val="0"/>
      <w:numFmt w:val="bullet"/>
      <w:lvlText w:val="•"/>
      <w:lvlJc w:val="left"/>
      <w:pPr>
        <w:ind w:left="4194" w:hanging="601"/>
      </w:pPr>
      <w:rPr>
        <w:rFonts w:hint="default"/>
        <w:lang w:val="zh-CN" w:eastAsia="zh-CN" w:bidi="zh-CN"/>
      </w:rPr>
    </w:lvl>
    <w:lvl w:ilvl="4">
      <w:start w:val="0"/>
      <w:numFmt w:val="bullet"/>
      <w:lvlText w:val="•"/>
      <w:lvlJc w:val="left"/>
      <w:pPr>
        <w:ind w:left="5042" w:hanging="601"/>
      </w:pPr>
      <w:rPr>
        <w:rFonts w:hint="default"/>
        <w:lang w:val="zh-CN" w:eastAsia="zh-CN" w:bidi="zh-CN"/>
      </w:rPr>
    </w:lvl>
    <w:lvl w:ilvl="5">
      <w:start w:val="0"/>
      <w:numFmt w:val="bullet"/>
      <w:lvlText w:val="•"/>
      <w:lvlJc w:val="left"/>
      <w:pPr>
        <w:ind w:left="5889" w:hanging="601"/>
      </w:pPr>
      <w:rPr>
        <w:rFonts w:hint="default"/>
        <w:lang w:val="zh-CN" w:eastAsia="zh-CN" w:bidi="zh-CN"/>
      </w:rPr>
    </w:lvl>
    <w:lvl w:ilvl="6">
      <w:start w:val="0"/>
      <w:numFmt w:val="bullet"/>
      <w:lvlText w:val="•"/>
      <w:lvlJc w:val="left"/>
      <w:pPr>
        <w:ind w:left="6737" w:hanging="601"/>
      </w:pPr>
      <w:rPr>
        <w:rFonts w:hint="default"/>
        <w:lang w:val="zh-CN" w:eastAsia="zh-CN" w:bidi="zh-CN"/>
      </w:rPr>
    </w:lvl>
    <w:lvl w:ilvl="7">
      <w:start w:val="0"/>
      <w:numFmt w:val="bullet"/>
      <w:lvlText w:val="•"/>
      <w:lvlJc w:val="left"/>
      <w:pPr>
        <w:ind w:left="7584" w:hanging="601"/>
      </w:pPr>
      <w:rPr>
        <w:rFonts w:hint="default"/>
        <w:lang w:val="zh-CN" w:eastAsia="zh-CN" w:bidi="zh-CN"/>
      </w:rPr>
    </w:lvl>
    <w:lvl w:ilvl="8">
      <w:start w:val="0"/>
      <w:numFmt w:val="bullet"/>
      <w:lvlText w:val="•"/>
      <w:lvlJc w:val="left"/>
      <w:pPr>
        <w:ind w:left="8432" w:hanging="601"/>
      </w:pPr>
      <w:rPr>
        <w:rFonts w:hint="default"/>
        <w:lang w:val="zh-CN" w:eastAsia="zh-CN" w:bidi="zh-CN"/>
      </w:rPr>
    </w:lvl>
  </w:abstractNum>
  <w:abstractNum w:abstractNumId="4">
    <w:nsid w:val="A0C93552"/>
    <w:multiLevelType w:val="multilevel"/>
    <w:tmpl w:val="A0C93552"/>
    <w:lvl w:ilvl="0">
      <w:start w:val="1"/>
      <w:numFmt w:val="upperLetter"/>
      <w:lvlText w:val="%1"/>
      <w:lvlJc w:val="left"/>
      <w:pPr>
        <w:ind w:left="525" w:hanging="413"/>
        <w:jc w:val="left"/>
      </w:pPr>
      <w:rPr>
        <w:rFonts w:hint="default"/>
        <w:lang w:val="zh-CN" w:eastAsia="zh-CN" w:bidi="zh-CN"/>
      </w:rPr>
    </w:lvl>
    <w:lvl w:ilvl="1">
      <w:start w:val="1"/>
      <w:numFmt w:val="decimal"/>
      <w:lvlText w:val="%1.%2"/>
      <w:lvlJc w:val="left"/>
      <w:pPr>
        <w:ind w:left="525" w:hanging="413"/>
        <w:jc w:val="left"/>
      </w:pPr>
      <w:rPr>
        <w:rFonts w:ascii="Times New Roman" w:eastAsia="Times New Roman" w:hAnsi="Times New Roman" w:cs="Times New Roman" w:hint="default"/>
        <w:b/>
        <w:bCs/>
        <w:spacing w:val="-1"/>
        <w:w w:val="99"/>
        <w:sz w:val="24"/>
        <w:szCs w:val="24"/>
        <w:lang w:val="zh-CN" w:eastAsia="zh-CN" w:bidi="zh-CN"/>
      </w:rPr>
    </w:lvl>
    <w:lvl w:ilvl="2">
      <w:start w:val="0"/>
      <w:numFmt w:val="bullet"/>
      <w:lvlText w:val="•"/>
      <w:lvlJc w:val="left"/>
      <w:pPr>
        <w:ind w:left="1662" w:hanging="413"/>
      </w:pPr>
      <w:rPr>
        <w:rFonts w:hint="default"/>
        <w:lang w:val="zh-CN" w:eastAsia="zh-CN" w:bidi="zh-CN"/>
      </w:rPr>
    </w:lvl>
    <w:lvl w:ilvl="3">
      <w:start w:val="0"/>
      <w:numFmt w:val="bullet"/>
      <w:lvlText w:val="•"/>
      <w:lvlJc w:val="left"/>
      <w:pPr>
        <w:ind w:left="2545" w:hanging="413"/>
      </w:pPr>
      <w:rPr>
        <w:rFonts w:hint="default"/>
        <w:lang w:val="zh-CN" w:eastAsia="zh-CN" w:bidi="zh-CN"/>
      </w:rPr>
    </w:lvl>
    <w:lvl w:ilvl="4">
      <w:start w:val="0"/>
      <w:numFmt w:val="bullet"/>
      <w:lvlText w:val="•"/>
      <w:lvlJc w:val="left"/>
      <w:pPr>
        <w:ind w:left="3428" w:hanging="413"/>
      </w:pPr>
      <w:rPr>
        <w:rFonts w:hint="default"/>
        <w:lang w:val="zh-CN" w:eastAsia="zh-CN" w:bidi="zh-CN"/>
      </w:rPr>
    </w:lvl>
    <w:lvl w:ilvl="5">
      <w:start w:val="0"/>
      <w:numFmt w:val="bullet"/>
      <w:lvlText w:val="•"/>
      <w:lvlJc w:val="left"/>
      <w:pPr>
        <w:ind w:left="4311" w:hanging="413"/>
      </w:pPr>
      <w:rPr>
        <w:rFonts w:hint="default"/>
        <w:lang w:val="zh-CN" w:eastAsia="zh-CN" w:bidi="zh-CN"/>
      </w:rPr>
    </w:lvl>
    <w:lvl w:ilvl="6">
      <w:start w:val="0"/>
      <w:numFmt w:val="bullet"/>
      <w:lvlText w:val="•"/>
      <w:lvlJc w:val="left"/>
      <w:pPr>
        <w:ind w:left="5194" w:hanging="413"/>
      </w:pPr>
      <w:rPr>
        <w:rFonts w:hint="default"/>
        <w:lang w:val="zh-CN" w:eastAsia="zh-CN" w:bidi="zh-CN"/>
      </w:rPr>
    </w:lvl>
    <w:lvl w:ilvl="7">
      <w:start w:val="0"/>
      <w:numFmt w:val="bullet"/>
      <w:lvlText w:val="•"/>
      <w:lvlJc w:val="left"/>
      <w:pPr>
        <w:ind w:left="6077" w:hanging="413"/>
      </w:pPr>
      <w:rPr>
        <w:rFonts w:hint="default"/>
        <w:lang w:val="zh-CN" w:eastAsia="zh-CN" w:bidi="zh-CN"/>
      </w:rPr>
    </w:lvl>
    <w:lvl w:ilvl="8">
      <w:start w:val="0"/>
      <w:numFmt w:val="bullet"/>
      <w:lvlText w:val="•"/>
      <w:lvlJc w:val="left"/>
      <w:pPr>
        <w:ind w:left="6960" w:hanging="413"/>
      </w:pPr>
      <w:rPr>
        <w:rFonts w:hint="default"/>
        <w:lang w:val="zh-CN" w:eastAsia="zh-CN" w:bidi="zh-CN"/>
      </w:rPr>
    </w:lvl>
  </w:abstractNum>
  <w:abstractNum w:abstractNumId="5">
    <w:nsid w:val="A0F05207"/>
    <w:multiLevelType w:val="multilevel"/>
    <w:tmpl w:val="A0F05207"/>
    <w:lvl w:ilvl="0">
      <w:start w:val="1"/>
      <w:numFmt w:val="decimal"/>
      <w:lvlText w:val="%1."/>
      <w:lvlJc w:val="left"/>
      <w:pPr>
        <w:ind w:left="271"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719" w:hanging="159"/>
      </w:pPr>
      <w:rPr>
        <w:rFonts w:hint="default"/>
        <w:lang w:val="zh-CN" w:eastAsia="zh-CN" w:bidi="zh-CN"/>
      </w:rPr>
    </w:lvl>
    <w:lvl w:ilvl="2">
      <w:start w:val="0"/>
      <w:numFmt w:val="bullet"/>
      <w:lvlText w:val="•"/>
      <w:lvlJc w:val="left"/>
      <w:pPr>
        <w:ind w:left="1159" w:hanging="159"/>
      </w:pPr>
      <w:rPr>
        <w:rFonts w:hint="default"/>
        <w:lang w:val="zh-CN" w:eastAsia="zh-CN" w:bidi="zh-CN"/>
      </w:rPr>
    </w:lvl>
    <w:lvl w:ilvl="3">
      <w:start w:val="0"/>
      <w:numFmt w:val="bullet"/>
      <w:lvlText w:val="•"/>
      <w:lvlJc w:val="left"/>
      <w:pPr>
        <w:ind w:left="1598" w:hanging="159"/>
      </w:pPr>
      <w:rPr>
        <w:rFonts w:hint="default"/>
        <w:lang w:val="zh-CN" w:eastAsia="zh-CN" w:bidi="zh-CN"/>
      </w:rPr>
    </w:lvl>
    <w:lvl w:ilvl="4">
      <w:start w:val="0"/>
      <w:numFmt w:val="bullet"/>
      <w:lvlText w:val="•"/>
      <w:lvlJc w:val="left"/>
      <w:pPr>
        <w:ind w:left="2038" w:hanging="159"/>
      </w:pPr>
      <w:rPr>
        <w:rFonts w:hint="default"/>
        <w:lang w:val="zh-CN" w:eastAsia="zh-CN" w:bidi="zh-CN"/>
      </w:rPr>
    </w:lvl>
    <w:lvl w:ilvl="5">
      <w:start w:val="0"/>
      <w:numFmt w:val="bullet"/>
      <w:lvlText w:val="•"/>
      <w:lvlJc w:val="left"/>
      <w:pPr>
        <w:ind w:left="2477" w:hanging="159"/>
      </w:pPr>
      <w:rPr>
        <w:rFonts w:hint="default"/>
        <w:lang w:val="zh-CN" w:eastAsia="zh-CN" w:bidi="zh-CN"/>
      </w:rPr>
    </w:lvl>
    <w:lvl w:ilvl="6">
      <w:start w:val="0"/>
      <w:numFmt w:val="bullet"/>
      <w:lvlText w:val="•"/>
      <w:lvlJc w:val="left"/>
      <w:pPr>
        <w:ind w:left="2917" w:hanging="159"/>
      </w:pPr>
      <w:rPr>
        <w:rFonts w:hint="default"/>
        <w:lang w:val="zh-CN" w:eastAsia="zh-CN" w:bidi="zh-CN"/>
      </w:rPr>
    </w:lvl>
    <w:lvl w:ilvl="7">
      <w:start w:val="0"/>
      <w:numFmt w:val="bullet"/>
      <w:lvlText w:val="•"/>
      <w:lvlJc w:val="left"/>
      <w:pPr>
        <w:ind w:left="3356" w:hanging="159"/>
      </w:pPr>
      <w:rPr>
        <w:rFonts w:hint="default"/>
        <w:lang w:val="zh-CN" w:eastAsia="zh-CN" w:bidi="zh-CN"/>
      </w:rPr>
    </w:lvl>
    <w:lvl w:ilvl="8">
      <w:start w:val="0"/>
      <w:numFmt w:val="bullet"/>
      <w:lvlText w:val="•"/>
      <w:lvlJc w:val="left"/>
      <w:pPr>
        <w:ind w:left="3796" w:hanging="159"/>
      </w:pPr>
      <w:rPr>
        <w:rFonts w:hint="default"/>
        <w:lang w:val="zh-CN" w:eastAsia="zh-CN" w:bidi="zh-CN"/>
      </w:rPr>
    </w:lvl>
  </w:abstractNum>
  <w:abstractNum w:abstractNumId="6">
    <w:nsid w:val="AAF3F3FA"/>
    <w:multiLevelType w:val="multilevel"/>
    <w:tmpl w:val="AAF3F3FA"/>
    <w:lvl w:ilvl="0">
      <w:start w:val="0"/>
      <w:numFmt w:val="bullet"/>
      <w:lvlText w:val=""/>
      <w:lvlJc w:val="left"/>
      <w:pPr>
        <w:ind w:left="1135" w:hanging="360"/>
      </w:pPr>
      <w:rPr>
        <w:rFonts w:ascii="Wingdings" w:eastAsia="Wingdings" w:hAnsi="Wingdings" w:cs="Wingdings" w:hint="default"/>
        <w:w w:val="100"/>
        <w:sz w:val="24"/>
        <w:szCs w:val="24"/>
        <w:lang w:val="zh-CN" w:eastAsia="zh-CN" w:bidi="zh-CN"/>
      </w:rPr>
    </w:lvl>
    <w:lvl w:ilvl="1">
      <w:start w:val="0"/>
      <w:numFmt w:val="bullet"/>
      <w:lvlText w:val="•"/>
      <w:lvlJc w:val="left"/>
      <w:pPr>
        <w:ind w:left="2038" w:hanging="360"/>
      </w:pPr>
      <w:rPr>
        <w:rFonts w:hint="default"/>
        <w:lang w:val="zh-CN" w:eastAsia="zh-CN" w:bidi="zh-CN"/>
      </w:rPr>
    </w:lvl>
    <w:lvl w:ilvl="2">
      <w:start w:val="0"/>
      <w:numFmt w:val="bullet"/>
      <w:lvlText w:val="•"/>
      <w:lvlJc w:val="left"/>
      <w:pPr>
        <w:ind w:left="2937" w:hanging="360"/>
      </w:pPr>
      <w:rPr>
        <w:rFonts w:hint="default"/>
        <w:lang w:val="zh-CN" w:eastAsia="zh-CN" w:bidi="zh-CN"/>
      </w:rPr>
    </w:lvl>
    <w:lvl w:ilvl="3">
      <w:start w:val="0"/>
      <w:numFmt w:val="bullet"/>
      <w:lvlText w:val="•"/>
      <w:lvlJc w:val="left"/>
      <w:pPr>
        <w:ind w:left="3836" w:hanging="360"/>
      </w:pPr>
      <w:rPr>
        <w:rFonts w:hint="default"/>
        <w:lang w:val="zh-CN" w:eastAsia="zh-CN" w:bidi="zh-CN"/>
      </w:rPr>
    </w:lvl>
    <w:lvl w:ilvl="4">
      <w:start w:val="0"/>
      <w:numFmt w:val="bullet"/>
      <w:lvlText w:val="•"/>
      <w:lvlJc w:val="left"/>
      <w:pPr>
        <w:ind w:left="4734" w:hanging="360"/>
      </w:pPr>
      <w:rPr>
        <w:rFonts w:hint="default"/>
        <w:lang w:val="zh-CN" w:eastAsia="zh-CN" w:bidi="zh-CN"/>
      </w:rPr>
    </w:lvl>
    <w:lvl w:ilvl="5">
      <w:start w:val="0"/>
      <w:numFmt w:val="bullet"/>
      <w:lvlText w:val="•"/>
      <w:lvlJc w:val="left"/>
      <w:pPr>
        <w:ind w:left="5633" w:hanging="360"/>
      </w:pPr>
      <w:rPr>
        <w:rFonts w:hint="default"/>
        <w:lang w:val="zh-CN" w:eastAsia="zh-CN" w:bidi="zh-CN"/>
      </w:rPr>
    </w:lvl>
    <w:lvl w:ilvl="6">
      <w:start w:val="0"/>
      <w:numFmt w:val="bullet"/>
      <w:lvlText w:val="•"/>
      <w:lvlJc w:val="left"/>
      <w:pPr>
        <w:ind w:left="6532" w:hanging="360"/>
      </w:pPr>
      <w:rPr>
        <w:rFonts w:hint="default"/>
        <w:lang w:val="zh-CN" w:eastAsia="zh-CN" w:bidi="zh-CN"/>
      </w:rPr>
    </w:lvl>
    <w:lvl w:ilvl="7">
      <w:start w:val="0"/>
      <w:numFmt w:val="bullet"/>
      <w:lvlText w:val="•"/>
      <w:lvlJc w:val="left"/>
      <w:pPr>
        <w:ind w:left="7430" w:hanging="360"/>
      </w:pPr>
      <w:rPr>
        <w:rFonts w:hint="default"/>
        <w:lang w:val="zh-CN" w:eastAsia="zh-CN" w:bidi="zh-CN"/>
      </w:rPr>
    </w:lvl>
    <w:lvl w:ilvl="8">
      <w:start w:val="0"/>
      <w:numFmt w:val="bullet"/>
      <w:lvlText w:val="•"/>
      <w:lvlJc w:val="left"/>
      <w:pPr>
        <w:ind w:left="8329" w:hanging="360"/>
      </w:pPr>
      <w:rPr>
        <w:rFonts w:hint="default"/>
        <w:lang w:val="zh-CN" w:eastAsia="zh-CN" w:bidi="zh-CN"/>
      </w:rPr>
    </w:lvl>
  </w:abstractNum>
  <w:abstractNum w:abstractNumId="7">
    <w:nsid w:val="B0ED9BEA"/>
    <w:multiLevelType w:val="multilevel"/>
    <w:tmpl w:val="B0ED9BEA"/>
    <w:lvl w:ilvl="0">
      <w:start w:val="0"/>
      <w:numFmt w:val="bullet"/>
      <w:lvlText w:val=""/>
      <w:lvlJc w:val="left"/>
      <w:pPr>
        <w:ind w:left="112" w:hanging="360"/>
      </w:pPr>
      <w:rPr>
        <w:rFonts w:ascii="Wingdings" w:eastAsia="Wingdings" w:hAnsi="Wingdings" w:cs="Wingdings" w:hint="default"/>
        <w:w w:val="100"/>
        <w:sz w:val="24"/>
        <w:szCs w:val="24"/>
        <w:lang w:val="zh-CN" w:eastAsia="zh-CN" w:bidi="zh-CN"/>
      </w:rPr>
    </w:lvl>
    <w:lvl w:ilvl="1">
      <w:start w:val="0"/>
      <w:numFmt w:val="bullet"/>
      <w:lvlText w:val="•"/>
      <w:lvlJc w:val="left"/>
      <w:pPr>
        <w:ind w:left="980" w:hanging="360"/>
      </w:pPr>
      <w:rPr>
        <w:rFonts w:hint="default"/>
        <w:lang w:val="zh-CN" w:eastAsia="zh-CN" w:bidi="zh-CN"/>
      </w:rPr>
    </w:lvl>
    <w:lvl w:ilvl="2">
      <w:start w:val="0"/>
      <w:numFmt w:val="bullet"/>
      <w:lvlText w:val="•"/>
      <w:lvlJc w:val="left"/>
      <w:pPr>
        <w:ind w:left="1841" w:hanging="360"/>
      </w:pPr>
      <w:rPr>
        <w:rFonts w:hint="default"/>
        <w:lang w:val="zh-CN" w:eastAsia="zh-CN" w:bidi="zh-CN"/>
      </w:rPr>
    </w:lvl>
    <w:lvl w:ilvl="3">
      <w:start w:val="0"/>
      <w:numFmt w:val="bullet"/>
      <w:lvlText w:val="•"/>
      <w:lvlJc w:val="left"/>
      <w:pPr>
        <w:ind w:left="2701" w:hanging="360"/>
      </w:pPr>
      <w:rPr>
        <w:rFonts w:hint="default"/>
        <w:lang w:val="zh-CN" w:eastAsia="zh-CN" w:bidi="zh-CN"/>
      </w:rPr>
    </w:lvl>
    <w:lvl w:ilvl="4">
      <w:start w:val="0"/>
      <w:numFmt w:val="bullet"/>
      <w:lvlText w:val="•"/>
      <w:lvlJc w:val="left"/>
      <w:pPr>
        <w:ind w:left="3562" w:hanging="360"/>
      </w:pPr>
      <w:rPr>
        <w:rFonts w:hint="default"/>
        <w:lang w:val="zh-CN" w:eastAsia="zh-CN" w:bidi="zh-CN"/>
      </w:rPr>
    </w:lvl>
    <w:lvl w:ilvl="5">
      <w:start w:val="0"/>
      <w:numFmt w:val="bullet"/>
      <w:lvlText w:val="•"/>
      <w:lvlJc w:val="left"/>
      <w:pPr>
        <w:ind w:left="4423" w:hanging="360"/>
      </w:pPr>
      <w:rPr>
        <w:rFonts w:hint="default"/>
        <w:lang w:val="zh-CN" w:eastAsia="zh-CN" w:bidi="zh-CN"/>
      </w:rPr>
    </w:lvl>
    <w:lvl w:ilvl="6">
      <w:start w:val="0"/>
      <w:numFmt w:val="bullet"/>
      <w:lvlText w:val="•"/>
      <w:lvlJc w:val="left"/>
      <w:pPr>
        <w:ind w:left="5283" w:hanging="360"/>
      </w:pPr>
      <w:rPr>
        <w:rFonts w:hint="default"/>
        <w:lang w:val="zh-CN" w:eastAsia="zh-CN" w:bidi="zh-CN"/>
      </w:rPr>
    </w:lvl>
    <w:lvl w:ilvl="7">
      <w:start w:val="0"/>
      <w:numFmt w:val="bullet"/>
      <w:lvlText w:val="•"/>
      <w:lvlJc w:val="left"/>
      <w:pPr>
        <w:ind w:left="6144" w:hanging="360"/>
      </w:pPr>
      <w:rPr>
        <w:rFonts w:hint="default"/>
        <w:lang w:val="zh-CN" w:eastAsia="zh-CN" w:bidi="zh-CN"/>
      </w:rPr>
    </w:lvl>
    <w:lvl w:ilvl="8">
      <w:start w:val="0"/>
      <w:numFmt w:val="bullet"/>
      <w:lvlText w:val="•"/>
      <w:lvlJc w:val="left"/>
      <w:pPr>
        <w:ind w:left="7004" w:hanging="360"/>
      </w:pPr>
      <w:rPr>
        <w:rFonts w:hint="default"/>
        <w:lang w:val="zh-CN" w:eastAsia="zh-CN" w:bidi="zh-CN"/>
      </w:rPr>
    </w:lvl>
  </w:abstractNum>
  <w:abstractNum w:abstractNumId="8">
    <w:nsid w:val="B88D21A8"/>
    <w:multiLevelType w:val="multilevel"/>
    <w:tmpl w:val="B88D21A8"/>
    <w:lvl w:ilvl="0">
      <w:start w:val="1"/>
      <w:numFmt w:val="decimal"/>
      <w:lvlText w:val="（%1）"/>
      <w:lvlJc w:val="left"/>
      <w:pPr>
        <w:ind w:left="2152" w:hanging="617"/>
        <w:jc w:val="left"/>
      </w:pPr>
      <w:rPr>
        <w:rFonts w:ascii="宋体" w:eastAsia="宋体" w:hAnsi="宋体" w:cs="宋体" w:hint="default"/>
        <w:b/>
        <w:bCs/>
        <w:w w:val="99"/>
        <w:sz w:val="22"/>
        <w:szCs w:val="22"/>
        <w:lang w:val="zh-CN" w:eastAsia="zh-CN" w:bidi="zh-CN"/>
      </w:rPr>
    </w:lvl>
    <w:lvl w:ilvl="1">
      <w:start w:val="0"/>
      <w:numFmt w:val="bullet"/>
      <w:lvlText w:val="•"/>
      <w:lvlJc w:val="left"/>
      <w:pPr>
        <w:ind w:left="2956" w:hanging="617"/>
      </w:pPr>
      <w:rPr>
        <w:rFonts w:hint="default"/>
        <w:lang w:val="zh-CN" w:eastAsia="zh-CN" w:bidi="zh-CN"/>
      </w:rPr>
    </w:lvl>
    <w:lvl w:ilvl="2">
      <w:start w:val="0"/>
      <w:numFmt w:val="bullet"/>
      <w:lvlText w:val="•"/>
      <w:lvlJc w:val="left"/>
      <w:pPr>
        <w:ind w:left="3753" w:hanging="617"/>
      </w:pPr>
      <w:rPr>
        <w:rFonts w:hint="default"/>
        <w:lang w:val="zh-CN" w:eastAsia="zh-CN" w:bidi="zh-CN"/>
      </w:rPr>
    </w:lvl>
    <w:lvl w:ilvl="3">
      <w:start w:val="0"/>
      <w:numFmt w:val="bullet"/>
      <w:lvlText w:val="•"/>
      <w:lvlJc w:val="left"/>
      <w:pPr>
        <w:ind w:left="4550" w:hanging="617"/>
      </w:pPr>
      <w:rPr>
        <w:rFonts w:hint="default"/>
        <w:lang w:val="zh-CN" w:eastAsia="zh-CN" w:bidi="zh-CN"/>
      </w:rPr>
    </w:lvl>
    <w:lvl w:ilvl="4">
      <w:start w:val="0"/>
      <w:numFmt w:val="bullet"/>
      <w:lvlText w:val="•"/>
      <w:lvlJc w:val="left"/>
      <w:pPr>
        <w:ind w:left="5346" w:hanging="617"/>
      </w:pPr>
      <w:rPr>
        <w:rFonts w:hint="default"/>
        <w:lang w:val="zh-CN" w:eastAsia="zh-CN" w:bidi="zh-CN"/>
      </w:rPr>
    </w:lvl>
    <w:lvl w:ilvl="5">
      <w:start w:val="0"/>
      <w:numFmt w:val="bullet"/>
      <w:lvlText w:val="•"/>
      <w:lvlJc w:val="left"/>
      <w:pPr>
        <w:ind w:left="6143" w:hanging="617"/>
      </w:pPr>
      <w:rPr>
        <w:rFonts w:hint="default"/>
        <w:lang w:val="zh-CN" w:eastAsia="zh-CN" w:bidi="zh-CN"/>
      </w:rPr>
    </w:lvl>
    <w:lvl w:ilvl="6">
      <w:start w:val="0"/>
      <w:numFmt w:val="bullet"/>
      <w:lvlText w:val="•"/>
      <w:lvlJc w:val="left"/>
      <w:pPr>
        <w:ind w:left="6940" w:hanging="617"/>
      </w:pPr>
      <w:rPr>
        <w:rFonts w:hint="default"/>
        <w:lang w:val="zh-CN" w:eastAsia="zh-CN" w:bidi="zh-CN"/>
      </w:rPr>
    </w:lvl>
    <w:lvl w:ilvl="7">
      <w:start w:val="0"/>
      <w:numFmt w:val="bullet"/>
      <w:lvlText w:val="•"/>
      <w:lvlJc w:val="left"/>
      <w:pPr>
        <w:ind w:left="7736" w:hanging="617"/>
      </w:pPr>
      <w:rPr>
        <w:rFonts w:hint="default"/>
        <w:lang w:val="zh-CN" w:eastAsia="zh-CN" w:bidi="zh-CN"/>
      </w:rPr>
    </w:lvl>
    <w:lvl w:ilvl="8">
      <w:start w:val="0"/>
      <w:numFmt w:val="bullet"/>
      <w:lvlText w:val="•"/>
      <w:lvlJc w:val="left"/>
      <w:pPr>
        <w:ind w:left="8533" w:hanging="617"/>
      </w:pPr>
      <w:rPr>
        <w:rFonts w:hint="default"/>
        <w:lang w:val="zh-CN" w:eastAsia="zh-CN" w:bidi="zh-CN"/>
      </w:rPr>
    </w:lvl>
  </w:abstractNum>
  <w:abstractNum w:abstractNumId="9">
    <w:nsid w:val="BDA1395C"/>
    <w:multiLevelType w:val="multilevel"/>
    <w:tmpl w:val="BDA1395C"/>
    <w:lvl w:ilvl="0">
      <w:start w:val="4"/>
      <w:numFmt w:val="decimal"/>
      <w:lvlText w:val="%1."/>
      <w:lvlJc w:val="left"/>
      <w:pPr>
        <w:ind w:left="864" w:hanging="363"/>
        <w:jc w:val="left"/>
      </w:pPr>
      <w:rPr>
        <w:rFonts w:ascii="宋体" w:eastAsia="宋体" w:hAnsi="宋体" w:cs="宋体" w:hint="default"/>
        <w:b/>
        <w:bCs/>
        <w:w w:val="99"/>
        <w:sz w:val="22"/>
        <w:szCs w:val="22"/>
        <w:lang w:val="zh-CN" w:eastAsia="zh-CN" w:bidi="zh-CN"/>
      </w:rPr>
    </w:lvl>
    <w:lvl w:ilvl="1">
      <w:start w:val="0"/>
      <w:numFmt w:val="bullet"/>
      <w:lvlText w:val="•"/>
      <w:lvlJc w:val="left"/>
      <w:pPr>
        <w:ind w:left="1646" w:hanging="363"/>
      </w:pPr>
      <w:rPr>
        <w:rFonts w:hint="default"/>
        <w:lang w:val="zh-CN" w:eastAsia="zh-CN" w:bidi="zh-CN"/>
      </w:rPr>
    </w:lvl>
    <w:lvl w:ilvl="2">
      <w:start w:val="0"/>
      <w:numFmt w:val="bullet"/>
      <w:lvlText w:val="•"/>
      <w:lvlJc w:val="left"/>
      <w:pPr>
        <w:ind w:left="2433" w:hanging="363"/>
      </w:pPr>
      <w:rPr>
        <w:rFonts w:hint="default"/>
        <w:lang w:val="zh-CN" w:eastAsia="zh-CN" w:bidi="zh-CN"/>
      </w:rPr>
    </w:lvl>
    <w:lvl w:ilvl="3">
      <w:start w:val="0"/>
      <w:numFmt w:val="bullet"/>
      <w:lvlText w:val="•"/>
      <w:lvlJc w:val="left"/>
      <w:pPr>
        <w:ind w:left="3219" w:hanging="363"/>
      </w:pPr>
      <w:rPr>
        <w:rFonts w:hint="default"/>
        <w:lang w:val="zh-CN" w:eastAsia="zh-CN" w:bidi="zh-CN"/>
      </w:rPr>
    </w:lvl>
    <w:lvl w:ilvl="4">
      <w:start w:val="0"/>
      <w:numFmt w:val="bullet"/>
      <w:lvlText w:val="•"/>
      <w:lvlJc w:val="left"/>
      <w:pPr>
        <w:ind w:left="4006" w:hanging="363"/>
      </w:pPr>
      <w:rPr>
        <w:rFonts w:hint="default"/>
        <w:lang w:val="zh-CN" w:eastAsia="zh-CN" w:bidi="zh-CN"/>
      </w:rPr>
    </w:lvl>
    <w:lvl w:ilvl="5">
      <w:start w:val="0"/>
      <w:numFmt w:val="bullet"/>
      <w:lvlText w:val="•"/>
      <w:lvlJc w:val="left"/>
      <w:pPr>
        <w:ind w:left="4793" w:hanging="363"/>
      </w:pPr>
      <w:rPr>
        <w:rFonts w:hint="default"/>
        <w:lang w:val="zh-CN" w:eastAsia="zh-CN" w:bidi="zh-CN"/>
      </w:rPr>
    </w:lvl>
    <w:lvl w:ilvl="6">
      <w:start w:val="0"/>
      <w:numFmt w:val="bullet"/>
      <w:lvlText w:val="•"/>
      <w:lvlJc w:val="left"/>
      <w:pPr>
        <w:ind w:left="5579" w:hanging="363"/>
      </w:pPr>
      <w:rPr>
        <w:rFonts w:hint="default"/>
        <w:lang w:val="zh-CN" w:eastAsia="zh-CN" w:bidi="zh-CN"/>
      </w:rPr>
    </w:lvl>
    <w:lvl w:ilvl="7">
      <w:start w:val="0"/>
      <w:numFmt w:val="bullet"/>
      <w:lvlText w:val="•"/>
      <w:lvlJc w:val="left"/>
      <w:pPr>
        <w:ind w:left="6366" w:hanging="363"/>
      </w:pPr>
      <w:rPr>
        <w:rFonts w:hint="default"/>
        <w:lang w:val="zh-CN" w:eastAsia="zh-CN" w:bidi="zh-CN"/>
      </w:rPr>
    </w:lvl>
    <w:lvl w:ilvl="8">
      <w:start w:val="0"/>
      <w:numFmt w:val="bullet"/>
      <w:lvlText w:val="•"/>
      <w:lvlJc w:val="left"/>
      <w:pPr>
        <w:ind w:left="7152" w:hanging="363"/>
      </w:pPr>
      <w:rPr>
        <w:rFonts w:hint="default"/>
        <w:lang w:val="zh-CN" w:eastAsia="zh-CN" w:bidi="zh-CN"/>
      </w:rPr>
    </w:lvl>
  </w:abstractNum>
  <w:abstractNum w:abstractNumId="10">
    <w:nsid w:val="C4E0D24A"/>
    <w:multiLevelType w:val="multilevel"/>
    <w:tmpl w:val="C4E0D24A"/>
    <w:lvl w:ilvl="0">
      <w:start w:val="1"/>
      <w:numFmt w:val="decimal"/>
      <w:lvlText w:val="（%1）"/>
      <w:lvlJc w:val="left"/>
      <w:pPr>
        <w:ind w:left="1113" w:hanging="605"/>
        <w:jc w:val="left"/>
      </w:pPr>
      <w:rPr>
        <w:rFonts w:ascii="宋体" w:eastAsia="宋体" w:hAnsi="宋体" w:cs="宋体" w:hint="default"/>
        <w:spacing w:val="0"/>
        <w:w w:val="100"/>
        <w:sz w:val="22"/>
        <w:szCs w:val="22"/>
        <w:lang w:val="zh-CN" w:eastAsia="zh-CN" w:bidi="zh-CN"/>
      </w:rPr>
    </w:lvl>
    <w:lvl w:ilvl="1">
      <w:start w:val="0"/>
      <w:numFmt w:val="bullet"/>
      <w:lvlText w:val="•"/>
      <w:lvlJc w:val="left"/>
      <w:pPr>
        <w:ind w:left="2020" w:hanging="605"/>
      </w:pPr>
      <w:rPr>
        <w:rFonts w:hint="default"/>
        <w:lang w:val="zh-CN" w:eastAsia="zh-CN" w:bidi="zh-CN"/>
      </w:rPr>
    </w:lvl>
    <w:lvl w:ilvl="2">
      <w:start w:val="0"/>
      <w:numFmt w:val="bullet"/>
      <w:lvlText w:val="•"/>
      <w:lvlJc w:val="left"/>
      <w:pPr>
        <w:ind w:left="2921" w:hanging="605"/>
      </w:pPr>
      <w:rPr>
        <w:rFonts w:hint="default"/>
        <w:lang w:val="zh-CN" w:eastAsia="zh-CN" w:bidi="zh-CN"/>
      </w:rPr>
    </w:lvl>
    <w:lvl w:ilvl="3">
      <w:start w:val="0"/>
      <w:numFmt w:val="bullet"/>
      <w:lvlText w:val="•"/>
      <w:lvlJc w:val="left"/>
      <w:pPr>
        <w:ind w:left="3822" w:hanging="605"/>
      </w:pPr>
      <w:rPr>
        <w:rFonts w:hint="default"/>
        <w:lang w:val="zh-CN" w:eastAsia="zh-CN" w:bidi="zh-CN"/>
      </w:rPr>
    </w:lvl>
    <w:lvl w:ilvl="4">
      <w:start w:val="0"/>
      <w:numFmt w:val="bullet"/>
      <w:lvlText w:val="•"/>
      <w:lvlJc w:val="left"/>
      <w:pPr>
        <w:ind w:left="4722" w:hanging="605"/>
      </w:pPr>
      <w:rPr>
        <w:rFonts w:hint="default"/>
        <w:lang w:val="zh-CN" w:eastAsia="zh-CN" w:bidi="zh-CN"/>
      </w:rPr>
    </w:lvl>
    <w:lvl w:ilvl="5">
      <w:start w:val="0"/>
      <w:numFmt w:val="bullet"/>
      <w:lvlText w:val="•"/>
      <w:lvlJc w:val="left"/>
      <w:pPr>
        <w:ind w:left="5623" w:hanging="605"/>
      </w:pPr>
      <w:rPr>
        <w:rFonts w:hint="default"/>
        <w:lang w:val="zh-CN" w:eastAsia="zh-CN" w:bidi="zh-CN"/>
      </w:rPr>
    </w:lvl>
    <w:lvl w:ilvl="6">
      <w:start w:val="0"/>
      <w:numFmt w:val="bullet"/>
      <w:lvlText w:val="•"/>
      <w:lvlJc w:val="left"/>
      <w:pPr>
        <w:ind w:left="6524" w:hanging="605"/>
      </w:pPr>
      <w:rPr>
        <w:rFonts w:hint="default"/>
        <w:lang w:val="zh-CN" w:eastAsia="zh-CN" w:bidi="zh-CN"/>
      </w:rPr>
    </w:lvl>
    <w:lvl w:ilvl="7">
      <w:start w:val="0"/>
      <w:numFmt w:val="bullet"/>
      <w:lvlText w:val="•"/>
      <w:lvlJc w:val="left"/>
      <w:pPr>
        <w:ind w:left="7424" w:hanging="605"/>
      </w:pPr>
      <w:rPr>
        <w:rFonts w:hint="default"/>
        <w:lang w:val="zh-CN" w:eastAsia="zh-CN" w:bidi="zh-CN"/>
      </w:rPr>
    </w:lvl>
    <w:lvl w:ilvl="8">
      <w:start w:val="0"/>
      <w:numFmt w:val="bullet"/>
      <w:lvlText w:val="•"/>
      <w:lvlJc w:val="left"/>
      <w:pPr>
        <w:ind w:left="8325" w:hanging="605"/>
      </w:pPr>
      <w:rPr>
        <w:rFonts w:hint="default"/>
        <w:lang w:val="zh-CN" w:eastAsia="zh-CN" w:bidi="zh-CN"/>
      </w:rPr>
    </w:lvl>
  </w:abstractNum>
  <w:abstractNum w:abstractNumId="11">
    <w:nsid w:val="DAD3A854"/>
    <w:multiLevelType w:val="multilevel"/>
    <w:tmpl w:val="DAD3A854"/>
    <w:lvl w:ilvl="0">
      <w:start w:val="1"/>
      <w:numFmt w:val="decimal"/>
      <w:lvlText w:val="（%1）"/>
      <w:lvlJc w:val="left"/>
      <w:pPr>
        <w:ind w:left="2216"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3010" w:hanging="601"/>
      </w:pPr>
      <w:rPr>
        <w:rFonts w:hint="default"/>
        <w:lang w:val="zh-CN" w:eastAsia="zh-CN" w:bidi="zh-CN"/>
      </w:rPr>
    </w:lvl>
    <w:lvl w:ilvl="2">
      <w:start w:val="0"/>
      <w:numFmt w:val="bullet"/>
      <w:lvlText w:val="•"/>
      <w:lvlJc w:val="left"/>
      <w:pPr>
        <w:ind w:left="3801" w:hanging="601"/>
      </w:pPr>
      <w:rPr>
        <w:rFonts w:hint="default"/>
        <w:lang w:val="zh-CN" w:eastAsia="zh-CN" w:bidi="zh-CN"/>
      </w:rPr>
    </w:lvl>
    <w:lvl w:ilvl="3">
      <w:start w:val="0"/>
      <w:numFmt w:val="bullet"/>
      <w:lvlText w:val="•"/>
      <w:lvlJc w:val="left"/>
      <w:pPr>
        <w:ind w:left="4592" w:hanging="601"/>
      </w:pPr>
      <w:rPr>
        <w:rFonts w:hint="default"/>
        <w:lang w:val="zh-CN" w:eastAsia="zh-CN" w:bidi="zh-CN"/>
      </w:rPr>
    </w:lvl>
    <w:lvl w:ilvl="4">
      <w:start w:val="0"/>
      <w:numFmt w:val="bullet"/>
      <w:lvlText w:val="•"/>
      <w:lvlJc w:val="left"/>
      <w:pPr>
        <w:ind w:left="5382" w:hanging="601"/>
      </w:pPr>
      <w:rPr>
        <w:rFonts w:hint="default"/>
        <w:lang w:val="zh-CN" w:eastAsia="zh-CN" w:bidi="zh-CN"/>
      </w:rPr>
    </w:lvl>
    <w:lvl w:ilvl="5">
      <w:start w:val="0"/>
      <w:numFmt w:val="bullet"/>
      <w:lvlText w:val="•"/>
      <w:lvlJc w:val="left"/>
      <w:pPr>
        <w:ind w:left="6173" w:hanging="601"/>
      </w:pPr>
      <w:rPr>
        <w:rFonts w:hint="default"/>
        <w:lang w:val="zh-CN" w:eastAsia="zh-CN" w:bidi="zh-CN"/>
      </w:rPr>
    </w:lvl>
    <w:lvl w:ilvl="6">
      <w:start w:val="0"/>
      <w:numFmt w:val="bullet"/>
      <w:lvlText w:val="•"/>
      <w:lvlJc w:val="left"/>
      <w:pPr>
        <w:ind w:left="6964" w:hanging="601"/>
      </w:pPr>
      <w:rPr>
        <w:rFonts w:hint="default"/>
        <w:lang w:val="zh-CN" w:eastAsia="zh-CN" w:bidi="zh-CN"/>
      </w:rPr>
    </w:lvl>
    <w:lvl w:ilvl="7">
      <w:start w:val="0"/>
      <w:numFmt w:val="bullet"/>
      <w:lvlText w:val="•"/>
      <w:lvlJc w:val="left"/>
      <w:pPr>
        <w:ind w:left="7754" w:hanging="601"/>
      </w:pPr>
      <w:rPr>
        <w:rFonts w:hint="default"/>
        <w:lang w:val="zh-CN" w:eastAsia="zh-CN" w:bidi="zh-CN"/>
      </w:rPr>
    </w:lvl>
    <w:lvl w:ilvl="8">
      <w:start w:val="0"/>
      <w:numFmt w:val="bullet"/>
      <w:lvlText w:val="•"/>
      <w:lvlJc w:val="left"/>
      <w:pPr>
        <w:ind w:left="8545" w:hanging="601"/>
      </w:pPr>
      <w:rPr>
        <w:rFonts w:hint="default"/>
        <w:lang w:val="zh-CN" w:eastAsia="zh-CN" w:bidi="zh-CN"/>
      </w:rPr>
    </w:lvl>
  </w:abstractNum>
  <w:abstractNum w:abstractNumId="12">
    <w:nsid w:val="E504947C"/>
    <w:multiLevelType w:val="multilevel"/>
    <w:tmpl w:val="E504947C"/>
    <w:lvl w:ilvl="0">
      <w:start w:val="1"/>
      <w:numFmt w:val="decimal"/>
      <w:lvlText w:val="（%1）"/>
      <w:lvlJc w:val="left"/>
      <w:pPr>
        <w:ind w:left="1194"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58" w:hanging="601"/>
      </w:pPr>
      <w:rPr>
        <w:rFonts w:hint="default"/>
        <w:lang w:val="zh-CN" w:eastAsia="zh-CN" w:bidi="zh-CN"/>
      </w:rPr>
    </w:lvl>
    <w:lvl w:ilvl="2">
      <w:start w:val="0"/>
      <w:numFmt w:val="bullet"/>
      <w:lvlText w:val="•"/>
      <w:lvlJc w:val="left"/>
      <w:pPr>
        <w:ind w:left="2717" w:hanging="601"/>
      </w:pPr>
      <w:rPr>
        <w:rFonts w:hint="default"/>
        <w:lang w:val="zh-CN" w:eastAsia="zh-CN" w:bidi="zh-CN"/>
      </w:rPr>
    </w:lvl>
    <w:lvl w:ilvl="3">
      <w:start w:val="0"/>
      <w:numFmt w:val="bullet"/>
      <w:lvlText w:val="•"/>
      <w:lvlJc w:val="left"/>
      <w:pPr>
        <w:ind w:left="3476" w:hanging="601"/>
      </w:pPr>
      <w:rPr>
        <w:rFonts w:hint="default"/>
        <w:lang w:val="zh-CN" w:eastAsia="zh-CN" w:bidi="zh-CN"/>
      </w:rPr>
    </w:lvl>
    <w:lvl w:ilvl="4">
      <w:start w:val="0"/>
      <w:numFmt w:val="bullet"/>
      <w:lvlText w:val="•"/>
      <w:lvlJc w:val="left"/>
      <w:pPr>
        <w:ind w:left="4235" w:hanging="601"/>
      </w:pPr>
      <w:rPr>
        <w:rFonts w:hint="default"/>
        <w:lang w:val="zh-CN" w:eastAsia="zh-CN" w:bidi="zh-CN"/>
      </w:rPr>
    </w:lvl>
    <w:lvl w:ilvl="5">
      <w:start w:val="0"/>
      <w:numFmt w:val="bullet"/>
      <w:lvlText w:val="•"/>
      <w:lvlJc w:val="left"/>
      <w:pPr>
        <w:ind w:left="4994" w:hanging="601"/>
      </w:pPr>
      <w:rPr>
        <w:rFonts w:hint="default"/>
        <w:lang w:val="zh-CN" w:eastAsia="zh-CN" w:bidi="zh-CN"/>
      </w:rPr>
    </w:lvl>
    <w:lvl w:ilvl="6">
      <w:start w:val="0"/>
      <w:numFmt w:val="bullet"/>
      <w:lvlText w:val="•"/>
      <w:lvlJc w:val="left"/>
      <w:pPr>
        <w:ind w:left="5753" w:hanging="601"/>
      </w:pPr>
      <w:rPr>
        <w:rFonts w:hint="default"/>
        <w:lang w:val="zh-CN" w:eastAsia="zh-CN" w:bidi="zh-CN"/>
      </w:rPr>
    </w:lvl>
    <w:lvl w:ilvl="7">
      <w:start w:val="0"/>
      <w:numFmt w:val="bullet"/>
      <w:lvlText w:val="•"/>
      <w:lvlJc w:val="left"/>
      <w:pPr>
        <w:ind w:left="6512" w:hanging="601"/>
      </w:pPr>
      <w:rPr>
        <w:rFonts w:hint="default"/>
        <w:lang w:val="zh-CN" w:eastAsia="zh-CN" w:bidi="zh-CN"/>
      </w:rPr>
    </w:lvl>
    <w:lvl w:ilvl="8">
      <w:start w:val="0"/>
      <w:numFmt w:val="bullet"/>
      <w:lvlText w:val="•"/>
      <w:lvlJc w:val="left"/>
      <w:pPr>
        <w:ind w:left="7271" w:hanging="601"/>
      </w:pPr>
      <w:rPr>
        <w:rFonts w:hint="default"/>
        <w:lang w:val="zh-CN" w:eastAsia="zh-CN" w:bidi="zh-CN"/>
      </w:rPr>
    </w:lvl>
  </w:abstractNum>
  <w:abstractNum w:abstractNumId="13">
    <w:nsid w:val="E7B27C5B"/>
    <w:multiLevelType w:val="multilevel"/>
    <w:tmpl w:val="E7B27C5B"/>
    <w:lvl w:ilvl="0">
      <w:start w:val="1"/>
      <w:numFmt w:val="decimal"/>
      <w:lvlText w:val="（%1）"/>
      <w:lvlJc w:val="left"/>
      <w:pPr>
        <w:ind w:left="2152" w:hanging="617"/>
        <w:jc w:val="left"/>
      </w:pPr>
      <w:rPr>
        <w:rFonts w:ascii="宋体" w:eastAsia="宋体" w:hAnsi="宋体" w:cs="宋体" w:hint="default"/>
        <w:b/>
        <w:bCs/>
        <w:w w:val="99"/>
        <w:sz w:val="22"/>
        <w:szCs w:val="22"/>
        <w:lang w:val="zh-CN" w:eastAsia="zh-CN" w:bidi="zh-CN"/>
      </w:rPr>
    </w:lvl>
    <w:lvl w:ilvl="1">
      <w:start w:val="0"/>
      <w:numFmt w:val="bullet"/>
      <w:lvlText w:val="•"/>
      <w:lvlJc w:val="left"/>
      <w:pPr>
        <w:ind w:left="2956" w:hanging="617"/>
      </w:pPr>
      <w:rPr>
        <w:rFonts w:hint="default"/>
        <w:lang w:val="zh-CN" w:eastAsia="zh-CN" w:bidi="zh-CN"/>
      </w:rPr>
    </w:lvl>
    <w:lvl w:ilvl="2">
      <w:start w:val="0"/>
      <w:numFmt w:val="bullet"/>
      <w:lvlText w:val="•"/>
      <w:lvlJc w:val="left"/>
      <w:pPr>
        <w:ind w:left="3753" w:hanging="617"/>
      </w:pPr>
      <w:rPr>
        <w:rFonts w:hint="default"/>
        <w:lang w:val="zh-CN" w:eastAsia="zh-CN" w:bidi="zh-CN"/>
      </w:rPr>
    </w:lvl>
    <w:lvl w:ilvl="3">
      <w:start w:val="0"/>
      <w:numFmt w:val="bullet"/>
      <w:lvlText w:val="•"/>
      <w:lvlJc w:val="left"/>
      <w:pPr>
        <w:ind w:left="4550" w:hanging="617"/>
      </w:pPr>
      <w:rPr>
        <w:rFonts w:hint="default"/>
        <w:lang w:val="zh-CN" w:eastAsia="zh-CN" w:bidi="zh-CN"/>
      </w:rPr>
    </w:lvl>
    <w:lvl w:ilvl="4">
      <w:start w:val="0"/>
      <w:numFmt w:val="bullet"/>
      <w:lvlText w:val="•"/>
      <w:lvlJc w:val="left"/>
      <w:pPr>
        <w:ind w:left="5346" w:hanging="617"/>
      </w:pPr>
      <w:rPr>
        <w:rFonts w:hint="default"/>
        <w:lang w:val="zh-CN" w:eastAsia="zh-CN" w:bidi="zh-CN"/>
      </w:rPr>
    </w:lvl>
    <w:lvl w:ilvl="5">
      <w:start w:val="0"/>
      <w:numFmt w:val="bullet"/>
      <w:lvlText w:val="•"/>
      <w:lvlJc w:val="left"/>
      <w:pPr>
        <w:ind w:left="6143" w:hanging="617"/>
      </w:pPr>
      <w:rPr>
        <w:rFonts w:hint="default"/>
        <w:lang w:val="zh-CN" w:eastAsia="zh-CN" w:bidi="zh-CN"/>
      </w:rPr>
    </w:lvl>
    <w:lvl w:ilvl="6">
      <w:start w:val="0"/>
      <w:numFmt w:val="bullet"/>
      <w:lvlText w:val="•"/>
      <w:lvlJc w:val="left"/>
      <w:pPr>
        <w:ind w:left="6940" w:hanging="617"/>
      </w:pPr>
      <w:rPr>
        <w:rFonts w:hint="default"/>
        <w:lang w:val="zh-CN" w:eastAsia="zh-CN" w:bidi="zh-CN"/>
      </w:rPr>
    </w:lvl>
    <w:lvl w:ilvl="7">
      <w:start w:val="0"/>
      <w:numFmt w:val="bullet"/>
      <w:lvlText w:val="•"/>
      <w:lvlJc w:val="left"/>
      <w:pPr>
        <w:ind w:left="7736" w:hanging="617"/>
      </w:pPr>
      <w:rPr>
        <w:rFonts w:hint="default"/>
        <w:lang w:val="zh-CN" w:eastAsia="zh-CN" w:bidi="zh-CN"/>
      </w:rPr>
    </w:lvl>
    <w:lvl w:ilvl="8">
      <w:start w:val="0"/>
      <w:numFmt w:val="bullet"/>
      <w:lvlText w:val="•"/>
      <w:lvlJc w:val="left"/>
      <w:pPr>
        <w:ind w:left="8533" w:hanging="617"/>
      </w:pPr>
      <w:rPr>
        <w:rFonts w:hint="default"/>
        <w:lang w:val="zh-CN" w:eastAsia="zh-CN" w:bidi="zh-CN"/>
      </w:rPr>
    </w:lvl>
  </w:abstractNum>
  <w:abstractNum w:abstractNumId="14">
    <w:nsid w:val="F689643B"/>
    <w:multiLevelType w:val="multilevel"/>
    <w:tmpl w:val="F689643B"/>
    <w:lvl w:ilvl="0">
      <w:start w:val="1"/>
      <w:numFmt w:val="decimal"/>
      <w:lvlText w:val="%1."/>
      <w:lvlJc w:val="left"/>
      <w:pPr>
        <w:ind w:left="299" w:hanging="188"/>
        <w:jc w:val="left"/>
      </w:pPr>
      <w:rPr>
        <w:rFonts w:ascii="Times New Roman" w:eastAsia="Times New Roman" w:hAnsi="Times New Roman" w:cs="Times New Roman" w:hint="default"/>
        <w:spacing w:val="0"/>
        <w:w w:val="99"/>
        <w:sz w:val="21"/>
        <w:szCs w:val="21"/>
        <w:lang w:val="zh-CN" w:eastAsia="zh-CN" w:bidi="zh-CN"/>
      </w:rPr>
    </w:lvl>
    <w:lvl w:ilvl="1">
      <w:start w:val="0"/>
      <w:numFmt w:val="bullet"/>
      <w:lvlText w:val="•"/>
      <w:lvlJc w:val="left"/>
      <w:pPr>
        <w:ind w:left="737" w:hanging="188"/>
      </w:pPr>
      <w:rPr>
        <w:rFonts w:hint="default"/>
        <w:lang w:val="zh-CN" w:eastAsia="zh-CN" w:bidi="zh-CN"/>
      </w:rPr>
    </w:lvl>
    <w:lvl w:ilvl="2">
      <w:start w:val="0"/>
      <w:numFmt w:val="bullet"/>
      <w:lvlText w:val="•"/>
      <w:lvlJc w:val="left"/>
      <w:pPr>
        <w:ind w:left="1175" w:hanging="188"/>
      </w:pPr>
      <w:rPr>
        <w:rFonts w:hint="default"/>
        <w:lang w:val="zh-CN" w:eastAsia="zh-CN" w:bidi="zh-CN"/>
      </w:rPr>
    </w:lvl>
    <w:lvl w:ilvl="3">
      <w:start w:val="0"/>
      <w:numFmt w:val="bullet"/>
      <w:lvlText w:val="•"/>
      <w:lvlJc w:val="left"/>
      <w:pPr>
        <w:ind w:left="1612" w:hanging="188"/>
      </w:pPr>
      <w:rPr>
        <w:rFonts w:hint="default"/>
        <w:lang w:val="zh-CN" w:eastAsia="zh-CN" w:bidi="zh-CN"/>
      </w:rPr>
    </w:lvl>
    <w:lvl w:ilvl="4">
      <w:start w:val="0"/>
      <w:numFmt w:val="bullet"/>
      <w:lvlText w:val="•"/>
      <w:lvlJc w:val="left"/>
      <w:pPr>
        <w:ind w:left="2050" w:hanging="188"/>
      </w:pPr>
      <w:rPr>
        <w:rFonts w:hint="default"/>
        <w:lang w:val="zh-CN" w:eastAsia="zh-CN" w:bidi="zh-CN"/>
      </w:rPr>
    </w:lvl>
    <w:lvl w:ilvl="5">
      <w:start w:val="0"/>
      <w:numFmt w:val="bullet"/>
      <w:lvlText w:val="•"/>
      <w:lvlJc w:val="left"/>
      <w:pPr>
        <w:ind w:left="2487" w:hanging="188"/>
      </w:pPr>
      <w:rPr>
        <w:rFonts w:hint="default"/>
        <w:lang w:val="zh-CN" w:eastAsia="zh-CN" w:bidi="zh-CN"/>
      </w:rPr>
    </w:lvl>
    <w:lvl w:ilvl="6">
      <w:start w:val="0"/>
      <w:numFmt w:val="bullet"/>
      <w:lvlText w:val="•"/>
      <w:lvlJc w:val="left"/>
      <w:pPr>
        <w:ind w:left="2925" w:hanging="188"/>
      </w:pPr>
      <w:rPr>
        <w:rFonts w:hint="default"/>
        <w:lang w:val="zh-CN" w:eastAsia="zh-CN" w:bidi="zh-CN"/>
      </w:rPr>
    </w:lvl>
    <w:lvl w:ilvl="7">
      <w:start w:val="0"/>
      <w:numFmt w:val="bullet"/>
      <w:lvlText w:val="•"/>
      <w:lvlJc w:val="left"/>
      <w:pPr>
        <w:ind w:left="3362" w:hanging="188"/>
      </w:pPr>
      <w:rPr>
        <w:rFonts w:hint="default"/>
        <w:lang w:val="zh-CN" w:eastAsia="zh-CN" w:bidi="zh-CN"/>
      </w:rPr>
    </w:lvl>
    <w:lvl w:ilvl="8">
      <w:start w:val="0"/>
      <w:numFmt w:val="bullet"/>
      <w:lvlText w:val="•"/>
      <w:lvlJc w:val="left"/>
      <w:pPr>
        <w:ind w:left="3800" w:hanging="188"/>
      </w:pPr>
      <w:rPr>
        <w:rFonts w:hint="default"/>
        <w:lang w:val="zh-CN" w:eastAsia="zh-CN" w:bidi="zh-CN"/>
      </w:rPr>
    </w:lvl>
  </w:abstractNum>
  <w:abstractNum w:abstractNumId="15">
    <w:nsid w:val="FEC2EA36"/>
    <w:multiLevelType w:val="multilevel"/>
    <w:tmpl w:val="FEC2EA36"/>
    <w:lvl w:ilvl="0">
      <w:start w:val="1"/>
      <w:numFmt w:val="decimal"/>
      <w:lvlText w:val="%1."/>
      <w:lvlJc w:val="left"/>
      <w:pPr>
        <w:ind w:left="271"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719" w:hanging="159"/>
      </w:pPr>
      <w:rPr>
        <w:rFonts w:hint="default"/>
        <w:lang w:val="zh-CN" w:eastAsia="zh-CN" w:bidi="zh-CN"/>
      </w:rPr>
    </w:lvl>
    <w:lvl w:ilvl="2">
      <w:start w:val="0"/>
      <w:numFmt w:val="bullet"/>
      <w:lvlText w:val="•"/>
      <w:lvlJc w:val="left"/>
      <w:pPr>
        <w:ind w:left="1159" w:hanging="159"/>
      </w:pPr>
      <w:rPr>
        <w:rFonts w:hint="default"/>
        <w:lang w:val="zh-CN" w:eastAsia="zh-CN" w:bidi="zh-CN"/>
      </w:rPr>
    </w:lvl>
    <w:lvl w:ilvl="3">
      <w:start w:val="0"/>
      <w:numFmt w:val="bullet"/>
      <w:lvlText w:val="•"/>
      <w:lvlJc w:val="left"/>
      <w:pPr>
        <w:ind w:left="1598" w:hanging="159"/>
      </w:pPr>
      <w:rPr>
        <w:rFonts w:hint="default"/>
        <w:lang w:val="zh-CN" w:eastAsia="zh-CN" w:bidi="zh-CN"/>
      </w:rPr>
    </w:lvl>
    <w:lvl w:ilvl="4">
      <w:start w:val="0"/>
      <w:numFmt w:val="bullet"/>
      <w:lvlText w:val="•"/>
      <w:lvlJc w:val="left"/>
      <w:pPr>
        <w:ind w:left="2038" w:hanging="159"/>
      </w:pPr>
      <w:rPr>
        <w:rFonts w:hint="default"/>
        <w:lang w:val="zh-CN" w:eastAsia="zh-CN" w:bidi="zh-CN"/>
      </w:rPr>
    </w:lvl>
    <w:lvl w:ilvl="5">
      <w:start w:val="0"/>
      <w:numFmt w:val="bullet"/>
      <w:lvlText w:val="•"/>
      <w:lvlJc w:val="left"/>
      <w:pPr>
        <w:ind w:left="2477" w:hanging="159"/>
      </w:pPr>
      <w:rPr>
        <w:rFonts w:hint="default"/>
        <w:lang w:val="zh-CN" w:eastAsia="zh-CN" w:bidi="zh-CN"/>
      </w:rPr>
    </w:lvl>
    <w:lvl w:ilvl="6">
      <w:start w:val="0"/>
      <w:numFmt w:val="bullet"/>
      <w:lvlText w:val="•"/>
      <w:lvlJc w:val="left"/>
      <w:pPr>
        <w:ind w:left="2917" w:hanging="159"/>
      </w:pPr>
      <w:rPr>
        <w:rFonts w:hint="default"/>
        <w:lang w:val="zh-CN" w:eastAsia="zh-CN" w:bidi="zh-CN"/>
      </w:rPr>
    </w:lvl>
    <w:lvl w:ilvl="7">
      <w:start w:val="0"/>
      <w:numFmt w:val="bullet"/>
      <w:lvlText w:val="•"/>
      <w:lvlJc w:val="left"/>
      <w:pPr>
        <w:ind w:left="3356" w:hanging="159"/>
      </w:pPr>
      <w:rPr>
        <w:rFonts w:hint="default"/>
        <w:lang w:val="zh-CN" w:eastAsia="zh-CN" w:bidi="zh-CN"/>
      </w:rPr>
    </w:lvl>
    <w:lvl w:ilvl="8">
      <w:start w:val="0"/>
      <w:numFmt w:val="bullet"/>
      <w:lvlText w:val="•"/>
      <w:lvlJc w:val="left"/>
      <w:pPr>
        <w:ind w:left="3796" w:hanging="159"/>
      </w:pPr>
      <w:rPr>
        <w:rFonts w:hint="default"/>
        <w:lang w:val="zh-CN" w:eastAsia="zh-CN" w:bidi="zh-CN"/>
      </w:rPr>
    </w:lvl>
  </w:abstractNum>
  <w:abstractNum w:abstractNumId="16">
    <w:nsid w:val="18F74015"/>
    <w:multiLevelType w:val="multilevel"/>
    <w:tmpl w:val="18F74015"/>
    <w:lvl w:ilvl="0">
      <w:start w:val="1"/>
      <w:numFmt w:val="decimal"/>
      <w:lvlText w:val="%1."/>
      <w:lvlJc w:val="left"/>
      <w:pPr>
        <w:ind w:left="112"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575" w:hanging="159"/>
      </w:pPr>
      <w:rPr>
        <w:rFonts w:hint="default"/>
        <w:lang w:val="zh-CN" w:eastAsia="zh-CN" w:bidi="zh-CN"/>
      </w:rPr>
    </w:lvl>
    <w:lvl w:ilvl="2">
      <w:start w:val="0"/>
      <w:numFmt w:val="bullet"/>
      <w:lvlText w:val="•"/>
      <w:lvlJc w:val="left"/>
      <w:pPr>
        <w:ind w:left="1031" w:hanging="159"/>
      </w:pPr>
      <w:rPr>
        <w:rFonts w:hint="default"/>
        <w:lang w:val="zh-CN" w:eastAsia="zh-CN" w:bidi="zh-CN"/>
      </w:rPr>
    </w:lvl>
    <w:lvl w:ilvl="3">
      <w:start w:val="0"/>
      <w:numFmt w:val="bullet"/>
      <w:lvlText w:val="•"/>
      <w:lvlJc w:val="left"/>
      <w:pPr>
        <w:ind w:left="1486" w:hanging="159"/>
      </w:pPr>
      <w:rPr>
        <w:rFonts w:hint="default"/>
        <w:lang w:val="zh-CN" w:eastAsia="zh-CN" w:bidi="zh-CN"/>
      </w:rPr>
    </w:lvl>
    <w:lvl w:ilvl="4">
      <w:start w:val="0"/>
      <w:numFmt w:val="bullet"/>
      <w:lvlText w:val="•"/>
      <w:lvlJc w:val="left"/>
      <w:pPr>
        <w:ind w:left="1942" w:hanging="159"/>
      </w:pPr>
      <w:rPr>
        <w:rFonts w:hint="default"/>
        <w:lang w:val="zh-CN" w:eastAsia="zh-CN" w:bidi="zh-CN"/>
      </w:rPr>
    </w:lvl>
    <w:lvl w:ilvl="5">
      <w:start w:val="0"/>
      <w:numFmt w:val="bullet"/>
      <w:lvlText w:val="•"/>
      <w:lvlJc w:val="left"/>
      <w:pPr>
        <w:ind w:left="2397" w:hanging="159"/>
      </w:pPr>
      <w:rPr>
        <w:rFonts w:hint="default"/>
        <w:lang w:val="zh-CN" w:eastAsia="zh-CN" w:bidi="zh-CN"/>
      </w:rPr>
    </w:lvl>
    <w:lvl w:ilvl="6">
      <w:start w:val="0"/>
      <w:numFmt w:val="bullet"/>
      <w:lvlText w:val="•"/>
      <w:lvlJc w:val="left"/>
      <w:pPr>
        <w:ind w:left="2853" w:hanging="159"/>
      </w:pPr>
      <w:rPr>
        <w:rFonts w:hint="default"/>
        <w:lang w:val="zh-CN" w:eastAsia="zh-CN" w:bidi="zh-CN"/>
      </w:rPr>
    </w:lvl>
    <w:lvl w:ilvl="7">
      <w:start w:val="0"/>
      <w:numFmt w:val="bullet"/>
      <w:lvlText w:val="•"/>
      <w:lvlJc w:val="left"/>
      <w:pPr>
        <w:ind w:left="3308" w:hanging="159"/>
      </w:pPr>
      <w:rPr>
        <w:rFonts w:hint="default"/>
        <w:lang w:val="zh-CN" w:eastAsia="zh-CN" w:bidi="zh-CN"/>
      </w:rPr>
    </w:lvl>
    <w:lvl w:ilvl="8">
      <w:start w:val="0"/>
      <w:numFmt w:val="bullet"/>
      <w:lvlText w:val="•"/>
      <w:lvlJc w:val="left"/>
      <w:pPr>
        <w:ind w:left="3764" w:hanging="159"/>
      </w:pPr>
      <w:rPr>
        <w:rFonts w:hint="default"/>
        <w:lang w:val="zh-CN" w:eastAsia="zh-CN" w:bidi="zh-CN"/>
      </w:rPr>
    </w:lvl>
  </w:abstractNum>
  <w:abstractNum w:abstractNumId="17">
    <w:nsid w:val="1BCBBCF0"/>
    <w:multiLevelType w:val="multilevel"/>
    <w:tmpl w:val="1BCBBCF0"/>
    <w:lvl w:ilvl="0">
      <w:start w:val="1"/>
      <w:numFmt w:val="decimal"/>
      <w:lvlText w:val="（%1）"/>
      <w:lvlJc w:val="left"/>
      <w:pPr>
        <w:ind w:left="1418" w:hanging="601"/>
        <w:jc w:val="left"/>
      </w:pPr>
      <w:rPr>
        <w:rFonts w:ascii="宋体" w:eastAsia="宋体" w:hAnsi="宋体" w:cs="宋体" w:hint="default"/>
        <w:spacing w:val="-53"/>
        <w:w w:val="100"/>
        <w:sz w:val="22"/>
        <w:szCs w:val="22"/>
        <w:lang w:val="zh-CN" w:eastAsia="zh-CN" w:bidi="zh-CN"/>
      </w:rPr>
    </w:lvl>
    <w:lvl w:ilvl="1">
      <w:start w:val="0"/>
      <w:numFmt w:val="bullet"/>
      <w:lvlText w:val="•"/>
      <w:lvlJc w:val="left"/>
      <w:pPr>
        <w:ind w:left="2290" w:hanging="601"/>
      </w:pPr>
      <w:rPr>
        <w:rFonts w:hint="default"/>
        <w:lang w:val="zh-CN" w:eastAsia="zh-CN" w:bidi="zh-CN"/>
      </w:rPr>
    </w:lvl>
    <w:lvl w:ilvl="2">
      <w:start w:val="0"/>
      <w:numFmt w:val="bullet"/>
      <w:lvlText w:val="•"/>
      <w:lvlJc w:val="left"/>
      <w:pPr>
        <w:ind w:left="3161" w:hanging="601"/>
      </w:pPr>
      <w:rPr>
        <w:rFonts w:hint="default"/>
        <w:lang w:val="zh-CN" w:eastAsia="zh-CN" w:bidi="zh-CN"/>
      </w:rPr>
    </w:lvl>
    <w:lvl w:ilvl="3">
      <w:start w:val="0"/>
      <w:numFmt w:val="bullet"/>
      <w:lvlText w:val="•"/>
      <w:lvlJc w:val="left"/>
      <w:pPr>
        <w:ind w:left="4032" w:hanging="601"/>
      </w:pPr>
      <w:rPr>
        <w:rFonts w:hint="default"/>
        <w:lang w:val="zh-CN" w:eastAsia="zh-CN" w:bidi="zh-CN"/>
      </w:rPr>
    </w:lvl>
    <w:lvl w:ilvl="4">
      <w:start w:val="0"/>
      <w:numFmt w:val="bullet"/>
      <w:lvlText w:val="•"/>
      <w:lvlJc w:val="left"/>
      <w:pPr>
        <w:ind w:left="4902" w:hanging="601"/>
      </w:pPr>
      <w:rPr>
        <w:rFonts w:hint="default"/>
        <w:lang w:val="zh-CN" w:eastAsia="zh-CN" w:bidi="zh-CN"/>
      </w:rPr>
    </w:lvl>
    <w:lvl w:ilvl="5">
      <w:start w:val="0"/>
      <w:numFmt w:val="bullet"/>
      <w:lvlText w:val="•"/>
      <w:lvlJc w:val="left"/>
      <w:pPr>
        <w:ind w:left="5773" w:hanging="601"/>
      </w:pPr>
      <w:rPr>
        <w:rFonts w:hint="default"/>
        <w:lang w:val="zh-CN" w:eastAsia="zh-CN" w:bidi="zh-CN"/>
      </w:rPr>
    </w:lvl>
    <w:lvl w:ilvl="6">
      <w:start w:val="0"/>
      <w:numFmt w:val="bullet"/>
      <w:lvlText w:val="•"/>
      <w:lvlJc w:val="left"/>
      <w:pPr>
        <w:ind w:left="6644" w:hanging="601"/>
      </w:pPr>
      <w:rPr>
        <w:rFonts w:hint="default"/>
        <w:lang w:val="zh-CN" w:eastAsia="zh-CN" w:bidi="zh-CN"/>
      </w:rPr>
    </w:lvl>
    <w:lvl w:ilvl="7">
      <w:start w:val="0"/>
      <w:numFmt w:val="bullet"/>
      <w:lvlText w:val="•"/>
      <w:lvlJc w:val="left"/>
      <w:pPr>
        <w:ind w:left="7514" w:hanging="601"/>
      </w:pPr>
      <w:rPr>
        <w:rFonts w:hint="default"/>
        <w:lang w:val="zh-CN" w:eastAsia="zh-CN" w:bidi="zh-CN"/>
      </w:rPr>
    </w:lvl>
    <w:lvl w:ilvl="8">
      <w:start w:val="0"/>
      <w:numFmt w:val="bullet"/>
      <w:lvlText w:val="•"/>
      <w:lvlJc w:val="left"/>
      <w:pPr>
        <w:ind w:left="8385" w:hanging="601"/>
      </w:pPr>
      <w:rPr>
        <w:rFonts w:hint="default"/>
        <w:lang w:val="zh-CN" w:eastAsia="zh-CN" w:bidi="zh-CN"/>
      </w:rPr>
    </w:lvl>
  </w:abstractNum>
  <w:abstractNum w:abstractNumId="18">
    <w:nsid w:val="2F2D79CE"/>
    <w:multiLevelType w:val="multilevel"/>
    <w:tmpl w:val="2F2D79CE"/>
    <w:lvl w:ilvl="0">
      <w:start w:val="0"/>
      <w:numFmt w:val="bullet"/>
      <w:lvlText w:val=""/>
      <w:lvlJc w:val="left"/>
      <w:pPr>
        <w:ind w:left="1135" w:hanging="360"/>
      </w:pPr>
      <w:rPr>
        <w:rFonts w:ascii="Wingdings" w:eastAsia="Wingdings" w:hAnsi="Wingdings" w:cs="Wingdings" w:hint="default"/>
        <w:w w:val="100"/>
        <w:sz w:val="24"/>
        <w:szCs w:val="24"/>
        <w:lang w:val="zh-CN" w:eastAsia="zh-CN" w:bidi="zh-CN"/>
      </w:rPr>
    </w:lvl>
    <w:lvl w:ilvl="1">
      <w:start w:val="0"/>
      <w:numFmt w:val="bullet"/>
      <w:lvlText w:val="•"/>
      <w:lvlJc w:val="left"/>
      <w:pPr>
        <w:ind w:left="2038" w:hanging="360"/>
      </w:pPr>
      <w:rPr>
        <w:rFonts w:hint="default"/>
        <w:lang w:val="zh-CN" w:eastAsia="zh-CN" w:bidi="zh-CN"/>
      </w:rPr>
    </w:lvl>
    <w:lvl w:ilvl="2">
      <w:start w:val="0"/>
      <w:numFmt w:val="bullet"/>
      <w:lvlText w:val="•"/>
      <w:lvlJc w:val="left"/>
      <w:pPr>
        <w:ind w:left="2937" w:hanging="360"/>
      </w:pPr>
      <w:rPr>
        <w:rFonts w:hint="default"/>
        <w:lang w:val="zh-CN" w:eastAsia="zh-CN" w:bidi="zh-CN"/>
      </w:rPr>
    </w:lvl>
    <w:lvl w:ilvl="3">
      <w:start w:val="0"/>
      <w:numFmt w:val="bullet"/>
      <w:lvlText w:val="•"/>
      <w:lvlJc w:val="left"/>
      <w:pPr>
        <w:ind w:left="3836" w:hanging="360"/>
      </w:pPr>
      <w:rPr>
        <w:rFonts w:hint="default"/>
        <w:lang w:val="zh-CN" w:eastAsia="zh-CN" w:bidi="zh-CN"/>
      </w:rPr>
    </w:lvl>
    <w:lvl w:ilvl="4">
      <w:start w:val="0"/>
      <w:numFmt w:val="bullet"/>
      <w:lvlText w:val="•"/>
      <w:lvlJc w:val="left"/>
      <w:pPr>
        <w:ind w:left="4734" w:hanging="360"/>
      </w:pPr>
      <w:rPr>
        <w:rFonts w:hint="default"/>
        <w:lang w:val="zh-CN" w:eastAsia="zh-CN" w:bidi="zh-CN"/>
      </w:rPr>
    </w:lvl>
    <w:lvl w:ilvl="5">
      <w:start w:val="0"/>
      <w:numFmt w:val="bullet"/>
      <w:lvlText w:val="•"/>
      <w:lvlJc w:val="left"/>
      <w:pPr>
        <w:ind w:left="5633" w:hanging="360"/>
      </w:pPr>
      <w:rPr>
        <w:rFonts w:hint="default"/>
        <w:lang w:val="zh-CN" w:eastAsia="zh-CN" w:bidi="zh-CN"/>
      </w:rPr>
    </w:lvl>
    <w:lvl w:ilvl="6">
      <w:start w:val="0"/>
      <w:numFmt w:val="bullet"/>
      <w:lvlText w:val="•"/>
      <w:lvlJc w:val="left"/>
      <w:pPr>
        <w:ind w:left="6532" w:hanging="360"/>
      </w:pPr>
      <w:rPr>
        <w:rFonts w:hint="default"/>
        <w:lang w:val="zh-CN" w:eastAsia="zh-CN" w:bidi="zh-CN"/>
      </w:rPr>
    </w:lvl>
    <w:lvl w:ilvl="7">
      <w:start w:val="0"/>
      <w:numFmt w:val="bullet"/>
      <w:lvlText w:val="•"/>
      <w:lvlJc w:val="left"/>
      <w:pPr>
        <w:ind w:left="7430" w:hanging="360"/>
      </w:pPr>
      <w:rPr>
        <w:rFonts w:hint="default"/>
        <w:lang w:val="zh-CN" w:eastAsia="zh-CN" w:bidi="zh-CN"/>
      </w:rPr>
    </w:lvl>
    <w:lvl w:ilvl="8">
      <w:start w:val="0"/>
      <w:numFmt w:val="bullet"/>
      <w:lvlText w:val="•"/>
      <w:lvlJc w:val="left"/>
      <w:pPr>
        <w:ind w:left="8329" w:hanging="360"/>
      </w:pPr>
      <w:rPr>
        <w:rFonts w:hint="default"/>
        <w:lang w:val="zh-CN" w:eastAsia="zh-CN" w:bidi="zh-CN"/>
      </w:rPr>
    </w:lvl>
  </w:abstractNum>
  <w:abstractNum w:abstractNumId="19">
    <w:nsid w:val="30A0AC00"/>
    <w:multiLevelType w:val="multilevel"/>
    <w:tmpl w:val="30A0AC00"/>
    <w:lvl w:ilvl="0">
      <w:start w:val="4"/>
      <w:numFmt w:val="decimal"/>
      <w:lvlText w:val="%1."/>
      <w:lvlJc w:val="left"/>
      <w:pPr>
        <w:ind w:left="112" w:hanging="164"/>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575" w:hanging="164"/>
      </w:pPr>
      <w:rPr>
        <w:rFonts w:hint="default"/>
        <w:lang w:val="zh-CN" w:eastAsia="zh-CN" w:bidi="zh-CN"/>
      </w:rPr>
    </w:lvl>
    <w:lvl w:ilvl="2">
      <w:start w:val="0"/>
      <w:numFmt w:val="bullet"/>
      <w:lvlText w:val="•"/>
      <w:lvlJc w:val="left"/>
      <w:pPr>
        <w:ind w:left="1031" w:hanging="164"/>
      </w:pPr>
      <w:rPr>
        <w:rFonts w:hint="default"/>
        <w:lang w:val="zh-CN" w:eastAsia="zh-CN" w:bidi="zh-CN"/>
      </w:rPr>
    </w:lvl>
    <w:lvl w:ilvl="3">
      <w:start w:val="0"/>
      <w:numFmt w:val="bullet"/>
      <w:lvlText w:val="•"/>
      <w:lvlJc w:val="left"/>
      <w:pPr>
        <w:ind w:left="1486" w:hanging="164"/>
      </w:pPr>
      <w:rPr>
        <w:rFonts w:hint="default"/>
        <w:lang w:val="zh-CN" w:eastAsia="zh-CN" w:bidi="zh-CN"/>
      </w:rPr>
    </w:lvl>
    <w:lvl w:ilvl="4">
      <w:start w:val="0"/>
      <w:numFmt w:val="bullet"/>
      <w:lvlText w:val="•"/>
      <w:lvlJc w:val="left"/>
      <w:pPr>
        <w:ind w:left="1942" w:hanging="164"/>
      </w:pPr>
      <w:rPr>
        <w:rFonts w:hint="default"/>
        <w:lang w:val="zh-CN" w:eastAsia="zh-CN" w:bidi="zh-CN"/>
      </w:rPr>
    </w:lvl>
    <w:lvl w:ilvl="5">
      <w:start w:val="0"/>
      <w:numFmt w:val="bullet"/>
      <w:lvlText w:val="•"/>
      <w:lvlJc w:val="left"/>
      <w:pPr>
        <w:ind w:left="2397" w:hanging="164"/>
      </w:pPr>
      <w:rPr>
        <w:rFonts w:hint="default"/>
        <w:lang w:val="zh-CN" w:eastAsia="zh-CN" w:bidi="zh-CN"/>
      </w:rPr>
    </w:lvl>
    <w:lvl w:ilvl="6">
      <w:start w:val="0"/>
      <w:numFmt w:val="bullet"/>
      <w:lvlText w:val="•"/>
      <w:lvlJc w:val="left"/>
      <w:pPr>
        <w:ind w:left="2853" w:hanging="164"/>
      </w:pPr>
      <w:rPr>
        <w:rFonts w:hint="default"/>
        <w:lang w:val="zh-CN" w:eastAsia="zh-CN" w:bidi="zh-CN"/>
      </w:rPr>
    </w:lvl>
    <w:lvl w:ilvl="7">
      <w:start w:val="0"/>
      <w:numFmt w:val="bullet"/>
      <w:lvlText w:val="•"/>
      <w:lvlJc w:val="left"/>
      <w:pPr>
        <w:ind w:left="3308" w:hanging="164"/>
      </w:pPr>
      <w:rPr>
        <w:rFonts w:hint="default"/>
        <w:lang w:val="zh-CN" w:eastAsia="zh-CN" w:bidi="zh-CN"/>
      </w:rPr>
    </w:lvl>
    <w:lvl w:ilvl="8">
      <w:start w:val="0"/>
      <w:numFmt w:val="bullet"/>
      <w:lvlText w:val="•"/>
      <w:lvlJc w:val="left"/>
      <w:pPr>
        <w:ind w:left="3764" w:hanging="164"/>
      </w:pPr>
      <w:rPr>
        <w:rFonts w:hint="default"/>
        <w:lang w:val="zh-CN" w:eastAsia="zh-CN" w:bidi="zh-CN"/>
      </w:rPr>
    </w:lvl>
  </w:abstractNum>
  <w:abstractNum w:abstractNumId="20">
    <w:nsid w:val="59EEFD2A"/>
    <w:multiLevelType w:val="multilevel"/>
    <w:tmpl w:val="59EEFD2A"/>
    <w:lvl w:ilvl="0">
      <w:start w:val="1"/>
      <w:numFmt w:val="decimal"/>
      <w:lvlText w:val="（%1）"/>
      <w:lvlJc w:val="left"/>
      <w:pPr>
        <w:ind w:left="1130" w:hanging="617"/>
        <w:jc w:val="left"/>
      </w:pPr>
      <w:rPr>
        <w:rFonts w:ascii="宋体" w:eastAsia="宋体" w:hAnsi="宋体" w:cs="宋体" w:hint="default"/>
        <w:b/>
        <w:bCs/>
        <w:w w:val="99"/>
        <w:sz w:val="22"/>
        <w:szCs w:val="22"/>
        <w:lang w:val="zh-CN" w:eastAsia="zh-CN" w:bidi="zh-CN"/>
      </w:rPr>
    </w:lvl>
    <w:lvl w:ilvl="1">
      <w:start w:val="0"/>
      <w:numFmt w:val="bullet"/>
      <w:lvlText w:val="•"/>
      <w:lvlJc w:val="left"/>
      <w:pPr>
        <w:ind w:left="1898" w:hanging="617"/>
      </w:pPr>
      <w:rPr>
        <w:rFonts w:hint="default"/>
        <w:lang w:val="zh-CN" w:eastAsia="zh-CN" w:bidi="zh-CN"/>
      </w:rPr>
    </w:lvl>
    <w:lvl w:ilvl="2">
      <w:start w:val="0"/>
      <w:numFmt w:val="bullet"/>
      <w:lvlText w:val="•"/>
      <w:lvlJc w:val="left"/>
      <w:pPr>
        <w:ind w:left="2657" w:hanging="617"/>
      </w:pPr>
      <w:rPr>
        <w:rFonts w:hint="default"/>
        <w:lang w:val="zh-CN" w:eastAsia="zh-CN" w:bidi="zh-CN"/>
      </w:rPr>
    </w:lvl>
    <w:lvl w:ilvl="3">
      <w:start w:val="0"/>
      <w:numFmt w:val="bullet"/>
      <w:lvlText w:val="•"/>
      <w:lvlJc w:val="left"/>
      <w:pPr>
        <w:ind w:left="3415" w:hanging="617"/>
      </w:pPr>
      <w:rPr>
        <w:rFonts w:hint="default"/>
        <w:lang w:val="zh-CN" w:eastAsia="zh-CN" w:bidi="zh-CN"/>
      </w:rPr>
    </w:lvl>
    <w:lvl w:ilvl="4">
      <w:start w:val="0"/>
      <w:numFmt w:val="bullet"/>
      <w:lvlText w:val="•"/>
      <w:lvlJc w:val="left"/>
      <w:pPr>
        <w:ind w:left="4174" w:hanging="617"/>
      </w:pPr>
      <w:rPr>
        <w:rFonts w:hint="default"/>
        <w:lang w:val="zh-CN" w:eastAsia="zh-CN" w:bidi="zh-CN"/>
      </w:rPr>
    </w:lvl>
    <w:lvl w:ilvl="5">
      <w:start w:val="0"/>
      <w:numFmt w:val="bullet"/>
      <w:lvlText w:val="•"/>
      <w:lvlJc w:val="left"/>
      <w:pPr>
        <w:ind w:left="4933" w:hanging="617"/>
      </w:pPr>
      <w:rPr>
        <w:rFonts w:hint="default"/>
        <w:lang w:val="zh-CN" w:eastAsia="zh-CN" w:bidi="zh-CN"/>
      </w:rPr>
    </w:lvl>
    <w:lvl w:ilvl="6">
      <w:start w:val="0"/>
      <w:numFmt w:val="bullet"/>
      <w:lvlText w:val="•"/>
      <w:lvlJc w:val="left"/>
      <w:pPr>
        <w:ind w:left="5691" w:hanging="617"/>
      </w:pPr>
      <w:rPr>
        <w:rFonts w:hint="default"/>
        <w:lang w:val="zh-CN" w:eastAsia="zh-CN" w:bidi="zh-CN"/>
      </w:rPr>
    </w:lvl>
    <w:lvl w:ilvl="7">
      <w:start w:val="0"/>
      <w:numFmt w:val="bullet"/>
      <w:lvlText w:val="•"/>
      <w:lvlJc w:val="left"/>
      <w:pPr>
        <w:ind w:left="6450" w:hanging="617"/>
      </w:pPr>
      <w:rPr>
        <w:rFonts w:hint="default"/>
        <w:lang w:val="zh-CN" w:eastAsia="zh-CN" w:bidi="zh-CN"/>
      </w:rPr>
    </w:lvl>
    <w:lvl w:ilvl="8">
      <w:start w:val="0"/>
      <w:numFmt w:val="bullet"/>
      <w:lvlText w:val="•"/>
      <w:lvlJc w:val="left"/>
      <w:pPr>
        <w:ind w:left="7208" w:hanging="617"/>
      </w:pPr>
      <w:rPr>
        <w:rFonts w:hint="default"/>
        <w:lang w:val="zh-CN" w:eastAsia="zh-CN" w:bidi="zh-CN"/>
      </w:rPr>
    </w:lvl>
  </w:abstractNum>
  <w:abstractNum w:abstractNumId="21">
    <w:nsid w:val="5EB9E435"/>
    <w:multiLevelType w:val="multilevel"/>
    <w:tmpl w:val="E504947C"/>
    <w:lvl w:ilvl="0">
      <w:start w:val="1"/>
      <w:numFmt w:val="decimal"/>
      <w:lvlText w:val="（%1）"/>
      <w:lvlJc w:val="left"/>
      <w:pPr>
        <w:ind w:left="1194"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58" w:hanging="601"/>
      </w:pPr>
      <w:rPr>
        <w:rFonts w:hint="default"/>
        <w:lang w:val="zh-CN" w:eastAsia="zh-CN" w:bidi="zh-CN"/>
      </w:rPr>
    </w:lvl>
    <w:lvl w:ilvl="2">
      <w:start w:val="0"/>
      <w:numFmt w:val="bullet"/>
      <w:lvlText w:val="•"/>
      <w:lvlJc w:val="left"/>
      <w:pPr>
        <w:ind w:left="2717" w:hanging="601"/>
      </w:pPr>
      <w:rPr>
        <w:rFonts w:hint="default"/>
        <w:lang w:val="zh-CN" w:eastAsia="zh-CN" w:bidi="zh-CN"/>
      </w:rPr>
    </w:lvl>
    <w:lvl w:ilvl="3">
      <w:start w:val="0"/>
      <w:numFmt w:val="bullet"/>
      <w:lvlText w:val="•"/>
      <w:lvlJc w:val="left"/>
      <w:pPr>
        <w:ind w:left="3476" w:hanging="601"/>
      </w:pPr>
      <w:rPr>
        <w:rFonts w:hint="default"/>
        <w:lang w:val="zh-CN" w:eastAsia="zh-CN" w:bidi="zh-CN"/>
      </w:rPr>
    </w:lvl>
    <w:lvl w:ilvl="4">
      <w:start w:val="0"/>
      <w:numFmt w:val="bullet"/>
      <w:lvlText w:val="•"/>
      <w:lvlJc w:val="left"/>
      <w:pPr>
        <w:ind w:left="4235" w:hanging="601"/>
      </w:pPr>
      <w:rPr>
        <w:rFonts w:hint="default"/>
        <w:lang w:val="zh-CN" w:eastAsia="zh-CN" w:bidi="zh-CN"/>
      </w:rPr>
    </w:lvl>
    <w:lvl w:ilvl="5">
      <w:start w:val="0"/>
      <w:numFmt w:val="bullet"/>
      <w:lvlText w:val="•"/>
      <w:lvlJc w:val="left"/>
      <w:pPr>
        <w:ind w:left="4994" w:hanging="601"/>
      </w:pPr>
      <w:rPr>
        <w:rFonts w:hint="default"/>
        <w:lang w:val="zh-CN" w:eastAsia="zh-CN" w:bidi="zh-CN"/>
      </w:rPr>
    </w:lvl>
    <w:lvl w:ilvl="6">
      <w:start w:val="0"/>
      <w:numFmt w:val="bullet"/>
      <w:lvlText w:val="•"/>
      <w:lvlJc w:val="left"/>
      <w:pPr>
        <w:ind w:left="5753" w:hanging="601"/>
      </w:pPr>
      <w:rPr>
        <w:rFonts w:hint="default"/>
        <w:lang w:val="zh-CN" w:eastAsia="zh-CN" w:bidi="zh-CN"/>
      </w:rPr>
    </w:lvl>
    <w:lvl w:ilvl="7">
      <w:start w:val="0"/>
      <w:numFmt w:val="bullet"/>
      <w:lvlText w:val="•"/>
      <w:lvlJc w:val="left"/>
      <w:pPr>
        <w:ind w:left="6512" w:hanging="601"/>
      </w:pPr>
      <w:rPr>
        <w:rFonts w:hint="default"/>
        <w:lang w:val="zh-CN" w:eastAsia="zh-CN" w:bidi="zh-CN"/>
      </w:rPr>
    </w:lvl>
    <w:lvl w:ilvl="8">
      <w:start w:val="0"/>
      <w:numFmt w:val="bullet"/>
      <w:lvlText w:val="•"/>
      <w:lvlJc w:val="left"/>
      <w:pPr>
        <w:ind w:left="7271" w:hanging="601"/>
      </w:pPr>
      <w:rPr>
        <w:rFonts w:hint="default"/>
        <w:lang w:val="zh-CN" w:eastAsia="zh-CN" w:bidi="zh-CN"/>
      </w:rPr>
    </w:lvl>
  </w:abstractNum>
  <w:abstractNum w:abstractNumId="22">
    <w:nsid w:val="700FDCEF"/>
    <w:multiLevelType w:val="multilevel"/>
    <w:tmpl w:val="700FDCEF"/>
    <w:lvl w:ilvl="0">
      <w:start w:val="1"/>
      <w:numFmt w:val="decimal"/>
      <w:lvlText w:val="%1"/>
      <w:lvlJc w:val="left"/>
      <w:pPr>
        <w:ind w:left="1704" w:hanging="356"/>
        <w:jc w:val="left"/>
      </w:pPr>
      <w:rPr>
        <w:rFonts w:ascii="Times New Roman" w:eastAsia="Times New Roman" w:hAnsi="Times New Roman" w:cs="Times New Roman" w:hint="default"/>
        <w:w w:val="99"/>
        <w:position w:val="-10"/>
        <w:sz w:val="21"/>
        <w:szCs w:val="21"/>
        <w:lang w:val="zh-CN" w:eastAsia="zh-CN" w:bidi="zh-CN"/>
      </w:rPr>
    </w:lvl>
    <w:lvl w:ilvl="1">
      <w:start w:val="1"/>
      <w:numFmt w:val="upperLetter"/>
      <w:lvlText w:val="%2."/>
      <w:lvlJc w:val="left"/>
      <w:pPr>
        <w:ind w:left="1827" w:hanging="234"/>
        <w:jc w:val="left"/>
      </w:pPr>
      <w:rPr>
        <w:rFonts w:ascii="Times New Roman" w:eastAsia="Times New Roman" w:hAnsi="Times New Roman" w:cs="Times New Roman" w:hint="default"/>
        <w:spacing w:val="-1"/>
        <w:w w:val="100"/>
        <w:sz w:val="22"/>
        <w:szCs w:val="22"/>
        <w:lang w:val="zh-CN" w:eastAsia="zh-CN" w:bidi="zh-CN"/>
      </w:rPr>
    </w:lvl>
    <w:lvl w:ilvl="2">
      <w:start w:val="0"/>
      <w:numFmt w:val="bullet"/>
      <w:lvlText w:val="•"/>
      <w:lvlJc w:val="left"/>
      <w:pPr>
        <w:ind w:left="2743" w:hanging="234"/>
      </w:pPr>
      <w:rPr>
        <w:rFonts w:hint="default"/>
        <w:lang w:val="zh-CN" w:eastAsia="zh-CN" w:bidi="zh-CN"/>
      </w:rPr>
    </w:lvl>
    <w:lvl w:ilvl="3">
      <w:start w:val="0"/>
      <w:numFmt w:val="bullet"/>
      <w:lvlText w:val="•"/>
      <w:lvlJc w:val="left"/>
      <w:pPr>
        <w:ind w:left="3666" w:hanging="234"/>
      </w:pPr>
      <w:rPr>
        <w:rFonts w:hint="default"/>
        <w:lang w:val="zh-CN" w:eastAsia="zh-CN" w:bidi="zh-CN"/>
      </w:rPr>
    </w:lvl>
    <w:lvl w:ilvl="4">
      <w:start w:val="0"/>
      <w:numFmt w:val="bullet"/>
      <w:lvlText w:val="•"/>
      <w:lvlJc w:val="left"/>
      <w:pPr>
        <w:ind w:left="4589" w:hanging="234"/>
      </w:pPr>
      <w:rPr>
        <w:rFonts w:hint="default"/>
        <w:lang w:val="zh-CN" w:eastAsia="zh-CN" w:bidi="zh-CN"/>
      </w:rPr>
    </w:lvl>
    <w:lvl w:ilvl="5">
      <w:start w:val="0"/>
      <w:numFmt w:val="bullet"/>
      <w:lvlText w:val="•"/>
      <w:lvlJc w:val="left"/>
      <w:pPr>
        <w:ind w:left="5512" w:hanging="234"/>
      </w:pPr>
      <w:rPr>
        <w:rFonts w:hint="default"/>
        <w:lang w:val="zh-CN" w:eastAsia="zh-CN" w:bidi="zh-CN"/>
      </w:rPr>
    </w:lvl>
    <w:lvl w:ilvl="6">
      <w:start w:val="0"/>
      <w:numFmt w:val="bullet"/>
      <w:lvlText w:val="•"/>
      <w:lvlJc w:val="left"/>
      <w:pPr>
        <w:ind w:left="6435" w:hanging="234"/>
      </w:pPr>
      <w:rPr>
        <w:rFonts w:hint="default"/>
        <w:lang w:val="zh-CN" w:eastAsia="zh-CN" w:bidi="zh-CN"/>
      </w:rPr>
    </w:lvl>
    <w:lvl w:ilvl="7">
      <w:start w:val="0"/>
      <w:numFmt w:val="bullet"/>
      <w:lvlText w:val="•"/>
      <w:lvlJc w:val="left"/>
      <w:pPr>
        <w:ind w:left="7358" w:hanging="234"/>
      </w:pPr>
      <w:rPr>
        <w:rFonts w:hint="default"/>
        <w:lang w:val="zh-CN" w:eastAsia="zh-CN" w:bidi="zh-CN"/>
      </w:rPr>
    </w:lvl>
    <w:lvl w:ilvl="8">
      <w:start w:val="0"/>
      <w:numFmt w:val="bullet"/>
      <w:lvlText w:val="•"/>
      <w:lvlJc w:val="left"/>
      <w:pPr>
        <w:ind w:left="8281" w:hanging="234"/>
      </w:pPr>
      <w:rPr>
        <w:rFonts w:hint="default"/>
        <w:lang w:val="zh-CN" w:eastAsia="zh-CN" w:bidi="zh-CN"/>
      </w:rPr>
    </w:lvl>
  </w:abstractNum>
  <w:abstractNum w:abstractNumId="23">
    <w:nsid w:val="77633216"/>
    <w:multiLevelType w:val="multilevel"/>
    <w:tmpl w:val="77633216"/>
    <w:lvl w:ilvl="0">
      <w:start w:val="1"/>
      <w:numFmt w:val="decimal"/>
      <w:lvlText w:val="（%1）"/>
      <w:lvlJc w:val="left"/>
      <w:pPr>
        <w:ind w:left="1135" w:hanging="601"/>
        <w:jc w:val="left"/>
      </w:pPr>
      <w:rPr>
        <w:rFonts w:ascii="宋体" w:eastAsia="宋体" w:hAnsi="宋体" w:cs="宋体" w:hint="default"/>
        <w:spacing w:val="-17"/>
        <w:w w:val="100"/>
        <w:sz w:val="22"/>
        <w:szCs w:val="22"/>
        <w:lang w:val="zh-CN" w:eastAsia="zh-CN" w:bidi="zh-CN"/>
      </w:rPr>
    </w:lvl>
    <w:lvl w:ilvl="1">
      <w:start w:val="0"/>
      <w:numFmt w:val="bullet"/>
      <w:lvlText w:val="•"/>
      <w:lvlJc w:val="left"/>
      <w:pPr>
        <w:ind w:left="2038" w:hanging="601"/>
      </w:pPr>
      <w:rPr>
        <w:rFonts w:hint="default"/>
        <w:lang w:val="zh-CN" w:eastAsia="zh-CN" w:bidi="zh-CN"/>
      </w:rPr>
    </w:lvl>
    <w:lvl w:ilvl="2">
      <w:start w:val="0"/>
      <w:numFmt w:val="bullet"/>
      <w:lvlText w:val="•"/>
      <w:lvlJc w:val="left"/>
      <w:pPr>
        <w:ind w:left="2937" w:hanging="601"/>
      </w:pPr>
      <w:rPr>
        <w:rFonts w:hint="default"/>
        <w:lang w:val="zh-CN" w:eastAsia="zh-CN" w:bidi="zh-CN"/>
      </w:rPr>
    </w:lvl>
    <w:lvl w:ilvl="3">
      <w:start w:val="0"/>
      <w:numFmt w:val="bullet"/>
      <w:lvlText w:val="•"/>
      <w:lvlJc w:val="left"/>
      <w:pPr>
        <w:ind w:left="3836" w:hanging="601"/>
      </w:pPr>
      <w:rPr>
        <w:rFonts w:hint="default"/>
        <w:lang w:val="zh-CN" w:eastAsia="zh-CN" w:bidi="zh-CN"/>
      </w:rPr>
    </w:lvl>
    <w:lvl w:ilvl="4">
      <w:start w:val="0"/>
      <w:numFmt w:val="bullet"/>
      <w:lvlText w:val="•"/>
      <w:lvlJc w:val="left"/>
      <w:pPr>
        <w:ind w:left="4734" w:hanging="601"/>
      </w:pPr>
      <w:rPr>
        <w:rFonts w:hint="default"/>
        <w:lang w:val="zh-CN" w:eastAsia="zh-CN" w:bidi="zh-CN"/>
      </w:rPr>
    </w:lvl>
    <w:lvl w:ilvl="5">
      <w:start w:val="0"/>
      <w:numFmt w:val="bullet"/>
      <w:lvlText w:val="•"/>
      <w:lvlJc w:val="left"/>
      <w:pPr>
        <w:ind w:left="5633" w:hanging="601"/>
      </w:pPr>
      <w:rPr>
        <w:rFonts w:hint="default"/>
        <w:lang w:val="zh-CN" w:eastAsia="zh-CN" w:bidi="zh-CN"/>
      </w:rPr>
    </w:lvl>
    <w:lvl w:ilvl="6">
      <w:start w:val="0"/>
      <w:numFmt w:val="bullet"/>
      <w:lvlText w:val="•"/>
      <w:lvlJc w:val="left"/>
      <w:pPr>
        <w:ind w:left="6532" w:hanging="601"/>
      </w:pPr>
      <w:rPr>
        <w:rFonts w:hint="default"/>
        <w:lang w:val="zh-CN" w:eastAsia="zh-CN" w:bidi="zh-CN"/>
      </w:rPr>
    </w:lvl>
    <w:lvl w:ilvl="7">
      <w:start w:val="0"/>
      <w:numFmt w:val="bullet"/>
      <w:lvlText w:val="•"/>
      <w:lvlJc w:val="left"/>
      <w:pPr>
        <w:ind w:left="7430" w:hanging="601"/>
      </w:pPr>
      <w:rPr>
        <w:rFonts w:hint="default"/>
        <w:lang w:val="zh-CN" w:eastAsia="zh-CN" w:bidi="zh-CN"/>
      </w:rPr>
    </w:lvl>
    <w:lvl w:ilvl="8">
      <w:start w:val="0"/>
      <w:numFmt w:val="bullet"/>
      <w:lvlText w:val="•"/>
      <w:lvlJc w:val="left"/>
      <w:pPr>
        <w:ind w:left="8329" w:hanging="601"/>
      </w:pPr>
      <w:rPr>
        <w:rFonts w:hint="default"/>
        <w:lang w:val="zh-CN" w:eastAsia="zh-CN" w:bidi="zh-CN"/>
      </w:rPr>
    </w:lvl>
  </w:abstractNum>
  <w:num w:numId="1">
    <w:abstractNumId w:val="5"/>
  </w:num>
  <w:num w:numId="2">
    <w:abstractNumId w:val="14"/>
  </w:num>
  <w:num w:numId="3">
    <w:abstractNumId w:val="19"/>
  </w:num>
  <w:num w:numId="4">
    <w:abstractNumId w:val="15"/>
  </w:num>
  <w:num w:numId="5">
    <w:abstractNumId w:val="16"/>
  </w:num>
  <w:num w:numId="6">
    <w:abstractNumId w:val="22"/>
  </w:num>
  <w:num w:numId="7">
    <w:abstractNumId w:val="12"/>
  </w:num>
  <w:num w:numId="8">
    <w:abstractNumId w:val="10"/>
  </w:num>
  <w:num w:numId="9">
    <w:abstractNumId w:val="4"/>
  </w:num>
  <w:num w:numId="10">
    <w:abstractNumId w:val="23"/>
  </w:num>
  <w:num w:numId="11">
    <w:abstractNumId w:val="11"/>
  </w:num>
  <w:num w:numId="12">
    <w:abstractNumId w:val="8"/>
  </w:num>
  <w:num w:numId="13">
    <w:abstractNumId w:val="18"/>
  </w:num>
  <w:num w:numId="14">
    <w:abstractNumId w:val="13"/>
  </w:num>
  <w:num w:numId="15">
    <w:abstractNumId w:val="2"/>
  </w:num>
  <w:num w:numId="16">
    <w:abstractNumId w:val="20"/>
  </w:num>
  <w:num w:numId="17">
    <w:abstractNumId w:val="9"/>
  </w:num>
  <w:num w:numId="18">
    <w:abstractNumId w:val="7"/>
  </w:num>
  <w:num w:numId="19">
    <w:abstractNumId w:val="1"/>
  </w:num>
  <w:num w:numId="20">
    <w:abstractNumId w:val="3"/>
  </w:num>
  <w:num w:numId="21">
    <w:abstractNumId w:val="6"/>
  </w:num>
  <w:num w:numId="22">
    <w:abstractNumId w:val="0"/>
  </w:num>
  <w:num w:numId="23">
    <w:abstractNumId w:val="17"/>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6946EC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ind w:left="220"/>
      <w:outlineLvl w:val="0"/>
    </w:pPr>
    <w:rPr>
      <w:rFonts w:ascii="仿宋" w:eastAsia="仿宋" w:hAnsi="仿宋" w:cs="仿宋"/>
      <w:b/>
      <w:bCs/>
      <w:sz w:val="44"/>
      <w:szCs w:val="44"/>
      <w:lang w:val="zh-CN" w:eastAsia="zh-CN" w:bidi="zh-CN"/>
    </w:rPr>
  </w:style>
  <w:style w:type="paragraph" w:styleId="Heading2">
    <w:name w:val="heading 2"/>
    <w:basedOn w:val="Normal"/>
    <w:next w:val="Normal"/>
    <w:uiPriority w:val="1"/>
    <w:qFormat/>
    <w:pPr>
      <w:ind w:left="220"/>
      <w:outlineLvl w:val="1"/>
    </w:pPr>
    <w:rPr>
      <w:rFonts w:ascii="仿宋" w:eastAsia="仿宋" w:hAnsi="仿宋" w:cs="仿宋"/>
      <w:sz w:val="32"/>
      <w:szCs w:val="32"/>
      <w:lang w:val="zh-CN" w:eastAsia="zh-CN" w:bidi="zh-CN"/>
    </w:rPr>
  </w:style>
  <w:style w:type="paragraph" w:styleId="Heading3">
    <w:name w:val="heading 3"/>
    <w:basedOn w:val="Normal"/>
    <w:next w:val="Normal"/>
    <w:uiPriority w:val="1"/>
    <w:qFormat/>
    <w:pPr>
      <w:spacing w:before="107"/>
      <w:ind w:left="1074" w:right="1096"/>
      <w:jc w:val="center"/>
      <w:outlineLvl w:val="2"/>
    </w:pPr>
    <w:rPr>
      <w:rFonts w:ascii="黑体" w:eastAsia="黑体" w:hAnsi="黑体" w:cs="黑体"/>
      <w:sz w:val="30"/>
      <w:szCs w:val="30"/>
      <w:lang w:val="zh-CN" w:eastAsia="zh-CN" w:bidi="zh-CN"/>
    </w:rPr>
  </w:style>
  <w:style w:type="paragraph" w:styleId="Heading4">
    <w:name w:val="heading 4"/>
    <w:basedOn w:val="Normal"/>
    <w:next w:val="Normal"/>
    <w:uiPriority w:val="1"/>
    <w:qFormat/>
    <w:pPr>
      <w:spacing w:before="186"/>
      <w:ind w:left="659"/>
      <w:outlineLvl w:val="3"/>
    </w:pPr>
    <w:rPr>
      <w:rFonts w:ascii="宋体" w:eastAsia="宋体" w:hAnsi="宋体" w:cs="宋体"/>
      <w:sz w:val="28"/>
      <w:szCs w:val="28"/>
      <w:lang w:val="zh-CN" w:eastAsia="zh-CN" w:bidi="zh-CN"/>
    </w:rPr>
  </w:style>
  <w:style w:type="paragraph" w:styleId="Heading5">
    <w:name w:val="heading 5"/>
    <w:basedOn w:val="Normal"/>
    <w:next w:val="Normal"/>
    <w:uiPriority w:val="1"/>
    <w:qFormat/>
    <w:pPr>
      <w:ind w:left="1615"/>
      <w:outlineLvl w:val="4"/>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135" w:firstLine="480"/>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hyperlink" Target="https://d.book118.com/777051004035006046"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baike.baidu.com/item/%E6%B0%A7%E5%8C%96%E6%80%A7/4826093?fromModule=lemma_inlink" TargetMode="External" /><Relationship Id="rId6" Type="http://schemas.openxmlformats.org/officeDocument/2006/relationships/hyperlink" Target="https://baike.baidu.com/item/%E5%BC%BA%E9%85%B8/10424255?fromModule=lemma_inlink" TargetMode="External" /><Relationship Id="rId7" Type="http://schemas.openxmlformats.org/officeDocument/2006/relationships/hyperlink" Target="https://baike.baidu.com/item/%E5%8C%96%E5%B7%A5%E5%8E%9F%E6%96%99/5139172?fromModule=lemma_inlink" TargetMode="External" /><Relationship Id="rId8" Type="http://schemas.openxmlformats.org/officeDocument/2006/relationships/image" Target="media/image1.jpeg" /><Relationship Id="rId9"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8"/>
    <customShpInfo spid="_x0000_s1029"/>
    <customShpInfo spid="_x0000_s1030"/>
    <customShpInfo spid="_x0000_s1031"/>
    <customShpInfo spid="_x0000_s1032"/>
    <customShpInfo spid="_x0000_s1027"/>
    <customShpInfo spid="_x0000_s1033"/>
    <customShpInfo spid="_x0000_s1034"/>
    <customShpInfo spid="_x0000_s1035"/>
    <customShpInfo spid="_x0000_s1036"/>
    <customShpInfo spid="_x0000_s1037"/>
    <customShpInfo spid="_x0000_s1038"/>
    <customShpInfo spid="_x0000_s1040"/>
    <customShpInfo spid="_x0000_s1041"/>
    <customShpInfo spid="_x0000_s1039"/>
    <customShpInfo spid="_x0000_s1043"/>
    <customShpInfo spid="_x0000_s1044"/>
    <customShpInfo spid="_x0000_s1042"/>
    <customShpInfo spid="_x0000_s1046"/>
    <customShpInfo spid="_x0000_s1047"/>
    <customShpInfo spid="_x0000_s1045"/>
    <customShpInfo spid="_x0000_s1049"/>
    <customShpInfo spid="_x0000_s1050"/>
    <customShpInfo spid="_x0000_s1051"/>
    <customShpInfo spid="_x0000_s1048"/>
    <customShpInfo spid="_x0000_s1053"/>
    <customShpInfo spid="_x0000_s1054"/>
    <customShpInfo spid="_x0000_s1052"/>
    <customShpInfo spid="_x0000_s1056"/>
    <customShpInfo spid="_x0000_s1057"/>
    <customShpInfo spid="_x0000_s1055"/>
    <customShpInfo spid="_x0000_s1059"/>
    <customShpInfo spid="_x0000_s1060"/>
    <customShpInfo spid="_x0000_s1058"/>
    <customShpInfo spid="_x0000_s1062"/>
    <customShpInfo spid="_x0000_s1063"/>
    <customShpInfo spid="_x0000_s1061"/>
    <customShpInfo spid="_x0000_s1064"/>
    <customShpInfo spid="_x0000_s1066"/>
    <customShpInfo spid="_x0000_s1067"/>
    <customShpInfo spid="_x0000_s1065"/>
    <customShpInfo spid="_x0000_s1069"/>
    <customShpInfo spid="_x0000_s1070"/>
    <customShpInfo spid="_x0000_s1068"/>
    <customShpInfo spid="_x0000_s1071"/>
    <customShpInfo spid="_x0000_s1073"/>
    <customShpInfo spid="_x0000_s1074"/>
    <customShpInfo spid="_x0000_s1075"/>
    <customShpInfo spid="_x0000_s1072"/>
    <customShpInfo spid="_x0000_s1076"/>
    <customShpInfo spid="_x0000_s1077"/>
    <customShpInfo spid="_x0000_s1078"/>
    <customShpInfo spid="_x0000_s1079"/>
    <customShpInfo spid="_x0000_s1080"/>
    <customShpInfo spid="_x0000_s1081"/>
    <customShpInfo spid="_x0000_s1083"/>
    <customShpInfo spid="_x0000_s1084"/>
    <customShpInfo spid="_x0000_s1082"/>
    <customShpInfo spid="_x0000_s1086"/>
    <customShpInfo spid="_x0000_s1087"/>
    <customShpInfo spid="_x0000_s1085"/>
    <customShpInfo spid="_x0000_s1089"/>
    <customShpInfo spid="_x0000_s1090"/>
    <customShpInfo spid="_x0000_s1088"/>
    <customShpInfo spid="_x0000_s1091"/>
    <customShpInfo spid="_x0000_s1092"/>
    <customShpInfo spid="_x0000_s1094"/>
    <customShpInfo spid="_x0000_s1095"/>
    <customShpInfo spid="_x0000_s1093"/>
    <customShpInfo spid="_x0000_s1097"/>
    <customShpInfo spid="_x0000_s1098"/>
    <customShpInfo spid="_x0000_s1096"/>
    <customShpInfo spid="_x0000_s1099"/>
    <customShpInfo spid="_x0000_s1100"/>
    <customShpInfo spid="_x0000_s1101"/>
    <customShpInfo spid="_x0000_s1102"/>
    <customShpInfo spid="_x0000_s1103"/>
    <customShpInfo spid="_x0000_s1104"/>
    <customShpInfo spid="_x0000_s1105"/>
    <customShpInfo spid="_x0000_s1107"/>
    <customShpInfo spid="_x0000_s1108"/>
    <customShpInfo spid="_x0000_s1109"/>
    <customShpInfo spid="_x0000_s1110"/>
    <customShpInfo spid="_x0000_s1111"/>
    <customShpInfo spid="_x0000_s1106"/>
    <customShpInfo spid="_x0000_s1112"/>
    <customShpInfo spid="_x0000_s1113"/>
    <customShpInfo spid="_x0000_s1115"/>
    <customShpInfo spid="_x0000_s1116"/>
    <customShpInfo spid="_x0000_s1114"/>
    <customShpInfo spid="_x0000_s1118"/>
    <customShpInfo spid="_x0000_s1119"/>
    <customShpInfo spid="_x0000_s1117"/>
    <customShpInfo spid="_x0000_s1121"/>
    <customShpInfo spid="_x0000_s1122"/>
    <customShpInfo spid="_x0000_s1120"/>
    <customShpInfo spid="_x0000_s1124"/>
    <customShpInfo spid="_x0000_s1125"/>
    <customShpInfo spid="_x0000_s1123"/>
    <customShpInfo spid="_x0000_s1127"/>
    <customShpInfo spid="_x0000_s1128"/>
    <customShpInfo spid="_x0000_s1126"/>
    <customShpInfo spid="_x0000_s1129"/>
    <customShpInfo spid="_x0000_s1131"/>
    <customShpInfo spid="_x0000_s1132"/>
    <customShpInfo spid="_x0000_s1130"/>
    <customShpInfo spid="_x0000_s1133"/>
    <customShpInfo spid="_x0000_s1134"/>
    <customShpInfo spid="_x0000_s1135"/>
    <customShpInfo spid="_x0000_s1136"/>
    <customShpInfo spid="_x0000_s1137"/>
    <customShpInfo spid="_x0000_s1139"/>
    <customShpInfo spid="_x0000_s1140"/>
    <customShpInfo spid="_x0000_s1138"/>
    <customShpInfo spid="_x0000_s1142"/>
    <customShpInfo spid="_x0000_s1143"/>
    <customShpInfo spid="_x0000_s1141"/>
    <customShpInfo spid="_x0000_s1145"/>
    <customShpInfo spid="_x0000_s1146"/>
    <customShpInfo spid="_x0000_s1144"/>
    <customShpInfo spid="_x0000_s1148"/>
    <customShpInfo spid="_x0000_s1149"/>
    <customShpInfo spid="_x0000_s1147"/>
    <customShpInfo spid="_x0000_s1150"/>
    <customShpInfo spid="_x0000_s1151"/>
    <customShpInfo spid="_x0000_s11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建设项目环境影响报告表（污染影响类-填写指南）</dc:title>
  <dc:creator>环环（微信号：eianet2016）</dc:creator>
  <cp:lastModifiedBy>龙风呈祥</cp:lastModifiedBy>
  <cp:revision>0</cp:revision>
  <dcterms:created xsi:type="dcterms:W3CDTF">2024-03-02T10:51:00Z</dcterms:created>
  <dcterms:modified xsi:type="dcterms:W3CDTF">2024-03-02T10:56:11Z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2023-12-22T00:00:00Z</vt:filetime>
  </property>
  <property fmtid="{D5CDD505-2E9C-101B-9397-08002B2CF9AE}" pid="3" name="Creator">
    <vt:lpwstr>WPS 文字</vt:lpwstr>
  </property>
  <property fmtid="{D5CDD505-2E9C-101B-9397-08002B2CF9AE}" pid="4" name="ICV">
    <vt:lpwstr>B416DA1D6CE14CABAE143B68545C7482</vt:lpwstr>
  </property>
  <property fmtid="{D5CDD505-2E9C-101B-9397-08002B2CF9AE}" pid="5" name="KSOProductBuildVer">
    <vt:lpwstr>2052-11.1.0.10463</vt:lpwstr>
  </property>
  <property fmtid="{D5CDD505-2E9C-101B-9397-08002B2CF9AE}" pid="6" name="LastSaved">
    <vt:filetime>2024-03-02T00:00:00Z</vt:filetime>
  </property>
</Properties>
</file>