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B738E" w:rsidP="008B738E" w14:paraId="694F7677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B738E">
        <w:rPr>
          <w:rFonts w:ascii="华文中宋" w:eastAsia="华文中宋" w:hAnsi="华文中宋"/>
          <w:b/>
          <w:sz w:val="30"/>
        </w:rPr>
        <w:t>2023</w:t>
      </w:r>
      <w:r w:rsidRPr="008B738E">
        <w:rPr>
          <w:rFonts w:ascii="华文中宋" w:eastAsia="华文中宋" w:hAnsi="华文中宋"/>
          <w:b/>
          <w:sz w:val="30"/>
        </w:rPr>
        <w:t>四川南充南部县人民法院招聘警务辅助人员（</w:t>
      </w:r>
      <w:r w:rsidRPr="008B738E">
        <w:rPr>
          <w:rFonts w:ascii="华文中宋" w:eastAsia="华文中宋" w:hAnsi="华文中宋"/>
          <w:b/>
          <w:sz w:val="30"/>
        </w:rPr>
        <w:t>4</w:t>
      </w:r>
      <w:r w:rsidRPr="008B738E">
        <w:rPr>
          <w:rFonts w:ascii="华文中宋" w:eastAsia="华文中宋" w:hAnsi="华文中宋"/>
          <w:b/>
          <w:sz w:val="30"/>
        </w:rPr>
        <w:t>人）笔试模拟试题及答案解析</w:t>
      </w:r>
    </w:p>
    <w:p w:rsidR="00A77B3E" w14:paraId="2880974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837AB9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ABFDB2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《党政机关公文处理工作条例》规定，公文办理包括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D46A88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、发文办理、收文办理、整理归档</w:t>
      </w:r>
    </w:p>
    <w:p w:rsidR="00AD1216" w14:paraId="4ABC229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、起草、审核、签发</w:t>
      </w:r>
    </w:p>
    <w:p w:rsidR="00AD1216" w14:paraId="2E87520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、交拟、拟议、签发</w:t>
      </w:r>
    </w:p>
    <w:p w:rsidR="00AD1216" w14:paraId="186263E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、登记、承办、分发</w:t>
      </w:r>
    </w:p>
    <w:p w:rsidR="00AD1216" w14:paraId="119E955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BD31175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公文办理包括收文办理、发文办理和整理归档。故选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515E7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一切影响沟通的消极、负面、阻碍因素，在管理学中称为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A2C8F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、沟通失真</w:t>
      </w:r>
    </w:p>
    <w:p w:rsidR="00AD1216" w14:paraId="6F04604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、沟通损耗</w:t>
      </w:r>
    </w:p>
    <w:p w:rsidR="00AD1216" w14:paraId="15ED841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、沟通噪音</w:t>
      </w:r>
    </w:p>
    <w:p w:rsidR="00AD1216" w14:paraId="53F238F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、背景噪音</w:t>
      </w:r>
    </w:p>
    <w:p w:rsidR="00AD1216" w14:paraId="0E7FE2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5B20232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噪音是影响沟通的一切消极、负面因素。通常可以把沟通噪音定义为妨碍资讯沟通的任何因素。它存在于沟通过程的各个环节，并有可能造成资讯损耗或失真。典型的噪音主要包括发送噪音、传输噪音、接受噪音、系统噪音、环境噪音和背景噪音及数量噪音七大噪音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AF0AD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我国现行立法采取的是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立法观点。</w:t>
      </w:r>
    </w:p>
    <w:p w:rsidR="00AD1216" w14:paraId="7E46E69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、民商分立</w:t>
      </w:r>
    </w:p>
    <w:p w:rsidR="00AD1216" w14:paraId="0108CCC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、民商合一</w:t>
      </w:r>
    </w:p>
    <w:p w:rsidR="00AD1216" w14:paraId="49A3CDD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、民法优先</w:t>
      </w:r>
    </w:p>
    <w:p w:rsidR="00AD1216" w14:paraId="2C1DC1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、商事优先</w:t>
      </w:r>
    </w:p>
    <w:p w:rsidR="00AD1216" w14:paraId="0CA74A3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B</w:t>
      </w:r>
    </w:p>
    <w:p w:rsidR="00AD1216" w14:paraId="08D71B3E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项错误，民商分立是指在民法典之外，另行制定商法典，民法典与商法典并存。采用民商分立的国家主要有法国、德国、日本以及以它们为模板的许多大陆法系国家。我国并未采取民商分立的立法观点。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项正确，民商合一是指民事和商事统一立法，将商事方面的内容编入民法典中，或以单行法规的形式出现。我国采取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民商合一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的立法形式，其理由在于：</w:t>
      </w:r>
      <w:r w:rsidRPr="00AD1216">
        <w:rPr>
          <w:rFonts w:ascii="微软雅黑" w:eastAsia="微软雅黑" w:cs="微软雅黑"/>
          <w:szCs w:val="14"/>
        </w:rPr>
        <w:t>1.</w:t>
      </w:r>
      <w:r w:rsidRPr="00AD1216">
        <w:rPr>
          <w:rFonts w:ascii="微软雅黑" w:eastAsia="微软雅黑" w:cs="微软雅黑"/>
          <w:szCs w:val="14"/>
        </w:rPr>
        <w:t>由于民法的商事化和商法的民事化，已经使得民商法的关系愈加密切</w:t>
      </w:r>
      <w:r w:rsidRPr="00AD1216">
        <w:rPr>
          <w:rFonts w:ascii="微软雅黑" w:eastAsia="微软雅黑" w:cs="微软雅黑"/>
          <w:szCs w:val="14"/>
        </w:rPr>
        <w:t>;2.</w:t>
      </w:r>
      <w:r w:rsidRPr="00AD1216">
        <w:rPr>
          <w:rFonts w:ascii="微软雅黑" w:eastAsia="微软雅黑" w:cs="微软雅黑"/>
          <w:szCs w:val="14"/>
        </w:rPr>
        <w:t>世界和中国的立法实践证明民商合一是可行的</w:t>
      </w:r>
      <w:r w:rsidRPr="00AD1216">
        <w:rPr>
          <w:rFonts w:ascii="微软雅黑" w:eastAsia="微软雅黑" w:cs="微软雅黑"/>
          <w:szCs w:val="14"/>
        </w:rPr>
        <w:t>;3.</w:t>
      </w:r>
      <w:r w:rsidRPr="00AD1216">
        <w:rPr>
          <w:rFonts w:ascii="微软雅黑" w:eastAsia="微软雅黑" w:cs="微软雅黑"/>
          <w:szCs w:val="14"/>
        </w:rPr>
        <w:t>建立社会主义市场经济法律体系的需要。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项错误，一般法系中都不存在民法优先和商事优先观点。目前的主流观点为民商分立和民商合一两种。故选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F3CC54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王芳将自己所有的一套房子卖给陆七，但王芳由于孩子上学还想再住一段时间，遂又与陆七达成协议，暂时租住两个月，陆七表示应允，陆七取得该房子所有权的交付方法为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96937F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、简易交付</w:t>
      </w:r>
    </w:p>
    <w:p w:rsidR="00AD1216" w14:paraId="7495E72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、指示交付</w:t>
      </w:r>
    </w:p>
    <w:p w:rsidR="00AD1216" w14:paraId="35D0F7B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、占有改定</w:t>
      </w:r>
    </w:p>
    <w:p w:rsidR="00AD1216" w14:paraId="2CBC04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、拟制交付</w:t>
      </w:r>
    </w:p>
    <w:p w:rsidR="00AD1216" w14:paraId="440FB28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2940273B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《中华人民共和国物权法》规定：不动产物权的设立、变更、转让和消灭，应当依照法律规定登记。动产物权的设立和转让，应当依照法律规定交付。交付包括现实交付与拟制交付。现实交付是指动产物权的让与人，将其对于动产的现实的直接支配力，移转于受让人。拟制交付包括简易交付、占有改定及指示交付。简易交付是指在买卖合同订立前买受人已经实际占有标的物时，则合同一经成立即视为交付完成，此前买受人虽然占有标的物，但不享有所有权，合同成立时转移的只是所有权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指示交付是指在标的物由第三人占有的情况下，出卖人将要求第三人返还标的物的请求权让与买受人，以此代替标的物的实际交付，这种返还请求权正是标的物所有权的体现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占有改定是指买卖合同约定，买受人取得标的物的所有权，但标的物在约定的期间仍由出卖人占有，此种交付中虽不转移占有，仅转移所有权，但仍能完成交付。本案中，王芳将房子卖给陆七，陆七取得房子所有权，但约定由王芳继续租用两个月。符合占有改定的构成要件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https://d.book118.com/777066100061006040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:rsidP="00966D7E" w14:paraId="48DD720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738E" w14:paraId="616352E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:rsidP="00966D7E" w14:paraId="726D83A9" w14:textId="293CC2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B738E" w14:paraId="289648F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paraId="65DB8106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738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:rsidP="00966D7E" w14:textId="293CC2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B738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B738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:rsidP="00966D7E" w14:textId="293CC2B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B738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paraId="4E8ADA7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paraId="747D4F48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paraId="01FFE8B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B738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8B738E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301FC51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B738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B738E"/>
    <w:rPr>
      <w:sz w:val="18"/>
      <w:szCs w:val="18"/>
    </w:rPr>
  </w:style>
  <w:style w:type="paragraph" w:styleId="Footer">
    <w:name w:val="footer"/>
    <w:basedOn w:val="Normal"/>
    <w:link w:val="a0"/>
    <w:rsid w:val="008B738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B738E"/>
    <w:rPr>
      <w:sz w:val="18"/>
      <w:szCs w:val="18"/>
    </w:rPr>
  </w:style>
  <w:style w:type="character" w:styleId="PageNumber">
    <w:name w:val="page number"/>
    <w:basedOn w:val="DefaultParagraphFont"/>
    <w:rsid w:val="008B73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77066100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3335</Words>
  <Characters>19010</Characters>
  <Application>Microsoft Office Word</Application>
  <DocSecurity>0</DocSecurity>
  <Lines>158</Lines>
  <Paragraphs>44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2024-02-06T13:33:00Z</dcterms:created>
  <dcterms:modified xsi:type="dcterms:W3CDTF">2024-02-06T13:33:00Z</dcterms:modified>
</cp:coreProperties>
</file>