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341" w:rsidP="00B83341">
      <w:pPr>
        <w:pStyle w:val="NormalWeb"/>
        <w:spacing w:before="0" w:beforeAutospacing="0" w:after="0" w:afterAutospacing="0"/>
        <w:jc w:val="center"/>
        <w:rPr>
          <w:color w:val="000000"/>
          <w:sz w:val="44"/>
          <w:szCs w:val="44"/>
        </w:rPr>
      </w:pPr>
      <w:r>
        <w:rPr>
          <w:rFonts w:hint="eastAsia"/>
          <w:color w:val="000000"/>
          <w:sz w:val="44"/>
          <w:szCs w:val="44"/>
        </w:rPr>
        <w:t>2024年-四川建筑安全员B证考试题库及答案</w:t>
      </w:r>
    </w:p>
    <w:p w:rsidR="00B83341" w:rsidP="00B83341">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B83341" w:rsidP="00B83341">
      <w:pPr>
        <w:jc w:val="left"/>
        <w:rPr>
          <w:rFonts w:ascii="宋体" w:hAnsi="宋体" w:cs="宋体"/>
          <w:sz w:val="24"/>
          <w:szCs w:val="24"/>
        </w:rPr>
      </w:pPr>
      <w:r>
        <w:rPr>
          <w:rFonts w:ascii="Times New Roman" w:hAnsi="Times New Roman" w:cs="Times New Roman"/>
          <w:color w:val="000000"/>
          <w:sz w:val="27"/>
          <w:szCs w:val="27"/>
        </w:rPr>
        <w:br/>
      </w:r>
    </w:p>
    <w:p w:rsidR="00B83341" w:rsidP="00B83341">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B83341" w:rsidP="00B83341">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当需单根支模时，柱宽大于（</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）应每边在同一标高上设不得少于两根斜撑或水平撑。</w:t>
      </w:r>
      <w:r>
        <w:rPr>
          <w:rFonts w:ascii="Times New Roman" w:hAnsi="Times New Roman" w:cs="Times New Roman"/>
          <w:color w:val="000000"/>
          <w:sz w:val="27"/>
          <w:szCs w:val="27"/>
        </w:rPr>
        <w:br/>
        <w:t>A.350mm B.400mm C.500mm D.600mm</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建设工程施工现场道路必须进行（</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）处理。</w:t>
      </w:r>
      <w:r>
        <w:rPr>
          <w:rFonts w:ascii="Times New Roman" w:hAnsi="Times New Roman" w:cs="Times New Roman"/>
          <w:color w:val="000000"/>
          <w:sz w:val="27"/>
          <w:szCs w:val="27"/>
        </w:rPr>
        <w:br/>
        <w:t>A.</w:t>
      </w:r>
      <w:r>
        <w:rPr>
          <w:rFonts w:ascii="Times New Roman" w:hAnsi="Times New Roman" w:cs="Times New Roman"/>
          <w:color w:val="000000"/>
          <w:sz w:val="27"/>
          <w:szCs w:val="27"/>
        </w:rPr>
        <w:t>平整夯实</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硬化</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防止扬尘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防滑措施</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《中华人民共和国环境噪声污染防治法》的规定，在城市市区范围内，建筑施工过程中使用机械设备，可能产生环境噪声污染的，施工单位必须在工程开工（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）日以前向工程所在地县级以上地方人民政府环境保护行政主管部门申报该工程的项目名称、施工场所和期限、可能产生的环境噪声值以及所采取的环境噪声污染防治措施的情况。</w:t>
      </w:r>
      <w:r>
        <w:rPr>
          <w:rFonts w:ascii="Times New Roman" w:hAnsi="Times New Roman" w:cs="Times New Roman"/>
          <w:color w:val="000000"/>
          <w:sz w:val="27"/>
          <w:szCs w:val="27"/>
        </w:rPr>
        <w:br/>
        <w:t>A.5 B.7 C.15 D.30</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挖掘机作业时（</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）不得在铲斗回转半径范围内停留。</w:t>
      </w:r>
      <w:r>
        <w:rPr>
          <w:rFonts w:ascii="Times New Roman" w:hAnsi="Times New Roman" w:cs="Times New Roman"/>
          <w:color w:val="000000"/>
          <w:sz w:val="27"/>
          <w:szCs w:val="27"/>
        </w:rPr>
        <w:br/>
        <w:t>A.</w:t>
      </w:r>
      <w:r>
        <w:rPr>
          <w:rFonts w:ascii="Times New Roman" w:hAnsi="Times New Roman" w:cs="Times New Roman"/>
          <w:color w:val="000000"/>
          <w:sz w:val="27"/>
          <w:szCs w:val="27"/>
        </w:rPr>
        <w:t>任何人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非工作人员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工程技术人员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围观群众</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《建设工程安全生产管理条例》规定，（</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）负责对安全生产进行现场监督检查。</w:t>
      </w:r>
      <w:r>
        <w:rPr>
          <w:rFonts w:ascii="Times New Roman" w:hAnsi="Times New Roman" w:cs="Times New Roman"/>
          <w:color w:val="000000"/>
          <w:sz w:val="27"/>
          <w:szCs w:val="27"/>
        </w:rPr>
        <w:br/>
        <w:t>A.</w:t>
      </w:r>
      <w:r>
        <w:rPr>
          <w:rFonts w:ascii="Times New Roman" w:hAnsi="Times New Roman" w:cs="Times New Roman"/>
          <w:color w:val="000000"/>
          <w:sz w:val="27"/>
          <w:szCs w:val="27"/>
        </w:rPr>
        <w:t>专职安全生产管理人员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工程项目监理</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工程项目技术负责人</w:t>
      </w:r>
      <w:r>
        <w:rPr>
          <w:rFonts w:ascii="Times New Roman" w:hAnsi="Times New Roman" w:cs="Times New Roman"/>
          <w:color w:val="000000"/>
          <w:sz w:val="27"/>
          <w:szCs w:val="27"/>
        </w:rPr>
        <w:t xml:space="preserve"> D.</w:t>
      </w:r>
    </w:p>
    <w:p w:rsidR="00B83341" w:rsidP="00B83341">
      <w:pPr>
        <w:rPr>
          <w:rFonts w:ascii="宋体" w:hAnsi="宋体" w:cs="宋体"/>
          <w:sz w:val="24"/>
          <w:szCs w:val="24"/>
        </w:rPr>
      </w:pPr>
      <w:r>
        <w:rPr>
          <w:rFonts w:ascii="Times New Roman" w:hAnsi="Times New Roman" w:cs="Times New Roman"/>
          <w:color w:val="000000"/>
          <w:sz w:val="27"/>
          <w:szCs w:val="27"/>
        </w:rPr>
        <w:t>项目负责人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落地式脚手架剪刀撑的设置宽度（</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不应小于</w:t>
      </w:r>
      <w:r>
        <w:rPr>
          <w:rFonts w:ascii="Times New Roman" w:hAnsi="Times New Roman" w:cs="Times New Roman"/>
          <w:color w:val="000000"/>
          <w:sz w:val="27"/>
          <w:szCs w:val="27"/>
        </w:rPr>
        <w:t>4</w:t>
      </w:r>
      <w:r>
        <w:rPr>
          <w:rFonts w:ascii="Times New Roman" w:hAnsi="Times New Roman" w:cs="Times New Roman"/>
          <w:color w:val="000000"/>
          <w:sz w:val="27"/>
          <w:szCs w:val="27"/>
        </w:rPr>
        <w:t>跨，且不应小于</w:t>
      </w:r>
      <w:r>
        <w:rPr>
          <w:rFonts w:ascii="Times New Roman" w:hAnsi="Times New Roman" w:cs="Times New Roman"/>
          <w:color w:val="000000"/>
          <w:sz w:val="27"/>
          <w:szCs w:val="27"/>
        </w:rPr>
        <w:t>6m</w:t>
      </w:r>
      <w:r>
        <w:rPr>
          <w:rFonts w:ascii="Times New Roman" w:hAnsi="Times New Roman" w:cs="Times New Roman"/>
          <w:color w:val="000000"/>
          <w:sz w:val="27"/>
          <w:szCs w:val="27"/>
        </w:rPr>
        <w:br/>
        <w:t>B.</w:t>
      </w:r>
      <w:r>
        <w:rPr>
          <w:rFonts w:ascii="Times New Roman" w:hAnsi="Times New Roman" w:cs="Times New Roman"/>
          <w:color w:val="000000"/>
          <w:sz w:val="27"/>
          <w:szCs w:val="27"/>
        </w:rPr>
        <w:t>不应小于</w:t>
      </w:r>
      <w:r>
        <w:rPr>
          <w:rFonts w:ascii="Times New Roman" w:hAnsi="Times New Roman" w:cs="Times New Roman"/>
          <w:color w:val="000000"/>
          <w:sz w:val="27"/>
          <w:szCs w:val="27"/>
        </w:rPr>
        <w:t>3</w:t>
      </w:r>
      <w:r>
        <w:rPr>
          <w:rFonts w:ascii="Times New Roman" w:hAnsi="Times New Roman" w:cs="Times New Roman"/>
          <w:color w:val="000000"/>
          <w:sz w:val="27"/>
          <w:szCs w:val="27"/>
        </w:rPr>
        <w:t>跨，且不应小于</w:t>
      </w:r>
      <w:r>
        <w:rPr>
          <w:rFonts w:ascii="Times New Roman" w:hAnsi="Times New Roman" w:cs="Times New Roman"/>
          <w:color w:val="000000"/>
          <w:sz w:val="27"/>
          <w:szCs w:val="27"/>
        </w:rPr>
        <w:t>4.5m</w:t>
      </w:r>
      <w:r>
        <w:rPr>
          <w:rFonts w:ascii="Times New Roman" w:hAnsi="Times New Roman" w:cs="Times New Roman"/>
          <w:color w:val="000000"/>
          <w:sz w:val="27"/>
          <w:szCs w:val="27"/>
        </w:rPr>
        <w:br/>
        <w:t>C.</w:t>
      </w:r>
      <w:r>
        <w:rPr>
          <w:rFonts w:ascii="Times New Roman" w:hAnsi="Times New Roman" w:cs="Times New Roman"/>
          <w:color w:val="000000"/>
          <w:sz w:val="27"/>
          <w:szCs w:val="27"/>
        </w:rPr>
        <w:t>不应小于</w:t>
      </w:r>
      <w:r>
        <w:rPr>
          <w:rFonts w:ascii="Times New Roman" w:hAnsi="Times New Roman" w:cs="Times New Roman"/>
          <w:color w:val="000000"/>
          <w:sz w:val="27"/>
          <w:szCs w:val="27"/>
        </w:rPr>
        <w:t>3</w:t>
      </w:r>
      <w:r>
        <w:rPr>
          <w:rFonts w:ascii="Times New Roman" w:hAnsi="Times New Roman" w:cs="Times New Roman"/>
          <w:color w:val="000000"/>
          <w:sz w:val="27"/>
          <w:szCs w:val="27"/>
        </w:rPr>
        <w:t>跨，且不应小于</w:t>
      </w:r>
      <w:r>
        <w:rPr>
          <w:rFonts w:ascii="Times New Roman" w:hAnsi="Times New Roman" w:cs="Times New Roman"/>
          <w:color w:val="000000"/>
          <w:sz w:val="27"/>
          <w:szCs w:val="27"/>
        </w:rPr>
        <w:t>5m</w:t>
      </w:r>
      <w:r>
        <w:rPr>
          <w:rFonts w:ascii="Times New Roman" w:hAnsi="Times New Roman" w:cs="Times New Roman"/>
          <w:color w:val="000000"/>
          <w:sz w:val="27"/>
          <w:szCs w:val="27"/>
        </w:rPr>
        <w:br/>
        <w:t>D.</w:t>
      </w:r>
      <w:r>
        <w:rPr>
          <w:rFonts w:ascii="Times New Roman" w:hAnsi="Times New Roman" w:cs="Times New Roman"/>
          <w:color w:val="000000"/>
          <w:sz w:val="27"/>
          <w:szCs w:val="27"/>
        </w:rPr>
        <w:t>不应大于</w:t>
      </w:r>
      <w:r>
        <w:rPr>
          <w:rFonts w:ascii="Times New Roman" w:hAnsi="Times New Roman" w:cs="Times New Roman"/>
          <w:color w:val="000000"/>
          <w:sz w:val="27"/>
          <w:szCs w:val="27"/>
        </w:rPr>
        <w:t>4</w:t>
      </w:r>
      <w:r>
        <w:rPr>
          <w:rFonts w:ascii="Times New Roman" w:hAnsi="Times New Roman" w:cs="Times New Roman"/>
          <w:color w:val="000000"/>
          <w:sz w:val="27"/>
          <w:szCs w:val="27"/>
        </w:rPr>
        <w:t>跨，且不应小于</w:t>
      </w:r>
      <w:r>
        <w:rPr>
          <w:rFonts w:ascii="Times New Roman" w:hAnsi="Times New Roman" w:cs="Times New Roman"/>
          <w:color w:val="000000"/>
          <w:sz w:val="27"/>
          <w:szCs w:val="27"/>
        </w:rPr>
        <w:t>6 m</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电器灭火时不能采用哪种灭火器（</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二氧化碳灭火器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泡沫灭火器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四氯化碳灭火器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干粉灭火器</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《建设工程高大模板支撑系统施工安全监督管理导则》中规定，高大模板支撑系统专项施工方案，应先由施工单位技术部门组织本单位施工技术、安全、质量等部门的专业技术人员进行审核，经（</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）签字后，再按照相关规定组织专家论证。</w:t>
      </w:r>
      <w:r>
        <w:rPr>
          <w:rFonts w:ascii="Times New Roman" w:hAnsi="Times New Roman" w:cs="Times New Roman"/>
          <w:color w:val="000000"/>
          <w:sz w:val="27"/>
          <w:szCs w:val="27"/>
        </w:rPr>
        <w:br/>
        <w:t>A.</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分管安全的负责人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施工单位技术负责人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项目技术负责人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国家对女职工和未成年工实行（</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特殊社会保障</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特殊劳动保障</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特殊劳动保险</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特殊工资补贴</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工程式总承包单位为某建设工程项目中从事危险作业的人员办理意外伤害保险，该保险责任期限到该项目（</w:t>
      </w:r>
      <w:r>
        <w:rPr>
          <w:rFonts w:ascii="Times New Roman" w:hAnsi="Times New Roman" w:cs="Times New Roman"/>
          <w:color w:val="000000"/>
          <w:sz w:val="27"/>
          <w:szCs w:val="27"/>
        </w:rPr>
        <w:t>B</w:t>
      </w:r>
      <w:r>
        <w:rPr>
          <w:rFonts w:ascii="Times New Roman" w:hAnsi="Times New Roman" w:cs="Times New Roman"/>
          <w:color w:val="000000"/>
          <w:sz w:val="27"/>
          <w:szCs w:val="27"/>
        </w:rPr>
        <w:t>）之日为止。</w:t>
      </w:r>
      <w:r>
        <w:rPr>
          <w:rFonts w:ascii="Times New Roman" w:hAnsi="Times New Roman" w:cs="Times New Roman"/>
          <w:color w:val="000000"/>
          <w:sz w:val="27"/>
          <w:szCs w:val="27"/>
        </w:rPr>
        <w:br/>
        <w:t>A.</w:t>
      </w:r>
      <w:r>
        <w:rPr>
          <w:rFonts w:ascii="Times New Roman" w:hAnsi="Times New Roman" w:cs="Times New Roman"/>
          <w:color w:val="000000"/>
          <w:sz w:val="27"/>
          <w:szCs w:val="27"/>
        </w:rPr>
        <w:t>提交竣工验收报告</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竣工验收合格</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竣工验收备案</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交付使用</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https://d.book118.com/777114120113006050</w:t>
        </w:r>
      </w:hyperlink>
    </w:p>
    <w:p w:rsidR="00B83341" w:rsidP="00B83341">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C4538"/>
    <w:rsid w:val="004C4538"/>
    <w:rsid w:val="00B83341"/>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8334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77114120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5618</Words>
  <Characters>32024</Characters>
  <Application>Microsoft Office Word</Application>
  <DocSecurity>0</DocSecurity>
  <Lines>266</Lines>
  <Paragraphs>75</Paragraphs>
  <ScaleCrop>false</ScaleCrop>
  <Company/>
  <LinksUpToDate>false</LinksUpToDate>
  <CharactersWithSpaces>37567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2024-03-07T23:36:00Z</dcterms:created>
  <dcterms:modified xsi:type="dcterms:W3CDTF">2024-03-07T23:36:00Z</dcterms:modified>
</cp:coreProperties>
</file>