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低聚木糖产业分析报告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6795" w:history="1">
        <w:r>
          <w:rPr>
            <w:rFonts w:ascii="仿宋" w:eastAsia="仿宋" w:hAnsi="仿宋" w:cs="仿宋" w:hint="eastAsia"/>
            <w:lang w:val="en-GB"/>
          </w:rPr>
          <w:t>概论</w:t>
        </w:r>
        <w:r>
          <w:tab/>
        </w:r>
        <w:r>
          <w:fldChar w:fldCharType="begin"/>
        </w:r>
        <w:r>
          <w:instrText xml:space="preserve"> PAGEREF _Toc16795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80" w:history="1">
        <w:r>
          <w:rPr>
            <w:rFonts w:ascii="仿宋" w:eastAsia="仿宋" w:hAnsi="仿宋" w:cs="仿宋" w:hint="eastAsia"/>
            <w:lang w:val="en-GB"/>
          </w:rPr>
          <w:t>一、低聚木糖危机管理与应对策略</w:t>
        </w:r>
        <w:r>
          <w:tab/>
        </w:r>
        <w:r>
          <w:fldChar w:fldCharType="begin"/>
        </w:r>
        <w:r>
          <w:instrText xml:space="preserve"> PAGEREF _Toc27680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45" w:history="1">
        <w:r>
          <w:rPr>
            <w:rFonts w:ascii="仿宋" w:eastAsia="仿宋" w:hAnsi="仿宋" w:cs="仿宋" w:hint="eastAsia"/>
            <w:lang w:val="en-GB"/>
          </w:rPr>
          <w:t>(一)、危机预警与应急计划</w:t>
        </w:r>
        <w:r>
          <w:tab/>
        </w:r>
        <w:r>
          <w:fldChar w:fldCharType="begin"/>
        </w:r>
        <w:r>
          <w:instrText xml:space="preserve"> PAGEREF _Toc13945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98" w:history="1">
        <w:r>
          <w:rPr>
            <w:rFonts w:ascii="仿宋" w:eastAsia="仿宋" w:hAnsi="仿宋" w:cs="仿宋" w:hint="eastAsia"/>
            <w:lang w:val="en-GB"/>
          </w:rPr>
          <w:t>(二)、公关与危机沟通</w:t>
        </w:r>
        <w:r>
          <w:tab/>
        </w:r>
        <w:r>
          <w:fldChar w:fldCharType="begin"/>
        </w:r>
        <w:r>
          <w:instrText xml:space="preserve"> PAGEREF _Toc10598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4" w:history="1">
        <w:r>
          <w:rPr>
            <w:rFonts w:ascii="仿宋" w:eastAsia="仿宋" w:hAnsi="仿宋" w:cs="仿宋" w:hint="eastAsia"/>
            <w:lang w:val="en-GB"/>
          </w:rPr>
          <w:t>(三)、媒体关系与舆情管理</w:t>
        </w:r>
        <w:r>
          <w:tab/>
        </w:r>
        <w:r>
          <w:fldChar w:fldCharType="begin"/>
        </w:r>
        <w:r>
          <w:instrText xml:space="preserve"> PAGEREF _Toc2984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21" w:history="1">
        <w:r>
          <w:rPr>
            <w:rFonts w:ascii="仿宋" w:eastAsia="仿宋" w:hAnsi="仿宋" w:cs="仿宋" w:hint="eastAsia"/>
            <w:lang w:val="en-GB"/>
          </w:rPr>
          <w:t>(四)、企业社会责任与危机回应</w:t>
        </w:r>
        <w:r>
          <w:tab/>
        </w:r>
        <w:r>
          <w:fldChar w:fldCharType="begin"/>
        </w:r>
        <w:r>
          <w:instrText xml:space="preserve"> PAGEREF _Toc24821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38" w:history="1">
        <w:r>
          <w:rPr>
            <w:rFonts w:ascii="仿宋" w:eastAsia="仿宋" w:hAnsi="仿宋" w:cs="仿宋" w:hint="eastAsia"/>
            <w:lang w:val="en-GB"/>
          </w:rPr>
          <w:t>二、市场地位与竞争战略</w:t>
        </w:r>
        <w:r>
          <w:tab/>
        </w:r>
        <w:r>
          <w:fldChar w:fldCharType="begin"/>
        </w:r>
        <w:r>
          <w:instrText xml:space="preserve"> PAGEREF _Toc9538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11" w:history="1">
        <w:r>
          <w:rPr>
            <w:rFonts w:ascii="仿宋" w:eastAsia="仿宋" w:hAnsi="仿宋" w:cs="仿宋" w:hint="eastAsia"/>
            <w:lang w:val="en-GB"/>
          </w:rPr>
          <w:t>(一)、顾客忠诚</w:t>
        </w:r>
        <w:r>
          <w:tab/>
        </w:r>
        <w:r>
          <w:fldChar w:fldCharType="begin"/>
        </w:r>
        <w:r>
          <w:instrText xml:space="preserve"> PAGEREF _Toc8811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13" w:history="1">
        <w:r>
          <w:rPr>
            <w:rFonts w:ascii="仿宋" w:eastAsia="仿宋" w:hAnsi="仿宋" w:cs="仿宋" w:hint="eastAsia"/>
            <w:lang w:val="en-GB"/>
          </w:rPr>
          <w:t>(二)、全面质量管理</w:t>
        </w:r>
        <w:r>
          <w:tab/>
        </w:r>
        <w:r>
          <w:fldChar w:fldCharType="begin"/>
        </w:r>
        <w:r>
          <w:instrText xml:space="preserve"> PAGEREF _Toc18613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16" w:history="1">
        <w:r>
          <w:rPr>
            <w:rFonts w:ascii="仿宋" w:eastAsia="仿宋" w:hAnsi="仿宋" w:cs="仿宋" w:hint="eastAsia"/>
            <w:lang w:val="en-GB"/>
          </w:rPr>
          <w:t>(三)、研究市场营销学的意义</w:t>
        </w:r>
        <w:r>
          <w:tab/>
        </w:r>
        <w:r>
          <w:fldChar w:fldCharType="begin"/>
        </w:r>
        <w:r>
          <w:instrText xml:space="preserve"> PAGEREF _Toc18616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26" w:history="1">
        <w:r>
          <w:rPr>
            <w:rFonts w:ascii="仿宋" w:eastAsia="仿宋" w:hAnsi="仿宋" w:cs="仿宋" w:hint="eastAsia"/>
            <w:lang w:val="en-GB"/>
          </w:rPr>
          <w:t>(四)、市场营销学的研究方法</w:t>
        </w:r>
        <w:r>
          <w:tab/>
        </w:r>
        <w:r>
          <w:fldChar w:fldCharType="begin"/>
        </w:r>
        <w:r>
          <w:instrText xml:space="preserve"> PAGEREF _Toc19326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33" w:history="1">
        <w:r>
          <w:rPr>
            <w:rFonts w:ascii="仿宋" w:eastAsia="仿宋" w:hAnsi="仿宋" w:cs="仿宋" w:hint="eastAsia"/>
            <w:lang w:val="en-GB"/>
          </w:rPr>
          <w:t>(五)、选择进攻战略</w:t>
        </w:r>
        <w:r>
          <w:tab/>
        </w:r>
        <w:r>
          <w:fldChar w:fldCharType="begin"/>
        </w:r>
        <w:r>
          <w:instrText xml:space="preserve"> PAGEREF _Toc26733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33" w:history="1">
        <w:r>
          <w:rPr>
            <w:rFonts w:ascii="仿宋" w:eastAsia="仿宋" w:hAnsi="仿宋" w:cs="仿宋" w:hint="eastAsia"/>
            <w:lang w:val="en-GB"/>
          </w:rPr>
          <w:t>(六)、确定战略目标与竞争对手</w:t>
        </w:r>
        <w:r>
          <w:tab/>
        </w:r>
        <w:r>
          <w:fldChar w:fldCharType="begin"/>
        </w:r>
        <w:r>
          <w:instrText xml:space="preserve"> PAGEREF _Toc22733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97" w:history="1">
        <w:r>
          <w:rPr>
            <w:rFonts w:ascii="仿宋" w:eastAsia="仿宋" w:hAnsi="仿宋" w:cs="仿宋" w:hint="eastAsia"/>
            <w:lang w:val="en-GB"/>
          </w:rPr>
          <w:t>(七)、市场追随者战略</w:t>
        </w:r>
        <w:r>
          <w:tab/>
        </w:r>
        <w:r>
          <w:fldChar w:fldCharType="begin"/>
        </w:r>
        <w:r>
          <w:instrText xml:space="preserve"> PAGEREF _Toc19797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78" w:history="1">
        <w:r>
          <w:rPr>
            <w:rFonts w:ascii="仿宋" w:eastAsia="仿宋" w:hAnsi="仿宋" w:cs="仿宋" w:hint="eastAsia"/>
            <w:lang w:val="en-GB"/>
          </w:rPr>
          <w:t>(八)、市场利基者战略</w:t>
        </w:r>
        <w:r>
          <w:tab/>
        </w:r>
        <w:r>
          <w:fldChar w:fldCharType="begin"/>
        </w:r>
        <w:r>
          <w:instrText xml:space="preserve"> PAGEREF _Toc3378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15" w:history="1">
        <w:r>
          <w:rPr>
            <w:rFonts w:ascii="仿宋" w:eastAsia="仿宋" w:hAnsi="仿宋" w:cs="仿宋" w:hint="eastAsia"/>
            <w:lang w:val="en-GB"/>
          </w:rPr>
          <w:t>(九)、竞争战略选择</w:t>
        </w:r>
        <w:r>
          <w:tab/>
        </w:r>
        <w:r>
          <w:fldChar w:fldCharType="begin"/>
        </w:r>
        <w:r>
          <w:instrText xml:space="preserve"> PAGEREF _Toc27115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69" w:history="1">
        <w:r>
          <w:rPr>
            <w:rFonts w:ascii="仿宋" w:eastAsia="仿宋" w:hAnsi="仿宋" w:cs="仿宋" w:hint="eastAsia"/>
            <w:lang w:val="en-GB"/>
          </w:rPr>
          <w:t>(十)、低聚木糖行业竞争者识别</w:t>
        </w:r>
        <w:r>
          <w:tab/>
        </w:r>
        <w:r>
          <w:fldChar w:fldCharType="begin"/>
        </w:r>
        <w:r>
          <w:instrText xml:space="preserve"> PAGEREF _Toc24769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24" w:history="1">
        <w:r>
          <w:rPr>
            <w:rFonts w:ascii="仿宋" w:eastAsia="仿宋" w:hAnsi="仿宋" w:cs="仿宋" w:hint="eastAsia"/>
            <w:lang w:val="en-GB"/>
          </w:rPr>
          <w:t>三、员工培训与绩效提升</w:t>
        </w:r>
        <w:r>
          <w:tab/>
        </w:r>
        <w:r>
          <w:fldChar w:fldCharType="begin"/>
        </w:r>
        <w:r>
          <w:instrText xml:space="preserve"> PAGEREF _Toc28524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79" w:history="1">
        <w:r>
          <w:rPr>
            <w:rFonts w:ascii="仿宋" w:eastAsia="仿宋" w:hAnsi="仿宋" w:cs="仿宋" w:hint="eastAsia"/>
            <w:lang w:val="en-GB"/>
          </w:rPr>
          <w:t>(一)、培训需求分析与计划</w:t>
        </w:r>
        <w:r>
          <w:tab/>
        </w:r>
        <w:r>
          <w:fldChar w:fldCharType="begin"/>
        </w:r>
        <w:r>
          <w:instrText xml:space="preserve"> PAGEREF _Toc23379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56" w:history="1">
        <w:r>
          <w:rPr>
            <w:rFonts w:ascii="仿宋" w:eastAsia="仿宋" w:hAnsi="仿宋" w:cs="仿宋" w:hint="eastAsia"/>
            <w:lang w:val="en-GB"/>
          </w:rPr>
          <w:t>(二)、绩效评价体系与激励机制</w:t>
        </w:r>
        <w:r>
          <w:tab/>
        </w:r>
        <w:r>
          <w:fldChar w:fldCharType="begin"/>
        </w:r>
        <w:r>
          <w:instrText xml:space="preserve"> PAGEREF _Toc15256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11" w:history="1">
        <w:r>
          <w:rPr>
            <w:rFonts w:ascii="仿宋" w:eastAsia="仿宋" w:hAnsi="仿宋" w:cs="仿宋" w:hint="eastAsia"/>
            <w:lang w:val="en-GB"/>
          </w:rPr>
          <w:t>(三)、职业发展规划与晋升通道</w:t>
        </w:r>
        <w:r>
          <w:tab/>
        </w:r>
        <w:r>
          <w:fldChar w:fldCharType="begin"/>
        </w:r>
        <w:r>
          <w:instrText xml:space="preserve"> PAGEREF _Toc11211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23" w:history="1">
        <w:r>
          <w:rPr>
            <w:rFonts w:ascii="仿宋" w:eastAsia="仿宋" w:hAnsi="仿宋" w:cs="仿宋" w:hint="eastAsia"/>
            <w:lang w:val="en-GB"/>
          </w:rPr>
          <w:t>(四)、员工满意度与团队凝聚力</w:t>
        </w:r>
        <w:r>
          <w:tab/>
        </w:r>
        <w:r>
          <w:fldChar w:fldCharType="begin"/>
        </w:r>
        <w:r>
          <w:instrText xml:space="preserve"> PAGEREF _Toc29023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33" w:history="1">
        <w:r>
          <w:rPr>
            <w:rFonts w:ascii="仿宋" w:eastAsia="仿宋" w:hAnsi="仿宋" w:cs="仿宋" w:hint="eastAsia"/>
            <w:lang w:val="en-GB"/>
          </w:rPr>
          <w:t>四、SWOT分析说明</w:t>
        </w:r>
        <w:r>
          <w:tab/>
        </w:r>
        <w:r>
          <w:fldChar w:fldCharType="begin"/>
        </w:r>
        <w:r>
          <w:instrText xml:space="preserve"> PAGEREF _Toc17033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55" w:history="1">
        <w:r>
          <w:rPr>
            <w:rFonts w:ascii="仿宋" w:eastAsia="仿宋" w:hAnsi="仿宋" w:cs="仿宋" w:hint="eastAsia"/>
            <w:lang w:val="en-GB"/>
          </w:rPr>
          <w:t>(一)、优势分析(S)</w:t>
        </w:r>
        <w:r>
          <w:tab/>
        </w:r>
        <w:r>
          <w:fldChar w:fldCharType="begin"/>
        </w:r>
        <w:r>
          <w:instrText xml:space="preserve"> PAGEREF _Toc31755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94" w:history="1">
        <w:r>
          <w:rPr>
            <w:rFonts w:ascii="仿宋" w:eastAsia="仿宋" w:hAnsi="仿宋" w:cs="仿宋" w:hint="eastAsia"/>
            <w:lang w:val="en-GB"/>
          </w:rPr>
          <w:t>(二)、劣势分析(W)</w:t>
        </w:r>
        <w:r>
          <w:tab/>
        </w:r>
        <w:r>
          <w:fldChar w:fldCharType="begin"/>
        </w:r>
        <w:r>
          <w:instrText xml:space="preserve"> PAGEREF _Toc20594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89" w:history="1">
        <w:r>
          <w:rPr>
            <w:rFonts w:ascii="仿宋" w:eastAsia="仿宋" w:hAnsi="仿宋" w:cs="仿宋" w:hint="eastAsia"/>
            <w:lang w:val="en-GB"/>
          </w:rPr>
          <w:t>(三)、机会分析(O)</w:t>
        </w:r>
        <w:r>
          <w:tab/>
        </w:r>
        <w:r>
          <w:fldChar w:fldCharType="begin"/>
        </w:r>
        <w:r>
          <w:instrText xml:space="preserve"> PAGEREF _Toc30889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23" w:history="1">
        <w:r>
          <w:rPr>
            <w:rFonts w:ascii="仿宋" w:eastAsia="仿宋" w:hAnsi="仿宋" w:cs="仿宋" w:hint="eastAsia"/>
            <w:lang w:val="en-GB"/>
          </w:rPr>
          <w:t>(四)、威胁分析(T)</w:t>
        </w:r>
        <w:r>
          <w:tab/>
        </w:r>
        <w:r>
          <w:fldChar w:fldCharType="begin"/>
        </w:r>
        <w:r>
          <w:instrText xml:space="preserve"> PAGEREF _Toc22323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20" w:history="1">
        <w:r>
          <w:rPr>
            <w:rFonts w:ascii="仿宋" w:eastAsia="仿宋" w:hAnsi="仿宋" w:cs="仿宋" w:hint="eastAsia"/>
            <w:lang w:val="en-GB"/>
          </w:rPr>
          <w:t>五、低聚木糖行业发展现状</w:t>
        </w:r>
        <w:r>
          <w:tab/>
        </w:r>
        <w:r>
          <w:fldChar w:fldCharType="begin"/>
        </w:r>
        <w:r>
          <w:instrText xml:space="preserve"> PAGEREF _Toc8120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41" w:history="1">
        <w:r>
          <w:rPr>
            <w:rFonts w:ascii="仿宋" w:eastAsia="仿宋" w:hAnsi="仿宋" w:cs="仿宋" w:hint="eastAsia"/>
            <w:lang w:val="en-GB"/>
          </w:rPr>
          <w:t>(一)、低聚木糖行业整体概况</w:t>
        </w:r>
        <w:r>
          <w:tab/>
        </w:r>
        <w:r>
          <w:fldChar w:fldCharType="begin"/>
        </w:r>
        <w:r>
          <w:instrText xml:space="preserve"> PAGEREF _Toc7341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97" w:history="1">
        <w:r>
          <w:rPr>
            <w:rFonts w:ascii="仿宋" w:eastAsia="仿宋" w:hAnsi="仿宋" w:cs="仿宋" w:hint="eastAsia"/>
            <w:lang w:val="en-GB"/>
          </w:rPr>
          <w:t>(二)、技术创新与发展</w:t>
        </w:r>
        <w:r>
          <w:tab/>
        </w:r>
        <w:r>
          <w:fldChar w:fldCharType="begin"/>
        </w:r>
        <w:r>
          <w:instrText xml:space="preserve"> PAGEREF _Toc22897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75" w:history="1">
        <w:r>
          <w:rPr>
            <w:rFonts w:ascii="仿宋" w:eastAsia="仿宋" w:hAnsi="仿宋" w:cs="仿宋" w:hint="eastAsia"/>
            <w:lang w:val="en-GB"/>
          </w:rPr>
          <w:t>(三)、政策与法规</w:t>
        </w:r>
        <w:r>
          <w:tab/>
        </w:r>
        <w:r>
          <w:fldChar w:fldCharType="begin"/>
        </w:r>
        <w:r>
          <w:instrText xml:space="preserve"> PAGEREF _Toc8875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23" w:history="1">
        <w:r>
          <w:rPr>
            <w:rFonts w:ascii="仿宋" w:eastAsia="仿宋" w:hAnsi="仿宋" w:cs="仿宋" w:hint="eastAsia"/>
            <w:lang w:val="en-GB"/>
          </w:rPr>
          <w:t>(四)、消费者需求变化</w:t>
        </w:r>
        <w:r>
          <w:tab/>
        </w:r>
        <w:r>
          <w:fldChar w:fldCharType="begin"/>
        </w:r>
        <w:r>
          <w:instrText xml:space="preserve"> PAGEREF _Toc14623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03" w:history="1">
        <w:r>
          <w:rPr>
            <w:rFonts w:ascii="仿宋" w:eastAsia="仿宋" w:hAnsi="仿宋" w:cs="仿宋" w:hint="eastAsia"/>
            <w:lang w:val="en-GB"/>
          </w:rPr>
          <w:t>六、低聚木糖消费者市场分析</w:t>
        </w:r>
        <w:r>
          <w:tab/>
        </w:r>
        <w:r>
          <w:fldChar w:fldCharType="begin"/>
        </w:r>
        <w:r>
          <w:instrText xml:space="preserve"> PAGEREF _Toc3403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78" w:history="1">
        <w:r>
          <w:rPr>
            <w:rFonts w:ascii="仿宋" w:eastAsia="仿宋" w:hAnsi="仿宋" w:cs="仿宋" w:hint="eastAsia"/>
            <w:lang w:val="en-GB"/>
          </w:rPr>
          <w:t>(一)、目标客户群体</w:t>
        </w:r>
        <w:r>
          <w:tab/>
        </w:r>
        <w:r>
          <w:fldChar w:fldCharType="begin"/>
        </w:r>
        <w:r>
          <w:instrText xml:space="preserve"> PAGEREF _Toc16478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55" w:history="1">
        <w:r>
          <w:rPr>
            <w:rFonts w:ascii="仿宋" w:eastAsia="仿宋" w:hAnsi="仿宋" w:cs="仿宋" w:hint="eastAsia"/>
            <w:lang w:val="en-GB"/>
          </w:rPr>
          <w:t>(二)、消费者需求</w:t>
        </w:r>
        <w:r>
          <w:tab/>
        </w:r>
        <w:r>
          <w:fldChar w:fldCharType="begin"/>
        </w:r>
        <w:r>
          <w:instrText xml:space="preserve"> PAGEREF _Toc30155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19" w:history="1">
        <w:r>
          <w:rPr>
            <w:rFonts w:ascii="仿宋" w:eastAsia="仿宋" w:hAnsi="仿宋" w:cs="仿宋" w:hint="eastAsia"/>
            <w:lang w:val="en-GB"/>
          </w:rPr>
          <w:t>七、低聚木糖市场地位与竞争战略</w:t>
        </w:r>
        <w:r>
          <w:tab/>
        </w:r>
        <w:r>
          <w:fldChar w:fldCharType="begin"/>
        </w:r>
        <w:r>
          <w:instrText xml:space="preserve"> PAGEREF _Toc4419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50" w:history="1">
        <w:r>
          <w:rPr>
            <w:rFonts w:ascii="仿宋" w:eastAsia="仿宋" w:hAnsi="仿宋" w:cs="仿宋" w:hint="eastAsia"/>
            <w:lang w:val="en-GB"/>
          </w:rPr>
          <w:t>(一)、公司市场地位</w:t>
        </w:r>
        <w:r>
          <w:tab/>
        </w:r>
        <w:r>
          <w:fldChar w:fldCharType="begin"/>
        </w:r>
        <w:r>
          <w:instrText xml:space="preserve"> PAGEREF _Toc21650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50" w:history="1">
        <w:r>
          <w:rPr>
            <w:rFonts w:ascii="仿宋" w:eastAsia="仿宋" w:hAnsi="仿宋" w:cs="仿宋" w:hint="eastAsia"/>
            <w:lang w:val="en-GB"/>
          </w:rPr>
          <w:t>(二)、竞争对手分析</w:t>
        </w:r>
        <w:r>
          <w:tab/>
        </w:r>
        <w:r>
          <w:fldChar w:fldCharType="begin"/>
        </w:r>
        <w:r>
          <w:instrText xml:space="preserve"> PAGEREF _Toc11950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84" w:history="1">
        <w:r>
          <w:rPr>
            <w:rFonts w:ascii="仿宋" w:eastAsia="仿宋" w:hAnsi="仿宋" w:cs="仿宋" w:hint="eastAsia"/>
            <w:lang w:val="en-GB"/>
          </w:rPr>
          <w:t>(三)、竞争战略</w:t>
        </w:r>
        <w:r>
          <w:tab/>
        </w:r>
        <w:r>
          <w:fldChar w:fldCharType="begin"/>
        </w:r>
        <w:r>
          <w:instrText xml:space="preserve"> PAGEREF _Toc17584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10" w:history="1">
        <w:r>
          <w:rPr>
            <w:rFonts w:ascii="仿宋" w:eastAsia="仿宋" w:hAnsi="仿宋" w:cs="仿宋" w:hint="eastAsia"/>
            <w:lang w:val="en-GB"/>
          </w:rPr>
          <w:t>(四)、市场定位</w:t>
        </w:r>
        <w:r>
          <w:tab/>
        </w:r>
        <w:r>
          <w:fldChar w:fldCharType="begin"/>
        </w:r>
        <w:r>
          <w:instrText xml:space="preserve"> PAGEREF _Toc9310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51" w:history="1">
        <w:r>
          <w:rPr>
            <w:rFonts w:ascii="仿宋" w:eastAsia="仿宋" w:hAnsi="仿宋" w:cs="仿宋" w:hint="eastAsia"/>
            <w:lang w:val="en-GB"/>
          </w:rPr>
          <w:t>八、低聚木糖新型运营方式</w:t>
        </w:r>
        <w:r>
          <w:tab/>
        </w:r>
        <w:r>
          <w:fldChar w:fldCharType="begin"/>
        </w:r>
        <w:r>
          <w:instrText xml:space="preserve"> PAGEREF _Toc13351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874" w:history="1">
        <w:r>
          <w:rPr>
            <w:rFonts w:ascii="仿宋" w:eastAsia="仿宋" w:hAnsi="仿宋" w:cs="仿宋" w:hint="eastAsia"/>
            <w:lang w:val="en-GB"/>
          </w:rPr>
          <w:t>(一)、创新业务模式</w:t>
        </w:r>
        <w:r>
          <w:tab/>
        </w:r>
        <w:r>
          <w:fldChar w:fldCharType="begin"/>
        </w:r>
        <w:r>
          <w:instrText xml:space="preserve"> PAGEREF _Toc31874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05" w:history="1">
        <w:r>
          <w:rPr>
            <w:rFonts w:ascii="仿宋" w:eastAsia="仿宋" w:hAnsi="仿宋" w:cs="仿宋" w:hint="eastAsia"/>
            <w:lang w:val="en-GB"/>
          </w:rPr>
          <w:t>(二)、数字化运营</w:t>
        </w:r>
        <w:r>
          <w:tab/>
        </w:r>
        <w:r>
          <w:fldChar w:fldCharType="begin"/>
        </w:r>
        <w:r>
          <w:instrText xml:space="preserve"> PAGEREF _Toc28605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27" w:history="1">
        <w:r>
          <w:rPr>
            <w:rFonts w:ascii="仿宋" w:eastAsia="仿宋" w:hAnsi="仿宋" w:cs="仿宋" w:hint="eastAsia"/>
            <w:lang w:val="en-GB"/>
          </w:rPr>
          <w:t>(三)、智能化技术应用</w:t>
        </w:r>
        <w:r>
          <w:tab/>
        </w:r>
        <w:r>
          <w:fldChar w:fldCharType="begin"/>
        </w:r>
        <w:r>
          <w:instrText xml:space="preserve"> PAGEREF _Toc22227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22" w:history="1">
        <w:r>
          <w:rPr>
            <w:rFonts w:ascii="仿宋" w:eastAsia="仿宋" w:hAnsi="仿宋" w:cs="仿宋" w:hint="eastAsia"/>
            <w:lang w:val="en-GB"/>
          </w:rPr>
          <w:t>(四)、可持续经营实践</w:t>
        </w:r>
        <w:r>
          <w:tab/>
        </w:r>
        <w:r>
          <w:fldChar w:fldCharType="begin"/>
        </w:r>
        <w:r>
          <w:instrText xml:space="preserve"> PAGEREF _Toc11822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84" w:history="1">
        <w:r>
          <w:rPr>
            <w:rFonts w:ascii="仿宋" w:eastAsia="仿宋" w:hAnsi="仿宋" w:cs="仿宋" w:hint="eastAsia"/>
            <w:lang w:val="en-GB"/>
          </w:rPr>
          <w:t>九、技术与生产管理</w:t>
        </w:r>
        <w:r>
          <w:tab/>
        </w:r>
        <w:r>
          <w:fldChar w:fldCharType="begin"/>
        </w:r>
        <w:r>
          <w:instrText xml:space="preserve"> PAGEREF _Toc21884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51" w:history="1">
        <w:r>
          <w:rPr>
            <w:rFonts w:ascii="仿宋" w:eastAsia="仿宋" w:hAnsi="仿宋" w:cs="仿宋" w:hint="eastAsia"/>
            <w:lang w:val="en-GB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_Toc7651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08" w:history="1">
        <w:r>
          <w:rPr>
            <w:rFonts w:ascii="仿宋" w:eastAsia="仿宋" w:hAnsi="仿宋" w:cs="仿宋" w:hint="eastAsia"/>
            <w:lang w:val="en-GB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_Toc30308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13" w:history="1">
        <w:r>
          <w:rPr>
            <w:rFonts w:ascii="仿宋" w:eastAsia="仿宋" w:hAnsi="仿宋" w:cs="仿宋" w:hint="eastAsia"/>
            <w:lang w:val="en-GB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_Toc20913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84" w:history="1">
        <w:r>
          <w:rPr>
            <w:rFonts w:ascii="仿宋" w:eastAsia="仿宋" w:hAnsi="仿宋" w:cs="仿宋" w:hint="eastAsia"/>
            <w:lang w:val="en-GB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_Toc25484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4" w:history="1">
        <w:r>
          <w:rPr>
            <w:rFonts w:ascii="仿宋" w:eastAsia="仿宋" w:hAnsi="仿宋" w:cs="仿宋" w:hint="eastAsia"/>
            <w:lang w:val="en-GB"/>
          </w:rPr>
          <w:t>十、低聚木糖组织市场分析</w:t>
        </w:r>
        <w:r>
          <w:tab/>
        </w:r>
        <w:r>
          <w:fldChar w:fldCharType="begin"/>
        </w:r>
        <w:r>
          <w:instrText xml:space="preserve"> PAGEREF _Toc3104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61" w:history="1">
        <w:r>
          <w:rPr>
            <w:rFonts w:ascii="仿宋" w:eastAsia="仿宋" w:hAnsi="仿宋" w:cs="仿宋" w:hint="eastAsia"/>
            <w:lang w:val="en-GB"/>
          </w:rPr>
          <w:t>(一)、组织结构</w:t>
        </w:r>
        <w:r>
          <w:tab/>
        </w:r>
        <w:r>
          <w:fldChar w:fldCharType="begin"/>
        </w:r>
        <w:r>
          <w:instrText xml:space="preserve"> PAGEREF _Toc23461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98" w:history="1">
        <w:r>
          <w:rPr>
            <w:rFonts w:ascii="仿宋" w:eastAsia="仿宋" w:hAnsi="仿宋" w:cs="仿宋" w:hint="eastAsia"/>
            <w:lang w:val="en-GB"/>
          </w:rPr>
          <w:t>(二)、决策机制</w:t>
        </w:r>
        <w:r>
          <w:tab/>
        </w:r>
        <w:r>
          <w:fldChar w:fldCharType="begin"/>
        </w:r>
        <w:r>
          <w:instrText xml:space="preserve"> PAGEREF _Toc9798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75" w:history="1">
        <w:r>
          <w:rPr>
            <w:rFonts w:ascii="仿宋" w:eastAsia="仿宋" w:hAnsi="仿宋" w:cs="仿宋" w:hint="eastAsia"/>
            <w:lang w:val="en-GB"/>
          </w:rPr>
          <w:t>(三)、企业文化</w:t>
        </w:r>
        <w:r>
          <w:tab/>
        </w:r>
        <w:r>
          <w:fldChar w:fldCharType="begin"/>
        </w:r>
        <w:r>
          <w:instrText xml:space="preserve"> PAGEREF _Toc7175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78" w:history="1">
        <w:r>
          <w:rPr>
            <w:rFonts w:ascii="仿宋" w:eastAsia="仿宋" w:hAnsi="仿宋" w:cs="仿宋" w:hint="eastAsia"/>
            <w:lang w:val="en-GB"/>
          </w:rPr>
          <w:t>(四)、供应商关系</w:t>
        </w:r>
        <w:r>
          <w:tab/>
        </w:r>
        <w:r>
          <w:fldChar w:fldCharType="begin"/>
        </w:r>
        <w:r>
          <w:instrText xml:space="preserve"> PAGEREF _Toc30278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04" w:history="1">
        <w:r>
          <w:rPr>
            <w:rFonts w:ascii="仿宋" w:eastAsia="仿宋" w:hAnsi="仿宋" w:cs="仿宋" w:hint="eastAsia"/>
            <w:lang w:val="en-GB"/>
          </w:rPr>
          <w:t>十一、市场营销与销售策略</w:t>
        </w:r>
        <w:r>
          <w:tab/>
        </w:r>
        <w:r>
          <w:fldChar w:fldCharType="begin"/>
        </w:r>
        <w:r>
          <w:instrText xml:space="preserve"> PAGEREF _Toc16304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68" w:history="1">
        <w:r>
          <w:rPr>
            <w:rFonts w:ascii="仿宋" w:eastAsia="仿宋" w:hAnsi="仿宋" w:cs="仿宋" w:hint="eastAsia"/>
            <w:lang w:val="en-GB"/>
          </w:rPr>
          <w:t>(一)、市场推广与品牌建设</w:t>
        </w:r>
        <w:r>
          <w:tab/>
        </w:r>
        <w:r>
          <w:fldChar w:fldCharType="begin"/>
        </w:r>
        <w:r>
          <w:instrText xml:space="preserve"> PAGEREF _Toc31468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38" w:history="1">
        <w:r>
          <w:rPr>
            <w:rFonts w:ascii="仿宋" w:eastAsia="仿宋" w:hAnsi="仿宋" w:cs="仿宋" w:hint="eastAsia"/>
            <w:lang w:val="en-GB"/>
          </w:rPr>
          <w:t>(二)、销售渠道与分销网络</w:t>
        </w:r>
        <w:r>
          <w:tab/>
        </w:r>
        <w:r>
          <w:fldChar w:fldCharType="begin"/>
        </w:r>
        <w:r>
          <w:instrText xml:space="preserve"> PAGEREF _Toc25338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98" w:history="1">
        <w:r>
          <w:rPr>
            <w:rFonts w:ascii="仿宋" w:eastAsia="仿宋" w:hAnsi="仿宋" w:cs="仿宋" w:hint="eastAsia"/>
            <w:lang w:val="en-GB"/>
          </w:rPr>
          <w:t>(三)、客户关系管理与维护</w:t>
        </w:r>
        <w:r>
          <w:tab/>
        </w:r>
        <w:r>
          <w:fldChar w:fldCharType="begin"/>
        </w:r>
        <w:r>
          <w:instrText xml:space="preserve"> PAGEREF _Toc31998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83" w:history="1">
        <w:r>
          <w:rPr>
            <w:rFonts w:ascii="仿宋" w:eastAsia="仿宋" w:hAnsi="仿宋" w:cs="仿宋" w:hint="eastAsia"/>
            <w:lang w:val="en-GB"/>
          </w:rPr>
          <w:t>(四)、市场反馈与调整策略</w:t>
        </w:r>
        <w:r>
          <w:tab/>
        </w:r>
        <w:r>
          <w:fldChar w:fldCharType="begin"/>
        </w:r>
        <w:r>
          <w:instrText xml:space="preserve"> PAGEREF _Toc6683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23" w:history="1">
        <w:r>
          <w:rPr>
            <w:rFonts w:ascii="仿宋" w:eastAsia="仿宋" w:hAnsi="仿宋" w:cs="仿宋" w:hint="eastAsia"/>
            <w:lang w:val="en-GB"/>
          </w:rPr>
          <w:t>十二、低聚木糖数字化发展方案</w:t>
        </w:r>
        <w:r>
          <w:tab/>
        </w:r>
        <w:r>
          <w:fldChar w:fldCharType="begin"/>
        </w:r>
        <w:r>
          <w:instrText xml:space="preserve"> PAGEREF _Toc7223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09" w:history="1">
        <w:r>
          <w:rPr>
            <w:rFonts w:ascii="仿宋" w:eastAsia="仿宋" w:hAnsi="仿宋" w:cs="仿宋" w:hint="eastAsia"/>
            <w:lang w:val="en-GB"/>
          </w:rPr>
          <w:t>(一)、数字化战略规划</w:t>
        </w:r>
        <w:r>
          <w:tab/>
        </w:r>
        <w:r>
          <w:fldChar w:fldCharType="begin"/>
        </w:r>
        <w:r>
          <w:instrText xml:space="preserve"> PAGEREF _Toc30909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32" w:history="1">
        <w:r>
          <w:rPr>
            <w:rFonts w:ascii="仿宋" w:eastAsia="仿宋" w:hAnsi="仿宋" w:cs="仿宋" w:hint="eastAsia"/>
            <w:lang w:val="en-GB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_Toc11532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51" w:history="1">
        <w:r>
          <w:rPr>
            <w:rFonts w:ascii="仿宋" w:eastAsia="仿宋" w:hAnsi="仿宋" w:cs="仿宋" w:hint="eastAsia"/>
            <w:lang w:val="en-GB"/>
          </w:rPr>
          <w:t>(三)、人工智能与大数据应用</w:t>
        </w:r>
        <w:r>
          <w:tab/>
        </w:r>
        <w:r>
          <w:fldChar w:fldCharType="begin"/>
        </w:r>
        <w:r>
          <w:instrText xml:space="preserve"> PAGEREF _Toc6951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41" w:history="1">
        <w:r>
          <w:rPr>
            <w:rFonts w:ascii="仿宋" w:eastAsia="仿宋" w:hAnsi="仿宋" w:cs="仿宋" w:hint="eastAsia"/>
            <w:lang w:val="en-GB"/>
          </w:rPr>
          <w:t>(四)、信息技术基础设施建设</w:t>
        </w:r>
        <w:r>
          <w:tab/>
        </w:r>
        <w:r>
          <w:fldChar w:fldCharType="begin"/>
        </w:r>
        <w:r>
          <w:instrText xml:space="preserve"> PAGEREF _Toc13741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59" w:history="1">
        <w:r>
          <w:rPr>
            <w:rFonts w:ascii="仿宋" w:eastAsia="仿宋" w:hAnsi="仿宋" w:cs="仿宋" w:hint="eastAsia"/>
            <w:lang w:val="en-GB"/>
          </w:rPr>
          <w:t>十三、低聚木糖行业高质量发展</w:t>
        </w:r>
        <w:r>
          <w:tab/>
        </w:r>
        <w:r>
          <w:fldChar w:fldCharType="begin"/>
        </w:r>
        <w:r>
          <w:instrText xml:space="preserve"> PAGEREF _Toc26059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9" w:history="1">
        <w:r>
          <w:rPr>
            <w:rFonts w:ascii="仿宋" w:eastAsia="仿宋" w:hAnsi="仿宋" w:cs="仿宋" w:hint="eastAsia"/>
            <w:lang w:val="en-GB"/>
          </w:rPr>
          <w:t>(一)、质量管理体系</w:t>
        </w:r>
        <w:r>
          <w:tab/>
        </w:r>
        <w:r>
          <w:fldChar w:fldCharType="begin"/>
        </w:r>
        <w:r>
          <w:instrText xml:space="preserve"> PAGEREF _Toc3029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90" w:history="1">
        <w:r>
          <w:rPr>
            <w:rFonts w:ascii="仿宋" w:eastAsia="仿宋" w:hAnsi="仿宋" w:cs="仿宋" w:hint="eastAsia"/>
            <w:lang w:val="en-GB"/>
          </w:rPr>
          <w:t>(二)、创新与研发投入</w:t>
        </w:r>
        <w:r>
          <w:tab/>
        </w:r>
        <w:r>
          <w:fldChar w:fldCharType="begin"/>
        </w:r>
        <w:r>
          <w:instrText xml:space="preserve"> PAGEREF _Toc5690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99" w:history="1">
        <w:r>
          <w:rPr>
            <w:rFonts w:ascii="仿宋" w:eastAsia="仿宋" w:hAnsi="仿宋" w:cs="仿宋" w:hint="eastAsia"/>
            <w:lang w:val="en-GB"/>
          </w:rPr>
          <w:t>(三)、生产效率提升</w:t>
        </w:r>
        <w:r>
          <w:tab/>
        </w:r>
        <w:r>
          <w:fldChar w:fldCharType="begin"/>
        </w:r>
        <w:r>
          <w:instrText xml:space="preserve"> PAGEREF _Toc25199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36" w:history="1">
        <w:r>
          <w:rPr>
            <w:rFonts w:ascii="仿宋" w:eastAsia="仿宋" w:hAnsi="仿宋" w:cs="仿宋" w:hint="eastAsia"/>
            <w:lang w:val="en-GB"/>
          </w:rPr>
          <w:t>(四)、环保与可持续发展</w:t>
        </w:r>
        <w:r>
          <w:tab/>
        </w:r>
        <w:r>
          <w:fldChar w:fldCharType="begin"/>
        </w:r>
        <w:r>
          <w:instrText xml:space="preserve"> PAGEREF _Toc22736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42" w:history="1">
        <w:r>
          <w:rPr>
            <w:rFonts w:ascii="仿宋" w:eastAsia="仿宋" w:hAnsi="仿宋" w:cs="仿宋" w:hint="eastAsia"/>
            <w:lang w:val="en-GB"/>
          </w:rPr>
          <w:t>十四、低聚木糖供应链管理</w:t>
        </w:r>
        <w:r>
          <w:tab/>
        </w:r>
        <w:r>
          <w:fldChar w:fldCharType="begin"/>
        </w:r>
        <w:r>
          <w:instrText xml:space="preserve"> PAGEREF _Toc19742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16" w:history="1">
        <w:r>
          <w:rPr>
            <w:rFonts w:ascii="仿宋" w:eastAsia="仿宋" w:hAnsi="仿宋" w:cs="仿宋" w:hint="eastAsia"/>
            <w:lang w:val="en-GB"/>
          </w:rPr>
          <w:t>(一)、供应链优化策略</w:t>
        </w:r>
        <w:r>
          <w:tab/>
        </w:r>
        <w:r>
          <w:fldChar w:fldCharType="begin"/>
        </w:r>
        <w:r>
          <w:instrText xml:space="preserve"> PAGEREF _Toc28816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72" w:history="1">
        <w:r>
          <w:rPr>
            <w:rFonts w:ascii="仿宋" w:eastAsia="仿宋" w:hAnsi="仿宋" w:cs="仿宋" w:hint="eastAsia"/>
            <w:lang w:val="en-GB"/>
          </w:rPr>
          <w:t>(二)、供应商合作与管理</w:t>
        </w:r>
        <w:r>
          <w:tab/>
        </w:r>
        <w:r>
          <w:fldChar w:fldCharType="begin"/>
        </w:r>
        <w:r>
          <w:instrText xml:space="preserve"> PAGEREF _Toc12572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12" w:history="1">
        <w:r>
          <w:rPr>
            <w:rFonts w:ascii="仿宋" w:eastAsia="仿宋" w:hAnsi="仿宋" w:cs="仿宋" w:hint="eastAsia"/>
            <w:lang w:val="en-GB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_Toc11012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54" w:history="1">
        <w:r>
          <w:rPr>
            <w:rFonts w:ascii="仿宋" w:eastAsia="仿宋" w:hAnsi="仿宋" w:cs="仿宋" w:hint="eastAsia"/>
            <w:lang w:val="en-GB"/>
          </w:rPr>
          <w:t>(四)、风险管理与应对策略</w:t>
        </w:r>
        <w:r>
          <w:tab/>
        </w:r>
        <w:r>
          <w:fldChar w:fldCharType="begin"/>
        </w:r>
        <w:r>
          <w:instrText xml:space="preserve"> PAGEREF _Toc5654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16795"/>
      <w:r>
        <w:rPr>
          <w:rFonts w:ascii="仿宋" w:eastAsia="仿宋" w:hAnsi="仿宋" w:cs="仿宋" w:hint="eastAsia"/>
          <w:lang w:val="en-GB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随着低聚木糖市场竞争的不断加剧，低聚木糖企业之间争夺市场份额的过程愈加复杂多变。本报告通过系统地分析市场趋势、行业壁垒、消费者偏好与竞争者行为，旨在为读者提供全面细致的市场分析及竞争策略。研究所得不仅能帮助企业制定科学合理的市场策略，还能在激烈的市场竞争中寻求到可持续的竞争优势。请注意，本报告的内容仅限于学习交流，严禁用于任何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27680"/>
      <w:r>
        <w:rPr>
          <w:rFonts w:ascii="仿宋" w:eastAsia="仿宋" w:hAnsi="仿宋" w:cs="仿宋" w:hint="eastAsia"/>
          <w:sz w:val="28"/>
          <w:lang w:val="en-GB"/>
        </w:rPr>
        <w:t>一、低聚木糖危机管理与应对策略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13945"/>
      <w:r>
        <w:rPr>
          <w:rFonts w:ascii="仿宋" w:eastAsia="仿宋" w:hAnsi="仿宋" w:cs="仿宋" w:hint="eastAsia"/>
          <w:lang w:val="en-GB"/>
        </w:rPr>
        <w:t>(一)、危机预警与应急计划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一、危机预警与监测体系的建立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应对复杂多变的商业环境，公司决定构建一套健全且高效的危机预警体系。此体系不仅将实时监测市场动态，还将深入分析经济环境和政策变化等多个层面，旨在及时发现并应对可能对公司经营产生负面影响的因素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市场监测方面，公司将充分利用现代信息技术和数据分析工具，通过社交媒体分析、消费者调查以及竞争对手行为追踪等手段，全面把握市场脉搏。此外，公司还将密切关注国内外经济趋势、汇率波动等宏观经济因素，以及与公司业务相关的政策法规变化，确保公司经营策略与外部环境的动态变化保持同步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实现这一目标，公司将建立一支专业的危机预警团队，负责数据的收集、整理和分析工作。该团队将与公司的其他部门紧密合作，确保信息的及时传递和有效应用。同时，公司将定期对预警系统进行评估和优化，以提高其准确性和有效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二、应急计划的制定与执行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在危机预警体系的基础上，公司决定制定一套详尽的应急计划。该计划将明确各部门的职责和应对步骤，确保在危机爆发时能够迅速做出反应，最大限度地减少损失。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应急计划将根据不同类型的危机制定相应的应对策略。例如，在面对市场竞争压力时，公司将调整营销策略，加大产品创新力度；在遭遇自然灾害等不可抗力因素时，公司将启动业务连续性计划，确保公司运营的稳定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确保应急计划的有效执行，公司将定期组织模拟演练和培训活动，提高员工的危机意识和应对能力。同时，公司将建立应急指挥中心，负责在危机发生时统一协调各部门的行动和资源，确保公司的快速响应和高效处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10598"/>
      <w:r>
        <w:rPr>
          <w:rFonts w:ascii="仿宋" w:eastAsia="仿宋" w:hAnsi="仿宋" w:cs="仿宋" w:hint="eastAsia"/>
          <w:sz w:val="28"/>
          <w:lang w:val="en-GB"/>
        </w:rPr>
        <w:t>(二)、公关与危机沟通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公关策略方面，公司将建立专业的公关团队，由资深公关专业人士组成。该团队将负责制定和执行全面的公关策略，包括品牌推广、形象建设、社会责任传播等方面。通过与媒体建立紧密的关系，公司将确保信息的及时传播和准确传递。在公关活动中，公司将强调透明度和真实性，确保公众对公司的认知是真实、全面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危机沟通团队的建立与培训是公司危机管理的重要组成部分。该团队将由危机管理专业人士、法务团队、高管层成员等组成。他们将负责在危机发生时的信息发布、危机应对策略的制定和执行。团队成员将接受定期的危机沟通培训，提高其在紧急情况下的应变能力和沟通技巧。培训内容将涵盖公关原则、媒体交往、社交媒体管理等多个方面，以确保团队在危机时能够迅速而有效地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社交媒体管理与舆情监测是公司危机沟通的重要环节。公司将加强对社交媒体的管理，建立完善的社交媒体监测系统。通过对各类社交媒体平台的实时监控，公司将及时了解公众对公司的关切点、舆论走向。在危机时，公司将积极参与社交媒体的互动，通过积极回应、解释公司立场等方式，引导舆论走向。同时，公司将保持高度警惕，及时发现和应对社交媒体上的谣言和负面信息，以避免信息传播的不当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关系维护与合作伙伴关系建设是公司危机管理的基石。公司将注重与各利益相关方的关系维护和合作伙伴关系建设。通过定期的交流活动、企业社会责任低聚木糖项目的推动等方式，公司将增进与员工、客户、供应商、投资者等各方的良好关系。在危机时，公司将充分发挥各方关系的积极作用，争取更多理解和支持。与关键合作伙伴之间，公司将建立长期稳定的合作机制，共同应对危机，形成危机共建共享的格局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形象修复与长期声誉管理是公司在危机后重要的工作。公司将根据危机的具体情况，制定相应的形象修复策略。通过开展品牌形象宣传、产品升级、社会公益活动等多种手段，公司将努力恢复公众对其的信任。长期声誉管理方面，公司将不仅仅在危机时关注形象维护，而是通过日常经营和企业社会责任的全面推动，树立积极向上的企业形象，增强公众对公司的好感度和认同感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2984"/>
      <w:r>
        <w:rPr>
          <w:rFonts w:ascii="仿宋" w:eastAsia="仿宋" w:hAnsi="仿宋" w:cs="仿宋" w:hint="eastAsia"/>
          <w:sz w:val="28"/>
          <w:lang w:val="en-GB"/>
        </w:rPr>
        <w:t>(三)、媒体关系与舆情管理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媒体关系建设：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积极构建与各类媒体的良好关系。这包括与新闻机构、低聚木糖行业媒体、社交媒体等多个媒体渠道的沟通与合作。建立定期的媒体沟通渠道，向媒体提供及时准确的企业信息，展示公司的发展成就和社会责任履行，以确保对外信息传递的一致性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舆情监测与分析：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建立全面的舆情监测系统，跟踪主流媒体、社交媒体和专业论坛等多个平台的舆情信息。通过先进的舆情分析工具，实时监测与公司相关的正面和负面舆情，深度分析舆情数据，及时了解公众关注点，为公司决策提供科学依据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危机舆情处理：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建立健全的危机舆情处理机制，包括危机应对预案、危机沟通团队等。在危机事件发生时，公司将迅速做出反应，通过透明的信息发布、迅速的问题解决和积极的危机沟通，及时平息不良舆情，保护企业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定期发布信息：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https://d.book118.com/777144111003006036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低聚木糖产业分析报告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低聚木糖产业分析报告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低聚木糖产业分析报告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低聚木糖产业分析报告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低聚木糖产业分析报告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低聚木糖产业分析报告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低聚木糖产业分析报告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DF86FAC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9DD02AA"/>
    <w:rsid w:val="3CE2454C"/>
    <w:rsid w:val="3D8A1B1E"/>
    <w:rsid w:val="3D99442E"/>
    <w:rsid w:val="3DF86FAC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777144111003006036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2024-01-08T14:03:00Z</dcterms:created>
  <dcterms:modified xsi:type="dcterms:W3CDTF">2024-01-08T14:03:44Z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5BDFC2DEAE2A4E31B1CDC1B98A41AF79_11</vt:lpwstr>
  </property>
  <property fmtid="{D5CDD505-2E9C-101B-9397-08002B2CF9AE}" pid="3" name="KSOProductBuildVer">
    <vt:lpwstr>2052-12.1.0.16120</vt:lpwstr>
  </property>
</Properties>
</file>