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4" w:line="215" w:lineRule="auto"/>
        <w:ind w:left="3597"/>
        <w:outlineLvl w:val="0"/>
        <w:rPr>
          <w:sz w:val="30"/>
          <w:szCs w:val="30"/>
        </w:rPr>
      </w:pPr>
      <w:r>
        <w:rPr>
          <w:b/>
          <w:bCs/>
          <w:spacing w:val="-19"/>
          <w:sz w:val="31"/>
          <w:szCs w:val="31"/>
        </w:rPr>
        <w:t>1</w:t>
      </w:r>
      <w:r>
        <w:rPr>
          <w:spacing w:val="31"/>
          <w:sz w:val="31"/>
          <w:szCs w:val="31"/>
        </w:rPr>
        <w:t xml:space="preserve">   </w:t>
      </w:r>
      <w:r>
        <w:rPr>
          <w:b/>
          <w:bCs/>
          <w:spacing w:val="-19"/>
          <w:sz w:val="30"/>
          <w:szCs w:val="30"/>
        </w:rPr>
        <w:t>总则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78" w:line="466" w:lineRule="exact"/>
        <w:ind w:left="38"/>
      </w:pPr>
      <w:r>
        <w:rPr>
          <w:b/>
          <w:bCs/>
          <w:spacing w:val="2"/>
          <w:position w:val="16"/>
        </w:rPr>
        <w:t>1.0.1</w:t>
      </w:r>
      <w:r>
        <w:rPr>
          <w:spacing w:val="2"/>
          <w:position w:val="16"/>
        </w:rPr>
        <w:t xml:space="preserve">  为保障有色轻金属冶金工程项目建设质量和安全生产，强化环境保护，</w:t>
      </w:r>
    </w:p>
    <w:p>
      <w:pPr>
        <w:pStyle w:val="BodyText"/>
        <w:spacing w:line="219" w:lineRule="auto"/>
        <w:ind w:left="21"/>
      </w:pPr>
      <w:r>
        <w:rPr>
          <w:spacing w:val="-1"/>
        </w:rPr>
        <w:t>推动能源节约、资源综合利用和</w:t>
      </w:r>
      <w:r>
        <w:rPr>
          <w:color w:val="333333"/>
          <w:spacing w:val="-1"/>
        </w:rPr>
        <w:t>绿色低碳循环发展，</w:t>
      </w:r>
      <w:r>
        <w:rPr>
          <w:spacing w:val="-1"/>
        </w:rPr>
        <w:t>制定本规范。</w:t>
      </w:r>
    </w:p>
    <w:p>
      <w:pPr>
        <w:pStyle w:val="BodyText"/>
        <w:spacing w:before="183" w:line="359" w:lineRule="auto"/>
        <w:ind w:left="39" w:hanging="1"/>
        <w:jc w:val="both"/>
      </w:pPr>
      <w:r>
        <w:rPr>
          <w:b/>
          <w:bCs/>
          <w:spacing w:val="2"/>
        </w:rPr>
        <w:t>1.0.2</w:t>
      </w:r>
      <w:r>
        <w:rPr>
          <w:spacing w:val="2"/>
        </w:rPr>
        <w:t xml:space="preserve">  氧化铝冶金、铝电解冶金、铝用炭素制造和镁冶金的新建、扩建和改建</w:t>
      </w:r>
      <w:r>
        <w:rPr>
          <w:spacing w:val="10"/>
        </w:rPr>
        <w:t xml:space="preserve"> </w:t>
      </w:r>
      <w:r>
        <w:rPr>
          <w:spacing w:val="-6"/>
        </w:rPr>
        <w:t>的有色轻金属冶金工程建设项目的规划、设计、施工、验收、运行、维护和管理，</w:t>
      </w:r>
    </w:p>
    <w:p>
      <w:pPr>
        <w:pStyle w:val="BodyText"/>
        <w:spacing w:line="219" w:lineRule="auto"/>
        <w:ind w:left="24"/>
      </w:pPr>
      <w:r>
        <w:rPr>
          <w:spacing w:val="-2"/>
        </w:rPr>
        <w:t>必须遵守本规范。</w:t>
      </w:r>
    </w:p>
    <w:p>
      <w:pPr>
        <w:pStyle w:val="BodyText"/>
        <w:spacing w:before="180" w:line="219" w:lineRule="auto"/>
        <w:ind w:left="38"/>
      </w:pPr>
      <w:r>
        <w:rPr>
          <w:b/>
          <w:bCs/>
          <w:spacing w:val="-2"/>
        </w:rPr>
        <w:t>1.0.3</w:t>
      </w:r>
      <w:r>
        <w:rPr>
          <w:spacing w:val="-2"/>
        </w:rPr>
        <w:t xml:space="preserve">  本规范遵循下列基本原则：</w:t>
      </w:r>
    </w:p>
    <w:p>
      <w:pPr>
        <w:pStyle w:val="BodyText"/>
        <w:spacing w:before="183" w:line="468" w:lineRule="exact"/>
        <w:ind w:left="463"/>
      </w:pPr>
      <w:r>
        <w:rPr>
          <w:b/>
          <w:bCs/>
          <w:spacing w:val="-3"/>
          <w:position w:val="17"/>
        </w:rPr>
        <w:t>1</w:t>
      </w:r>
      <w:r>
        <w:rPr>
          <w:spacing w:val="44"/>
          <w:position w:val="17"/>
        </w:rPr>
        <w:t xml:space="preserve">  </w:t>
      </w:r>
      <w:r>
        <w:rPr>
          <w:spacing w:val="-3"/>
          <w:position w:val="17"/>
        </w:rPr>
        <w:t>符合国家现行法律、法规和产业政策；</w:t>
      </w:r>
    </w:p>
    <w:p>
      <w:pPr>
        <w:pStyle w:val="BodyText"/>
        <w:spacing w:line="220" w:lineRule="auto"/>
        <w:ind w:left="448"/>
      </w:pPr>
      <w:r>
        <w:rPr>
          <w:b/>
          <w:bCs/>
          <w:spacing w:val="-2"/>
        </w:rPr>
        <w:t>2</w:t>
      </w:r>
      <w:r>
        <w:rPr>
          <w:spacing w:val="38"/>
        </w:rPr>
        <w:t xml:space="preserve">  </w:t>
      </w:r>
      <w:r>
        <w:rPr>
          <w:spacing w:val="-2"/>
        </w:rPr>
        <w:t>保障人身、财产和公共安全；</w:t>
      </w:r>
    </w:p>
    <w:p>
      <w:pPr>
        <w:pStyle w:val="BodyText"/>
        <w:spacing w:before="179" w:line="221" w:lineRule="auto"/>
        <w:ind w:left="450"/>
      </w:pPr>
      <w:r>
        <w:rPr>
          <w:b/>
          <w:bCs/>
          <w:spacing w:val="-3"/>
        </w:rPr>
        <w:t>3</w:t>
      </w:r>
      <w:r>
        <w:rPr>
          <w:spacing w:val="46"/>
        </w:rPr>
        <w:t xml:space="preserve">  </w:t>
      </w:r>
      <w:r>
        <w:rPr>
          <w:spacing w:val="-3"/>
        </w:rPr>
        <w:t>强化节能减排和资源节约利用；</w:t>
      </w:r>
    </w:p>
    <w:p>
      <w:pPr>
        <w:pStyle w:val="BodyText"/>
        <w:spacing w:before="181" w:line="465" w:lineRule="exact"/>
        <w:ind w:left="444"/>
      </w:pPr>
      <w:r>
        <w:rPr>
          <w:b/>
          <w:bCs/>
          <w:spacing w:val="-2"/>
          <w:position w:val="17"/>
        </w:rPr>
        <w:t>4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鼓励工程技术创新和对标先进企业；</w:t>
      </w:r>
    </w:p>
    <w:p>
      <w:pPr>
        <w:pStyle w:val="BodyText"/>
        <w:spacing w:before="1" w:line="220" w:lineRule="auto"/>
        <w:ind w:left="450"/>
      </w:pPr>
      <w:r>
        <w:rPr>
          <w:b/>
          <w:bCs/>
          <w:spacing w:val="-2"/>
        </w:rPr>
        <w:t>5</w:t>
      </w:r>
      <w:r>
        <w:rPr>
          <w:spacing w:val="40"/>
        </w:rPr>
        <w:t xml:space="preserve">  </w:t>
      </w:r>
      <w:r>
        <w:rPr>
          <w:spacing w:val="-2"/>
        </w:rPr>
        <w:t>提升企业工艺装备技术及管理水平。</w:t>
      </w:r>
    </w:p>
    <w:p>
      <w:pPr>
        <w:pStyle w:val="BodyText"/>
        <w:spacing w:before="179" w:line="360" w:lineRule="auto"/>
        <w:ind w:left="21" w:right="63" w:firstLine="17"/>
        <w:jc w:val="both"/>
      </w:pPr>
      <w:r>
        <w:rPr>
          <w:b/>
          <w:bCs/>
          <w:spacing w:val="2"/>
        </w:rPr>
        <w:t>1.0.4</w:t>
      </w:r>
      <w:r>
        <w:rPr>
          <w:spacing w:val="2"/>
        </w:rPr>
        <w:t xml:space="preserve">  工程建设所采用的技术方法和措施是否符合本规范要求，由相关责任主</w:t>
      </w:r>
      <w:r>
        <w:rPr>
          <w:spacing w:val="10"/>
        </w:rPr>
        <w:t xml:space="preserve"> </w:t>
      </w:r>
      <w:r>
        <w:t>体判定。其中，创新性的技术方法和措施，应进行论证并符合本规范中</w:t>
      </w:r>
      <w:r>
        <w:rPr>
          <w:spacing w:val="-1"/>
        </w:rPr>
        <w:t>有关功能</w:t>
      </w:r>
    </w:p>
    <w:p>
      <w:pPr>
        <w:pStyle w:val="BodyText"/>
        <w:spacing w:before="1" w:line="221" w:lineRule="auto"/>
        <w:ind w:left="22"/>
      </w:pPr>
      <w:r>
        <w:rPr>
          <w:spacing w:val="-2"/>
        </w:rPr>
        <w:t>和性能的要求。</w:t>
      </w:r>
    </w:p>
    <w:p>
      <w:pPr>
        <w:spacing w:line="221" w:lineRule="auto"/>
        <w:sectPr>
          <w:footerReference w:type="default" r:id="rId4"/>
          <w:pgSz w:w="11906" w:h="16839"/>
          <w:pgMar w:top="1431" w:right="1637" w:bottom="1162" w:left="1785" w:header="0" w:footer="992" w:gutter="0"/>
          <w:cols w:space="708"/>
        </w:sectPr>
      </w:pPr>
    </w:p>
    <w:p>
      <w:pPr>
        <w:pStyle w:val="BodyText"/>
        <w:spacing w:before="73" w:line="214" w:lineRule="auto"/>
        <w:ind w:left="3277"/>
        <w:rPr>
          <w:sz w:val="30"/>
          <w:szCs w:val="30"/>
        </w:rPr>
      </w:pPr>
      <w:r>
        <w:rPr>
          <w:b/>
          <w:bCs/>
          <w:spacing w:val="-8"/>
          <w:sz w:val="31"/>
          <w:szCs w:val="31"/>
        </w:rPr>
        <w:t>2</w:t>
      </w:r>
      <w:r>
        <w:rPr>
          <w:spacing w:val="30"/>
          <w:sz w:val="31"/>
          <w:szCs w:val="31"/>
        </w:rPr>
        <w:t xml:space="preserve">   </w:t>
      </w:r>
      <w:r>
        <w:rPr>
          <w:b/>
          <w:bCs/>
          <w:spacing w:val="-8"/>
          <w:sz w:val="30"/>
          <w:szCs w:val="30"/>
        </w:rPr>
        <w:t>基本规定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3391"/>
        <w:outlineLvl w:val="0"/>
        <w:rPr>
          <w:rFonts w:ascii="SimHei" w:eastAsia="SimHei" w:hAnsi="SimHei" w:cs="SimHei"/>
        </w:rPr>
      </w:pPr>
      <w:r>
        <w:rPr>
          <w:b/>
          <w:bCs/>
          <w:spacing w:val="-5"/>
        </w:rPr>
        <w:t>2.1</w:t>
      </w:r>
      <w:r>
        <w:rPr>
          <w:spacing w:val="57"/>
        </w:rPr>
        <w:t xml:space="preserve">  </w:t>
      </w:r>
      <w:r>
        <w:rPr>
          <w:rFonts w:ascii="SimHei" w:eastAsia="SimHei" w:hAnsi="SimHei" w:cs="SimHei"/>
          <w:b/>
          <w:bCs/>
          <w:spacing w:val="-5"/>
        </w:rPr>
        <w:t>规划布局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8" w:line="290" w:lineRule="auto"/>
        <w:ind w:left="29" w:hanging="6"/>
      </w:pPr>
      <w:r>
        <w:rPr>
          <w:b/>
          <w:bCs/>
          <w:spacing w:val="-4"/>
        </w:rPr>
        <w:t>2.1.1</w:t>
      </w:r>
      <w:r>
        <w:rPr>
          <w:spacing w:val="-4"/>
        </w:rPr>
        <w:t xml:space="preserve">   工程项目规划必须符合国家工</w:t>
      </w:r>
      <w:r>
        <w:rPr>
          <w:spacing w:val="-5"/>
        </w:rPr>
        <w:t>业发展规划、国土空间规划，应根据资源、</w:t>
      </w:r>
      <w:r>
        <w:t xml:space="preserve"> </w:t>
      </w:r>
      <w:r>
        <w:rPr>
          <w:spacing w:val="-1"/>
        </w:rPr>
        <w:t>能源、环境和市场等条件，科学布局和建设有色轻金属冶金工程项目。</w:t>
      </w:r>
    </w:p>
    <w:p>
      <w:pPr>
        <w:pStyle w:val="BodyText"/>
        <w:spacing w:before="180" w:line="220" w:lineRule="auto"/>
        <w:ind w:left="23"/>
      </w:pPr>
      <w:r>
        <w:rPr>
          <w:b/>
          <w:bCs/>
        </w:rPr>
        <w:t>2.1.2</w:t>
      </w:r>
      <w:r>
        <w:t xml:space="preserve">   下列地区或地段不得选为有色轻金属冶金工程项目的厂址：</w:t>
      </w:r>
    </w:p>
    <w:p>
      <w:pPr>
        <w:pStyle w:val="BodyText"/>
        <w:spacing w:before="182" w:line="465" w:lineRule="exact"/>
        <w:ind w:left="605"/>
      </w:pPr>
      <w:r>
        <w:rPr>
          <w:b/>
          <w:bCs/>
          <w:spacing w:val="-4"/>
          <w:position w:val="17"/>
        </w:rPr>
        <w:t>1</w:t>
      </w:r>
      <w:r>
        <w:rPr>
          <w:spacing w:val="48"/>
          <w:position w:val="17"/>
        </w:rPr>
        <w:t xml:space="preserve">  </w:t>
      </w:r>
      <w:r>
        <w:rPr>
          <w:spacing w:val="-4"/>
          <w:position w:val="17"/>
        </w:rPr>
        <w:t>发震断层和抗震设防烈度为</w:t>
      </w:r>
      <w:r>
        <w:rPr>
          <w:spacing w:val="-49"/>
          <w:position w:val="17"/>
        </w:rPr>
        <w:t xml:space="preserve"> </w:t>
      </w:r>
      <w:r>
        <w:rPr>
          <w:spacing w:val="-4"/>
          <w:position w:val="17"/>
        </w:rPr>
        <w:t>9</w:t>
      </w:r>
      <w:r>
        <w:rPr>
          <w:spacing w:val="-52"/>
          <w:position w:val="17"/>
        </w:rPr>
        <w:t xml:space="preserve"> </w:t>
      </w:r>
      <w:r>
        <w:rPr>
          <w:spacing w:val="-4"/>
          <w:position w:val="17"/>
        </w:rPr>
        <w:t>度或高于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9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度的地震区。</w:t>
      </w:r>
    </w:p>
    <w:p>
      <w:pPr>
        <w:pStyle w:val="BodyText"/>
        <w:spacing w:line="220" w:lineRule="auto"/>
        <w:ind w:left="590"/>
      </w:pPr>
      <w:r>
        <w:rPr>
          <w:b/>
          <w:bCs/>
          <w:spacing w:val="-1"/>
        </w:rPr>
        <w:t>2</w:t>
      </w:r>
      <w:r>
        <w:rPr>
          <w:spacing w:val="37"/>
        </w:rPr>
        <w:t xml:space="preserve">  </w:t>
      </w:r>
      <w:r>
        <w:rPr>
          <w:spacing w:val="-1"/>
        </w:rPr>
        <w:t>存在泥石流、滑坡、流沙、溶洞等直接危害地</w:t>
      </w:r>
      <w:r>
        <w:rPr>
          <w:spacing w:val="-2"/>
        </w:rPr>
        <w:t>段。</w:t>
      </w:r>
    </w:p>
    <w:p>
      <w:pPr>
        <w:pStyle w:val="BodyText"/>
        <w:spacing w:before="182" w:line="468" w:lineRule="exact"/>
        <w:ind w:left="592"/>
      </w:pPr>
      <w:r>
        <w:rPr>
          <w:b/>
          <w:bCs/>
          <w:spacing w:val="-2"/>
          <w:position w:val="17"/>
        </w:rPr>
        <w:t>3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采矿塌陷（错动）区地表界限内、由采矿形成的山体崩落、滚石和飘尘</w:t>
      </w:r>
    </w:p>
    <w:p>
      <w:pPr>
        <w:pStyle w:val="BodyText"/>
        <w:spacing w:line="220" w:lineRule="auto"/>
        <w:ind w:left="22"/>
      </w:pPr>
      <w:r>
        <w:rPr>
          <w:spacing w:val="-2"/>
        </w:rPr>
        <w:t>等严重危害地段。</w:t>
      </w:r>
    </w:p>
    <w:p>
      <w:pPr>
        <w:pStyle w:val="BodyText"/>
        <w:spacing w:before="179" w:line="219" w:lineRule="auto"/>
        <w:ind w:left="586"/>
      </w:pPr>
      <w:r>
        <w:rPr>
          <w:b/>
          <w:bCs/>
          <w:spacing w:val="-2"/>
        </w:rPr>
        <w:t>4</w:t>
      </w:r>
      <w:r>
        <w:rPr>
          <w:spacing w:val="36"/>
        </w:rPr>
        <w:t xml:space="preserve">  </w:t>
      </w:r>
      <w:r>
        <w:rPr>
          <w:spacing w:val="-2"/>
        </w:rPr>
        <w:t>爆破危险区界区内。</w:t>
      </w:r>
    </w:p>
    <w:p>
      <w:pPr>
        <w:pStyle w:val="BodyText"/>
        <w:spacing w:before="182" w:line="220" w:lineRule="auto"/>
        <w:ind w:left="592"/>
      </w:pPr>
      <w:r>
        <w:rPr>
          <w:b/>
          <w:bCs/>
          <w:spacing w:val="-2"/>
        </w:rPr>
        <w:t>5</w:t>
      </w:r>
      <w:r>
        <w:rPr>
          <w:spacing w:val="38"/>
        </w:rPr>
        <w:t xml:space="preserve">  </w:t>
      </w:r>
      <w:r>
        <w:rPr>
          <w:spacing w:val="-2"/>
        </w:rPr>
        <w:t>生活饮用水源的卫生防护带内。</w:t>
      </w:r>
    </w:p>
    <w:p>
      <w:pPr>
        <w:pStyle w:val="BodyText"/>
        <w:spacing w:before="182" w:line="465" w:lineRule="exact"/>
        <w:ind w:left="589"/>
      </w:pPr>
      <w:r>
        <w:rPr>
          <w:b/>
          <w:bCs/>
          <w:spacing w:val="-2"/>
          <w:position w:val="17"/>
        </w:rPr>
        <w:t>6</w:t>
      </w:r>
      <w:r>
        <w:rPr>
          <w:spacing w:val="45"/>
          <w:position w:val="17"/>
        </w:rPr>
        <w:t xml:space="preserve">  </w:t>
      </w:r>
      <w:r>
        <w:rPr>
          <w:spacing w:val="-2"/>
          <w:position w:val="17"/>
        </w:rPr>
        <w:t>生活居住区、文教区、水源保护区、名胜古迹、温泉、疗养区、自然保</w:t>
      </w:r>
    </w:p>
    <w:p>
      <w:pPr>
        <w:pStyle w:val="BodyText"/>
        <w:spacing w:before="1" w:line="220" w:lineRule="auto"/>
        <w:ind w:left="22"/>
      </w:pPr>
      <w:r>
        <w:rPr>
          <w:spacing w:val="-4"/>
        </w:rPr>
        <w:t>护区。</w:t>
      </w:r>
    </w:p>
    <w:p>
      <w:pPr>
        <w:pStyle w:val="BodyText"/>
        <w:spacing w:before="181" w:line="468" w:lineRule="exact"/>
        <w:ind w:left="593"/>
      </w:pPr>
      <w:r>
        <w:rPr>
          <w:b/>
          <w:bCs/>
          <w:spacing w:val="-1"/>
          <w:position w:val="17"/>
        </w:rPr>
        <w:t>7</w:t>
      </w:r>
      <w:r>
        <w:rPr>
          <w:spacing w:val="36"/>
          <w:position w:val="17"/>
        </w:rPr>
        <w:t xml:space="preserve">  </w:t>
      </w:r>
      <w:r>
        <w:rPr>
          <w:spacing w:val="-1"/>
          <w:position w:val="17"/>
        </w:rPr>
        <w:t>对飞机起落、电台通讯、电视转播、雷达导航和</w:t>
      </w:r>
      <w:r>
        <w:rPr>
          <w:spacing w:val="-2"/>
          <w:position w:val="17"/>
        </w:rPr>
        <w:t>重要的天文、气象、地</w:t>
      </w:r>
    </w:p>
    <w:p>
      <w:pPr>
        <w:pStyle w:val="BodyText"/>
        <w:spacing w:before="1" w:line="219" w:lineRule="auto"/>
        <w:ind w:left="22"/>
      </w:pPr>
      <w:r>
        <w:rPr>
          <w:spacing w:val="-1"/>
        </w:rPr>
        <w:t>震观察以及军事设施等规定的影响范围内。</w:t>
      </w:r>
    </w:p>
    <w:p>
      <w:pPr>
        <w:pStyle w:val="BodyText"/>
        <w:spacing w:before="180" w:line="468" w:lineRule="exact"/>
        <w:ind w:left="588"/>
      </w:pPr>
      <w:r>
        <w:rPr>
          <w:b/>
          <w:bCs/>
          <w:spacing w:val="-1"/>
          <w:position w:val="17"/>
        </w:rPr>
        <w:t>8</w:t>
      </w:r>
      <w:r>
        <w:rPr>
          <w:spacing w:val="38"/>
          <w:position w:val="17"/>
        </w:rPr>
        <w:t xml:space="preserve">  </w:t>
      </w:r>
      <w:r>
        <w:rPr>
          <w:spacing w:val="-1"/>
          <w:position w:val="17"/>
        </w:rPr>
        <w:t>坝或堤决溃后可能淹没的地区，受海啸或潮涌危害的地区。</w:t>
      </w:r>
    </w:p>
    <w:p>
      <w:pPr>
        <w:pStyle w:val="BodyText"/>
        <w:spacing w:line="220" w:lineRule="auto"/>
        <w:ind w:left="588"/>
      </w:pPr>
      <w:r>
        <w:rPr>
          <w:b/>
          <w:bCs/>
          <w:spacing w:val="-3"/>
        </w:rPr>
        <w:t>9</w:t>
      </w:r>
      <w:r>
        <w:rPr>
          <w:spacing w:val="41"/>
        </w:rPr>
        <w:t xml:space="preserve">  </w:t>
      </w:r>
      <w:r>
        <w:rPr>
          <w:spacing w:val="-3"/>
        </w:rPr>
        <w:t>重要矿产资源矿藏区。</w:t>
      </w:r>
    </w:p>
    <w:p>
      <w:pPr>
        <w:pStyle w:val="BodyText"/>
        <w:spacing w:before="180" w:line="220" w:lineRule="auto"/>
        <w:ind w:left="605"/>
      </w:pPr>
      <w:r>
        <w:rPr>
          <w:b/>
          <w:bCs/>
          <w:spacing w:val="-3"/>
        </w:rPr>
        <w:t>10</w:t>
      </w:r>
      <w:r>
        <w:rPr>
          <w:spacing w:val="79"/>
        </w:rPr>
        <w:t xml:space="preserve"> </w:t>
      </w:r>
      <w:r>
        <w:rPr>
          <w:spacing w:val="-3"/>
        </w:rPr>
        <w:t>存在放射性物质危害的影响区。</w:t>
      </w:r>
    </w:p>
    <w:p>
      <w:pPr>
        <w:pStyle w:val="BodyText"/>
        <w:spacing w:before="181" w:line="313" w:lineRule="auto"/>
        <w:ind w:left="22" w:right="80"/>
      </w:pPr>
      <w:r>
        <w:rPr>
          <w:b/>
          <w:bCs/>
        </w:rPr>
        <w:t>2.1.3</w:t>
      </w:r>
      <w:r>
        <w:t xml:space="preserve">   工程厂址应具备良好的工程</w:t>
      </w:r>
      <w:r>
        <w:rPr>
          <w:spacing w:val="-1"/>
        </w:rPr>
        <w:t>地质和水文地质条件，应避开断层、滑坡、</w:t>
      </w:r>
      <w:r>
        <w:t xml:space="preserve"> </w:t>
      </w:r>
      <w:r>
        <w:t>泥石流、淤泥层、地下河道、塌陷、岩溶、膨胀土地等不良地质及</w:t>
      </w:r>
      <w:r>
        <w:rPr>
          <w:spacing w:val="-1"/>
        </w:rPr>
        <w:t>地下水位高且</w:t>
      </w:r>
      <w:r>
        <w:t xml:space="preserve"> </w:t>
      </w:r>
      <w:r>
        <w:rPr>
          <w:spacing w:val="-1"/>
        </w:rPr>
        <w:t>具备侵蚀性的地区，并应按地震烈度等级标准设防。</w:t>
      </w:r>
    </w:p>
    <w:p>
      <w:pPr>
        <w:pStyle w:val="BodyText"/>
        <w:spacing w:before="179" w:line="290" w:lineRule="auto"/>
        <w:ind w:left="22" w:right="80" w:firstLine="1"/>
      </w:pPr>
      <w:r>
        <w:rPr>
          <w:b/>
          <w:bCs/>
        </w:rPr>
        <w:t>2.1.4</w:t>
      </w:r>
      <w:r>
        <w:t xml:space="preserve">   总降压变电所应单独设围墙</w:t>
      </w:r>
      <w:r>
        <w:rPr>
          <w:spacing w:val="-1"/>
        </w:rPr>
        <w:t>，且不应与产生水雾、有害气体、有剧烈振</w:t>
      </w:r>
      <w:r>
        <w:t xml:space="preserve"> </w:t>
      </w:r>
      <w:r>
        <w:t>动的建（构）筑物靠近。高压配电线路不应跨越</w:t>
      </w:r>
      <w:r>
        <w:rPr>
          <w:spacing w:val="-1"/>
        </w:rPr>
        <w:t>屋顶为燃烧材料的建筑物。</w:t>
      </w:r>
    </w:p>
    <w:p>
      <w:pPr>
        <w:pStyle w:val="BodyText"/>
        <w:spacing w:before="179" w:line="313" w:lineRule="auto"/>
        <w:ind w:left="22" w:right="80"/>
        <w:sectPr>
          <w:footerReference w:type="default" r:id="rId5"/>
          <w:pgSz w:w="11906" w:h="16839"/>
          <w:pgMar w:top="1431" w:right="1620" w:bottom="1162" w:left="1785" w:header="0" w:footer="992" w:gutter="0"/>
          <w:pgNumType w:start="2"/>
          <w:cols w:space="708"/>
        </w:sectPr>
      </w:pPr>
      <w:r>
        <w:rPr>
          <w:b/>
          <w:bCs/>
        </w:rPr>
        <w:t>2.1.5</w:t>
      </w:r>
      <w:r>
        <w:t xml:space="preserve">   室外变、配电装置应位于产</w:t>
      </w:r>
      <w:r>
        <w:rPr>
          <w:spacing w:val="-1"/>
        </w:rPr>
        <w:t>生粉尘的排土场、堆煤场、散装物料装卸场</w:t>
      </w:r>
      <w:r>
        <w:t xml:space="preserve"> </w:t>
      </w:r>
      <w:r>
        <w:rPr>
          <w:spacing w:val="1"/>
        </w:rPr>
        <w:t>等常年最小频率风向的下风侧，卫生防护距离不应小于</w:t>
      </w:r>
      <w:r>
        <w:rPr>
          <w:spacing w:val="-42"/>
        </w:rPr>
        <w:t xml:space="preserve"> </w:t>
      </w:r>
      <w:r>
        <w:rPr>
          <w:spacing w:val="1"/>
        </w:rPr>
        <w:t>30m；当在常年盛行风向</w:t>
      </w:r>
      <w:r>
        <w:t xml:space="preserve"> </w:t>
      </w:r>
      <w:r>
        <w:rPr>
          <w:spacing w:val="-2"/>
        </w:rPr>
        <w:t>的下风侧时，卫生防护距离不应小于</w:t>
      </w:r>
      <w:r>
        <w:rPr>
          <w:spacing w:val="-33"/>
        </w:rPr>
        <w:t xml:space="preserve"> </w:t>
      </w:r>
      <w:r>
        <w:rPr>
          <w:spacing w:val="-2"/>
        </w:rPr>
        <w:t>50m。</w:t>
      </w:r>
    </w:p>
    <w:p>
      <w:pPr>
        <w:pStyle w:val="BodyText"/>
        <w:spacing w:before="182" w:line="220" w:lineRule="auto"/>
        <w:ind w:left="23"/>
      </w:pPr>
      <w:r>
        <w:rPr>
          <w:b/>
          <w:bCs/>
          <w:spacing w:val="-2"/>
        </w:rPr>
        <w:t>2.1.6</w:t>
      </w:r>
      <w:r>
        <w:rPr>
          <w:spacing w:val="14"/>
        </w:rPr>
        <w:t xml:space="preserve">   </w:t>
      </w:r>
      <w:r>
        <w:rPr>
          <w:spacing w:val="-2"/>
        </w:rPr>
        <w:t>工程项目防洪应符合下列规定：</w:t>
      </w:r>
    </w:p>
    <w:p>
      <w:pPr>
        <w:pStyle w:val="BodyText"/>
        <w:spacing w:before="179" w:line="464" w:lineRule="exact"/>
        <w:ind w:left="605"/>
      </w:pPr>
      <w:r>
        <w:rPr>
          <w:b/>
          <w:bCs/>
          <w:spacing w:val="6"/>
          <w:position w:val="16"/>
        </w:rPr>
        <w:t>1</w:t>
      </w:r>
      <w:r>
        <w:rPr>
          <w:spacing w:val="43"/>
          <w:position w:val="16"/>
        </w:rPr>
        <w:t xml:space="preserve">  </w:t>
      </w:r>
      <w:r>
        <w:rPr>
          <w:spacing w:val="6"/>
          <w:position w:val="16"/>
        </w:rPr>
        <w:t>工程布局的防护等级和防洪标准应按表</w:t>
      </w:r>
      <w:r>
        <w:rPr>
          <w:spacing w:val="-25"/>
          <w:position w:val="16"/>
        </w:rPr>
        <w:t xml:space="preserve"> </w:t>
      </w:r>
      <w:r>
        <w:rPr>
          <w:spacing w:val="6"/>
          <w:position w:val="16"/>
        </w:rPr>
        <w:t>2.1.6 -1 的规定确定。</w:t>
      </w:r>
    </w:p>
    <w:p>
      <w:pPr>
        <w:pStyle w:val="BodyText"/>
        <w:spacing w:line="229" w:lineRule="auto"/>
        <w:ind w:left="208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5"/>
          <w:sz w:val="20"/>
          <w:szCs w:val="20"/>
        </w:rPr>
        <w:t xml:space="preserve"> </w:t>
      </w:r>
      <w:r>
        <w:rPr>
          <w:b/>
          <w:bCs/>
          <w:spacing w:val="6"/>
          <w:sz w:val="20"/>
          <w:szCs w:val="20"/>
        </w:rPr>
        <w:t>2.1.6-1</w:t>
      </w:r>
      <w:r>
        <w:rPr>
          <w:spacing w:val="6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工程布局的防护等级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和防洪标准</w:t>
      </w:r>
    </w:p>
    <w:p>
      <w:pPr>
        <w:spacing w:line="229" w:lineRule="auto"/>
        <w:rPr>
          <w:rFonts w:ascii="SimHei" w:eastAsia="SimHei" w:hAnsi="SimHei" w:cs="SimHei"/>
          <w:sz w:val="20"/>
          <w:szCs w:val="20"/>
        </w:rPr>
        <w:sectPr>
          <w:footerReference w:type="default" r:id="rId6"/>
          <w:type w:val="nextPage"/>
          <w:pgSz w:w="11906" w:h="16839"/>
          <w:pgMar w:top="1431" w:right="1620" w:bottom="1162" w:left="1785" w:header="0" w:footer="992" w:gutter="0"/>
          <w:pgNumType w:start="3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0"/>
        <w:tblW w:w="8565" w:type="dxa"/>
        <w:tblInd w:w="7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</w:tblPr>
      <w:tblGrid>
        <w:gridCol w:w="1644"/>
        <w:gridCol w:w="2477"/>
        <w:gridCol w:w="4444"/>
      </w:tblGrid>
      <w:tr>
        <w:tblPrEx>
          <w:tblW w:w="8565" w:type="dxa"/>
          <w:tblInd w:w="7" w:type="dxa"/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single" w:sz="4" w:space="0" w:color="333333"/>
            <w:insideV w:val="single" w:sz="4" w:space="0" w:color="333333"/>
          </w:tblBorders>
          <w:tblLayout w:type="fixed"/>
        </w:tblPrEx>
        <w:trPr>
          <w:trHeight w:val="369"/>
        </w:trPr>
        <w:tc>
          <w:tcPr>
            <w:tcW w:w="1644" w:type="dxa"/>
            <w:tcBorders>
              <w:top w:val="single" w:sz="6" w:space="0" w:color="333333"/>
              <w:left w:val="single" w:sz="6" w:space="0" w:color="333333"/>
            </w:tcBorders>
            <w:vAlign w:val="top"/>
          </w:tcPr>
          <w:p>
            <w:pPr>
              <w:pStyle w:val="TableText"/>
              <w:spacing w:before="114" w:line="226" w:lineRule="auto"/>
              <w:ind w:left="415"/>
            </w:pPr>
            <w:r>
              <w:rPr>
                <w:spacing w:val="4"/>
              </w:rPr>
              <w:t>防护等级</w:t>
            </w:r>
          </w:p>
        </w:tc>
        <w:tc>
          <w:tcPr>
            <w:tcW w:w="2477" w:type="dxa"/>
            <w:tcBorders>
              <w:top w:val="single" w:sz="6" w:space="0" w:color="333333"/>
            </w:tcBorders>
            <w:vAlign w:val="top"/>
          </w:tcPr>
          <w:p>
            <w:pPr>
              <w:pStyle w:val="TableText"/>
              <w:spacing w:before="114" w:line="226" w:lineRule="auto"/>
              <w:ind w:left="610"/>
            </w:pPr>
            <w:r>
              <w:rPr>
                <w:spacing w:val="7"/>
              </w:rPr>
              <w:t>工矿企业规模</w:t>
            </w:r>
          </w:p>
        </w:tc>
        <w:tc>
          <w:tcPr>
            <w:tcW w:w="4444" w:type="dxa"/>
            <w:tcBorders>
              <w:top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4" w:line="226" w:lineRule="auto"/>
              <w:ind w:left="1079"/>
            </w:pPr>
            <w:r>
              <w:rPr>
                <w:spacing w:val="8"/>
              </w:rPr>
              <w:t>防洪标准[重现期（年）]</w:t>
            </w:r>
          </w:p>
        </w:tc>
      </w:tr>
      <w:tr>
        <w:tblPrEx>
          <w:tblW w:w="8565" w:type="dxa"/>
          <w:tblInd w:w="7" w:type="dxa"/>
          <w:tblLayout w:type="fixed"/>
        </w:tblPrEx>
        <w:trPr>
          <w:trHeight w:val="362"/>
        </w:trPr>
        <w:tc>
          <w:tcPr>
            <w:tcW w:w="1644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09" w:line="224" w:lineRule="auto"/>
              <w:ind w:left="786"/>
            </w:pPr>
            <w:r>
              <w:t>Ⅰ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spacing w:before="109" w:line="224" w:lineRule="auto"/>
              <w:ind w:left="925"/>
            </w:pPr>
            <w:r>
              <w:rPr>
                <w:spacing w:val="6"/>
              </w:rPr>
              <w:t>特大型</w:t>
            </w:r>
          </w:p>
        </w:tc>
        <w:tc>
          <w:tcPr>
            <w:tcW w:w="4444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09" w:line="224" w:lineRule="auto"/>
              <w:ind w:left="1803"/>
            </w:pPr>
            <w:r>
              <w:rPr>
                <w:spacing w:val="4"/>
              </w:rPr>
              <w:t>200～100</w:t>
            </w:r>
          </w:p>
        </w:tc>
      </w:tr>
      <w:tr>
        <w:tblPrEx>
          <w:tblW w:w="8565" w:type="dxa"/>
          <w:tblInd w:w="7" w:type="dxa"/>
          <w:tblLayout w:type="fixed"/>
        </w:tblPrEx>
        <w:trPr>
          <w:trHeight w:val="362"/>
        </w:trPr>
        <w:tc>
          <w:tcPr>
            <w:tcW w:w="1644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11" w:line="222" w:lineRule="auto"/>
              <w:ind w:left="754"/>
            </w:pPr>
            <w:r>
              <w:t>Ⅱ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spacing w:before="111" w:line="222" w:lineRule="auto"/>
              <w:ind w:left="1030"/>
            </w:pPr>
            <w:r>
              <w:rPr>
                <w:spacing w:val="3"/>
              </w:rPr>
              <w:t>大型</w:t>
            </w:r>
          </w:p>
        </w:tc>
        <w:tc>
          <w:tcPr>
            <w:tcW w:w="4444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1" w:line="222" w:lineRule="auto"/>
              <w:ind w:left="1871"/>
            </w:pPr>
            <w:r>
              <w:rPr>
                <w:spacing w:val="1"/>
              </w:rPr>
              <w:t>100～50</w:t>
            </w:r>
          </w:p>
        </w:tc>
      </w:tr>
      <w:tr>
        <w:tblPrEx>
          <w:tblW w:w="8565" w:type="dxa"/>
          <w:tblInd w:w="7" w:type="dxa"/>
          <w:tblLayout w:type="fixed"/>
        </w:tblPrEx>
        <w:trPr>
          <w:trHeight w:val="362"/>
        </w:trPr>
        <w:tc>
          <w:tcPr>
            <w:tcW w:w="1644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15" w:line="218" w:lineRule="auto"/>
              <w:ind w:left="717"/>
            </w:pPr>
            <w:r>
              <w:rPr>
                <w:spacing w:val="1"/>
              </w:rPr>
              <w:t>Ⅲ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spacing w:before="115" w:line="218" w:lineRule="auto"/>
              <w:ind w:left="1048"/>
            </w:pPr>
            <w:r>
              <w:rPr>
                <w:spacing w:val="-5"/>
              </w:rPr>
              <w:t>中型</w:t>
            </w:r>
          </w:p>
        </w:tc>
        <w:tc>
          <w:tcPr>
            <w:tcW w:w="4444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5" w:line="218" w:lineRule="auto"/>
              <w:ind w:left="1910"/>
            </w:pPr>
            <w:r>
              <w:rPr>
                <w:spacing w:val="3"/>
              </w:rPr>
              <w:t>50～20</w:t>
            </w:r>
          </w:p>
        </w:tc>
      </w:tr>
      <w:tr>
        <w:tblPrEx>
          <w:tblW w:w="8565" w:type="dxa"/>
          <w:tblInd w:w="7" w:type="dxa"/>
          <w:tblLayout w:type="fixed"/>
        </w:tblPrEx>
        <w:trPr>
          <w:trHeight w:val="374"/>
        </w:trPr>
        <w:tc>
          <w:tcPr>
            <w:tcW w:w="1644" w:type="dxa"/>
            <w:tcBorders>
              <w:left w:val="single" w:sz="6" w:space="0" w:color="333333"/>
              <w:bottom w:val="single" w:sz="6" w:space="0" w:color="333333"/>
            </w:tcBorders>
            <w:vAlign w:val="top"/>
          </w:tcPr>
          <w:p>
            <w:pPr>
              <w:pStyle w:val="TableText"/>
              <w:spacing w:before="119" w:line="226" w:lineRule="auto"/>
              <w:ind w:left="726"/>
            </w:pPr>
            <w:r>
              <w:t>Ⅳ</w:t>
            </w:r>
          </w:p>
        </w:tc>
        <w:tc>
          <w:tcPr>
            <w:tcW w:w="2477" w:type="dxa"/>
            <w:tcBorders>
              <w:bottom w:val="single" w:sz="6" w:space="0" w:color="333333"/>
            </w:tcBorders>
            <w:vAlign w:val="top"/>
          </w:tcPr>
          <w:p>
            <w:pPr>
              <w:pStyle w:val="TableText"/>
              <w:spacing w:before="119" w:line="226" w:lineRule="auto"/>
              <w:ind w:left="1034"/>
            </w:pPr>
            <w:r>
              <w:rPr>
                <w:spacing w:val="2"/>
              </w:rPr>
              <w:t>小型</w:t>
            </w:r>
          </w:p>
        </w:tc>
        <w:tc>
          <w:tcPr>
            <w:tcW w:w="4444" w:type="dxa"/>
            <w:tcBorders>
              <w:bottom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9" w:line="226" w:lineRule="auto"/>
              <w:ind w:left="1909"/>
            </w:pPr>
            <w:r>
              <w:rPr>
                <w:spacing w:val="3"/>
              </w:rPr>
              <w:t>20～10</w:t>
            </w:r>
          </w:p>
        </w:tc>
      </w:tr>
    </w:tbl>
    <w:p>
      <w:pPr>
        <w:pStyle w:val="BodyText"/>
        <w:spacing w:before="77" w:line="228" w:lineRule="auto"/>
        <w:ind w:left="107"/>
        <w:rPr>
          <w:sz w:val="20"/>
          <w:szCs w:val="20"/>
        </w:rPr>
      </w:pPr>
      <w:r>
        <w:rPr>
          <w:spacing w:val="8"/>
          <w:sz w:val="20"/>
          <w:szCs w:val="20"/>
        </w:rPr>
        <w:t>注：1 各类工矿企业的规模按国家现行规定划分。</w:t>
      </w:r>
    </w:p>
    <w:p>
      <w:pPr>
        <w:pStyle w:val="BodyText"/>
        <w:spacing w:before="70" w:line="263" w:lineRule="auto"/>
        <w:ind w:left="95" w:right="143" w:firstLine="424"/>
        <w:rPr>
          <w:sz w:val="20"/>
          <w:szCs w:val="20"/>
        </w:rPr>
      </w:pPr>
      <w:r>
        <w:rPr>
          <w:spacing w:val="9"/>
          <w:sz w:val="20"/>
          <w:szCs w:val="20"/>
        </w:rPr>
        <w:t>2</w:t>
      </w:r>
      <w:r>
        <w:rPr>
          <w:spacing w:val="-25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当同规模企业遭遇洪水淹没的危险性增大时，其防洪标准取表中规定的上限或提</w:t>
      </w:r>
      <w:r>
        <w:rPr>
          <w:spacing w:val="8"/>
          <w:sz w:val="20"/>
          <w:szCs w:val="20"/>
        </w:rPr>
        <w:t>高一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个等级。</w:t>
      </w:r>
    </w:p>
    <w:p>
      <w:pPr>
        <w:pStyle w:val="BodyText"/>
        <w:spacing w:before="71" w:line="263" w:lineRule="auto"/>
        <w:ind w:left="94" w:right="92" w:firstLine="427"/>
        <w:rPr>
          <w:sz w:val="20"/>
          <w:szCs w:val="20"/>
        </w:rPr>
      </w:pPr>
      <w:r>
        <w:rPr>
          <w:spacing w:val="9"/>
          <w:sz w:val="20"/>
          <w:szCs w:val="20"/>
        </w:rPr>
        <w:t>3 对于特大、大型企业，除应采用表中Ⅰ等的上限防洪标准外，尚应采取专门的防护措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施。</w:t>
      </w:r>
    </w:p>
    <w:p>
      <w:pPr>
        <w:pStyle w:val="BodyText"/>
        <w:spacing w:before="71" w:line="262" w:lineRule="auto"/>
        <w:ind w:left="97" w:right="92" w:firstLine="419"/>
        <w:rPr>
          <w:sz w:val="20"/>
          <w:szCs w:val="20"/>
        </w:rPr>
      </w:pPr>
      <w:r>
        <w:rPr>
          <w:spacing w:val="9"/>
          <w:sz w:val="20"/>
          <w:szCs w:val="20"/>
        </w:rPr>
        <w:t>4 当防护对象防御评价的可能最大洪水或潮水重现期超过表中Ⅰ等的规定时，则不得选</w:t>
      </w:r>
      <w:r>
        <w:rPr>
          <w:spacing w:val="18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为工程项目建设厂址。</w:t>
      </w:r>
    </w:p>
    <w:p>
      <w:pPr>
        <w:pStyle w:val="BodyText"/>
        <w:spacing w:before="150" w:line="468" w:lineRule="exact"/>
        <w:ind w:left="665"/>
      </w:pPr>
      <w:r>
        <w:rPr>
          <w:b/>
          <w:bCs/>
          <w:spacing w:val="11"/>
          <w:position w:val="17"/>
        </w:rPr>
        <w:t>2</w:t>
      </w:r>
      <w:r>
        <w:rPr>
          <w:spacing w:val="39"/>
          <w:position w:val="17"/>
        </w:rPr>
        <w:t xml:space="preserve">  </w:t>
      </w:r>
      <w:r>
        <w:rPr>
          <w:spacing w:val="11"/>
          <w:position w:val="17"/>
        </w:rPr>
        <w:t>35</w:t>
      </w:r>
      <w:r>
        <w:rPr>
          <w:position w:val="17"/>
        </w:rPr>
        <w:t>kV</w:t>
      </w:r>
      <w:r>
        <w:rPr>
          <w:spacing w:val="-34"/>
          <w:position w:val="17"/>
        </w:rPr>
        <w:t xml:space="preserve"> </w:t>
      </w:r>
      <w:r>
        <w:rPr>
          <w:spacing w:val="11"/>
          <w:position w:val="17"/>
        </w:rPr>
        <w:t>及以上的高压、超高压架空输电线路和配电设施的防</w:t>
      </w:r>
      <w:r>
        <w:rPr>
          <w:spacing w:val="10"/>
          <w:position w:val="17"/>
        </w:rPr>
        <w:t>护等级和</w:t>
      </w:r>
    </w:p>
    <w:p>
      <w:pPr>
        <w:pStyle w:val="BodyText"/>
        <w:spacing w:line="220" w:lineRule="auto"/>
        <w:ind w:left="111"/>
      </w:pPr>
      <w:r>
        <w:rPr>
          <w:spacing w:val="5"/>
        </w:rPr>
        <w:t>防洪标准应按表</w:t>
      </w:r>
      <w:r>
        <w:rPr>
          <w:spacing w:val="-11"/>
        </w:rPr>
        <w:t xml:space="preserve"> </w:t>
      </w:r>
      <w:r>
        <w:rPr>
          <w:spacing w:val="5"/>
        </w:rPr>
        <w:t>2.1.6-2 的规定确定。</w:t>
      </w:r>
    </w:p>
    <w:p>
      <w:pPr>
        <w:pStyle w:val="BodyText"/>
        <w:spacing w:before="175" w:line="228" w:lineRule="auto"/>
        <w:ind w:left="20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</w:t>
      </w:r>
      <w:r>
        <w:rPr>
          <w:rFonts w:ascii="SimHei" w:eastAsia="SimHei" w:hAnsi="SimHei" w:cs="SimHei"/>
          <w:spacing w:val="-28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2.1.6-2  35</w:t>
      </w:r>
      <w:r>
        <w:rPr>
          <w:sz w:val="20"/>
          <w:szCs w:val="20"/>
        </w:rPr>
        <w:t>kV</w:t>
      </w:r>
      <w:r>
        <w:rPr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及以上的高压、超高压架空输电线路和配电设施的防护等级和防洪标准</w:t>
      </w:r>
    </w:p>
    <w:p>
      <w:pPr>
        <w:spacing w:line="131" w:lineRule="exact"/>
      </w:pPr>
    </w:p>
    <w:tbl>
      <w:tblPr>
        <w:tblStyle w:val="TableNormal0"/>
        <w:tblW w:w="8555" w:type="dxa"/>
        <w:tblInd w:w="12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</w:tblPr>
      <w:tblGrid>
        <w:gridCol w:w="798"/>
        <w:gridCol w:w="1922"/>
        <w:gridCol w:w="2185"/>
        <w:gridCol w:w="1466"/>
        <w:gridCol w:w="2184"/>
      </w:tblGrid>
      <w:tr>
        <w:tblPrEx>
          <w:tblW w:w="8555" w:type="dxa"/>
          <w:tblInd w:w="12" w:type="dxa"/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single" w:sz="4" w:space="0" w:color="333333"/>
            <w:insideV w:val="single" w:sz="4" w:space="0" w:color="333333"/>
          </w:tblBorders>
          <w:tblLayout w:type="fixed"/>
        </w:tblPrEx>
        <w:trPr>
          <w:trHeight w:val="370"/>
        </w:trPr>
        <w:tc>
          <w:tcPr>
            <w:tcW w:w="798" w:type="dxa"/>
            <w:vMerge w:val="restart"/>
            <w:tcBorders>
              <w:top w:val="single" w:sz="6" w:space="0" w:color="333333"/>
              <w:left w:val="single" w:sz="6" w:space="0" w:color="333333"/>
              <w:bottom w:val="nil"/>
            </w:tcBorders>
            <w:vAlign w:val="top"/>
          </w:tcPr>
          <w:p>
            <w:pPr>
              <w:pStyle w:val="TableText"/>
              <w:spacing w:before="120" w:line="360" w:lineRule="exact"/>
              <w:ind w:left="201"/>
            </w:pPr>
            <w:r>
              <w:rPr>
                <w:spacing w:val="-2"/>
                <w:position w:val="11"/>
              </w:rPr>
              <w:t>防护</w:t>
            </w:r>
          </w:p>
          <w:p>
            <w:pPr>
              <w:pStyle w:val="TableText"/>
              <w:spacing w:line="228" w:lineRule="auto"/>
              <w:ind w:left="189"/>
            </w:pPr>
            <w:r>
              <w:rPr>
                <w:spacing w:val="3"/>
              </w:rPr>
              <w:t>等级</w:t>
            </w:r>
          </w:p>
        </w:tc>
        <w:tc>
          <w:tcPr>
            <w:tcW w:w="4107" w:type="dxa"/>
            <w:gridSpan w:val="2"/>
            <w:tcBorders>
              <w:top w:val="single" w:sz="6" w:space="0" w:color="333333"/>
            </w:tcBorders>
            <w:vAlign w:val="top"/>
          </w:tcPr>
          <w:p>
            <w:pPr>
              <w:pStyle w:val="TableText"/>
              <w:spacing w:before="113" w:line="228" w:lineRule="auto"/>
              <w:ind w:left="900"/>
            </w:pPr>
            <w:r>
              <w:rPr>
                <w:spacing w:val="9"/>
              </w:rPr>
              <w:t>架空输电线路的防洪标准</w:t>
            </w:r>
          </w:p>
        </w:tc>
        <w:tc>
          <w:tcPr>
            <w:tcW w:w="3650" w:type="dxa"/>
            <w:gridSpan w:val="2"/>
            <w:tcBorders>
              <w:top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3" w:line="228" w:lineRule="auto"/>
              <w:ind w:left="880"/>
            </w:pPr>
            <w:r>
              <w:rPr>
                <w:spacing w:val="8"/>
              </w:rPr>
              <w:t>配电设施的防洪标准</w:t>
            </w:r>
          </w:p>
        </w:tc>
      </w:tr>
      <w:tr>
        <w:tblPrEx>
          <w:tblW w:w="8555" w:type="dxa"/>
          <w:tblInd w:w="12" w:type="dxa"/>
          <w:tblLayout w:type="fixed"/>
        </w:tblPrEx>
        <w:trPr>
          <w:trHeight w:val="363"/>
        </w:trPr>
        <w:tc>
          <w:tcPr>
            <w:tcW w:w="798" w:type="dxa"/>
            <w:vMerge/>
            <w:tcBorders>
              <w:top w:val="nil"/>
              <w:left w:val="single" w:sz="6" w:space="0" w:color="333333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2" w:type="dxa"/>
            <w:vAlign w:val="top"/>
          </w:tcPr>
          <w:p>
            <w:pPr>
              <w:pStyle w:val="TableText"/>
              <w:spacing w:before="108" w:line="226" w:lineRule="auto"/>
              <w:ind w:left="458"/>
            </w:pPr>
            <w:r>
              <w:rPr>
                <w:spacing w:val="1"/>
              </w:rPr>
              <w:t>电压（</w:t>
            </w:r>
            <w:r>
              <w:t>kV</w:t>
            </w:r>
            <w:r>
              <w:rPr>
                <w:spacing w:val="1"/>
              </w:rPr>
              <w:t>）</w:t>
            </w:r>
          </w:p>
        </w:tc>
        <w:tc>
          <w:tcPr>
            <w:tcW w:w="2185" w:type="dxa"/>
            <w:vAlign w:val="top"/>
          </w:tcPr>
          <w:p>
            <w:pPr>
              <w:pStyle w:val="TableText"/>
              <w:spacing w:before="108" w:line="226" w:lineRule="auto"/>
              <w:ind w:left="56"/>
            </w:pPr>
            <w:r>
              <w:rPr>
                <w:spacing w:val="6"/>
              </w:rPr>
              <w:t>防洪标准[重现期(年)]</w:t>
            </w:r>
          </w:p>
        </w:tc>
        <w:tc>
          <w:tcPr>
            <w:tcW w:w="1466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08" w:line="226" w:lineRule="auto"/>
              <w:ind w:left="237"/>
            </w:pPr>
            <w:r>
              <w:rPr>
                <w:spacing w:val="1"/>
              </w:rPr>
              <w:t>电压（</w:t>
            </w:r>
            <w:r>
              <w:t>kV</w:t>
            </w:r>
            <w:r>
              <w:rPr>
                <w:spacing w:val="1"/>
              </w:rPr>
              <w:t>）</w:t>
            </w:r>
          </w:p>
        </w:tc>
        <w:tc>
          <w:tcPr>
            <w:tcW w:w="2184" w:type="dxa"/>
            <w:tcBorders>
              <w:left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08" w:line="226" w:lineRule="auto"/>
              <w:ind w:left="55"/>
            </w:pPr>
            <w:r>
              <w:rPr>
                <w:spacing w:val="6"/>
              </w:rPr>
              <w:t>防洪标准[重现期(年)]</w:t>
            </w:r>
          </w:p>
        </w:tc>
      </w:tr>
      <w:tr>
        <w:tblPrEx>
          <w:tblW w:w="8555" w:type="dxa"/>
          <w:tblInd w:w="12" w:type="dxa"/>
          <w:tblLayout w:type="fixed"/>
        </w:tblPrEx>
        <w:trPr>
          <w:trHeight w:val="362"/>
        </w:trPr>
        <w:tc>
          <w:tcPr>
            <w:tcW w:w="798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11" w:line="222" w:lineRule="auto"/>
              <w:ind w:left="361"/>
            </w:pPr>
            <w:r>
              <w:t>Ⅰ</w:t>
            </w:r>
          </w:p>
        </w:tc>
        <w:tc>
          <w:tcPr>
            <w:tcW w:w="1922" w:type="dxa"/>
            <w:vAlign w:val="top"/>
          </w:tcPr>
          <w:p>
            <w:pPr>
              <w:pStyle w:val="TableText"/>
              <w:spacing w:before="111" w:line="222" w:lineRule="auto"/>
              <w:ind w:left="396"/>
            </w:pPr>
            <w:r>
              <w:rPr>
                <w:spacing w:val="-1"/>
              </w:rPr>
              <w:t>1000、</w:t>
            </w:r>
            <w:r>
              <w:rPr>
                <w:spacing w:val="-60"/>
              </w:rPr>
              <w:t xml:space="preserve"> </w:t>
            </w:r>
            <w:r>
              <w:rPr>
                <w:spacing w:val="-1"/>
              </w:rPr>
              <w:t>±800</w:t>
            </w:r>
          </w:p>
        </w:tc>
        <w:tc>
          <w:tcPr>
            <w:tcW w:w="2185" w:type="dxa"/>
            <w:vAlign w:val="top"/>
          </w:tcPr>
          <w:p>
            <w:pPr>
              <w:pStyle w:val="TableText"/>
              <w:spacing w:before="143" w:line="190" w:lineRule="auto"/>
              <w:ind w:left="951"/>
            </w:pPr>
            <w:r>
              <w:rPr>
                <w:spacing w:val="-3"/>
              </w:rPr>
              <w:t>100</w:t>
            </w:r>
          </w:p>
        </w:tc>
        <w:tc>
          <w:tcPr>
            <w:tcW w:w="1466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1" w:line="222" w:lineRule="auto"/>
              <w:ind w:left="494"/>
            </w:pPr>
            <w:r>
              <w:rPr>
                <w:spacing w:val="-2"/>
              </w:rPr>
              <w:t>≥500</w:t>
            </w:r>
          </w:p>
        </w:tc>
        <w:tc>
          <w:tcPr>
            <w:tcW w:w="2184" w:type="dxa"/>
            <w:tcBorders>
              <w:left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43" w:line="190" w:lineRule="auto"/>
              <w:ind w:left="951"/>
            </w:pPr>
            <w:r>
              <w:rPr>
                <w:spacing w:val="-3"/>
              </w:rPr>
              <w:t>100</w:t>
            </w:r>
          </w:p>
        </w:tc>
      </w:tr>
      <w:tr>
        <w:tblPrEx>
          <w:tblW w:w="8555" w:type="dxa"/>
          <w:tblInd w:w="12" w:type="dxa"/>
          <w:tblLayout w:type="fixed"/>
        </w:tblPrEx>
        <w:trPr>
          <w:trHeight w:val="363"/>
        </w:trPr>
        <w:tc>
          <w:tcPr>
            <w:tcW w:w="798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13" w:line="221" w:lineRule="auto"/>
              <w:ind w:left="329"/>
            </w:pPr>
            <w:r>
              <w:t>Ⅱ</w:t>
            </w:r>
          </w:p>
        </w:tc>
        <w:tc>
          <w:tcPr>
            <w:tcW w:w="1922" w:type="dxa"/>
            <w:vAlign w:val="top"/>
          </w:tcPr>
          <w:p>
            <w:pPr>
              <w:pStyle w:val="TableText"/>
              <w:spacing w:before="113" w:line="221" w:lineRule="auto"/>
              <w:ind w:left="67"/>
            </w:pPr>
            <w:r>
              <w:rPr>
                <w:spacing w:val="-1"/>
              </w:rPr>
              <w:t>800、</w:t>
            </w:r>
            <w:r>
              <w:rPr>
                <w:spacing w:val="-49"/>
              </w:rPr>
              <w:t xml:space="preserve"> </w:t>
            </w:r>
            <w:r>
              <w:rPr>
                <w:spacing w:val="-1"/>
              </w:rPr>
              <w:t>±600、</w:t>
            </w:r>
            <w:r>
              <w:rPr>
                <w:spacing w:val="-62"/>
              </w:rPr>
              <w:t xml:space="preserve"> </w:t>
            </w:r>
            <w:r>
              <w:rPr>
                <w:spacing w:val="-1"/>
              </w:rPr>
              <w:t>±500</w:t>
            </w:r>
          </w:p>
        </w:tc>
        <w:tc>
          <w:tcPr>
            <w:tcW w:w="2185" w:type="dxa"/>
            <w:vAlign w:val="top"/>
          </w:tcPr>
          <w:p>
            <w:pPr>
              <w:pStyle w:val="TableText"/>
              <w:spacing w:before="146" w:line="189" w:lineRule="auto"/>
              <w:ind w:left="993"/>
            </w:pPr>
            <w:r>
              <w:rPr>
                <w:spacing w:val="-2"/>
              </w:rPr>
              <w:t>50</w:t>
            </w:r>
          </w:p>
        </w:tc>
        <w:tc>
          <w:tcPr>
            <w:tcW w:w="1466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3" w:line="221" w:lineRule="auto"/>
              <w:ind w:left="122"/>
            </w:pPr>
            <w:r>
              <w:t>＜500、</w:t>
            </w:r>
            <w:r>
              <w:rPr>
                <w:spacing w:val="-64"/>
              </w:rPr>
              <w:t xml:space="preserve"> </w:t>
            </w:r>
            <w:r>
              <w:t>≥220</w:t>
            </w:r>
          </w:p>
        </w:tc>
        <w:tc>
          <w:tcPr>
            <w:tcW w:w="2184" w:type="dxa"/>
            <w:tcBorders>
              <w:left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46" w:line="189" w:lineRule="auto"/>
              <w:ind w:left="992"/>
            </w:pPr>
            <w:r>
              <w:rPr>
                <w:spacing w:val="-2"/>
              </w:rPr>
              <w:t>50</w:t>
            </w:r>
          </w:p>
        </w:tc>
      </w:tr>
      <w:tr>
        <w:tblPrEx>
          <w:tblW w:w="8555" w:type="dxa"/>
          <w:tblInd w:w="12" w:type="dxa"/>
          <w:tblLayout w:type="fixed"/>
        </w:tblPrEx>
        <w:trPr>
          <w:trHeight w:val="362"/>
        </w:trPr>
        <w:tc>
          <w:tcPr>
            <w:tcW w:w="798" w:type="dxa"/>
            <w:tcBorders>
              <w:left w:val="single" w:sz="6" w:space="0" w:color="333333"/>
            </w:tcBorders>
            <w:vAlign w:val="top"/>
          </w:tcPr>
          <w:p>
            <w:pPr>
              <w:pStyle w:val="TableText"/>
              <w:spacing w:before="114" w:line="219" w:lineRule="auto"/>
              <w:ind w:left="292"/>
            </w:pPr>
            <w:r>
              <w:rPr>
                <w:spacing w:val="1"/>
              </w:rPr>
              <w:t>Ⅲ</w:t>
            </w:r>
          </w:p>
        </w:tc>
        <w:tc>
          <w:tcPr>
            <w:tcW w:w="1922" w:type="dxa"/>
            <w:vAlign w:val="top"/>
          </w:tcPr>
          <w:p>
            <w:pPr>
              <w:pStyle w:val="TableText"/>
              <w:spacing w:before="148" w:line="188" w:lineRule="auto"/>
              <w:ind w:left="544"/>
            </w:pPr>
            <w:r>
              <w:rPr>
                <w:spacing w:val="3"/>
              </w:rPr>
              <w:t>500、330</w:t>
            </w:r>
          </w:p>
        </w:tc>
        <w:tc>
          <w:tcPr>
            <w:tcW w:w="2185" w:type="dxa"/>
            <w:vAlign w:val="top"/>
          </w:tcPr>
          <w:p>
            <w:pPr>
              <w:pStyle w:val="TableText"/>
              <w:spacing w:before="148" w:line="188" w:lineRule="auto"/>
              <w:ind w:left="993"/>
            </w:pPr>
            <w:r>
              <w:rPr>
                <w:spacing w:val="-2"/>
              </w:rPr>
              <w:t>30</w:t>
            </w:r>
          </w:p>
        </w:tc>
        <w:tc>
          <w:tcPr>
            <w:tcW w:w="1466" w:type="dxa"/>
            <w:tcBorders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4" w:line="219" w:lineRule="auto"/>
              <w:ind w:left="175"/>
            </w:pPr>
            <w:r>
              <w:rPr>
                <w:spacing w:val="-1"/>
              </w:rPr>
              <w:t>＜220，</w:t>
            </w:r>
            <w:r>
              <w:rPr>
                <w:spacing w:val="-64"/>
              </w:rPr>
              <w:t xml:space="preserve"> </w:t>
            </w:r>
            <w:r>
              <w:rPr>
                <w:spacing w:val="-1"/>
              </w:rPr>
              <w:t>≥35</w:t>
            </w:r>
          </w:p>
        </w:tc>
        <w:tc>
          <w:tcPr>
            <w:tcW w:w="2184" w:type="dxa"/>
            <w:tcBorders>
              <w:left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114" w:line="219" w:lineRule="auto"/>
              <w:ind w:left="782"/>
            </w:pPr>
            <w:r>
              <w:rPr>
                <w:spacing w:val="3"/>
              </w:rPr>
              <w:t>20～10</w:t>
            </w:r>
          </w:p>
        </w:tc>
      </w:tr>
      <w:tr>
        <w:tblPrEx>
          <w:tblW w:w="8555" w:type="dxa"/>
          <w:tblInd w:w="12" w:type="dxa"/>
          <w:tblLayout w:type="fixed"/>
        </w:tblPrEx>
        <w:trPr>
          <w:trHeight w:val="374"/>
        </w:trPr>
        <w:tc>
          <w:tcPr>
            <w:tcW w:w="798" w:type="dxa"/>
            <w:tcBorders>
              <w:left w:val="single" w:sz="6" w:space="0" w:color="333333"/>
              <w:bottom w:val="single" w:sz="6" w:space="0" w:color="333333"/>
            </w:tcBorders>
            <w:vAlign w:val="top"/>
          </w:tcPr>
          <w:p>
            <w:pPr>
              <w:pStyle w:val="TableText"/>
              <w:spacing w:before="118" w:line="227" w:lineRule="auto"/>
              <w:ind w:left="301"/>
            </w:pPr>
            <w:r>
              <w:t>Ⅳ</w:t>
            </w:r>
          </w:p>
        </w:tc>
        <w:tc>
          <w:tcPr>
            <w:tcW w:w="1922" w:type="dxa"/>
            <w:tcBorders>
              <w:bottom w:val="single" w:sz="6" w:space="0" w:color="333333"/>
            </w:tcBorders>
            <w:vAlign w:val="top"/>
          </w:tcPr>
          <w:p>
            <w:pPr>
              <w:pStyle w:val="TableText"/>
              <w:spacing w:before="118" w:line="227" w:lineRule="auto"/>
              <w:ind w:left="396"/>
            </w:pPr>
            <w:r>
              <w:rPr>
                <w:spacing w:val="-1"/>
              </w:rPr>
              <w:t>≤220，</w:t>
            </w:r>
            <w:r>
              <w:rPr>
                <w:spacing w:val="-61"/>
              </w:rPr>
              <w:t xml:space="preserve"> </w:t>
            </w:r>
            <w:r>
              <w:rPr>
                <w:spacing w:val="-1"/>
              </w:rPr>
              <w:t>≥35</w:t>
            </w:r>
          </w:p>
        </w:tc>
        <w:tc>
          <w:tcPr>
            <w:tcW w:w="2185" w:type="dxa"/>
            <w:tcBorders>
              <w:bottom w:val="single" w:sz="6" w:space="0" w:color="333333"/>
            </w:tcBorders>
            <w:vAlign w:val="top"/>
          </w:tcPr>
          <w:p>
            <w:pPr>
              <w:pStyle w:val="TableText"/>
              <w:spacing w:before="118" w:line="227" w:lineRule="auto"/>
              <w:ind w:left="782"/>
            </w:pPr>
            <w:r>
              <w:rPr>
                <w:spacing w:val="3"/>
              </w:rPr>
              <w:t>20～10</w:t>
            </w:r>
          </w:p>
        </w:tc>
        <w:tc>
          <w:tcPr>
            <w:tcW w:w="1466" w:type="dxa"/>
            <w:tcBorders>
              <w:bottom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216" w:line="136" w:lineRule="exact"/>
              <w:ind w:left="525"/>
            </w:pPr>
            <w:r>
              <w:rPr>
                <w:spacing w:val="5"/>
                <w:position w:val="-3"/>
              </w:rPr>
              <w:t>——</w:t>
            </w:r>
          </w:p>
        </w:tc>
        <w:tc>
          <w:tcPr>
            <w:tcW w:w="2184" w:type="dxa"/>
            <w:tcBorders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top"/>
          </w:tcPr>
          <w:p>
            <w:pPr>
              <w:pStyle w:val="TableText"/>
              <w:spacing w:before="216" w:line="136" w:lineRule="exact"/>
              <w:ind w:left="881"/>
            </w:pPr>
            <w:r>
              <w:rPr>
                <w:spacing w:val="5"/>
                <w:position w:val="-3"/>
              </w:rPr>
              <w:t>——</w:t>
            </w:r>
          </w:p>
        </w:tc>
      </w:tr>
    </w:tbl>
    <w:p>
      <w:pPr>
        <w:pStyle w:val="BodyText"/>
        <w:spacing w:before="155" w:line="468" w:lineRule="exact"/>
        <w:ind w:left="99"/>
      </w:pPr>
      <w:r>
        <w:rPr>
          <w:b/>
          <w:bCs/>
          <w:spacing w:val="-1"/>
          <w:position w:val="17"/>
        </w:rPr>
        <w:t>2.1.7</w:t>
      </w:r>
      <w:r>
        <w:rPr>
          <w:spacing w:val="-1"/>
          <w:position w:val="17"/>
        </w:rPr>
        <w:t xml:space="preserve">   具备运输建设条件，且年</w:t>
      </w:r>
      <w:r>
        <w:rPr>
          <w:spacing w:val="-2"/>
          <w:position w:val="17"/>
        </w:rPr>
        <w:t>运输量大于</w:t>
      </w:r>
      <w:r>
        <w:rPr>
          <w:spacing w:val="-33"/>
          <w:position w:val="17"/>
        </w:rPr>
        <w:t xml:space="preserve"> </w:t>
      </w:r>
      <w:r>
        <w:rPr>
          <w:spacing w:val="-2"/>
          <w:position w:val="17"/>
        </w:rPr>
        <w:t>150</w:t>
      </w:r>
      <w:r>
        <w:rPr>
          <w:spacing w:val="-45"/>
          <w:position w:val="17"/>
        </w:rPr>
        <w:t xml:space="preserve"> </w:t>
      </w:r>
      <w:r>
        <w:rPr>
          <w:spacing w:val="-2"/>
          <w:position w:val="17"/>
        </w:rPr>
        <w:t>万吨的新建工程项目应优先采</w:t>
      </w:r>
    </w:p>
    <w:p>
      <w:pPr>
        <w:pStyle w:val="BodyText"/>
        <w:spacing w:before="1" w:line="219" w:lineRule="auto"/>
        <w:ind w:left="98"/>
      </w:pPr>
      <w:r>
        <w:rPr>
          <w:spacing w:val="-1"/>
        </w:rPr>
        <w:t>用铁路、水路、管道或管状带式输送机等清洁方式运输。</w:t>
      </w:r>
    </w:p>
    <w:p>
      <w:pPr>
        <w:pStyle w:val="BodyText"/>
        <w:spacing w:before="303" w:line="221" w:lineRule="auto"/>
        <w:ind w:left="2864"/>
        <w:outlineLvl w:val="6"/>
        <w:rPr>
          <w:rFonts w:ascii="SimHei" w:eastAsia="SimHei" w:hAnsi="SimHei" w:cs="SimHei"/>
        </w:rPr>
      </w:pPr>
      <w:r>
        <w:rPr>
          <w:b/>
          <w:bCs/>
          <w:spacing w:val="-4"/>
        </w:rPr>
        <w:t>2.2</w:t>
      </w:r>
      <w:r>
        <w:rPr>
          <w:spacing w:val="-4"/>
        </w:rPr>
        <w:t xml:space="preserve">   </w:t>
      </w:r>
      <w:r>
        <w:rPr>
          <w:rFonts w:ascii="SimHei" w:eastAsia="SimHei" w:hAnsi="SimHei" w:cs="SimHei"/>
          <w:b/>
          <w:bCs/>
          <w:spacing w:val="-4"/>
        </w:rPr>
        <w:t>人身健康和安全生产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99"/>
      </w:pPr>
      <w:r>
        <w:rPr>
          <w:b/>
          <w:bCs/>
          <w:spacing w:val="2"/>
        </w:rPr>
        <w:t>2.2.1</w:t>
      </w:r>
      <w:r>
        <w:rPr>
          <w:spacing w:val="2"/>
        </w:rPr>
        <w:t xml:space="preserve">   危险化学品应符合下列规定：</w:t>
      </w:r>
    </w:p>
    <w:p>
      <w:pPr>
        <w:pStyle w:val="BodyText"/>
        <w:spacing w:before="179" w:line="468" w:lineRule="exact"/>
        <w:ind w:left="680"/>
      </w:pPr>
      <w:r>
        <w:rPr>
          <w:b/>
          <w:bCs/>
          <w:spacing w:val="-2"/>
          <w:position w:val="17"/>
        </w:rPr>
        <w:t>1</w:t>
      </w:r>
      <w:r>
        <w:rPr>
          <w:spacing w:val="37"/>
          <w:position w:val="17"/>
        </w:rPr>
        <w:t xml:space="preserve">  </w:t>
      </w:r>
      <w:r>
        <w:rPr>
          <w:spacing w:val="-2"/>
          <w:position w:val="17"/>
        </w:rPr>
        <w:t>禁止生产、使用不符合保障人体健康和人身、财产安全标准和要求的工</w:t>
      </w:r>
    </w:p>
    <w:p>
      <w:pPr>
        <w:pStyle w:val="BodyText"/>
        <w:spacing w:line="220" w:lineRule="auto"/>
        <w:ind w:left="95"/>
        <w:sectPr>
          <w:footerReference w:type="default" r:id="rId7"/>
          <w:pgSz w:w="11906" w:h="16839"/>
          <w:pgMar w:top="1431" w:right="1615" w:bottom="1162" w:left="1710" w:header="0" w:footer="992" w:gutter="0"/>
          <w:pgNumType w:start="4"/>
          <w:cols w:space="708"/>
        </w:sectPr>
      </w:pPr>
      <w:r>
        <w:t>业产品。未取得经营许可证，任何单位和个人</w:t>
      </w:r>
      <w:r>
        <w:rPr>
          <w:spacing w:val="-1"/>
        </w:rPr>
        <w:t>不得经营危险化学品。</w:t>
      </w:r>
    </w:p>
    <w:p>
      <w:pPr>
        <w:pStyle w:val="BodyText"/>
        <w:spacing w:before="182" w:line="466" w:lineRule="exact"/>
        <w:ind w:left="665"/>
      </w:pPr>
      <w:r>
        <w:rPr>
          <w:b/>
          <w:bCs/>
          <w:spacing w:val="-2"/>
          <w:position w:val="17"/>
        </w:rPr>
        <w:t>2</w:t>
      </w:r>
      <w:r>
        <w:rPr>
          <w:spacing w:val="44"/>
          <w:position w:val="17"/>
        </w:rPr>
        <w:t xml:space="preserve">  </w:t>
      </w:r>
      <w:r>
        <w:rPr>
          <w:spacing w:val="-2"/>
          <w:position w:val="17"/>
        </w:rPr>
        <w:t>危险化学品的类别、临界量、分级等重大危险特性辨识应符合现行国家</w:t>
      </w:r>
    </w:p>
    <w:p>
      <w:pPr>
        <w:pStyle w:val="BodyText"/>
        <w:spacing w:line="220" w:lineRule="auto"/>
        <w:ind w:left="97"/>
      </w:pPr>
      <w:r>
        <w:rPr>
          <w:spacing w:val="-2"/>
        </w:rPr>
        <w:t>标准《危险化学品重大危险源辨识》 GB 18218</w:t>
      </w:r>
      <w:r>
        <w:rPr>
          <w:spacing w:val="-14"/>
        </w:rPr>
        <w:t xml:space="preserve"> </w:t>
      </w:r>
      <w:r>
        <w:rPr>
          <w:spacing w:val="-2"/>
        </w:rPr>
        <w:t>的规定。</w:t>
      </w:r>
    </w:p>
    <w:p>
      <w:pPr>
        <w:pStyle w:val="BodyText"/>
        <w:spacing w:before="179" w:line="468" w:lineRule="exact"/>
        <w:ind w:left="667"/>
      </w:pPr>
      <w:r>
        <w:rPr>
          <w:b/>
          <w:bCs/>
          <w:spacing w:val="-2"/>
          <w:position w:val="17"/>
        </w:rPr>
        <w:t>3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列入国家《危险化学品目录》的危险化学品使用单位，危险化学品的储</w:t>
      </w:r>
    </w:p>
    <w:p>
      <w:pPr>
        <w:pStyle w:val="BodyText"/>
        <w:spacing w:line="220" w:lineRule="auto"/>
        <w:ind w:left="95"/>
      </w:pPr>
      <w:r>
        <w:rPr>
          <w:spacing w:val="-1"/>
        </w:rPr>
        <w:t>存方式、方法及储存数量应当符合现行国家标准或国家规定。</w:t>
      </w:r>
    </w:p>
    <w:p>
      <w:pPr>
        <w:pStyle w:val="BodyText"/>
        <w:spacing w:before="180" w:line="468" w:lineRule="exact"/>
        <w:ind w:left="661"/>
      </w:pPr>
      <w:r>
        <w:rPr>
          <w:b/>
          <w:bCs/>
          <w:spacing w:val="23"/>
          <w:position w:val="17"/>
        </w:rPr>
        <w:t>4</w:t>
      </w:r>
      <w:r>
        <w:rPr>
          <w:spacing w:val="23"/>
          <w:position w:val="17"/>
        </w:rPr>
        <w:t xml:space="preserve">  危险化学品使用单位应配备对危险化学品相关信息的不间断采集</w:t>
      </w:r>
    </w:p>
    <w:p>
      <w:pPr>
        <w:pStyle w:val="BodyText"/>
        <w:spacing w:line="220" w:lineRule="auto"/>
        <w:ind w:left="97"/>
      </w:pPr>
      <w:r>
        <w:rPr>
          <w:spacing w:val="14"/>
        </w:rPr>
        <w:t>和监测系统以及可燃气体和有毒有害气体泄漏检测报警装置，并具备</w:t>
      </w:r>
      <w:r>
        <w:rPr>
          <w:spacing w:val="13"/>
        </w:rPr>
        <w:t>连续记</w:t>
      </w:r>
    </w:p>
    <w:p>
      <w:pPr>
        <w:spacing w:line="220" w:lineRule="auto"/>
        <w:sectPr>
          <w:footerReference w:type="default" r:id="rId8"/>
          <w:type w:val="nextPage"/>
          <w:pgSz w:w="11906" w:h="16839"/>
          <w:pgMar w:top="1431" w:right="1615" w:bottom="1162" w:left="1710" w:header="0" w:footer="992" w:gutter="0"/>
          <w:pgNumType w:start="5"/>
          <w:cols w:space="708"/>
          <w:titlePg w:val="0"/>
        </w:sectPr>
      </w:pPr>
    </w:p>
    <w:p>
      <w:pPr>
        <w:pStyle w:val="BodyText"/>
        <w:spacing w:before="48" w:line="468" w:lineRule="exact"/>
        <w:ind w:left="22"/>
      </w:pPr>
      <w:r>
        <w:rPr>
          <w:spacing w:val="14"/>
          <w:position w:val="17"/>
        </w:rPr>
        <w:t>录、信息远传、事故预警、信息存储等功能，记录的电子数据保存时</w:t>
      </w:r>
      <w:r>
        <w:rPr>
          <w:spacing w:val="13"/>
          <w:position w:val="17"/>
        </w:rPr>
        <w:t>间不应</w:t>
      </w:r>
    </w:p>
    <w:p>
      <w:pPr>
        <w:pStyle w:val="BodyText"/>
        <w:spacing w:line="222" w:lineRule="auto"/>
        <w:ind w:left="22"/>
      </w:pPr>
      <w:r>
        <w:t>少于</w:t>
      </w:r>
      <w:r>
        <w:rPr>
          <w:spacing w:val="-24"/>
        </w:rPr>
        <w:t xml:space="preserve"> </w:t>
      </w:r>
      <w:r>
        <w:t>30d。</w:t>
      </w:r>
    </w:p>
    <w:p>
      <w:pPr>
        <w:pStyle w:val="BodyText"/>
        <w:spacing w:before="176" w:line="468" w:lineRule="exact"/>
        <w:jc w:val="right"/>
      </w:pPr>
      <w:r>
        <w:rPr>
          <w:b/>
          <w:bCs/>
          <w:spacing w:val="-2"/>
          <w:position w:val="17"/>
        </w:rPr>
        <w:t>5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对不再需要的危险化学品和可能残留危险化学品的器具，应依照现行国</w:t>
      </w:r>
    </w:p>
    <w:p>
      <w:pPr>
        <w:pStyle w:val="BodyText"/>
        <w:spacing w:line="220" w:lineRule="auto"/>
        <w:ind w:left="22"/>
      </w:pPr>
      <w:r>
        <w:rPr>
          <w:spacing w:val="5"/>
        </w:rPr>
        <w:t>家相关法规进行废弃处置。</w:t>
      </w:r>
    </w:p>
    <w:p>
      <w:pPr>
        <w:pStyle w:val="BodyText"/>
        <w:spacing w:before="179" w:line="359" w:lineRule="auto"/>
        <w:ind w:left="23" w:right="16" w:firstLine="565"/>
      </w:pPr>
      <w:r>
        <w:rPr>
          <w:b/>
          <w:bCs/>
          <w:spacing w:val="15"/>
        </w:rPr>
        <w:t>6</w:t>
      </w:r>
      <w:r>
        <w:rPr>
          <w:spacing w:val="15"/>
        </w:rPr>
        <w:t xml:space="preserve">  储存、使用危险化学品的单位，应按规定在其作业场所、设施、设</w:t>
      </w:r>
      <w:r>
        <w:rPr>
          <w:spacing w:val="9"/>
        </w:rPr>
        <w:t xml:space="preserve"> </w:t>
      </w:r>
      <w:r>
        <w:rPr>
          <w:spacing w:val="14"/>
        </w:rPr>
        <w:t>备和包装上设置明显的安全警示标志。危险化学品标识应符合现</w:t>
      </w:r>
      <w:r>
        <w:rPr>
          <w:spacing w:val="13"/>
        </w:rPr>
        <w:t>行国家标准</w:t>
      </w:r>
    </w:p>
    <w:p>
      <w:pPr>
        <w:pStyle w:val="BodyText"/>
        <w:spacing w:line="220" w:lineRule="auto"/>
        <w:ind w:left="27"/>
      </w:pPr>
      <w:r>
        <w:rPr>
          <w:spacing w:val="7"/>
        </w:rPr>
        <w:t>《常用危险化学品的分类及标志》</w:t>
      </w:r>
      <w:r>
        <w:rPr>
          <w:spacing w:val="57"/>
        </w:rPr>
        <w:t xml:space="preserve"> </w:t>
      </w:r>
      <w:r>
        <w:t>GB</w:t>
      </w:r>
      <w:r>
        <w:rPr>
          <w:spacing w:val="46"/>
        </w:rPr>
        <w:t xml:space="preserve"> </w:t>
      </w:r>
      <w:r>
        <w:rPr>
          <w:spacing w:val="7"/>
        </w:rPr>
        <w:t>13690 的规定。</w:t>
      </w:r>
    </w:p>
    <w:p>
      <w:pPr>
        <w:pStyle w:val="BodyText"/>
        <w:spacing w:before="182" w:line="336" w:lineRule="auto"/>
        <w:ind w:left="22" w:right="14" w:firstLine="1"/>
      </w:pPr>
      <w:r>
        <w:rPr>
          <w:b/>
          <w:bCs/>
          <w:spacing w:val="11"/>
        </w:rPr>
        <w:t>2.2.2</w:t>
      </w:r>
      <w:r>
        <w:rPr>
          <w:spacing w:val="5"/>
        </w:rPr>
        <w:t xml:space="preserve">   </w:t>
      </w:r>
      <w:r>
        <w:rPr>
          <w:spacing w:val="11"/>
        </w:rPr>
        <w:t>列入国家《职业病危害因素分类目录》</w:t>
      </w:r>
      <w:r>
        <w:rPr>
          <w:spacing w:val="-65"/>
        </w:rPr>
        <w:t xml:space="preserve"> </w:t>
      </w:r>
      <w:r>
        <w:rPr>
          <w:spacing w:val="11"/>
        </w:rPr>
        <w:t>的建设项目，应按现行国家</w:t>
      </w:r>
      <w:r>
        <w:t xml:space="preserve"> </w:t>
      </w:r>
      <w:r>
        <w:rPr>
          <w:spacing w:val="12"/>
        </w:rPr>
        <w:t>标准《职业病危害评价通则》</w:t>
      </w:r>
      <w:r>
        <w:t>GB</w:t>
      </w:r>
      <w:r>
        <w:rPr>
          <w:spacing w:val="12"/>
        </w:rPr>
        <w:t>/T</w:t>
      </w:r>
      <w:r>
        <w:rPr>
          <w:spacing w:val="-31"/>
        </w:rPr>
        <w:t xml:space="preserve"> </w:t>
      </w:r>
      <w:r>
        <w:rPr>
          <w:spacing w:val="12"/>
        </w:rPr>
        <w:t>277</w:t>
      </w:r>
      <w:r>
        <w:rPr>
          <w:spacing w:val="-33"/>
        </w:rPr>
        <w:t xml:space="preserve"> </w:t>
      </w:r>
      <w:r>
        <w:rPr>
          <w:spacing w:val="12"/>
        </w:rPr>
        <w:t>要求评价工程项目的危害因素</w:t>
      </w:r>
      <w:r>
        <w:rPr>
          <w:spacing w:val="11"/>
        </w:rPr>
        <w:t>。存在</w:t>
      </w:r>
      <w:r>
        <w:t xml:space="preserve"> </w:t>
      </w:r>
      <w:r>
        <w:rPr>
          <w:spacing w:val="14"/>
        </w:rPr>
        <w:t>化学、物理有害因素危害源的工作场所，生产单位应保证员工接触有</w:t>
      </w:r>
      <w:r>
        <w:rPr>
          <w:spacing w:val="13"/>
        </w:rPr>
        <w:t>害因素</w:t>
      </w:r>
      <w:r>
        <w:t xml:space="preserve"> </w:t>
      </w:r>
      <w:r>
        <w:rPr>
          <w:spacing w:val="14"/>
        </w:rPr>
        <w:t>的程度不得超过现行国家标准《工作场所有害因素职业接触限值化</w:t>
      </w:r>
      <w:r>
        <w:rPr>
          <w:spacing w:val="13"/>
        </w:rPr>
        <w:t>学有害因</w:t>
      </w:r>
      <w:r>
        <w:t xml:space="preserve"> </w:t>
      </w:r>
      <w:r>
        <w:rPr>
          <w:spacing w:val="11"/>
        </w:rPr>
        <w:t>素》</w:t>
      </w:r>
      <w:r>
        <w:t>GBZ</w:t>
      </w:r>
      <w:r>
        <w:rPr>
          <w:spacing w:val="11"/>
        </w:rPr>
        <w:t>2.1、《工作场所有害因素职业接触限值物理有害因素》</w:t>
      </w:r>
      <w:r>
        <w:t>GBZ</w:t>
      </w:r>
      <w:r>
        <w:rPr>
          <w:spacing w:val="11"/>
        </w:rPr>
        <w:t>2.2</w:t>
      </w:r>
      <w:r>
        <w:rPr>
          <w:spacing w:val="-22"/>
        </w:rPr>
        <w:t xml:space="preserve"> </w:t>
      </w:r>
      <w:r>
        <w:rPr>
          <w:spacing w:val="11"/>
        </w:rPr>
        <w:t>规定</w:t>
      </w:r>
      <w:r>
        <w:t xml:space="preserve"> </w:t>
      </w:r>
      <w:r>
        <w:rPr>
          <w:spacing w:val="9"/>
        </w:rPr>
        <w:t>的接触限值。</w:t>
      </w:r>
    </w:p>
    <w:p>
      <w:pPr>
        <w:pStyle w:val="BodyText"/>
        <w:spacing w:before="180" w:line="290" w:lineRule="auto"/>
        <w:ind w:left="22" w:right="16"/>
      </w:pPr>
      <w:r>
        <w:rPr>
          <w:b/>
          <w:bCs/>
          <w:spacing w:val="13"/>
        </w:rPr>
        <w:t>2.2.3</w:t>
      </w:r>
      <w:r>
        <w:rPr>
          <w:spacing w:val="4"/>
        </w:rPr>
        <w:t xml:space="preserve">   </w:t>
      </w:r>
      <w:r>
        <w:rPr>
          <w:spacing w:val="13"/>
        </w:rPr>
        <w:t>工程项目禁止使用青石棉或含青石棉的产品</w:t>
      </w:r>
      <w:r>
        <w:rPr>
          <w:spacing w:val="12"/>
        </w:rPr>
        <w:t>，禁止使用角闪石石棉</w:t>
      </w:r>
      <w:r>
        <w:t xml:space="preserve"> </w:t>
      </w:r>
      <w:r>
        <w:rPr>
          <w:spacing w:val="10"/>
        </w:rPr>
        <w:t>淘汰类建筑产品。</w:t>
      </w:r>
    </w:p>
    <w:p>
      <w:pPr>
        <w:pStyle w:val="BodyText"/>
        <w:spacing w:before="179" w:line="220" w:lineRule="auto"/>
        <w:ind w:left="23"/>
      </w:pPr>
      <w:r>
        <w:rPr>
          <w:b/>
          <w:bCs/>
          <w:spacing w:val="8"/>
        </w:rPr>
        <w:t>2.2.4</w:t>
      </w:r>
      <w:r>
        <w:rPr>
          <w:spacing w:val="8"/>
        </w:rPr>
        <w:t xml:space="preserve">   噪声、振动应符合下列规定：</w:t>
      </w:r>
    </w:p>
    <w:p>
      <w:pPr>
        <w:pStyle w:val="BodyText"/>
        <w:spacing w:before="182" w:line="359" w:lineRule="auto"/>
        <w:ind w:left="21" w:firstLine="584"/>
      </w:pPr>
      <w:r>
        <w:rPr>
          <w:b/>
          <w:bCs/>
          <w:spacing w:val="2"/>
        </w:rPr>
        <w:t>1</w:t>
      </w:r>
      <w:r>
        <w:rPr>
          <w:spacing w:val="54"/>
        </w:rPr>
        <w:t xml:space="preserve"> </w:t>
      </w:r>
      <w:r>
        <w:rPr>
          <w:spacing w:val="2"/>
        </w:rPr>
        <w:t>有色轻金属冶金工程项目排放的厂界噪声应满足《工业企业</w:t>
      </w:r>
      <w:r>
        <w:rPr>
          <w:spacing w:val="1"/>
        </w:rPr>
        <w:t>厂界噪声排</w:t>
      </w:r>
      <w:r>
        <w:t xml:space="preserve"> </w:t>
      </w:r>
      <w:r>
        <w:rPr>
          <w:spacing w:val="1"/>
        </w:rPr>
        <w:t>放标准》</w:t>
      </w:r>
      <w:r>
        <w:t>GB</w:t>
      </w:r>
      <w:r>
        <w:rPr>
          <w:spacing w:val="1"/>
        </w:rPr>
        <w:t>12348</w:t>
      </w:r>
      <w:r>
        <w:rPr>
          <w:spacing w:val="-34"/>
        </w:rPr>
        <w:t xml:space="preserve"> </w:t>
      </w:r>
      <w:r>
        <w:rPr>
          <w:spacing w:val="1"/>
        </w:rPr>
        <w:t>排放标准要求，项目对敏感建筑物的环境噪声影</w:t>
      </w:r>
      <w:r>
        <w:t>响应满足敏感</w:t>
      </w:r>
    </w:p>
    <w:p>
      <w:pPr>
        <w:pStyle w:val="BodyText"/>
        <w:spacing w:line="220" w:lineRule="auto"/>
        <w:ind w:left="23"/>
      </w:pPr>
      <w:r>
        <w:rPr>
          <w:spacing w:val="-1"/>
        </w:rPr>
        <w:t>建筑物所在声环境功能区管理要求。</w:t>
      </w:r>
    </w:p>
    <w:p>
      <w:pPr>
        <w:pStyle w:val="BodyText"/>
        <w:spacing w:before="180" w:line="468" w:lineRule="exact"/>
        <w:jc w:val="right"/>
      </w:pPr>
      <w:r>
        <w:rPr>
          <w:b/>
          <w:bCs/>
          <w:spacing w:val="3"/>
          <w:position w:val="17"/>
        </w:rPr>
        <w:t>2</w:t>
      </w:r>
      <w:r>
        <w:rPr>
          <w:spacing w:val="52"/>
          <w:position w:val="17"/>
        </w:rPr>
        <w:t xml:space="preserve"> </w:t>
      </w:r>
      <w:r>
        <w:rPr>
          <w:spacing w:val="3"/>
          <w:position w:val="17"/>
        </w:rPr>
        <w:t>产生噪声的车间，应在控制噪声发生源基础上，对厂房建筑设</w:t>
      </w:r>
      <w:r>
        <w:rPr>
          <w:spacing w:val="2"/>
          <w:position w:val="17"/>
        </w:rPr>
        <w:t>计采取减</w:t>
      </w:r>
    </w:p>
    <w:p>
      <w:pPr>
        <w:pStyle w:val="BodyText"/>
        <w:spacing w:line="220" w:lineRule="auto"/>
        <w:ind w:left="22"/>
      </w:pPr>
      <w:r>
        <w:rPr>
          <w:spacing w:val="-2"/>
        </w:rPr>
        <w:t>轻噪声影响的措施。</w:t>
      </w:r>
    </w:p>
    <w:p>
      <w:pPr>
        <w:pStyle w:val="BodyText"/>
        <w:spacing w:before="180" w:line="220" w:lineRule="auto"/>
        <w:ind w:left="592"/>
      </w:pPr>
      <w:r>
        <w:rPr>
          <w:b/>
          <w:bCs/>
          <w:spacing w:val="-3"/>
        </w:rPr>
        <w:t>3</w:t>
      </w:r>
      <w:r>
        <w:rPr>
          <w:spacing w:val="62"/>
        </w:rPr>
        <w:t xml:space="preserve"> </w:t>
      </w:r>
      <w:r>
        <w:rPr>
          <w:spacing w:val="-3"/>
        </w:rPr>
        <w:t>各类工作场所噪声限值应符合表</w:t>
      </w:r>
      <w:r>
        <w:rPr>
          <w:spacing w:val="-48"/>
        </w:rPr>
        <w:t xml:space="preserve"> </w:t>
      </w:r>
      <w:r>
        <w:rPr>
          <w:spacing w:val="-3"/>
        </w:rPr>
        <w:t>2.2.4-1</w:t>
      </w:r>
      <w:r>
        <w:rPr>
          <w:spacing w:val="-31"/>
        </w:rPr>
        <w:t xml:space="preserve"> </w:t>
      </w:r>
      <w:r>
        <w:rPr>
          <w:spacing w:val="-3"/>
        </w:rPr>
        <w:t>的规定。</w:t>
      </w:r>
    </w:p>
    <w:p>
      <w:pPr>
        <w:pStyle w:val="BodyText"/>
        <w:spacing w:before="177" w:line="229" w:lineRule="auto"/>
        <w:ind w:left="2238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5"/>
          <w:sz w:val="20"/>
          <w:szCs w:val="20"/>
        </w:rPr>
        <w:t>表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spacing w:val="15"/>
          <w:sz w:val="20"/>
          <w:szCs w:val="20"/>
        </w:rPr>
        <w:t xml:space="preserve">2.2.4-1           </w:t>
      </w:r>
      <w:r>
        <w:rPr>
          <w:rFonts w:ascii="SimHei" w:eastAsia="SimHei" w:hAnsi="SimHei" w:cs="SimHei"/>
          <w:spacing w:val="15"/>
          <w:sz w:val="20"/>
          <w:szCs w:val="20"/>
        </w:rPr>
        <w:t>各类工作</w:t>
      </w:r>
      <w:r>
        <w:rPr>
          <w:rFonts w:ascii="SimHei" w:eastAsia="SimHei" w:hAnsi="SimHei" w:cs="SimHei"/>
          <w:spacing w:val="14"/>
          <w:sz w:val="20"/>
          <w:szCs w:val="20"/>
        </w:rPr>
        <w:t>场所噪声限值</w:t>
      </w:r>
    </w:p>
    <w:tbl>
      <w:tblPr>
        <w:tblStyle w:val="TableNormal1"/>
        <w:tblW w:w="8334" w:type="dxa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38"/>
        <w:gridCol w:w="1996"/>
      </w:tblGrid>
      <w:tr>
        <w:tblPrEx>
          <w:tblW w:w="8334" w:type="dxa"/>
          <w:tblInd w:w="4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0"/>
        </w:trPr>
        <w:tc>
          <w:tcPr>
            <w:tcW w:w="6338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11" w:line="229" w:lineRule="auto"/>
              <w:ind w:left="2755"/>
            </w:pPr>
            <w:r>
              <w:rPr>
                <w:spacing w:val="6"/>
              </w:rPr>
              <w:t>工作场所</w:t>
            </w:r>
          </w:p>
        </w:tc>
        <w:tc>
          <w:tcPr>
            <w:tcW w:w="1996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1" w:line="228" w:lineRule="auto"/>
              <w:ind w:left="224"/>
            </w:pPr>
            <w:r>
              <w:rPr>
                <w:spacing w:val="6"/>
              </w:rPr>
              <w:t>噪声限值[</w:t>
            </w:r>
            <w:r>
              <w:t>dB</w:t>
            </w:r>
            <w:r>
              <w:rPr>
                <w:spacing w:val="6"/>
              </w:rPr>
              <w:t>(A)]</w:t>
            </w:r>
          </w:p>
        </w:tc>
      </w:tr>
      <w:tr>
        <w:tblPrEx>
          <w:tblW w:w="8334" w:type="dxa"/>
          <w:tblInd w:w="48" w:type="dxa"/>
          <w:tblLayout w:type="fixed"/>
        </w:tblPrEx>
        <w:trPr>
          <w:trHeight w:val="363"/>
        </w:trPr>
        <w:tc>
          <w:tcPr>
            <w:tcW w:w="633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8" w:line="226" w:lineRule="auto"/>
              <w:ind w:left="112"/>
            </w:pPr>
            <w:r>
              <w:rPr>
                <w:spacing w:val="6"/>
              </w:rPr>
              <w:t>生产车间</w:t>
            </w:r>
          </w:p>
        </w:tc>
        <w:tc>
          <w:tcPr>
            <w:tcW w:w="1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0" w:line="189" w:lineRule="auto"/>
              <w:ind w:left="896"/>
            </w:pPr>
            <w:r>
              <w:t>85</w:t>
            </w:r>
          </w:p>
        </w:tc>
      </w:tr>
      <w:tr>
        <w:tblPrEx>
          <w:tblW w:w="8334" w:type="dxa"/>
          <w:tblInd w:w="48" w:type="dxa"/>
          <w:tblLayout w:type="fixed"/>
        </w:tblPrEx>
        <w:trPr>
          <w:trHeight w:val="363"/>
        </w:trPr>
        <w:tc>
          <w:tcPr>
            <w:tcW w:w="633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9" w:line="225" w:lineRule="auto"/>
              <w:ind w:left="112"/>
            </w:pPr>
            <w:r>
              <w:rPr>
                <w:spacing w:val="5"/>
              </w:rPr>
              <w:t>车间内的值班室、休息室、办公室、实验室室内背景噪声级</w:t>
            </w:r>
          </w:p>
        </w:tc>
        <w:tc>
          <w:tcPr>
            <w:tcW w:w="1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2" w:line="189" w:lineRule="auto"/>
              <w:ind w:left="901"/>
            </w:pPr>
            <w:r>
              <w:rPr>
                <w:spacing w:val="-2"/>
              </w:rPr>
              <w:t>70</w:t>
            </w:r>
          </w:p>
        </w:tc>
      </w:tr>
      <w:tr>
        <w:tblPrEx>
          <w:tblW w:w="8334" w:type="dxa"/>
          <w:tblInd w:w="48" w:type="dxa"/>
          <w:tblLayout w:type="fixed"/>
        </w:tblPrEx>
        <w:trPr>
          <w:trHeight w:val="363"/>
        </w:trPr>
        <w:tc>
          <w:tcPr>
            <w:tcW w:w="633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0" w:line="224" w:lineRule="auto"/>
              <w:ind w:left="114"/>
            </w:pPr>
            <w:r>
              <w:rPr>
                <w:spacing w:val="9"/>
              </w:rPr>
              <w:t>正常工作状态下精密装配线、精密加工车间、计算机房</w:t>
            </w:r>
          </w:p>
        </w:tc>
        <w:tc>
          <w:tcPr>
            <w:tcW w:w="199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3" w:line="189" w:lineRule="auto"/>
              <w:ind w:left="901"/>
            </w:pPr>
            <w:r>
              <w:rPr>
                <w:spacing w:val="-2"/>
              </w:rPr>
              <w:t>70</w:t>
            </w:r>
          </w:p>
        </w:tc>
      </w:tr>
    </w:tbl>
    <w:p>
      <w:pPr>
        <w:sectPr>
          <w:footerReference w:type="default" r:id="rId9"/>
          <w:pgSz w:w="11906" w:h="16839"/>
          <w:pgMar w:top="1426" w:right="1701" w:bottom="1161" w:left="1785" w:header="0" w:footer="992" w:gutter="0"/>
          <w:pgNumType w:start="6"/>
          <w:cols w:space="708"/>
        </w:sectPr>
      </w:pPr>
    </w:p>
    <w:tbl>
      <w:tblPr>
        <w:tblStyle w:val="TableNormal2"/>
        <w:tblW w:w="8334" w:type="dxa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38"/>
        <w:gridCol w:w="1996"/>
      </w:tblGrid>
      <w:tr>
        <w:tblPrEx>
          <w:tblW w:w="8334" w:type="dxa"/>
          <w:tblInd w:w="4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1"/>
        </w:trPr>
        <w:tc>
          <w:tcPr>
            <w:tcW w:w="633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3" w:line="276" w:lineRule="auto"/>
              <w:ind w:left="115" w:right="31" w:hanging="3"/>
            </w:pPr>
            <w:r>
              <w:rPr>
                <w:spacing w:val="6"/>
              </w:rPr>
              <w:t>主控室、集中控制室、消防值班室，一般办公室、会议室、设计室、</w:t>
            </w:r>
            <w:r>
              <w:t xml:space="preserve"> </w:t>
            </w:r>
            <w:r>
              <w:rPr>
                <w:spacing w:val="8"/>
              </w:rPr>
              <w:t>实验室室内背景噪声级</w:t>
            </w:r>
          </w:p>
        </w:tc>
        <w:tc>
          <w:tcPr>
            <w:tcW w:w="1996" w:type="dxa"/>
            <w:tcBorders>
              <w:right w:val="single" w:sz="6" w:space="0" w:color="00000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897"/>
            </w:pPr>
            <w:r>
              <w:t>60</w:t>
            </w:r>
          </w:p>
        </w:tc>
      </w:tr>
      <w:tr>
        <w:tblPrEx>
          <w:tblW w:w="8334" w:type="dxa"/>
          <w:tblInd w:w="48" w:type="dxa"/>
          <w:tblLayout w:type="fixed"/>
        </w:tblPrEx>
        <w:trPr>
          <w:trHeight w:val="374"/>
        </w:trPr>
        <w:tc>
          <w:tcPr>
            <w:tcW w:w="6338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8" w:line="227" w:lineRule="auto"/>
              <w:ind w:left="111"/>
            </w:pPr>
            <w:r>
              <w:rPr>
                <w:spacing w:val="9"/>
              </w:rPr>
              <w:t>培训室、值班宿舍室内背景噪声级</w:t>
            </w:r>
          </w:p>
        </w:tc>
        <w:tc>
          <w:tcPr>
            <w:tcW w:w="199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3" w:line="187" w:lineRule="auto"/>
              <w:ind w:left="900"/>
            </w:pPr>
            <w:r>
              <w:rPr>
                <w:spacing w:val="-2"/>
              </w:rPr>
              <w:t>55</w:t>
            </w:r>
          </w:p>
        </w:tc>
      </w:tr>
    </w:tbl>
    <w:p>
      <w:pPr>
        <w:pStyle w:val="BodyText"/>
        <w:spacing w:before="156" w:line="219" w:lineRule="auto"/>
        <w:jc w:val="right"/>
      </w:pPr>
      <w:r>
        <w:rPr>
          <w:b/>
          <w:bCs/>
          <w:spacing w:val="3"/>
        </w:rPr>
        <w:t>4</w:t>
      </w:r>
      <w:r>
        <w:rPr>
          <w:spacing w:val="52"/>
        </w:rPr>
        <w:t xml:space="preserve"> </w:t>
      </w:r>
      <w:r>
        <w:rPr>
          <w:spacing w:val="3"/>
        </w:rPr>
        <w:t>产生振动的车间，应在控制振动发生源的基础上，对厂房的建筑设计采</w:t>
      </w:r>
    </w:p>
    <w:p>
      <w:pPr>
        <w:spacing w:line="219" w:lineRule="auto"/>
        <w:sectPr>
          <w:footerReference w:type="default" r:id="rId10"/>
          <w:type w:val="nextPage"/>
          <w:pgSz w:w="11906" w:h="16839"/>
          <w:pgMar w:top="1426" w:right="1701" w:bottom="1161" w:left="1785" w:header="0" w:footer="992" w:gutter="0"/>
          <w:pgNumType w:start="7"/>
          <w:cols w:space="708"/>
          <w:titlePg w:val="0"/>
        </w:sectPr>
      </w:pPr>
    </w:p>
    <w:p>
      <w:pPr>
        <w:pStyle w:val="BodyText"/>
        <w:spacing w:before="48" w:line="468" w:lineRule="exact"/>
        <w:jc w:val="right"/>
      </w:pPr>
      <w:r>
        <w:rPr>
          <w:spacing w:val="-5"/>
          <w:position w:val="17"/>
        </w:rPr>
        <w:t>取减轻振动影响的措施。对振幅、功率大的设备应采取减振基础设计等减振</w:t>
      </w:r>
      <w:r>
        <w:rPr>
          <w:spacing w:val="-6"/>
          <w:position w:val="17"/>
        </w:rPr>
        <w:t>措施，</w:t>
      </w:r>
    </w:p>
    <w:p>
      <w:pPr>
        <w:pStyle w:val="BodyText"/>
        <w:spacing w:line="220" w:lineRule="auto"/>
        <w:ind w:left="22"/>
      </w:pPr>
      <w:r>
        <w:t>保证设备产生的振动对周边敏感建筑物的振动影响满</w:t>
      </w:r>
      <w:r>
        <w:rPr>
          <w:spacing w:val="-1"/>
        </w:rPr>
        <w:t>足环境振动标准限值要求。</w:t>
      </w:r>
    </w:p>
    <w:p>
      <w:pPr>
        <w:pStyle w:val="BodyText"/>
        <w:spacing w:before="179" w:line="463" w:lineRule="exact"/>
        <w:ind w:left="592"/>
      </w:pPr>
      <w:r>
        <w:rPr>
          <w:b/>
          <w:bCs/>
          <w:spacing w:val="-3"/>
          <w:position w:val="16"/>
        </w:rPr>
        <w:t>5</w:t>
      </w:r>
      <w:r>
        <w:rPr>
          <w:spacing w:val="74"/>
          <w:position w:val="16"/>
        </w:rPr>
        <w:t xml:space="preserve"> </w:t>
      </w:r>
      <w:r>
        <w:rPr>
          <w:spacing w:val="-3"/>
          <w:position w:val="16"/>
        </w:rPr>
        <w:t>工作场所全身振动强度卫生限值应符合表</w:t>
      </w:r>
      <w:r>
        <w:rPr>
          <w:spacing w:val="-48"/>
          <w:position w:val="16"/>
        </w:rPr>
        <w:t xml:space="preserve"> </w:t>
      </w:r>
      <w:r>
        <w:rPr>
          <w:spacing w:val="-3"/>
          <w:position w:val="16"/>
        </w:rPr>
        <w:t>2.2.4-2</w:t>
      </w:r>
      <w:r>
        <w:rPr>
          <w:spacing w:val="-31"/>
          <w:position w:val="16"/>
        </w:rPr>
        <w:t xml:space="preserve"> </w:t>
      </w:r>
      <w:r>
        <w:rPr>
          <w:spacing w:val="-3"/>
          <w:position w:val="16"/>
        </w:rPr>
        <w:t>的规定。</w:t>
      </w:r>
    </w:p>
    <w:p>
      <w:pPr>
        <w:pStyle w:val="BodyText"/>
        <w:spacing w:line="229" w:lineRule="auto"/>
        <w:ind w:left="58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8"/>
          <w:sz w:val="20"/>
          <w:szCs w:val="20"/>
        </w:rPr>
        <w:t>表</w:t>
      </w:r>
      <w:r>
        <w:rPr>
          <w:rFonts w:ascii="SimHei" w:eastAsia="SimHei" w:hAnsi="SimHei" w:cs="SimHei"/>
          <w:spacing w:val="-12"/>
          <w:sz w:val="20"/>
          <w:szCs w:val="20"/>
        </w:rPr>
        <w:t xml:space="preserve"> </w:t>
      </w:r>
      <w:r>
        <w:rPr>
          <w:spacing w:val="18"/>
          <w:sz w:val="20"/>
          <w:szCs w:val="20"/>
        </w:rPr>
        <w:t>2.2.4-2</w:t>
      </w:r>
      <w:r>
        <w:rPr>
          <w:spacing w:val="4"/>
          <w:sz w:val="20"/>
          <w:szCs w:val="20"/>
        </w:rPr>
        <w:t xml:space="preserve">      </w:t>
      </w:r>
      <w:r>
        <w:rPr>
          <w:rFonts w:ascii="SimHei" w:eastAsia="SimHei" w:hAnsi="SimHei" w:cs="SimHei"/>
          <w:spacing w:val="18"/>
          <w:sz w:val="20"/>
          <w:szCs w:val="20"/>
        </w:rPr>
        <w:t>工作场所全身振动强度卫生限值</w:t>
      </w:r>
    </w:p>
    <w:p>
      <w:pPr>
        <w:spacing w:line="128" w:lineRule="exact"/>
      </w:pPr>
    </w:p>
    <w:tbl>
      <w:tblPr>
        <w:tblStyle w:val="TableNormal3"/>
        <w:tblW w:w="8250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135"/>
        <w:gridCol w:w="4115"/>
      </w:tblGrid>
      <w:tr>
        <w:tblPrEx>
          <w:tblW w:w="8250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0"/>
        </w:trPr>
        <w:tc>
          <w:tcPr>
            <w:tcW w:w="4135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80" w:line="221" w:lineRule="auto"/>
              <w:ind w:left="1024"/>
            </w:pPr>
            <w:r>
              <w:rPr>
                <w:spacing w:val="7"/>
              </w:rPr>
              <w:t>工作日接触时间(t，h)</w:t>
            </w:r>
          </w:p>
        </w:tc>
        <w:tc>
          <w:tcPr>
            <w:tcW w:w="411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221" w:lineRule="auto"/>
              <w:ind w:left="719"/>
            </w:pPr>
            <w:r>
              <w:rPr>
                <w:spacing w:val="7"/>
              </w:rPr>
              <w:t>全身振动强度卫生限值(m/s</w:t>
            </w:r>
            <w:r>
              <w:rPr>
                <w:spacing w:val="7"/>
                <w:position w:val="10"/>
                <w:sz w:val="10"/>
                <w:szCs w:val="10"/>
              </w:rPr>
              <w:t>2</w:t>
            </w:r>
            <w:r>
              <w:rPr>
                <w:spacing w:val="7"/>
              </w:rPr>
              <w:t>)</w:t>
            </w:r>
          </w:p>
        </w:tc>
      </w:tr>
      <w:tr>
        <w:tblPrEx>
          <w:tblW w:w="8250" w:type="dxa"/>
          <w:tblInd w:w="90" w:type="dxa"/>
          <w:tblLayout w:type="fixed"/>
        </w:tblPrEx>
        <w:trPr>
          <w:trHeight w:val="323"/>
        </w:trPr>
        <w:tc>
          <w:tcPr>
            <w:tcW w:w="413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6" w:line="218" w:lineRule="auto"/>
              <w:ind w:left="1702"/>
            </w:pPr>
            <w:r>
              <w:rPr>
                <w:spacing w:val="5"/>
              </w:rPr>
              <w:t>4＜t≤8</w:t>
            </w:r>
          </w:p>
        </w:tc>
        <w:tc>
          <w:tcPr>
            <w:tcW w:w="41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9" w:line="188" w:lineRule="auto"/>
              <w:ind w:left="1849"/>
            </w:pPr>
            <w:r>
              <w:rPr>
                <w:spacing w:val="2"/>
              </w:rPr>
              <w:t>0.62</w:t>
            </w:r>
          </w:p>
        </w:tc>
      </w:tr>
      <w:tr>
        <w:tblPrEx>
          <w:tblW w:w="8250" w:type="dxa"/>
          <w:tblInd w:w="90" w:type="dxa"/>
          <w:tblLayout w:type="fixed"/>
        </w:tblPrEx>
        <w:trPr>
          <w:trHeight w:val="323"/>
        </w:trPr>
        <w:tc>
          <w:tcPr>
            <w:tcW w:w="413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0" w:line="215" w:lineRule="auto"/>
              <w:ind w:left="1600"/>
            </w:pPr>
            <w:r>
              <w:rPr>
                <w:spacing w:val="4"/>
              </w:rPr>
              <w:t>2.5＜t≤4</w:t>
            </w:r>
          </w:p>
        </w:tc>
        <w:tc>
          <w:tcPr>
            <w:tcW w:w="41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1" w:line="186" w:lineRule="auto"/>
              <w:ind w:left="1862"/>
            </w:pPr>
            <w:r>
              <w:rPr>
                <w:spacing w:val="-1"/>
              </w:rPr>
              <w:t>1.10</w:t>
            </w:r>
          </w:p>
        </w:tc>
      </w:tr>
      <w:tr>
        <w:tblPrEx>
          <w:tblW w:w="8250" w:type="dxa"/>
          <w:tblInd w:w="90" w:type="dxa"/>
          <w:tblLayout w:type="fixed"/>
        </w:tblPrEx>
        <w:trPr>
          <w:trHeight w:val="323"/>
        </w:trPr>
        <w:tc>
          <w:tcPr>
            <w:tcW w:w="413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0" w:line="215" w:lineRule="auto"/>
              <w:ind w:left="1507"/>
            </w:pPr>
            <w:r>
              <w:rPr>
                <w:spacing w:val="3"/>
              </w:rPr>
              <w:t>1.0＜t≤2.5</w:t>
            </w:r>
          </w:p>
        </w:tc>
        <w:tc>
          <w:tcPr>
            <w:tcW w:w="41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2" w:line="185" w:lineRule="auto"/>
              <w:ind w:left="1862"/>
            </w:pPr>
            <w:r>
              <w:rPr>
                <w:spacing w:val="-1"/>
              </w:rPr>
              <w:t>1.40</w:t>
            </w:r>
          </w:p>
        </w:tc>
      </w:tr>
      <w:tr>
        <w:tblPrEx>
          <w:tblW w:w="8250" w:type="dxa"/>
          <w:tblInd w:w="90" w:type="dxa"/>
          <w:tblLayout w:type="fixed"/>
        </w:tblPrEx>
        <w:trPr>
          <w:trHeight w:val="323"/>
        </w:trPr>
        <w:tc>
          <w:tcPr>
            <w:tcW w:w="413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3" w:line="212" w:lineRule="auto"/>
              <w:ind w:left="1493"/>
            </w:pPr>
            <w:r>
              <w:rPr>
                <w:spacing w:val="5"/>
              </w:rPr>
              <w:t>0.5＜t≤1.0</w:t>
            </w:r>
          </w:p>
        </w:tc>
        <w:tc>
          <w:tcPr>
            <w:tcW w:w="41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5" w:line="182" w:lineRule="auto"/>
              <w:ind w:left="1849"/>
            </w:pPr>
            <w:r>
              <w:rPr>
                <w:spacing w:val="2"/>
              </w:rPr>
              <w:t>2.40</w:t>
            </w:r>
          </w:p>
        </w:tc>
      </w:tr>
      <w:tr>
        <w:tblPrEx>
          <w:tblW w:w="8250" w:type="dxa"/>
          <w:tblInd w:w="90" w:type="dxa"/>
          <w:tblLayout w:type="fixed"/>
        </w:tblPrEx>
        <w:trPr>
          <w:trHeight w:val="334"/>
        </w:trPr>
        <w:tc>
          <w:tcPr>
            <w:tcW w:w="4135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6" w:line="219" w:lineRule="auto"/>
              <w:ind w:left="1760"/>
            </w:pPr>
            <w:r>
              <w:rPr>
                <w:spacing w:val="3"/>
              </w:rPr>
              <w:t>t≤0.5</w:t>
            </w:r>
          </w:p>
        </w:tc>
        <w:tc>
          <w:tcPr>
            <w:tcW w:w="411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9" w:line="189" w:lineRule="auto"/>
              <w:ind w:left="1851"/>
            </w:pPr>
            <w:r>
              <w:rPr>
                <w:spacing w:val="2"/>
              </w:rPr>
              <w:t>3.60</w:t>
            </w:r>
          </w:p>
        </w:tc>
      </w:tr>
    </w:tbl>
    <w:p>
      <w:pPr>
        <w:pStyle w:val="BodyText"/>
        <w:spacing w:before="157" w:line="220" w:lineRule="auto"/>
        <w:ind w:left="23"/>
      </w:pPr>
      <w:r>
        <w:rPr>
          <w:b/>
          <w:bCs/>
          <w:spacing w:val="5"/>
        </w:rPr>
        <w:t>2.2.5</w:t>
      </w:r>
      <w:r>
        <w:rPr>
          <w:spacing w:val="5"/>
        </w:rPr>
        <w:t xml:space="preserve">   工程项目安全生产应符合下列规定：</w:t>
      </w:r>
    </w:p>
    <w:p>
      <w:pPr>
        <w:pStyle w:val="BodyText"/>
        <w:spacing w:before="179" w:line="468" w:lineRule="exact"/>
        <w:ind w:left="458"/>
      </w:pPr>
      <w:r>
        <w:rPr>
          <w:b/>
          <w:bCs/>
          <w:spacing w:val="13"/>
          <w:position w:val="17"/>
        </w:rPr>
        <w:t>1</w:t>
      </w:r>
      <w:r>
        <w:rPr>
          <w:spacing w:val="36"/>
          <w:position w:val="17"/>
        </w:rPr>
        <w:t xml:space="preserve">   </w:t>
      </w:r>
      <w:r>
        <w:rPr>
          <w:spacing w:val="13"/>
          <w:position w:val="17"/>
        </w:rPr>
        <w:t>产生烟气、粉尘的设备和输送装置应设置密闭罩壳。机械设备防护</w:t>
      </w:r>
    </w:p>
    <w:p>
      <w:pPr>
        <w:pStyle w:val="BodyText"/>
        <w:spacing w:before="1" w:line="219" w:lineRule="auto"/>
        <w:ind w:left="21"/>
      </w:pPr>
      <w:r>
        <w:rPr>
          <w:spacing w:val="12"/>
        </w:rPr>
        <w:t>罩设计应符合现行国家标准《机械设备防护罩安全要求》</w:t>
      </w:r>
      <w:r>
        <w:t>GB</w:t>
      </w:r>
      <w:r>
        <w:rPr>
          <w:spacing w:val="12"/>
        </w:rPr>
        <w:t xml:space="preserve"> 8196 的规定。</w:t>
      </w:r>
    </w:p>
    <w:p>
      <w:pPr>
        <w:pStyle w:val="BodyText"/>
        <w:spacing w:before="182" w:line="359" w:lineRule="auto"/>
        <w:ind w:left="26" w:right="80" w:firstLine="417"/>
      </w:pPr>
      <w:r>
        <w:rPr>
          <w:b/>
          <w:bCs/>
          <w:spacing w:val="14"/>
        </w:rPr>
        <w:t>2</w:t>
      </w:r>
      <w:r>
        <w:rPr>
          <w:spacing w:val="33"/>
        </w:rPr>
        <w:t xml:space="preserve">   </w:t>
      </w:r>
      <w:r>
        <w:rPr>
          <w:spacing w:val="14"/>
        </w:rPr>
        <w:t>存在毒性气体、剧毒液体和易燃气体等重大危险源的设</w:t>
      </w:r>
      <w:r>
        <w:rPr>
          <w:spacing w:val="13"/>
        </w:rPr>
        <w:t>施，应按规</w:t>
      </w:r>
      <w:r>
        <w:t xml:space="preserve"> </w:t>
      </w:r>
      <w:r>
        <w:rPr>
          <w:spacing w:val="12"/>
        </w:rPr>
        <w:t>定设置紧急切断、气体泄漏检测报警装置</w:t>
      </w:r>
      <w:r>
        <w:rPr>
          <w:spacing w:val="-62"/>
        </w:rPr>
        <w:t xml:space="preserve"> </w:t>
      </w:r>
      <w:r>
        <w:rPr>
          <w:spacing w:val="12"/>
        </w:rPr>
        <w:t>。涉及毒性和液化气体、剧毒液体</w:t>
      </w:r>
      <w:r>
        <w:t xml:space="preserve"> </w:t>
      </w:r>
      <w:r>
        <w:rPr>
          <w:spacing w:val="12"/>
        </w:rPr>
        <w:t>的一级或二级重大危险源，应独立配备安全仪表系统</w:t>
      </w:r>
      <w:r>
        <w:rPr>
          <w:spacing w:val="-62"/>
        </w:rPr>
        <w:t xml:space="preserve"> </w:t>
      </w:r>
      <w:r>
        <w:rPr>
          <w:spacing w:val="12"/>
        </w:rPr>
        <w:t>。储存剧毒物质的场所</w:t>
      </w:r>
    </w:p>
    <w:p>
      <w:pPr>
        <w:pStyle w:val="BodyText"/>
        <w:spacing w:before="1" w:line="220" w:lineRule="auto"/>
        <w:ind w:left="23"/>
      </w:pPr>
      <w:r>
        <w:rPr>
          <w:spacing w:val="12"/>
        </w:rPr>
        <w:t>或设施，应设置视频监控系统。</w:t>
      </w:r>
    </w:p>
    <w:p>
      <w:pPr>
        <w:pStyle w:val="BodyText"/>
        <w:spacing w:before="181" w:line="465" w:lineRule="exact"/>
        <w:ind w:right="43"/>
        <w:jc w:val="right"/>
      </w:pPr>
      <w:r>
        <w:rPr>
          <w:b/>
          <w:bCs/>
          <w:spacing w:val="15"/>
          <w:position w:val="17"/>
        </w:rPr>
        <w:t>3</w:t>
      </w:r>
      <w:r>
        <w:rPr>
          <w:spacing w:val="34"/>
          <w:position w:val="17"/>
        </w:rPr>
        <w:t xml:space="preserve">   </w:t>
      </w:r>
      <w:r>
        <w:rPr>
          <w:spacing w:val="15"/>
          <w:position w:val="17"/>
        </w:rPr>
        <w:t>使用煤气、天然气、液化气等的燃烧装置，应设有紧急切断</w:t>
      </w:r>
      <w:r>
        <w:rPr>
          <w:spacing w:val="14"/>
          <w:position w:val="17"/>
        </w:rPr>
        <w:t>阀，以</w:t>
      </w:r>
    </w:p>
    <w:p>
      <w:pPr>
        <w:pStyle w:val="BodyText"/>
        <w:spacing w:line="220" w:lineRule="auto"/>
        <w:ind w:left="20"/>
      </w:pPr>
      <w:r>
        <w:rPr>
          <w:spacing w:val="12"/>
        </w:rPr>
        <w:t>及火灾、超敏度气体报警器。</w:t>
      </w:r>
    </w:p>
    <w:p>
      <w:pPr>
        <w:pStyle w:val="BodyText"/>
        <w:spacing w:before="183" w:line="358" w:lineRule="auto"/>
        <w:ind w:left="25" w:right="77" w:firstLine="414"/>
      </w:pPr>
      <w:r>
        <w:rPr>
          <w:b/>
          <w:bCs/>
          <w:spacing w:val="13"/>
        </w:rPr>
        <w:t>4</w:t>
      </w:r>
      <w:r>
        <w:rPr>
          <w:spacing w:val="33"/>
        </w:rPr>
        <w:t xml:space="preserve">   </w:t>
      </w:r>
      <w:r>
        <w:rPr>
          <w:spacing w:val="13"/>
        </w:rPr>
        <w:t>重要车间厂房的地坪应设置宽度不应小于 1.5</w:t>
      </w:r>
      <w:r>
        <w:rPr>
          <w:spacing w:val="12"/>
        </w:rPr>
        <w:t>m 的安全人行通道，</w:t>
      </w:r>
      <w:r>
        <w:rPr>
          <w:spacing w:val="2"/>
        </w:rPr>
        <w:t xml:space="preserve"> </w:t>
      </w:r>
      <w:r>
        <w:rPr>
          <w:spacing w:val="14"/>
        </w:rPr>
        <w:t>安全人行通道应有明显的标志分界线；疏散通道应有明显的逃生</w:t>
      </w:r>
      <w:r>
        <w:rPr>
          <w:spacing w:val="13"/>
        </w:rPr>
        <w:t>标志，紧急</w:t>
      </w:r>
    </w:p>
    <w:p>
      <w:pPr>
        <w:pStyle w:val="BodyText"/>
        <w:spacing w:line="220" w:lineRule="auto"/>
        <w:ind w:left="41"/>
      </w:pPr>
      <w:r>
        <w:rPr>
          <w:spacing w:val="14"/>
        </w:rPr>
        <w:t>出入口、通道、走廊、楼梯应按规定设有逃生指示灯</w:t>
      </w:r>
      <w:r>
        <w:rPr>
          <w:spacing w:val="13"/>
        </w:rPr>
        <w:t>、应急照明。</w:t>
      </w:r>
    </w:p>
    <w:p>
      <w:pPr>
        <w:pStyle w:val="BodyText"/>
        <w:spacing w:before="182" w:line="359" w:lineRule="auto"/>
        <w:ind w:left="21" w:right="80" w:firstLine="424"/>
      </w:pPr>
      <w:r>
        <w:rPr>
          <w:b/>
          <w:bCs/>
          <w:spacing w:val="14"/>
        </w:rPr>
        <w:t>5</w:t>
      </w:r>
      <w:r>
        <w:rPr>
          <w:spacing w:val="34"/>
        </w:rPr>
        <w:t xml:space="preserve">   </w:t>
      </w:r>
      <w:r>
        <w:rPr>
          <w:spacing w:val="14"/>
        </w:rPr>
        <w:t>生产设备之间，设备与建（构）筑物之间应</w:t>
      </w:r>
      <w:r>
        <w:rPr>
          <w:spacing w:val="13"/>
        </w:rPr>
        <w:t>留有满足生产、操作、</w:t>
      </w:r>
      <w:r>
        <w:t xml:space="preserve"> </w:t>
      </w:r>
      <w:r>
        <w:rPr>
          <w:spacing w:val="11"/>
        </w:rPr>
        <w:t>检修所需的安全距离</w:t>
      </w:r>
      <w:r>
        <w:rPr>
          <w:spacing w:val="-68"/>
        </w:rPr>
        <w:t xml:space="preserve"> </w:t>
      </w:r>
      <w:r>
        <w:rPr>
          <w:spacing w:val="11"/>
        </w:rPr>
        <w:t>。移动车辆与建（构）</w:t>
      </w:r>
      <w:r>
        <w:rPr>
          <w:spacing w:val="-71"/>
        </w:rPr>
        <w:t xml:space="preserve"> </w:t>
      </w:r>
      <w:r>
        <w:rPr>
          <w:spacing w:val="11"/>
        </w:rPr>
        <w:t>筑物之间应留有不小于</w:t>
      </w:r>
      <w:r>
        <w:rPr>
          <w:spacing w:val="-26"/>
        </w:rPr>
        <w:t xml:space="preserve"> </w:t>
      </w:r>
      <w:r>
        <w:rPr>
          <w:spacing w:val="11"/>
        </w:rPr>
        <w:t>0.8m 的</w:t>
      </w:r>
    </w:p>
    <w:p>
      <w:pPr>
        <w:pStyle w:val="BodyText"/>
        <w:spacing w:before="1" w:line="220" w:lineRule="auto"/>
        <w:ind w:left="25"/>
      </w:pPr>
      <w:r>
        <w:rPr>
          <w:spacing w:val="6"/>
        </w:rPr>
        <w:t>安全距离。</w:t>
      </w:r>
    </w:p>
    <w:p>
      <w:pPr>
        <w:pStyle w:val="BodyText"/>
        <w:spacing w:before="181" w:line="359" w:lineRule="auto"/>
        <w:ind w:left="40" w:right="63" w:firstLine="402"/>
        <w:sectPr>
          <w:footerReference w:type="default" r:id="rId11"/>
          <w:pgSz w:w="11906" w:h="16839"/>
          <w:pgMar w:top="1426" w:right="1637" w:bottom="1159" w:left="1785" w:header="0" w:footer="992" w:gutter="0"/>
          <w:pgNumType w:start="8"/>
          <w:cols w:space="708"/>
        </w:sectPr>
      </w:pPr>
      <w:r>
        <w:rPr>
          <w:b/>
          <w:bCs/>
          <w:spacing w:val="-2"/>
        </w:rPr>
        <w:t>6</w:t>
      </w:r>
      <w:r>
        <w:rPr>
          <w:spacing w:val="38"/>
        </w:rPr>
        <w:t xml:space="preserve">   </w:t>
      </w:r>
      <w:r>
        <w:rPr>
          <w:spacing w:val="-2"/>
        </w:rPr>
        <w:t>存在较大危险因素的生产经营场所和有关设施、设备上，应当设置明显</w:t>
      </w:r>
      <w:r>
        <w:rPr>
          <w:spacing w:val="2"/>
        </w:rPr>
        <w:t xml:space="preserve"> </w:t>
      </w:r>
      <w:r>
        <w:rPr>
          <w:spacing w:val="-1"/>
        </w:rPr>
        <w:t>的安全警示标志。对重要岗位的电气、机械等设备，企业应当实行操作牌管理制</w:t>
      </w:r>
    </w:p>
    <w:p>
      <w:pPr>
        <w:pStyle w:val="BodyText"/>
        <w:spacing w:before="1" w:line="220" w:lineRule="auto"/>
        <w:ind w:left="20"/>
      </w:pPr>
      <w:r>
        <w:rPr>
          <w:spacing w:val="-5"/>
        </w:rPr>
        <w:t>度。</w:t>
      </w:r>
    </w:p>
    <w:p>
      <w:pPr>
        <w:pStyle w:val="BodyText"/>
        <w:spacing w:before="179" w:line="468" w:lineRule="exact"/>
        <w:ind w:left="446"/>
      </w:pPr>
      <w:r>
        <w:rPr>
          <w:b/>
          <w:bCs/>
          <w:spacing w:val="16"/>
          <w:position w:val="17"/>
        </w:rPr>
        <w:t>7</w:t>
      </w:r>
      <w:r>
        <w:rPr>
          <w:spacing w:val="34"/>
          <w:position w:val="17"/>
        </w:rPr>
        <w:t xml:space="preserve">   </w:t>
      </w:r>
      <w:r>
        <w:rPr>
          <w:spacing w:val="16"/>
          <w:position w:val="17"/>
        </w:rPr>
        <w:t>钢（直/斜）</w:t>
      </w:r>
      <w:r>
        <w:rPr>
          <w:spacing w:val="-71"/>
          <w:position w:val="17"/>
        </w:rPr>
        <w:t xml:space="preserve"> </w:t>
      </w:r>
      <w:r>
        <w:rPr>
          <w:spacing w:val="16"/>
          <w:position w:val="17"/>
        </w:rPr>
        <w:t>梯、工业防护栏及钢平台的设计、制造和安装应符合</w:t>
      </w:r>
    </w:p>
    <w:p>
      <w:pPr>
        <w:pStyle w:val="BodyText"/>
        <w:spacing w:before="1" w:line="220" w:lineRule="auto"/>
        <w:ind w:left="22"/>
      </w:pPr>
      <w:r>
        <w:rPr>
          <w:spacing w:val="11"/>
        </w:rPr>
        <w:t>现行国家标准《固定式钢梯及平台安全要求》</w:t>
      </w:r>
      <w:r>
        <w:rPr>
          <w:spacing w:val="55"/>
        </w:rPr>
        <w:t xml:space="preserve"> </w:t>
      </w:r>
      <w:r>
        <w:t>GB</w:t>
      </w:r>
      <w:r>
        <w:rPr>
          <w:spacing w:val="11"/>
        </w:rPr>
        <w:t xml:space="preserve"> 4053.1</w:t>
      </w:r>
      <w:r>
        <w:rPr>
          <w:spacing w:val="10"/>
        </w:rPr>
        <w:t>～3</w:t>
      </w:r>
      <w:r>
        <w:rPr>
          <w:spacing w:val="-19"/>
        </w:rPr>
        <w:t xml:space="preserve"> </w:t>
      </w:r>
      <w:r>
        <w:rPr>
          <w:spacing w:val="10"/>
        </w:rPr>
        <w:t>的规定。</w:t>
      </w:r>
    </w:p>
    <w:p>
      <w:pPr>
        <w:pStyle w:val="BodyText"/>
        <w:spacing w:before="178" w:line="219" w:lineRule="auto"/>
        <w:ind w:left="442"/>
      </w:pPr>
      <w:r>
        <w:rPr>
          <w:b/>
          <w:bCs/>
          <w:spacing w:val="13"/>
        </w:rPr>
        <w:t>8</w:t>
      </w:r>
      <w:r>
        <w:rPr>
          <w:spacing w:val="39"/>
        </w:rPr>
        <w:t xml:space="preserve">   </w:t>
      </w:r>
      <w:r>
        <w:rPr>
          <w:spacing w:val="13"/>
        </w:rPr>
        <w:t>贮存有粉尘、含有害气体及其他易爆贮料且具有爆炸危险的筒仓，</w:t>
      </w:r>
    </w:p>
    <w:p>
      <w:pPr>
        <w:spacing w:line="219" w:lineRule="auto"/>
        <w:sectPr>
          <w:footerReference w:type="default" r:id="rId12"/>
          <w:type w:val="nextPage"/>
          <w:pgSz w:w="11906" w:h="16839"/>
          <w:pgMar w:top="1426" w:right="1637" w:bottom="1159" w:left="1785" w:header="0" w:footer="992" w:gutter="0"/>
          <w:pgNumType w:start="9"/>
          <w:cols w:space="708"/>
          <w:titlePg w:val="0"/>
        </w:sectPr>
      </w:pPr>
    </w:p>
    <w:p>
      <w:pPr>
        <w:pStyle w:val="BodyText"/>
        <w:spacing w:before="48" w:line="468" w:lineRule="exact"/>
        <w:ind w:left="127"/>
      </w:pPr>
      <w:r>
        <w:rPr>
          <w:spacing w:val="14"/>
          <w:position w:val="17"/>
        </w:rPr>
        <w:t>应根据不同的贮料特性分别设置防爆、泄爆、防静电、防明火及防雷</w:t>
      </w:r>
      <w:r>
        <w:rPr>
          <w:spacing w:val="13"/>
          <w:position w:val="17"/>
        </w:rPr>
        <w:t>电等设</w:t>
      </w:r>
    </w:p>
    <w:p>
      <w:pPr>
        <w:pStyle w:val="BodyText"/>
        <w:spacing w:before="1" w:line="222" w:lineRule="auto"/>
        <w:ind w:left="126"/>
      </w:pPr>
      <w:r>
        <w:rPr>
          <w:spacing w:val="-5"/>
        </w:rPr>
        <w:t>施。</w:t>
      </w:r>
    </w:p>
    <w:p>
      <w:pPr>
        <w:pStyle w:val="BodyText"/>
        <w:spacing w:before="295" w:line="221" w:lineRule="auto"/>
        <w:ind w:left="2895"/>
        <w:outlineLvl w:val="6"/>
        <w:rPr>
          <w:rFonts w:ascii="SimHei" w:eastAsia="SimHei" w:hAnsi="SimHei" w:cs="SimHei"/>
        </w:rPr>
      </w:pPr>
      <w:r>
        <w:rPr>
          <w:b/>
          <w:bCs/>
          <w:spacing w:val="-4"/>
        </w:rPr>
        <w:t>2.3</w:t>
      </w:r>
      <w:r>
        <w:rPr>
          <w:spacing w:val="-4"/>
        </w:rPr>
        <w:t xml:space="preserve">   </w:t>
      </w:r>
      <w:r>
        <w:rPr>
          <w:rFonts w:ascii="SimHei" w:eastAsia="SimHei" w:hAnsi="SimHei" w:cs="SimHei"/>
          <w:b/>
          <w:bCs/>
          <w:spacing w:val="-4"/>
        </w:rPr>
        <w:t>节能和资源综合利用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30"/>
      </w:pPr>
      <w:r>
        <w:rPr>
          <w:b/>
          <w:bCs/>
          <w:spacing w:val="4"/>
        </w:rPr>
        <w:t>2.3.1</w:t>
      </w:r>
      <w:r>
        <w:rPr>
          <w:spacing w:val="4"/>
        </w:rPr>
        <w:t xml:space="preserve">   有色轻金属冶金工程建设项目节能应符</w:t>
      </w:r>
      <w:r>
        <w:rPr>
          <w:spacing w:val="3"/>
        </w:rPr>
        <w:t>合下列规定：</w:t>
      </w:r>
    </w:p>
    <w:p>
      <w:pPr>
        <w:pStyle w:val="BodyText"/>
        <w:spacing w:before="179" w:line="220" w:lineRule="auto"/>
        <w:ind w:left="711"/>
      </w:pPr>
      <w:r>
        <w:rPr>
          <w:b/>
          <w:bCs/>
          <w:spacing w:val="14"/>
        </w:rPr>
        <w:t>1</w:t>
      </w:r>
      <w:r>
        <w:rPr>
          <w:spacing w:val="14"/>
        </w:rPr>
        <w:t xml:space="preserve">  应符合现行的国家强制性节能政策法规和单位产品能耗限额标准。</w:t>
      </w:r>
    </w:p>
    <w:p>
      <w:pPr>
        <w:pStyle w:val="BodyText"/>
        <w:spacing w:before="181" w:line="466" w:lineRule="exact"/>
        <w:ind w:left="696"/>
      </w:pPr>
      <w:r>
        <w:rPr>
          <w:b/>
          <w:bCs/>
          <w:spacing w:val="15"/>
          <w:position w:val="17"/>
        </w:rPr>
        <w:t>2</w:t>
      </w:r>
      <w:r>
        <w:rPr>
          <w:spacing w:val="15"/>
          <w:position w:val="17"/>
        </w:rPr>
        <w:t xml:space="preserve">  禁止进口、使用国家明令淘汰或者不符合强制性能源效率标准的用</w:t>
      </w:r>
    </w:p>
    <w:p>
      <w:pPr>
        <w:pStyle w:val="BodyText"/>
        <w:spacing w:line="219" w:lineRule="auto"/>
        <w:ind w:left="136"/>
      </w:pPr>
      <w:r>
        <w:rPr>
          <w:spacing w:val="14"/>
        </w:rPr>
        <w:t>能产品、设备；禁止使用国家明令淘汰的生产工艺、装备和材料。</w:t>
      </w:r>
    </w:p>
    <w:p>
      <w:pPr>
        <w:pStyle w:val="BodyText"/>
        <w:spacing w:before="183" w:line="359" w:lineRule="auto"/>
        <w:ind w:left="132" w:right="89" w:firstLine="566"/>
      </w:pPr>
      <w:r>
        <w:rPr>
          <w:b/>
          <w:bCs/>
          <w:spacing w:val="15"/>
        </w:rPr>
        <w:t>3</w:t>
      </w:r>
      <w:r>
        <w:rPr>
          <w:spacing w:val="15"/>
        </w:rPr>
        <w:t xml:space="preserve">  用能设备的设计、安装和使用应符合现行国家标准《企业能耗计量</w:t>
      </w:r>
      <w:r>
        <w:rPr>
          <w:spacing w:val="6"/>
        </w:rPr>
        <w:t xml:space="preserve"> </w:t>
      </w:r>
      <w:r>
        <w:rPr>
          <w:spacing w:val="8"/>
        </w:rPr>
        <w:t>与测试导则》</w:t>
      </w:r>
      <w:r>
        <w:t>GB</w:t>
      </w:r>
      <w:r>
        <w:rPr>
          <w:spacing w:val="8"/>
        </w:rPr>
        <w:t>/T</w:t>
      </w:r>
      <w:r>
        <w:rPr>
          <w:spacing w:val="-24"/>
        </w:rPr>
        <w:t xml:space="preserve"> </w:t>
      </w:r>
      <w:r>
        <w:rPr>
          <w:spacing w:val="8"/>
        </w:rPr>
        <w:t>6422、《节能监测技术通则》</w:t>
      </w:r>
      <w:r>
        <w:rPr>
          <w:spacing w:val="55"/>
        </w:rPr>
        <w:t xml:space="preserve"> </w:t>
      </w:r>
      <w:r>
        <w:t>GB</w:t>
      </w:r>
      <w:r>
        <w:rPr>
          <w:spacing w:val="8"/>
        </w:rPr>
        <w:t>/T 15316 中用能设备的</w:t>
      </w:r>
    </w:p>
    <w:p>
      <w:pPr>
        <w:pStyle w:val="BodyText"/>
        <w:spacing w:before="1" w:line="221" w:lineRule="auto"/>
        <w:ind w:left="136"/>
      </w:pPr>
      <w:r>
        <w:rPr>
          <w:spacing w:val="8"/>
        </w:rPr>
        <w:t>能源监测要求。</w:t>
      </w:r>
    </w:p>
    <w:p>
      <w:pPr>
        <w:pStyle w:val="BodyText"/>
        <w:spacing w:before="178" w:line="468" w:lineRule="exact"/>
        <w:ind w:left="692"/>
      </w:pPr>
      <w:r>
        <w:rPr>
          <w:b/>
          <w:bCs/>
          <w:spacing w:val="14"/>
          <w:position w:val="17"/>
        </w:rPr>
        <w:t>4</w:t>
      </w:r>
      <w:r>
        <w:rPr>
          <w:spacing w:val="42"/>
          <w:position w:val="17"/>
        </w:rPr>
        <w:t xml:space="preserve">  </w:t>
      </w:r>
      <w:r>
        <w:rPr>
          <w:spacing w:val="14"/>
          <w:position w:val="17"/>
        </w:rPr>
        <w:t>能源计量器具配备和管理应符合现行国家标</w:t>
      </w:r>
      <w:r>
        <w:rPr>
          <w:spacing w:val="13"/>
          <w:position w:val="17"/>
        </w:rPr>
        <w:t>准《用能单位能源计量</w:t>
      </w:r>
    </w:p>
    <w:p>
      <w:pPr>
        <w:pStyle w:val="BodyText"/>
        <w:spacing w:line="220" w:lineRule="auto"/>
        <w:ind w:left="127"/>
      </w:pPr>
      <w:r>
        <w:rPr>
          <w:spacing w:val="7"/>
        </w:rPr>
        <w:t>器具配备和管理通则》</w:t>
      </w:r>
      <w:r>
        <w:t>GB</w:t>
      </w:r>
      <w:r>
        <w:rPr>
          <w:spacing w:val="48"/>
        </w:rPr>
        <w:t xml:space="preserve"> </w:t>
      </w:r>
      <w:r>
        <w:rPr>
          <w:spacing w:val="7"/>
        </w:rPr>
        <w:t>17167 的要求。</w:t>
      </w:r>
    </w:p>
    <w:p>
      <w:pPr>
        <w:pStyle w:val="BodyText"/>
        <w:spacing w:before="182" w:line="465" w:lineRule="exact"/>
        <w:ind w:left="698"/>
      </w:pPr>
      <w:r>
        <w:rPr>
          <w:b/>
          <w:bCs/>
          <w:spacing w:val="15"/>
          <w:position w:val="17"/>
        </w:rPr>
        <w:t>5</w:t>
      </w:r>
      <w:r>
        <w:rPr>
          <w:spacing w:val="15"/>
          <w:position w:val="17"/>
        </w:rPr>
        <w:t xml:space="preserve">  用能单位应建立能源统计报表制度、能源统计报表数据应能追溯至</w:t>
      </w:r>
    </w:p>
    <w:p>
      <w:pPr>
        <w:pStyle w:val="BodyText"/>
        <w:spacing w:before="1" w:line="221" w:lineRule="auto"/>
        <w:ind w:left="127"/>
      </w:pPr>
      <w:r>
        <w:rPr>
          <w:spacing w:val="9"/>
        </w:rPr>
        <w:t>计量测试记录。</w:t>
      </w:r>
    </w:p>
    <w:p>
      <w:pPr>
        <w:pStyle w:val="BodyText"/>
        <w:spacing w:before="178" w:line="220" w:lineRule="auto"/>
        <w:jc w:val="right"/>
      </w:pPr>
      <w:r>
        <w:rPr>
          <w:b/>
          <w:bCs/>
          <w:spacing w:val="7"/>
        </w:rPr>
        <w:t>2.3.2</w:t>
      </w:r>
      <w:r>
        <w:rPr>
          <w:spacing w:val="9"/>
        </w:rPr>
        <w:t xml:space="preserve">   </w:t>
      </w:r>
      <w:r>
        <w:rPr>
          <w:spacing w:val="7"/>
        </w:rPr>
        <w:t>有色轻金属冶金工程建设项目能源、资源综合利用应符合下列规定：</w:t>
      </w:r>
    </w:p>
    <w:p>
      <w:pPr>
        <w:pStyle w:val="BodyText"/>
        <w:spacing w:before="182" w:line="465" w:lineRule="exact"/>
        <w:ind w:left="711"/>
      </w:pPr>
      <w:r>
        <w:rPr>
          <w:b/>
          <w:bCs/>
          <w:spacing w:val="15"/>
          <w:position w:val="17"/>
        </w:rPr>
        <w:t>1</w:t>
      </w:r>
      <w:r>
        <w:rPr>
          <w:spacing w:val="15"/>
          <w:position w:val="17"/>
        </w:rPr>
        <w:t xml:space="preserve">  应按规定采用先进和适用的工艺和装备技术，对生</w:t>
      </w:r>
      <w:r>
        <w:rPr>
          <w:spacing w:val="14"/>
          <w:position w:val="17"/>
        </w:rPr>
        <w:t>产过程中产生的</w:t>
      </w:r>
    </w:p>
    <w:p>
      <w:pPr>
        <w:pStyle w:val="BodyText"/>
        <w:spacing w:line="220" w:lineRule="auto"/>
        <w:ind w:left="126"/>
      </w:pPr>
      <w:r>
        <w:rPr>
          <w:spacing w:val="14"/>
        </w:rPr>
        <w:t>废气、废水、废液、废品、固废和余热、余压等进行综合利用。</w:t>
      </w:r>
    </w:p>
    <w:p>
      <w:pPr>
        <w:pStyle w:val="BodyText"/>
        <w:spacing w:before="182" w:line="359" w:lineRule="auto"/>
        <w:ind w:left="126" w:firstLine="570"/>
      </w:pPr>
      <w:r>
        <w:rPr>
          <w:b/>
          <w:bCs/>
          <w:spacing w:val="8"/>
        </w:rPr>
        <w:t>2</w:t>
      </w:r>
      <w:r>
        <w:rPr>
          <w:spacing w:val="45"/>
        </w:rPr>
        <w:t xml:space="preserve">  </w:t>
      </w:r>
      <w:r>
        <w:rPr>
          <w:spacing w:val="8"/>
        </w:rPr>
        <w:t>新建和改造工程项目的工业燃烧设备、换热设备、干燥设备、制冷、</w:t>
      </w:r>
      <w:r>
        <w:t xml:space="preserve"> </w:t>
      </w:r>
      <w:r>
        <w:rPr>
          <w:spacing w:val="15"/>
        </w:rPr>
        <w:t>采暖、空调等用热设备，应按现行国家标准《评价企业合理用热技术</w:t>
      </w:r>
      <w:r>
        <w:rPr>
          <w:spacing w:val="14"/>
        </w:rPr>
        <w:t>导则》</w:t>
      </w:r>
    </w:p>
    <w:p>
      <w:pPr>
        <w:pStyle w:val="BodyText"/>
        <w:spacing w:before="1" w:line="219" w:lineRule="auto"/>
        <w:ind w:left="124"/>
      </w:pPr>
      <w:r>
        <w:t>GB</w:t>
      </w:r>
      <w:r>
        <w:rPr>
          <w:spacing w:val="10"/>
        </w:rPr>
        <w:t>/T 3486 的要求，采用措施提高设备能源使用效率。</w:t>
      </w:r>
    </w:p>
    <w:p>
      <w:pPr>
        <w:pStyle w:val="BodyText"/>
        <w:spacing w:before="183" w:line="465" w:lineRule="exact"/>
        <w:ind w:left="698"/>
      </w:pPr>
      <w:r>
        <w:rPr>
          <w:b/>
          <w:bCs/>
          <w:spacing w:val="14"/>
          <w:position w:val="17"/>
        </w:rPr>
        <w:t>3</w:t>
      </w:r>
      <w:r>
        <w:rPr>
          <w:spacing w:val="14"/>
          <w:position w:val="17"/>
        </w:rPr>
        <w:t xml:space="preserve">  工业锅炉排烟容许温度和最低用热效率控制指标应符合表</w:t>
      </w:r>
      <w:r>
        <w:rPr>
          <w:spacing w:val="-23"/>
          <w:position w:val="17"/>
        </w:rPr>
        <w:t xml:space="preserve"> </w:t>
      </w:r>
      <w:r>
        <w:rPr>
          <w:spacing w:val="14"/>
          <w:position w:val="17"/>
        </w:rPr>
        <w:t>2.3.2-1</w:t>
      </w:r>
    </w:p>
    <w:p>
      <w:pPr>
        <w:pStyle w:val="BodyText"/>
        <w:spacing w:before="1" w:line="220" w:lineRule="auto"/>
        <w:ind w:left="147"/>
      </w:pPr>
      <w:r>
        <w:t>的规定。</w:t>
      </w:r>
    </w:p>
    <w:p>
      <w:pPr>
        <w:spacing w:before="177" w:line="229" w:lineRule="auto"/>
        <w:ind w:left="158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1"/>
          <w:sz w:val="20"/>
          <w:szCs w:val="20"/>
        </w:rPr>
        <w:t>表</w:t>
      </w:r>
      <w:r>
        <w:rPr>
          <w:rFonts w:ascii="SimHei" w:eastAsia="SimHei" w:hAnsi="SimHei" w:cs="SimHei"/>
          <w:spacing w:val="-2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1"/>
          <w:sz w:val="20"/>
          <w:szCs w:val="20"/>
        </w:rPr>
        <w:t>2.3.2-1</w:t>
      </w:r>
      <w:r>
        <w:rPr>
          <w:rFonts w:ascii="SimHei" w:eastAsia="SimHei" w:hAnsi="SimHei" w:cs="SimHei"/>
          <w:spacing w:val="2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21"/>
          <w:sz w:val="20"/>
          <w:szCs w:val="20"/>
        </w:rPr>
        <w:t>工业锅炉排烟容许温度和最低用热效率控制指标</w:t>
      </w:r>
    </w:p>
    <w:tbl>
      <w:tblPr>
        <w:tblStyle w:val="TableNormal4"/>
        <w:tblW w:w="852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815"/>
        <w:gridCol w:w="3114"/>
        <w:gridCol w:w="3597"/>
      </w:tblGrid>
      <w:tr>
        <w:tblPrEx>
          <w:tblW w:w="852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72"/>
        </w:trPr>
        <w:tc>
          <w:tcPr>
            <w:tcW w:w="1815" w:type="dxa"/>
            <w:vAlign w:val="top"/>
          </w:tcPr>
          <w:p>
            <w:pPr>
              <w:pStyle w:val="TableText"/>
              <w:spacing w:before="112" w:line="229" w:lineRule="auto"/>
              <w:ind w:left="276"/>
            </w:pPr>
            <w:r>
              <w:rPr>
                <w:spacing w:val="10"/>
              </w:rPr>
              <w:t>锅炉容量，</w:t>
            </w:r>
            <w:r>
              <w:t>MW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12" w:line="229" w:lineRule="auto"/>
              <w:ind w:left="715"/>
            </w:pPr>
            <w:r>
              <w:rPr>
                <w:spacing w:val="6"/>
              </w:rPr>
              <w:t>排烟容许温度，</w:t>
            </w:r>
            <w:r>
              <w:rPr>
                <w:spacing w:val="-63"/>
              </w:rPr>
              <w:t xml:space="preserve"> </w:t>
            </w:r>
            <w:r>
              <w:rPr>
                <w:spacing w:val="6"/>
              </w:rPr>
              <w:t>℃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12" w:line="228" w:lineRule="auto"/>
              <w:ind w:left="1012"/>
            </w:pPr>
            <w:r>
              <w:rPr>
                <w:spacing w:val="8"/>
              </w:rPr>
              <w:t>最低用热效率，%</w:t>
            </w:r>
          </w:p>
        </w:tc>
      </w:tr>
      <w:tr>
        <w:tblPrEx>
          <w:tblW w:w="8526" w:type="dxa"/>
          <w:tblInd w:w="7" w:type="dxa"/>
          <w:tblLayout w:type="fixed"/>
        </w:tblPrEx>
        <w:trPr>
          <w:trHeight w:val="362"/>
        </w:trPr>
        <w:tc>
          <w:tcPr>
            <w:tcW w:w="1815" w:type="dxa"/>
            <w:vAlign w:val="top"/>
          </w:tcPr>
          <w:p>
            <w:pPr>
              <w:pStyle w:val="TableText"/>
              <w:spacing w:before="107" w:line="226" w:lineRule="auto"/>
              <w:ind w:left="649"/>
            </w:pPr>
            <w:r>
              <w:rPr>
                <w:spacing w:val="2"/>
              </w:rPr>
              <w:t>&lt;0.35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07" w:line="226" w:lineRule="auto"/>
              <w:ind w:left="1308"/>
            </w:pPr>
            <w:r>
              <w:t>≤300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07" w:line="226" w:lineRule="auto"/>
              <w:ind w:left="1608"/>
            </w:pPr>
            <w:r>
              <w:rPr>
                <w:spacing w:val="-3"/>
              </w:rPr>
              <w:t>≥58</w:t>
            </w:r>
          </w:p>
        </w:tc>
      </w:tr>
    </w:tbl>
    <w:p>
      <w:pPr>
        <w:sectPr>
          <w:footerReference w:type="default" r:id="rId13"/>
          <w:pgSz w:w="11906" w:h="16839"/>
          <w:pgMar w:top="1426" w:right="1628" w:bottom="1162" w:left="1679" w:header="0" w:footer="992" w:gutter="0"/>
          <w:pgNumType w:start="10"/>
          <w:cols w:space="708"/>
        </w:sectPr>
      </w:pPr>
    </w:p>
    <w:tbl>
      <w:tblPr>
        <w:tblStyle w:val="TableNormal5"/>
        <w:tblW w:w="852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815"/>
        <w:gridCol w:w="3114"/>
        <w:gridCol w:w="3597"/>
      </w:tblGrid>
      <w:tr>
        <w:tblPrEx>
          <w:tblW w:w="852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62"/>
        </w:trPr>
        <w:tc>
          <w:tcPr>
            <w:tcW w:w="1815" w:type="dxa"/>
            <w:vAlign w:val="top"/>
          </w:tcPr>
          <w:p>
            <w:pPr>
              <w:pStyle w:val="TableText"/>
              <w:spacing w:before="109" w:line="224" w:lineRule="auto"/>
              <w:ind w:left="350"/>
            </w:pPr>
            <w:r>
              <w:rPr>
                <w:spacing w:val="3"/>
              </w:rPr>
              <w:t>≥0.35～0.7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09" w:line="224" w:lineRule="auto"/>
              <w:ind w:left="1308"/>
            </w:pPr>
            <w:r>
              <w:t>≤250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09" w:line="224" w:lineRule="auto"/>
              <w:ind w:left="1608"/>
            </w:pPr>
            <w:r>
              <w:rPr>
                <w:spacing w:val="-3"/>
              </w:rPr>
              <w:t>≥60</w:t>
            </w:r>
          </w:p>
        </w:tc>
      </w:tr>
      <w:tr>
        <w:tblPrEx>
          <w:tblW w:w="8526" w:type="dxa"/>
          <w:tblInd w:w="7" w:type="dxa"/>
          <w:tblLayout w:type="fixed"/>
        </w:tblPrEx>
        <w:trPr>
          <w:trHeight w:val="363"/>
        </w:trPr>
        <w:tc>
          <w:tcPr>
            <w:tcW w:w="1815" w:type="dxa"/>
            <w:vAlign w:val="top"/>
          </w:tcPr>
          <w:p>
            <w:pPr>
              <w:pStyle w:val="TableText"/>
              <w:spacing w:before="111" w:line="223" w:lineRule="auto"/>
              <w:ind w:left="440"/>
            </w:pPr>
            <w:r>
              <w:rPr>
                <w:spacing w:val="3"/>
              </w:rPr>
              <w:t>&gt;0.7～2.8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11" w:line="223" w:lineRule="auto"/>
              <w:ind w:left="1308"/>
            </w:pPr>
            <w:r>
              <w:t>≤220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11" w:line="223" w:lineRule="auto"/>
              <w:ind w:left="1608"/>
            </w:pPr>
            <w:r>
              <w:rPr>
                <w:spacing w:val="-3"/>
              </w:rPr>
              <w:t>≥65</w:t>
            </w:r>
          </w:p>
        </w:tc>
      </w:tr>
      <w:tr>
        <w:tblPrEx>
          <w:tblW w:w="8526" w:type="dxa"/>
          <w:tblInd w:w="7" w:type="dxa"/>
          <w:tblLayout w:type="fixed"/>
        </w:tblPrEx>
        <w:trPr>
          <w:trHeight w:val="363"/>
        </w:trPr>
        <w:tc>
          <w:tcPr>
            <w:tcW w:w="1815" w:type="dxa"/>
            <w:vAlign w:val="top"/>
          </w:tcPr>
          <w:p>
            <w:pPr>
              <w:pStyle w:val="TableText"/>
              <w:spacing w:before="114" w:line="220" w:lineRule="auto"/>
              <w:ind w:left="506"/>
            </w:pPr>
            <w:r>
              <w:rPr>
                <w:spacing w:val="2"/>
              </w:rPr>
              <w:t>≥2.8～7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14" w:line="220" w:lineRule="auto"/>
              <w:ind w:left="1308"/>
            </w:pPr>
            <w:r>
              <w:t>≤200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14" w:line="220" w:lineRule="auto"/>
              <w:ind w:left="1608"/>
            </w:pPr>
            <w:r>
              <w:rPr>
                <w:spacing w:val="-3"/>
              </w:rPr>
              <w:t>≥70</w:t>
            </w:r>
          </w:p>
        </w:tc>
      </w:tr>
      <w:tr>
        <w:tblPrEx>
          <w:tblW w:w="8526" w:type="dxa"/>
          <w:tblInd w:w="7" w:type="dxa"/>
          <w:tblLayout w:type="fixed"/>
        </w:tblPrEx>
        <w:trPr>
          <w:trHeight w:val="372"/>
        </w:trPr>
        <w:tc>
          <w:tcPr>
            <w:tcW w:w="1815" w:type="dxa"/>
            <w:vAlign w:val="top"/>
          </w:tcPr>
          <w:p>
            <w:pPr>
              <w:pStyle w:val="TableText"/>
              <w:spacing w:before="116" w:line="227" w:lineRule="auto"/>
              <w:ind w:left="770"/>
            </w:pPr>
            <w:r>
              <w:rPr>
                <w:spacing w:val="-8"/>
              </w:rPr>
              <w:t>≥7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spacing w:before="116" w:line="227" w:lineRule="auto"/>
              <w:ind w:left="1308"/>
            </w:pPr>
            <w:r>
              <w:t>≤180</w:t>
            </w:r>
          </w:p>
        </w:tc>
        <w:tc>
          <w:tcPr>
            <w:tcW w:w="3597" w:type="dxa"/>
            <w:vAlign w:val="top"/>
          </w:tcPr>
          <w:p>
            <w:pPr>
              <w:pStyle w:val="TableText"/>
              <w:spacing w:before="116" w:line="227" w:lineRule="auto"/>
              <w:ind w:left="1608"/>
            </w:pPr>
            <w:r>
              <w:rPr>
                <w:spacing w:val="-3"/>
              </w:rPr>
              <w:t>≥74</w:t>
            </w:r>
          </w:p>
        </w:tc>
      </w:tr>
    </w:tbl>
    <w:p>
      <w:pPr>
        <w:pStyle w:val="BodyText"/>
        <w:spacing w:before="151" w:line="228" w:lineRule="auto"/>
        <w:ind w:left="975"/>
        <w:rPr>
          <w:sz w:val="20"/>
          <w:szCs w:val="20"/>
        </w:rPr>
      </w:pPr>
      <w:r>
        <w:rPr>
          <w:spacing w:val="7"/>
          <w:sz w:val="20"/>
          <w:szCs w:val="20"/>
        </w:rPr>
        <w:t>注：1 排烟温度为运行锅炉在环境温度为</w:t>
      </w:r>
      <w:r>
        <w:rPr>
          <w:spacing w:val="-2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25℃满负荷情况下进行燃烧时锅炉出口处</w:t>
      </w:r>
    </w:p>
    <w:p>
      <w:pPr>
        <w:spacing w:line="228" w:lineRule="auto"/>
        <w:rPr>
          <w:sz w:val="20"/>
          <w:szCs w:val="20"/>
        </w:rPr>
        <w:sectPr>
          <w:footerReference w:type="default" r:id="rId14"/>
          <w:type w:val="nextPage"/>
          <w:pgSz w:w="11906" w:h="16839"/>
          <w:pgMar w:top="1426" w:right="1628" w:bottom="1162" w:left="1679" w:header="0" w:footer="992" w:gutter="0"/>
          <w:pgNumType w:start="11"/>
          <w:cols w:space="708"/>
          <w:titlePg w:val="0"/>
        </w:sectPr>
      </w:pPr>
    </w:p>
    <w:p>
      <w:pPr>
        <w:pStyle w:val="BodyText"/>
        <w:spacing w:before="42" w:line="228" w:lineRule="auto"/>
        <w:rPr>
          <w:sz w:val="20"/>
          <w:szCs w:val="20"/>
        </w:rPr>
      </w:pPr>
      <w:r>
        <w:rPr>
          <w:spacing w:val="6"/>
          <w:sz w:val="20"/>
          <w:szCs w:val="20"/>
        </w:rPr>
        <w:t>定期检测的值。</w:t>
      </w:r>
    </w:p>
    <w:p>
      <w:pPr>
        <w:pStyle w:val="BodyText"/>
        <w:spacing w:before="281" w:line="228" w:lineRule="auto"/>
        <w:ind w:left="1413"/>
        <w:rPr>
          <w:sz w:val="20"/>
          <w:szCs w:val="20"/>
        </w:rPr>
      </w:pPr>
      <w:r>
        <w:rPr>
          <w:spacing w:val="7"/>
          <w:sz w:val="20"/>
          <w:szCs w:val="20"/>
        </w:rPr>
        <w:t>2 容量大于</w:t>
      </w:r>
      <w:r>
        <w:rPr>
          <w:spacing w:val="-31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0.7</w:t>
      </w:r>
      <w:r>
        <w:rPr>
          <w:sz w:val="20"/>
          <w:szCs w:val="20"/>
        </w:rPr>
        <w:t>MW</w:t>
      </w:r>
      <w:r>
        <w:rPr>
          <w:spacing w:val="-21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的热水锅炉，其排烟温度允许比表中相应值放宽</w:t>
      </w:r>
      <w:r>
        <w:rPr>
          <w:spacing w:val="-36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20℃。</w:t>
      </w:r>
    </w:p>
    <w:p>
      <w:pPr>
        <w:pStyle w:val="BodyText"/>
        <w:spacing w:before="282" w:line="528" w:lineRule="exact"/>
        <w:ind w:left="1415"/>
        <w:rPr>
          <w:sz w:val="20"/>
          <w:szCs w:val="20"/>
        </w:rPr>
      </w:pPr>
      <w:r>
        <w:rPr>
          <w:spacing w:val="8"/>
          <w:position w:val="25"/>
          <w:sz w:val="20"/>
          <w:szCs w:val="20"/>
        </w:rPr>
        <w:t>3 实际运行的锅炉以满负荷进行燃烧时的热效率值。</w:t>
      </w:r>
    </w:p>
    <w:p>
      <w:pPr>
        <w:pStyle w:val="BodyText"/>
        <w:spacing w:line="227" w:lineRule="auto"/>
        <w:ind w:left="1410"/>
        <w:rPr>
          <w:sz w:val="20"/>
          <w:szCs w:val="20"/>
        </w:rPr>
      </w:pPr>
      <w:r>
        <w:rPr>
          <w:spacing w:val="7"/>
          <w:sz w:val="20"/>
          <w:szCs w:val="20"/>
        </w:rPr>
        <w:t>4 本表不适用于下列锅炉：</w:t>
      </w:r>
    </w:p>
    <w:p>
      <w:pPr>
        <w:pStyle w:val="BodyText"/>
        <w:spacing w:before="281" w:line="528" w:lineRule="exact"/>
        <w:ind w:left="1411"/>
        <w:rPr>
          <w:sz w:val="20"/>
          <w:szCs w:val="20"/>
        </w:rPr>
      </w:pPr>
      <w:r>
        <w:rPr>
          <w:spacing w:val="8"/>
          <w:position w:val="25"/>
          <w:sz w:val="20"/>
          <w:szCs w:val="20"/>
        </w:rPr>
        <w:t>a.</w:t>
      </w:r>
      <w:r>
        <w:rPr>
          <w:spacing w:val="7"/>
          <w:position w:val="25"/>
          <w:sz w:val="20"/>
          <w:szCs w:val="20"/>
        </w:rPr>
        <w:t xml:space="preserve">  </w:t>
      </w:r>
      <w:r>
        <w:rPr>
          <w:spacing w:val="8"/>
          <w:position w:val="25"/>
          <w:sz w:val="20"/>
          <w:szCs w:val="20"/>
        </w:rPr>
        <w:t>燃用无烟煤、石油、劣质煤和Ⅰ类烟煤的锅炉；</w:t>
      </w:r>
    </w:p>
    <w:p>
      <w:pPr>
        <w:pStyle w:val="BodyText"/>
        <w:spacing w:line="228" w:lineRule="auto"/>
        <w:ind w:left="1407"/>
        <w:rPr>
          <w:sz w:val="20"/>
          <w:szCs w:val="20"/>
        </w:rPr>
      </w:pPr>
      <w:r>
        <w:rPr>
          <w:spacing w:val="4"/>
          <w:sz w:val="20"/>
          <w:szCs w:val="20"/>
        </w:rPr>
        <w:t>b.  年平均运行时间不超过</w:t>
      </w:r>
      <w:r>
        <w:rPr>
          <w:spacing w:val="-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1000h</w:t>
      </w:r>
      <w:r>
        <w:rPr>
          <w:spacing w:val="-2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的锅炉；</w:t>
      </w:r>
    </w:p>
    <w:p>
      <w:pPr>
        <w:pStyle w:val="BodyText"/>
        <w:spacing w:before="283" w:line="528" w:lineRule="exact"/>
        <w:ind w:left="1415"/>
        <w:rPr>
          <w:sz w:val="20"/>
          <w:szCs w:val="20"/>
        </w:rPr>
      </w:pPr>
      <w:r>
        <w:rPr>
          <w:spacing w:val="6"/>
          <w:position w:val="25"/>
          <w:sz w:val="20"/>
          <w:szCs w:val="20"/>
        </w:rPr>
        <w:t>c.   蒸发量小于</w:t>
      </w:r>
      <w:r>
        <w:rPr>
          <w:spacing w:val="-22"/>
          <w:position w:val="25"/>
          <w:sz w:val="20"/>
          <w:szCs w:val="20"/>
        </w:rPr>
        <w:t xml:space="preserve"> </w:t>
      </w:r>
      <w:r>
        <w:rPr>
          <w:spacing w:val="6"/>
          <w:position w:val="25"/>
          <w:sz w:val="20"/>
          <w:szCs w:val="20"/>
        </w:rPr>
        <w:t>0.14</w:t>
      </w:r>
      <w:r>
        <w:rPr>
          <w:position w:val="25"/>
          <w:sz w:val="20"/>
          <w:szCs w:val="20"/>
        </w:rPr>
        <w:t>MW</w:t>
      </w:r>
      <w:r>
        <w:rPr>
          <w:spacing w:val="6"/>
          <w:position w:val="25"/>
          <w:sz w:val="20"/>
          <w:szCs w:val="20"/>
        </w:rPr>
        <w:t>，或额定热负荷小于</w:t>
      </w:r>
      <w:r>
        <w:rPr>
          <w:spacing w:val="-35"/>
          <w:position w:val="25"/>
          <w:sz w:val="20"/>
          <w:szCs w:val="20"/>
        </w:rPr>
        <w:t xml:space="preserve"> </w:t>
      </w:r>
      <w:r>
        <w:rPr>
          <w:spacing w:val="6"/>
          <w:position w:val="25"/>
          <w:sz w:val="20"/>
          <w:szCs w:val="20"/>
        </w:rPr>
        <w:t>0.5×106</w:t>
      </w:r>
      <w:r>
        <w:rPr>
          <w:position w:val="25"/>
          <w:sz w:val="20"/>
          <w:szCs w:val="20"/>
        </w:rPr>
        <w:t>KJ</w:t>
      </w:r>
      <w:r>
        <w:rPr>
          <w:spacing w:val="6"/>
          <w:position w:val="25"/>
          <w:sz w:val="20"/>
          <w:szCs w:val="20"/>
        </w:rPr>
        <w:t>/h</w:t>
      </w:r>
      <w:r>
        <w:rPr>
          <w:spacing w:val="-23"/>
          <w:position w:val="25"/>
          <w:sz w:val="20"/>
          <w:szCs w:val="20"/>
        </w:rPr>
        <w:t xml:space="preserve"> </w:t>
      </w:r>
      <w:r>
        <w:rPr>
          <w:spacing w:val="6"/>
          <w:position w:val="25"/>
          <w:sz w:val="20"/>
          <w:szCs w:val="20"/>
        </w:rPr>
        <w:t>的热水锅炉；</w:t>
      </w:r>
    </w:p>
    <w:p>
      <w:pPr>
        <w:pStyle w:val="BodyText"/>
        <w:spacing w:line="229" w:lineRule="auto"/>
        <w:ind w:left="1415"/>
        <w:rPr>
          <w:sz w:val="20"/>
          <w:szCs w:val="20"/>
        </w:rPr>
      </w:pPr>
      <w:r>
        <w:rPr>
          <w:spacing w:val="3"/>
          <w:sz w:val="20"/>
          <w:szCs w:val="20"/>
        </w:rPr>
        <w:t>d.</w:t>
      </w:r>
      <w:r>
        <w:rPr>
          <w:spacing w:val="9"/>
          <w:sz w:val="20"/>
          <w:szCs w:val="20"/>
        </w:rPr>
        <w:t xml:space="preserve">   </w:t>
      </w:r>
      <w:r>
        <w:rPr>
          <w:spacing w:val="3"/>
          <w:sz w:val="20"/>
          <w:szCs w:val="20"/>
        </w:rPr>
        <w:t>余热锅炉；</w:t>
      </w:r>
    </w:p>
    <w:p>
      <w:pPr>
        <w:pStyle w:val="BodyText"/>
        <w:spacing w:before="280" w:line="228" w:lineRule="auto"/>
        <w:ind w:left="1416"/>
        <w:rPr>
          <w:sz w:val="20"/>
          <w:szCs w:val="20"/>
        </w:rPr>
      </w:pPr>
      <w:r>
        <w:rPr>
          <w:spacing w:val="8"/>
          <w:sz w:val="20"/>
          <w:szCs w:val="20"/>
        </w:rPr>
        <w:t>e.</w:t>
      </w:r>
      <w:r>
        <w:rPr>
          <w:spacing w:val="8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用稻草、甘蔗渣、木屑或其他工业废物与燃料混合燃烧的锅炉。</w:t>
      </w:r>
    </w:p>
    <w:p>
      <w:pPr>
        <w:pStyle w:val="BodyText"/>
        <w:spacing w:before="166" w:line="220" w:lineRule="auto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6pt;height:13.9pt;margin-top:9.2pt;margin-left:55.4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3" w:lineRule="auto"/>
                    <w:ind w:left="20"/>
                  </w:pPr>
                  <w:r>
                    <w:rPr>
                      <w:b/>
                      <w:bCs/>
                      <w:spacing w:val="-3"/>
                    </w:rPr>
                    <w:t>4</w:t>
                  </w:r>
                </w:p>
              </w:txbxContent>
            </v:textbox>
          </v:shape>
        </w:pict>
      </w:r>
      <w:r>
        <w:rPr>
          <w:spacing w:val="10"/>
        </w:rPr>
        <w:t>工业炉窑烟气余热资源回收利用控制指标应符合表</w:t>
      </w:r>
      <w:r>
        <w:rPr>
          <w:spacing w:val="-23"/>
        </w:rPr>
        <w:t xml:space="preserve"> </w:t>
      </w:r>
      <w:r>
        <w:rPr>
          <w:spacing w:val="10"/>
        </w:rPr>
        <w:t>2.3.2-2</w:t>
      </w:r>
      <w:r>
        <w:rPr>
          <w:spacing w:val="-24"/>
        </w:rPr>
        <w:t xml:space="preserve"> </w:t>
      </w:r>
      <w:r>
        <w:rPr>
          <w:spacing w:val="10"/>
        </w:rPr>
        <w:t>的规定。</w:t>
      </w:r>
    </w:p>
    <w:p>
      <w:pPr>
        <w:pStyle w:val="BodyText"/>
        <w:spacing w:before="178" w:line="228" w:lineRule="auto"/>
        <w:ind w:left="2336"/>
        <w:rPr>
          <w:sz w:val="20"/>
          <w:szCs w:val="20"/>
        </w:rPr>
      </w:pPr>
      <w:r>
        <w:rPr>
          <w:b/>
          <w:bCs/>
          <w:spacing w:val="18"/>
          <w:sz w:val="20"/>
          <w:szCs w:val="20"/>
        </w:rPr>
        <w:t>表</w:t>
      </w:r>
      <w:r>
        <w:rPr>
          <w:spacing w:val="-15"/>
          <w:sz w:val="20"/>
          <w:szCs w:val="20"/>
        </w:rPr>
        <w:t xml:space="preserve"> </w:t>
      </w:r>
      <w:r>
        <w:rPr>
          <w:b/>
          <w:bCs/>
          <w:spacing w:val="18"/>
          <w:sz w:val="20"/>
          <w:szCs w:val="20"/>
        </w:rPr>
        <w:t>2.3.2-2</w:t>
      </w:r>
      <w:r>
        <w:rPr>
          <w:spacing w:val="1"/>
          <w:sz w:val="20"/>
          <w:szCs w:val="20"/>
        </w:rPr>
        <w:t xml:space="preserve">     </w:t>
      </w:r>
      <w:r>
        <w:rPr>
          <w:b/>
          <w:bCs/>
          <w:spacing w:val="18"/>
          <w:sz w:val="20"/>
          <w:szCs w:val="20"/>
        </w:rPr>
        <w:t>工业炉窑烟气余热资源回收率控制</w:t>
      </w:r>
      <w:r>
        <w:rPr>
          <w:b/>
          <w:bCs/>
          <w:spacing w:val="17"/>
          <w:sz w:val="20"/>
          <w:szCs w:val="20"/>
        </w:rPr>
        <w:t>指标</w:t>
      </w:r>
    </w:p>
    <w:p>
      <w:pPr>
        <w:spacing w:line="129" w:lineRule="exact"/>
      </w:pPr>
    </w:p>
    <w:tbl>
      <w:tblPr>
        <w:tblStyle w:val="TableNormal6"/>
        <w:tblW w:w="8526" w:type="dxa"/>
        <w:tblInd w:w="4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333"/>
        <w:gridCol w:w="1332"/>
        <w:gridCol w:w="990"/>
        <w:gridCol w:w="1200"/>
        <w:gridCol w:w="1341"/>
        <w:gridCol w:w="1139"/>
        <w:gridCol w:w="1191"/>
      </w:tblGrid>
      <w:tr>
        <w:tblPrEx>
          <w:tblW w:w="8526" w:type="dxa"/>
          <w:tblInd w:w="442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33"/>
        </w:trPr>
        <w:tc>
          <w:tcPr>
            <w:tcW w:w="133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6" w:line="283" w:lineRule="auto"/>
              <w:ind w:left="586" w:right="120" w:hanging="4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烟气出炉温度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℃</w:t>
            </w:r>
          </w:p>
        </w:tc>
        <w:tc>
          <w:tcPr>
            <w:tcW w:w="3522" w:type="dxa"/>
            <w:gridSpan w:val="3"/>
            <w:vAlign w:val="top"/>
          </w:tcPr>
          <w:p>
            <w:pPr>
              <w:pStyle w:val="TableText"/>
              <w:spacing w:before="108" w:line="220" w:lineRule="auto"/>
              <w:ind w:left="94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使用低发热量燃料时</w:t>
            </w:r>
          </w:p>
        </w:tc>
        <w:tc>
          <w:tcPr>
            <w:tcW w:w="3671" w:type="dxa"/>
            <w:gridSpan w:val="3"/>
            <w:vAlign w:val="top"/>
          </w:tcPr>
          <w:p>
            <w:pPr>
              <w:pStyle w:val="TableText"/>
              <w:spacing w:before="108" w:line="220" w:lineRule="auto"/>
              <w:ind w:left="102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使用高发热量燃料时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483"/>
        </w:trPr>
        <w:tc>
          <w:tcPr>
            <w:tcW w:w="13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36" w:line="224" w:lineRule="auto"/>
              <w:ind w:left="436" w:right="122" w:hanging="3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余热资源回收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率，%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36" w:line="224" w:lineRule="auto"/>
              <w:ind w:left="415" w:right="128" w:hanging="28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排气温度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℃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36" w:line="224" w:lineRule="auto"/>
              <w:ind w:left="327" w:right="143" w:hanging="1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预热空气温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>度，℃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36" w:line="224" w:lineRule="auto"/>
              <w:ind w:left="447" w:right="121" w:hanging="3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余热资源回收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率，%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36" w:line="224" w:lineRule="auto"/>
              <w:ind w:left="495" w:right="199" w:hanging="28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排气温度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℃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36" w:line="224" w:lineRule="auto"/>
              <w:ind w:left="324" w:right="137" w:hanging="1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预热空气温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>度，℃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3"/>
        </w:trPr>
        <w:tc>
          <w:tcPr>
            <w:tcW w:w="1333" w:type="dxa"/>
            <w:vAlign w:val="top"/>
          </w:tcPr>
          <w:p>
            <w:pPr>
              <w:pStyle w:val="TableText"/>
              <w:spacing w:before="130" w:line="183" w:lineRule="auto"/>
              <w:ind w:left="53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0" w:line="183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20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0" w:line="183" w:lineRule="auto"/>
              <w:ind w:left="36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0" w:line="183" w:lineRule="auto"/>
              <w:ind w:left="4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0" w:line="183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22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0" w:line="183" w:lineRule="auto"/>
              <w:ind w:left="4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340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0" w:line="183" w:lineRule="auto"/>
              <w:ind w:left="46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220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3"/>
        </w:trPr>
        <w:tc>
          <w:tcPr>
            <w:tcW w:w="1333" w:type="dxa"/>
            <w:vAlign w:val="top"/>
          </w:tcPr>
          <w:p>
            <w:pPr>
              <w:pStyle w:val="TableText"/>
              <w:spacing w:before="131" w:line="183" w:lineRule="auto"/>
              <w:ind w:left="53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1" w:line="183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23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1" w:line="183" w:lineRule="auto"/>
              <w:ind w:left="35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1" w:line="183" w:lineRule="auto"/>
              <w:ind w:left="4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250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1" w:line="183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27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1" w:line="183" w:lineRule="auto"/>
              <w:ind w:left="4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380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1" w:line="183" w:lineRule="auto"/>
              <w:ind w:left="46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220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3"/>
        </w:trPr>
        <w:tc>
          <w:tcPr>
            <w:tcW w:w="1333" w:type="dxa"/>
            <w:vAlign w:val="top"/>
          </w:tcPr>
          <w:p>
            <w:pPr>
              <w:pStyle w:val="TableText"/>
              <w:spacing w:before="133" w:line="183" w:lineRule="auto"/>
              <w:ind w:left="53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700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3" w:line="183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24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3" w:line="183" w:lineRule="auto"/>
              <w:ind w:left="35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460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3" w:line="183" w:lineRule="auto"/>
              <w:ind w:left="46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3" w:line="183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27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3" w:line="183" w:lineRule="auto"/>
              <w:ind w:left="4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440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3" w:line="183" w:lineRule="auto"/>
              <w:ind w:left="46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260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3"/>
        </w:trPr>
        <w:tc>
          <w:tcPr>
            <w:tcW w:w="1333" w:type="dxa"/>
            <w:vAlign w:val="top"/>
          </w:tcPr>
          <w:p>
            <w:pPr>
              <w:pStyle w:val="TableText"/>
              <w:spacing w:before="136" w:line="181" w:lineRule="auto"/>
              <w:ind w:left="53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800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6" w:line="181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24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6" w:line="181" w:lineRule="auto"/>
              <w:ind w:left="36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530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6" w:line="181" w:lineRule="auto"/>
              <w:ind w:left="46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6" w:line="181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28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5" w:line="182" w:lineRule="auto"/>
              <w:ind w:left="4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510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6" w:line="181" w:lineRule="auto"/>
              <w:ind w:left="4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4"/>
        </w:trPr>
        <w:tc>
          <w:tcPr>
            <w:tcW w:w="1333" w:type="dxa"/>
            <w:vAlign w:val="top"/>
          </w:tcPr>
          <w:p>
            <w:pPr>
              <w:pStyle w:val="TableText"/>
              <w:spacing w:before="136" w:line="182" w:lineRule="auto"/>
              <w:ind w:left="53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900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6" w:line="182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26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6" w:line="182" w:lineRule="auto"/>
              <w:ind w:left="36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580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6" w:line="182" w:lineRule="auto"/>
              <w:ind w:left="46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6" w:line="182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28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6" w:line="182" w:lineRule="auto"/>
              <w:ind w:left="4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560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6" w:line="182" w:lineRule="auto"/>
              <w:ind w:left="4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24"/>
        </w:trPr>
        <w:tc>
          <w:tcPr>
            <w:tcW w:w="1333" w:type="dxa"/>
            <w:vAlign w:val="top"/>
          </w:tcPr>
          <w:p>
            <w:pPr>
              <w:pStyle w:val="TableText"/>
              <w:spacing w:before="138" w:line="180" w:lineRule="auto"/>
              <w:ind w:left="49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38" w:line="180" w:lineRule="auto"/>
              <w:ind w:left="57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26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38" w:line="180" w:lineRule="auto"/>
              <w:ind w:left="35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670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38" w:line="180" w:lineRule="auto"/>
              <w:ind w:left="4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38" w:line="180" w:lineRule="auto"/>
              <w:ind w:left="58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28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38" w:line="180" w:lineRule="auto"/>
              <w:ind w:left="43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650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8" w:line="180" w:lineRule="auto"/>
              <w:ind w:left="46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350</w:t>
            </w:r>
          </w:p>
        </w:tc>
      </w:tr>
      <w:tr>
        <w:tblPrEx>
          <w:tblW w:w="8526" w:type="dxa"/>
          <w:tblInd w:w="442" w:type="dxa"/>
          <w:tblLayout w:type="fixed"/>
        </w:tblPrEx>
        <w:trPr>
          <w:trHeight w:val="333"/>
        </w:trPr>
        <w:tc>
          <w:tcPr>
            <w:tcW w:w="1333" w:type="dxa"/>
            <w:vAlign w:val="top"/>
          </w:tcPr>
          <w:p>
            <w:pPr>
              <w:pStyle w:val="TableText"/>
              <w:spacing w:before="112" w:line="216" w:lineRule="auto"/>
              <w:ind w:left="44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&gt;1000</w:t>
            </w:r>
          </w:p>
        </w:tc>
        <w:tc>
          <w:tcPr>
            <w:tcW w:w="1332" w:type="dxa"/>
            <w:vAlign w:val="top"/>
          </w:tcPr>
          <w:p>
            <w:pPr>
              <w:pStyle w:val="TableText"/>
              <w:spacing w:before="112" w:line="216" w:lineRule="auto"/>
              <w:ind w:left="3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26～48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before="112" w:line="216" w:lineRule="auto"/>
              <w:ind w:left="13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710～470</w:t>
            </w:r>
          </w:p>
        </w:tc>
        <w:tc>
          <w:tcPr>
            <w:tcW w:w="1200" w:type="dxa"/>
            <w:vAlign w:val="top"/>
          </w:tcPr>
          <w:p>
            <w:pPr>
              <w:pStyle w:val="TableText"/>
              <w:spacing w:before="112" w:line="216" w:lineRule="auto"/>
              <w:ind w:left="392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≥450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112" w:line="216" w:lineRule="auto"/>
              <w:ind w:left="4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30～55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before="112" w:line="216" w:lineRule="auto"/>
              <w:ind w:left="2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670～400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12" w:line="216" w:lineRule="auto"/>
              <w:ind w:left="38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≥400</w:t>
            </w:r>
          </w:p>
        </w:tc>
      </w:tr>
    </w:tbl>
    <w:p>
      <w:pPr>
        <w:pStyle w:val="BodyText"/>
        <w:spacing w:before="152" w:line="408" w:lineRule="exact"/>
        <w:ind w:left="985"/>
        <w:rPr>
          <w:sz w:val="20"/>
          <w:szCs w:val="20"/>
        </w:rPr>
      </w:pPr>
      <w:r>
        <w:rPr>
          <w:spacing w:val="9"/>
          <w:position w:val="15"/>
          <w:sz w:val="18"/>
          <w:szCs w:val="18"/>
        </w:rPr>
        <w:t>注：</w:t>
      </w:r>
      <w:r>
        <w:rPr>
          <w:spacing w:val="9"/>
          <w:position w:val="15"/>
          <w:sz w:val="20"/>
          <w:szCs w:val="20"/>
        </w:rPr>
        <w:t>1 低发热量燃料指高炉煤气，发生炉煤气，转炉煤气及工况发热量</w:t>
      </w:r>
      <w:r>
        <w:rPr>
          <w:spacing w:val="8"/>
          <w:position w:val="15"/>
          <w:sz w:val="20"/>
          <w:szCs w:val="20"/>
        </w:rPr>
        <w:t>小于等于</w:t>
      </w:r>
    </w:p>
    <w:p>
      <w:pPr>
        <w:pStyle w:val="BodyText"/>
        <w:spacing w:line="221" w:lineRule="auto"/>
        <w:ind w:left="562"/>
        <w:rPr>
          <w:sz w:val="20"/>
          <w:szCs w:val="20"/>
        </w:rPr>
      </w:pPr>
      <w:r>
        <w:rPr>
          <w:spacing w:val="6"/>
          <w:sz w:val="20"/>
          <w:szCs w:val="20"/>
        </w:rPr>
        <w:t>8360</w:t>
      </w:r>
      <w:r>
        <w:rPr>
          <w:sz w:val="20"/>
          <w:szCs w:val="20"/>
        </w:rPr>
        <w:t>kJ</w:t>
      </w:r>
      <w:r>
        <w:rPr>
          <w:spacing w:val="6"/>
          <w:sz w:val="20"/>
          <w:szCs w:val="20"/>
        </w:rPr>
        <w:t>/(m</w:t>
      </w:r>
      <w:r>
        <w:rPr>
          <w:spacing w:val="6"/>
          <w:position w:val="10"/>
          <w:sz w:val="10"/>
          <w:szCs w:val="10"/>
        </w:rPr>
        <w:t>3</w:t>
      </w:r>
      <w:r>
        <w:rPr>
          <w:spacing w:val="6"/>
          <w:position w:val="-3"/>
          <w:sz w:val="10"/>
          <w:szCs w:val="10"/>
        </w:rPr>
        <w:t>n</w:t>
      </w:r>
      <w:r>
        <w:rPr>
          <w:spacing w:val="40"/>
          <w:position w:val="-3"/>
          <w:sz w:val="10"/>
          <w:szCs w:val="10"/>
        </w:rPr>
        <w:t xml:space="preserve"> </w:t>
      </w:r>
      <w:r>
        <w:rPr>
          <w:spacing w:val="6"/>
          <w:sz w:val="20"/>
          <w:szCs w:val="20"/>
        </w:rPr>
        <w:t>·h)的混合煤气等。高发热量燃料指焦炉煤气、煤、重油及天然气等。</w:t>
      </w:r>
    </w:p>
    <w:p>
      <w:pPr>
        <w:pStyle w:val="BodyText"/>
        <w:spacing w:before="170" w:line="408" w:lineRule="exact"/>
        <w:ind w:left="1271"/>
        <w:rPr>
          <w:sz w:val="20"/>
          <w:szCs w:val="20"/>
        </w:rPr>
      </w:pPr>
      <w:r>
        <w:rPr>
          <w:spacing w:val="8"/>
          <w:position w:val="15"/>
          <w:sz w:val="20"/>
          <w:szCs w:val="20"/>
        </w:rPr>
        <w:t>2 经换热器后的烟气余热可根据具体条件</w:t>
      </w:r>
      <w:r>
        <w:rPr>
          <w:spacing w:val="7"/>
          <w:position w:val="15"/>
          <w:sz w:val="20"/>
          <w:szCs w:val="20"/>
        </w:rPr>
        <w:t>安装烟气预热器、余热锅炉、热泵等装置或</w:t>
      </w:r>
    </w:p>
    <w:p>
      <w:pPr>
        <w:pStyle w:val="BodyText"/>
        <w:spacing w:before="1" w:line="225" w:lineRule="auto"/>
        <w:ind w:left="563"/>
        <w:rPr>
          <w:sz w:val="20"/>
          <w:szCs w:val="20"/>
        </w:rPr>
      </w:pPr>
      <w:r>
        <w:rPr>
          <w:spacing w:val="8"/>
          <w:sz w:val="20"/>
          <w:szCs w:val="20"/>
        </w:rPr>
        <w:t>直接预热被加热物,进一步回收利用。</w:t>
      </w:r>
    </w:p>
    <w:p>
      <w:pPr>
        <w:pStyle w:val="BodyText"/>
        <w:spacing w:before="163" w:line="228" w:lineRule="auto"/>
        <w:ind w:left="1273"/>
        <w:rPr>
          <w:sz w:val="20"/>
          <w:szCs w:val="20"/>
        </w:rPr>
      </w:pPr>
      <w:r>
        <w:rPr>
          <w:spacing w:val="7"/>
          <w:sz w:val="20"/>
          <w:szCs w:val="20"/>
        </w:rPr>
        <w:t>3 本表不适用于下列工业炉窑：</w:t>
      </w:r>
    </w:p>
    <w:p>
      <w:pPr>
        <w:pStyle w:val="BodyText"/>
        <w:spacing w:before="161" w:line="408" w:lineRule="exact"/>
        <w:ind w:left="1411"/>
        <w:rPr>
          <w:sz w:val="20"/>
          <w:szCs w:val="20"/>
        </w:rPr>
        <w:sectPr>
          <w:footerReference w:type="default" r:id="rId15"/>
          <w:pgSz w:w="11906" w:h="16839"/>
          <w:pgMar w:top="1428" w:right="1500" w:bottom="1159" w:left="1244" w:header="0" w:footer="992" w:gutter="0"/>
          <w:pgNumType w:start="12"/>
          <w:cols w:space="708"/>
        </w:sectPr>
      </w:pPr>
      <w:r>
        <w:rPr>
          <w:spacing w:val="5"/>
          <w:position w:val="15"/>
          <w:sz w:val="20"/>
          <w:szCs w:val="20"/>
        </w:rPr>
        <w:t>a. 额定热负荷低于</w:t>
      </w:r>
      <w:r>
        <w:rPr>
          <w:spacing w:val="-21"/>
          <w:position w:val="15"/>
          <w:sz w:val="20"/>
          <w:szCs w:val="20"/>
        </w:rPr>
        <w:t xml:space="preserve"> </w:t>
      </w:r>
      <w:r>
        <w:rPr>
          <w:spacing w:val="5"/>
          <w:position w:val="15"/>
          <w:sz w:val="20"/>
          <w:szCs w:val="20"/>
        </w:rPr>
        <w:t>5×10</w:t>
      </w:r>
      <w:r>
        <w:rPr>
          <w:spacing w:val="5"/>
          <w:position w:val="25"/>
          <w:sz w:val="10"/>
          <w:szCs w:val="10"/>
        </w:rPr>
        <w:t xml:space="preserve">6  </w:t>
      </w:r>
      <w:r>
        <w:rPr>
          <w:position w:val="15"/>
          <w:sz w:val="20"/>
          <w:szCs w:val="20"/>
        </w:rPr>
        <w:t>kJ</w:t>
      </w:r>
      <w:r>
        <w:rPr>
          <w:spacing w:val="5"/>
          <w:position w:val="15"/>
          <w:sz w:val="20"/>
          <w:szCs w:val="20"/>
        </w:rPr>
        <w:t>/h</w:t>
      </w:r>
      <w:r>
        <w:rPr>
          <w:spacing w:val="-23"/>
          <w:position w:val="15"/>
          <w:sz w:val="20"/>
          <w:szCs w:val="20"/>
        </w:rPr>
        <w:t xml:space="preserve"> </w:t>
      </w:r>
      <w:r>
        <w:rPr>
          <w:spacing w:val="5"/>
          <w:position w:val="15"/>
          <w:sz w:val="20"/>
          <w:szCs w:val="20"/>
        </w:rPr>
        <w:t>的工业炉窑；</w:t>
      </w:r>
    </w:p>
    <w:p>
      <w:pPr>
        <w:pStyle w:val="BodyText"/>
        <w:spacing w:before="1" w:line="228" w:lineRule="auto"/>
        <w:ind w:left="1407"/>
        <w:rPr>
          <w:sz w:val="20"/>
          <w:szCs w:val="20"/>
        </w:rPr>
      </w:pPr>
      <w:r>
        <w:rPr>
          <w:spacing w:val="6"/>
          <w:sz w:val="20"/>
          <w:szCs w:val="20"/>
        </w:rPr>
        <w:t>b.</w:t>
      </w:r>
      <w:r>
        <w:rPr>
          <w:spacing w:val="31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间歇式运行的工业炉窑。</w:t>
      </w:r>
    </w:p>
    <w:p>
      <w:pPr>
        <w:pStyle w:val="BodyText"/>
        <w:spacing w:before="285" w:line="468" w:lineRule="exact"/>
        <w:ind w:left="1133"/>
      </w:pPr>
      <w:r>
        <w:rPr>
          <w:b/>
          <w:bCs/>
          <w:spacing w:val="15"/>
          <w:position w:val="17"/>
        </w:rPr>
        <w:t>5</w:t>
      </w:r>
      <w:r>
        <w:rPr>
          <w:spacing w:val="15"/>
          <w:position w:val="17"/>
        </w:rPr>
        <w:t xml:space="preserve">  禁止进口不能用作原料或者不能以无害化方式利用的固体废物，禁</w:t>
      </w:r>
    </w:p>
    <w:p>
      <w:pPr>
        <w:pStyle w:val="BodyText"/>
        <w:spacing w:line="220" w:lineRule="auto"/>
        <w:ind w:left="563"/>
      </w:pPr>
      <w:r>
        <w:rPr>
          <w:spacing w:val="11"/>
        </w:rPr>
        <w:t>止进口列入国家《禁止进口固体废物目录》</w:t>
      </w:r>
      <w:r>
        <w:rPr>
          <w:spacing w:val="-40"/>
        </w:rPr>
        <w:t xml:space="preserve"> </w:t>
      </w:r>
      <w:r>
        <w:rPr>
          <w:spacing w:val="11"/>
        </w:rPr>
        <w:t>的固体废物。</w:t>
      </w:r>
    </w:p>
    <w:p>
      <w:pPr>
        <w:pStyle w:val="BodyText"/>
        <w:spacing w:before="179" w:line="468" w:lineRule="exact"/>
        <w:ind w:left="1130"/>
      </w:pPr>
      <w:r>
        <w:rPr>
          <w:b/>
          <w:bCs/>
          <w:spacing w:val="15"/>
          <w:position w:val="17"/>
        </w:rPr>
        <w:t>6</w:t>
      </w:r>
      <w:r>
        <w:rPr>
          <w:spacing w:val="15"/>
          <w:position w:val="17"/>
        </w:rPr>
        <w:t xml:space="preserve">  工程项目的一般工业固体废弃物综合利用率应达到现行国家《大宗</w:t>
      </w:r>
    </w:p>
    <w:p>
      <w:pPr>
        <w:pStyle w:val="BodyText"/>
        <w:spacing w:before="1" w:line="220" w:lineRule="auto"/>
        <w:ind w:left="583"/>
      </w:pPr>
      <w:r>
        <w:rPr>
          <w:spacing w:val="11"/>
        </w:rPr>
        <w:t>固体废物综合利用实施方案》</w:t>
      </w:r>
      <w:r>
        <w:rPr>
          <w:spacing w:val="-57"/>
        </w:rPr>
        <w:t xml:space="preserve"> </w:t>
      </w:r>
      <w:r>
        <w:rPr>
          <w:spacing w:val="11"/>
        </w:rPr>
        <w:t>的要求</w:t>
      </w:r>
      <w:r>
        <w:rPr>
          <w:spacing w:val="-71"/>
        </w:rPr>
        <w:t xml:space="preserve"> </w:t>
      </w:r>
      <w:r>
        <w:rPr>
          <w:spacing w:val="11"/>
        </w:rPr>
        <w:t>。企业生活垃圾</w:t>
      </w:r>
      <w:r>
        <w:rPr>
          <w:spacing w:val="10"/>
        </w:rPr>
        <w:t>应按其特性进行分拣、</w:t>
      </w:r>
    </w:p>
    <w:p>
      <w:pPr>
        <w:spacing w:line="220" w:lineRule="auto"/>
        <w:sectPr>
          <w:footerReference w:type="default" r:id="rId16"/>
          <w:type w:val="nextPage"/>
          <w:pgSz w:w="11906" w:h="16839"/>
          <w:pgMar w:top="1428" w:right="1500" w:bottom="1159" w:left="1244" w:header="0" w:footer="992" w:gutter="0"/>
          <w:pgNumType w:start="13"/>
          <w:cols w:space="708"/>
          <w:titlePg w:val="0"/>
        </w:sectPr>
      </w:pPr>
    </w:p>
    <w:p>
      <w:pPr>
        <w:pStyle w:val="BodyText"/>
        <w:spacing w:before="48" w:line="220" w:lineRule="auto"/>
        <w:ind w:left="26"/>
      </w:pPr>
      <w:r>
        <w:rPr>
          <w:spacing w:val="14"/>
        </w:rPr>
        <w:t>统一分类处理和综合利用，有害垃圾应进行无害化处置。</w:t>
      </w:r>
    </w:p>
    <w:p>
      <w:pPr>
        <w:pStyle w:val="BodyText"/>
        <w:spacing w:before="181" w:line="466" w:lineRule="exact"/>
        <w:ind w:left="593"/>
      </w:pPr>
      <w:r>
        <w:rPr>
          <w:b/>
          <w:bCs/>
          <w:spacing w:val="23"/>
          <w:position w:val="17"/>
        </w:rPr>
        <w:t>7</w:t>
      </w:r>
      <w:r>
        <w:rPr>
          <w:spacing w:val="23"/>
          <w:position w:val="17"/>
        </w:rPr>
        <w:t xml:space="preserve">  无法实现资源综合利用的废弃物处理处置和排放应符合现行国家</w:t>
      </w:r>
    </w:p>
    <w:p>
      <w:pPr>
        <w:pStyle w:val="BodyText"/>
        <w:spacing w:before="1" w:line="220" w:lineRule="auto"/>
        <w:ind w:left="22"/>
      </w:pPr>
      <w:r>
        <w:rPr>
          <w:spacing w:val="9"/>
        </w:rPr>
        <w:t>标准的规定。</w:t>
      </w:r>
    </w:p>
    <w:p>
      <w:pPr>
        <w:pStyle w:val="BodyText"/>
        <w:spacing w:before="300" w:line="222" w:lineRule="auto"/>
        <w:ind w:left="3391"/>
        <w:outlineLvl w:val="0"/>
        <w:rPr>
          <w:rFonts w:ascii="SimHei" w:eastAsia="SimHei" w:hAnsi="SimHei" w:cs="SimHei"/>
        </w:rPr>
      </w:pPr>
      <w:r>
        <w:rPr>
          <w:b/>
          <w:bCs/>
          <w:spacing w:val="-5"/>
        </w:rPr>
        <w:t>2.4</w:t>
      </w:r>
      <w:r>
        <w:rPr>
          <w:spacing w:val="57"/>
        </w:rPr>
        <w:t xml:space="preserve">  </w:t>
      </w:r>
      <w:r>
        <w:rPr>
          <w:rFonts w:ascii="SimHei" w:eastAsia="SimHei" w:hAnsi="SimHei" w:cs="SimHei"/>
          <w:b/>
          <w:bCs/>
          <w:spacing w:val="-5"/>
        </w:rPr>
        <w:t>环境保护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23"/>
      </w:pPr>
      <w:r>
        <w:rPr>
          <w:b/>
          <w:bCs/>
          <w:spacing w:val="8"/>
        </w:rPr>
        <w:t>2.4.1</w:t>
      </w:r>
      <w:r>
        <w:rPr>
          <w:spacing w:val="7"/>
        </w:rPr>
        <w:t xml:space="preserve">   </w:t>
      </w:r>
      <w:r>
        <w:rPr>
          <w:spacing w:val="8"/>
        </w:rPr>
        <w:t>有色轻金属冶金工程建设项目环境治理应符合下列规定：</w:t>
      </w:r>
    </w:p>
    <w:p>
      <w:pPr>
        <w:pStyle w:val="BodyText"/>
        <w:spacing w:before="181" w:line="466" w:lineRule="exact"/>
        <w:ind w:left="605"/>
      </w:pPr>
      <w:r>
        <w:rPr>
          <w:b/>
          <w:bCs/>
          <w:spacing w:val="15"/>
          <w:position w:val="17"/>
        </w:rPr>
        <w:t>1</w:t>
      </w:r>
      <w:r>
        <w:rPr>
          <w:spacing w:val="15"/>
          <w:position w:val="17"/>
        </w:rPr>
        <w:t xml:space="preserve">  物料储存、转移、输送应配备抑尘措施，废气排放环节</w:t>
      </w:r>
      <w:r>
        <w:rPr>
          <w:spacing w:val="14"/>
          <w:position w:val="17"/>
        </w:rPr>
        <w:t>应设置收集</w:t>
      </w:r>
    </w:p>
    <w:p>
      <w:pPr>
        <w:pStyle w:val="BodyText"/>
        <w:spacing w:line="220" w:lineRule="auto"/>
        <w:ind w:left="22"/>
      </w:pPr>
      <w:r>
        <w:rPr>
          <w:spacing w:val="11"/>
        </w:rPr>
        <w:t>污染收集和治理设施。</w:t>
      </w:r>
    </w:p>
    <w:p>
      <w:pPr>
        <w:pStyle w:val="BodyText"/>
        <w:spacing w:before="181" w:line="466" w:lineRule="exact"/>
        <w:ind w:left="590"/>
      </w:pPr>
      <w:r>
        <w:rPr>
          <w:b/>
          <w:bCs/>
          <w:spacing w:val="15"/>
          <w:position w:val="17"/>
        </w:rPr>
        <w:t>2</w:t>
      </w:r>
      <w:r>
        <w:rPr>
          <w:spacing w:val="15"/>
          <w:position w:val="17"/>
        </w:rPr>
        <w:t xml:space="preserve">  各种锅炉、炉窑、冶炼等装置排放的烟气，必须设有除尘、净化设</w:t>
      </w:r>
    </w:p>
    <w:p>
      <w:pPr>
        <w:pStyle w:val="BodyText"/>
        <w:spacing w:before="1" w:line="222" w:lineRule="auto"/>
        <w:ind w:left="20"/>
      </w:pPr>
      <w:r>
        <w:rPr>
          <w:spacing w:val="-5"/>
        </w:rPr>
        <w:t>施。</w:t>
      </w:r>
    </w:p>
    <w:p>
      <w:pPr>
        <w:pStyle w:val="BodyText"/>
        <w:spacing w:before="178" w:line="466" w:lineRule="exact"/>
        <w:jc w:val="right"/>
      </w:pPr>
      <w:r>
        <w:rPr>
          <w:b/>
          <w:bCs/>
          <w:spacing w:val="-3"/>
          <w:position w:val="17"/>
        </w:rPr>
        <w:t>3</w:t>
      </w:r>
      <w:r>
        <w:rPr>
          <w:spacing w:val="37"/>
          <w:position w:val="17"/>
        </w:rPr>
        <w:t xml:space="preserve">  </w:t>
      </w:r>
      <w:r>
        <w:rPr>
          <w:spacing w:val="-3"/>
          <w:position w:val="17"/>
        </w:rPr>
        <w:t>烟气中二氧化硫、氮氧化物浓度超过排放标准和污</w:t>
      </w:r>
      <w:r>
        <w:rPr>
          <w:spacing w:val="-4"/>
          <w:position w:val="17"/>
        </w:rPr>
        <w:t>染物排放总量的要求，</w:t>
      </w:r>
    </w:p>
    <w:p>
      <w:pPr>
        <w:pStyle w:val="BodyText"/>
        <w:spacing w:line="220" w:lineRule="auto"/>
        <w:ind w:left="23"/>
      </w:pPr>
      <w:r>
        <w:rPr>
          <w:spacing w:val="-1"/>
        </w:rPr>
        <w:t>或烟气量超过相关单位产品基准排气量时，应设置脱硫、脱硝系统。</w:t>
      </w:r>
    </w:p>
    <w:p>
      <w:pPr>
        <w:pStyle w:val="BodyText"/>
        <w:spacing w:before="181" w:line="359" w:lineRule="auto"/>
        <w:ind w:left="21" w:right="183" w:firstLine="565"/>
      </w:pPr>
      <w:r>
        <w:rPr>
          <w:b/>
          <w:bCs/>
          <w:spacing w:val="-2"/>
        </w:rPr>
        <w:t>4</w:t>
      </w:r>
      <w:r>
        <w:rPr>
          <w:spacing w:val="46"/>
        </w:rPr>
        <w:t xml:space="preserve">  </w:t>
      </w:r>
      <w:r>
        <w:rPr>
          <w:spacing w:val="-2"/>
        </w:rPr>
        <w:t>重点排污单位应依法安装、使用、维护污染物排放自动监测设备，对生</w:t>
      </w:r>
      <w:r>
        <w:t xml:space="preserve"> </w:t>
      </w:r>
      <w:r>
        <w:t>产中有组织和无组织排放的水、气污染物，噪声以及周边环境质量影响</w:t>
      </w:r>
      <w:r>
        <w:rPr>
          <w:spacing w:val="-1"/>
        </w:rPr>
        <w:t>的重要污</w:t>
      </w:r>
      <w:r>
        <w:t xml:space="preserve"> </w:t>
      </w:r>
      <w:r>
        <w:rPr>
          <w:spacing w:val="6"/>
        </w:rPr>
        <w:t>染因子及排放量进行在线监测，并与环境保护主管部门的监控设备联网，保障</w:t>
      </w:r>
    </w:p>
    <w:p>
      <w:pPr>
        <w:pStyle w:val="BodyText"/>
        <w:spacing w:line="220" w:lineRule="auto"/>
        <w:ind w:left="22"/>
      </w:pPr>
      <w:r>
        <w:rPr>
          <w:spacing w:val="12"/>
        </w:rPr>
        <w:t>监测设备正常运行。原始监测记录的保存期限不应少于</w:t>
      </w:r>
      <w:r>
        <w:rPr>
          <w:spacing w:val="-20"/>
        </w:rPr>
        <w:t xml:space="preserve"> </w:t>
      </w:r>
      <w:r>
        <w:rPr>
          <w:spacing w:val="12"/>
        </w:rPr>
        <w:t>5</w:t>
      </w:r>
      <w:r>
        <w:rPr>
          <w:spacing w:val="-37"/>
        </w:rPr>
        <w:t xml:space="preserve"> </w:t>
      </w:r>
      <w:r>
        <w:rPr>
          <w:spacing w:val="12"/>
        </w:rPr>
        <w:t>年。</w:t>
      </w:r>
    </w:p>
    <w:p>
      <w:pPr>
        <w:pStyle w:val="BodyText"/>
        <w:spacing w:before="182" w:line="466" w:lineRule="exact"/>
        <w:ind w:left="592"/>
      </w:pPr>
      <w:r>
        <w:rPr>
          <w:b/>
          <w:bCs/>
          <w:spacing w:val="-2"/>
          <w:position w:val="17"/>
        </w:rPr>
        <w:t>5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含第一类污染物且浓度超标污水的收集、输送沟渠和检查井、收集池等</w:t>
      </w:r>
    </w:p>
    <w:p>
      <w:pPr>
        <w:pStyle w:val="BodyText"/>
        <w:spacing w:line="220" w:lineRule="auto"/>
        <w:ind w:left="21"/>
      </w:pPr>
      <w:r>
        <w:t>应防渗、防腐。严禁利用渗井、渗坑、溶洞</w:t>
      </w:r>
      <w:r>
        <w:rPr>
          <w:spacing w:val="-1"/>
        </w:rPr>
        <w:t>或废矿井排放水污染物。</w:t>
      </w:r>
    </w:p>
    <w:p>
      <w:pPr>
        <w:pStyle w:val="BodyText"/>
        <w:spacing w:before="182" w:line="359" w:lineRule="auto"/>
        <w:ind w:left="21" w:right="127" w:firstLine="568"/>
      </w:pPr>
      <w:r>
        <w:rPr>
          <w:b/>
          <w:bCs/>
          <w:spacing w:val="7"/>
        </w:rPr>
        <w:t>6</w:t>
      </w:r>
      <w:r>
        <w:rPr>
          <w:spacing w:val="44"/>
        </w:rPr>
        <w:t xml:space="preserve">  </w:t>
      </w:r>
      <w:r>
        <w:rPr>
          <w:spacing w:val="7"/>
        </w:rPr>
        <w:t>当固废贮存、处置场天然基础层的渗透系</w:t>
      </w:r>
      <w:r>
        <w:rPr>
          <w:spacing w:val="6"/>
        </w:rPr>
        <w:t>数大于 1.0×10</w:t>
      </w:r>
      <w:r>
        <w:rPr>
          <w:spacing w:val="6"/>
          <w:position w:val="11"/>
          <w:sz w:val="12"/>
          <w:szCs w:val="12"/>
        </w:rPr>
        <w:t>-7</w:t>
      </w:r>
      <w:r>
        <w:rPr>
          <w:spacing w:val="-33"/>
          <w:position w:val="11"/>
          <w:sz w:val="12"/>
          <w:szCs w:val="12"/>
        </w:rPr>
        <w:t xml:space="preserve"> </w:t>
      </w:r>
      <w:r>
        <w:t>cm</w:t>
      </w:r>
      <w:r>
        <w:rPr>
          <w:spacing w:val="6"/>
        </w:rPr>
        <w:t>/s</w:t>
      </w:r>
      <w:r>
        <w:rPr>
          <w:spacing w:val="-22"/>
        </w:rPr>
        <w:t xml:space="preserve"> </w:t>
      </w:r>
      <w:r>
        <w:rPr>
          <w:spacing w:val="6"/>
        </w:rPr>
        <w:t>时，</w:t>
      </w:r>
      <w:r>
        <w:t xml:space="preserve"> </w:t>
      </w:r>
      <w:r>
        <w:rPr>
          <w:spacing w:val="18"/>
        </w:rPr>
        <w:t>应采取天然或人工材料构筑防渗层</w:t>
      </w:r>
      <w:r>
        <w:rPr>
          <w:spacing w:val="-69"/>
        </w:rPr>
        <w:t xml:space="preserve"> </w:t>
      </w:r>
      <w:r>
        <w:rPr>
          <w:spacing w:val="18"/>
        </w:rPr>
        <w:t>，</w:t>
      </w:r>
      <w:r>
        <w:rPr>
          <w:spacing w:val="-71"/>
        </w:rPr>
        <w:t xml:space="preserve"> </w:t>
      </w:r>
      <w:r>
        <w:rPr>
          <w:spacing w:val="18"/>
        </w:rPr>
        <w:t>防渗层厚度应</w:t>
      </w:r>
      <w:r>
        <w:rPr>
          <w:spacing w:val="17"/>
        </w:rPr>
        <w:t>相当于渗透系数 1.0×</w:t>
      </w:r>
    </w:p>
    <w:p>
      <w:pPr>
        <w:pStyle w:val="BodyText"/>
        <w:spacing w:line="220" w:lineRule="auto"/>
        <w:ind w:left="38"/>
      </w:pPr>
      <w:r>
        <w:rPr>
          <w:spacing w:val="4"/>
        </w:rPr>
        <w:t>10</w:t>
      </w:r>
      <w:r>
        <w:rPr>
          <w:spacing w:val="4"/>
          <w:position w:val="11"/>
          <w:sz w:val="12"/>
          <w:szCs w:val="12"/>
        </w:rPr>
        <w:t>-7</w:t>
      </w:r>
      <w:r>
        <w:rPr>
          <w:spacing w:val="-25"/>
          <w:position w:val="11"/>
          <w:sz w:val="12"/>
          <w:szCs w:val="12"/>
        </w:rPr>
        <w:t xml:space="preserve"> </w:t>
      </w:r>
      <w:r>
        <w:t>cm</w:t>
      </w:r>
      <w:r>
        <w:rPr>
          <w:spacing w:val="4"/>
        </w:rPr>
        <w:t>/s</w:t>
      </w:r>
      <w:r>
        <w:rPr>
          <w:spacing w:val="-33"/>
        </w:rPr>
        <w:t xml:space="preserve"> </w:t>
      </w:r>
      <w:r>
        <w:rPr>
          <w:spacing w:val="4"/>
        </w:rPr>
        <w:t>和厚度 1.5m</w:t>
      </w:r>
      <w:r>
        <w:rPr>
          <w:spacing w:val="-34"/>
        </w:rPr>
        <w:t xml:space="preserve"> </w:t>
      </w:r>
      <w:r>
        <w:rPr>
          <w:spacing w:val="4"/>
        </w:rPr>
        <w:t>粘土层的防渗性能。</w:t>
      </w:r>
    </w:p>
    <w:p>
      <w:pPr>
        <w:pStyle w:val="BodyText"/>
        <w:spacing w:before="182" w:line="465" w:lineRule="exact"/>
        <w:ind w:left="593"/>
      </w:pPr>
      <w:r>
        <w:rPr>
          <w:b/>
          <w:bCs/>
          <w:spacing w:val="-2"/>
          <w:position w:val="17"/>
        </w:rPr>
        <w:t>7</w:t>
      </w:r>
      <w:r>
        <w:rPr>
          <w:spacing w:val="43"/>
          <w:position w:val="17"/>
        </w:rPr>
        <w:t xml:space="preserve">  </w:t>
      </w:r>
      <w:r>
        <w:rPr>
          <w:spacing w:val="-2"/>
          <w:position w:val="17"/>
        </w:rPr>
        <w:t>废弃物贮存场所应设置围堰、事故池及事故后处理设施，围堰、地面及</w:t>
      </w:r>
    </w:p>
    <w:p>
      <w:pPr>
        <w:pStyle w:val="BodyText"/>
        <w:spacing w:line="220" w:lineRule="auto"/>
        <w:ind w:left="21"/>
      </w:pPr>
      <w:r>
        <w:rPr>
          <w:spacing w:val="-1"/>
        </w:rPr>
        <w:t>事故池应防渗、防腐。露天贮存场所应防雨。</w:t>
      </w:r>
    </w:p>
    <w:p>
      <w:pPr>
        <w:pStyle w:val="BodyText"/>
        <w:spacing w:before="182" w:line="466" w:lineRule="exact"/>
        <w:ind w:left="588"/>
      </w:pPr>
      <w:r>
        <w:rPr>
          <w:b/>
          <w:bCs/>
          <w:spacing w:val="15"/>
          <w:position w:val="17"/>
        </w:rPr>
        <w:t>8</w:t>
      </w:r>
      <w:r>
        <w:rPr>
          <w:spacing w:val="15"/>
          <w:position w:val="17"/>
        </w:rPr>
        <w:t xml:space="preserve">  一般工业固体废物贮存、处置场的渗滤液排放水质应符合现行国家</w:t>
      </w:r>
    </w:p>
    <w:p>
      <w:pPr>
        <w:pStyle w:val="BodyText"/>
        <w:spacing w:line="220" w:lineRule="auto"/>
        <w:ind w:left="22"/>
      </w:pPr>
      <w:r>
        <w:rPr>
          <w:spacing w:val="9"/>
        </w:rPr>
        <w:t>标准《污水综合排放标准》</w:t>
      </w:r>
      <w:r>
        <w:t>GB</w:t>
      </w:r>
      <w:r>
        <w:rPr>
          <w:spacing w:val="9"/>
        </w:rPr>
        <w:t xml:space="preserve"> 8978 的规定。</w:t>
      </w:r>
    </w:p>
    <w:p>
      <w:pPr>
        <w:pStyle w:val="BodyText"/>
        <w:spacing w:before="182" w:line="466" w:lineRule="exact"/>
        <w:ind w:left="588"/>
      </w:pPr>
      <w:r>
        <w:rPr>
          <w:b/>
          <w:bCs/>
          <w:spacing w:val="14"/>
          <w:position w:val="17"/>
        </w:rPr>
        <w:t>9</w:t>
      </w:r>
      <w:r>
        <w:rPr>
          <w:spacing w:val="14"/>
          <w:position w:val="17"/>
        </w:rPr>
        <w:t xml:space="preserve">  一般工业固体废物的贮存和填埋应符合现行国</w:t>
      </w:r>
      <w:r>
        <w:rPr>
          <w:spacing w:val="13"/>
          <w:position w:val="17"/>
        </w:rPr>
        <w:t>家标准《</w:t>
      </w:r>
      <w:r>
        <w:rPr>
          <w:spacing w:val="-67"/>
          <w:position w:val="17"/>
        </w:rPr>
        <w:t xml:space="preserve"> </w:t>
      </w:r>
      <w:r>
        <w:rPr>
          <w:spacing w:val="13"/>
          <w:position w:val="17"/>
        </w:rPr>
        <w:t>一般工业固</w:t>
      </w:r>
    </w:p>
    <w:p>
      <w:pPr>
        <w:pStyle w:val="BodyText"/>
        <w:spacing w:line="220" w:lineRule="auto"/>
        <w:ind w:left="21"/>
        <w:sectPr>
          <w:footerReference w:type="default" r:id="rId17"/>
          <w:pgSz w:w="11906" w:h="16839"/>
          <w:pgMar w:top="1426" w:right="1517" w:bottom="1162" w:left="1785" w:header="0" w:footer="992" w:gutter="0"/>
          <w:pgNumType w:start="14"/>
          <w:cols w:space="708"/>
        </w:sectPr>
      </w:pPr>
      <w:r>
        <w:rPr>
          <w:spacing w:val="10"/>
        </w:rPr>
        <w:t>体废物贮存和填埋污染控制标准》</w:t>
      </w:r>
      <w:r>
        <w:t>GB</w:t>
      </w:r>
      <w:r>
        <w:rPr>
          <w:spacing w:val="46"/>
        </w:rPr>
        <w:t xml:space="preserve"> </w:t>
      </w:r>
      <w:r>
        <w:rPr>
          <w:spacing w:val="10"/>
        </w:rPr>
        <w:t>18599</w:t>
      </w:r>
      <w:r>
        <w:rPr>
          <w:spacing w:val="-16"/>
        </w:rPr>
        <w:t xml:space="preserve"> </w:t>
      </w:r>
      <w:r>
        <w:rPr>
          <w:spacing w:val="10"/>
        </w:rPr>
        <w:t>的规</w:t>
      </w:r>
      <w:r>
        <w:rPr>
          <w:spacing w:val="9"/>
        </w:rPr>
        <w:t>定。</w:t>
      </w:r>
    </w:p>
    <w:p>
      <w:pPr>
        <w:pStyle w:val="BodyText"/>
        <w:spacing w:before="182" w:line="465" w:lineRule="exact"/>
        <w:ind w:left="605"/>
      </w:pPr>
      <w:r>
        <w:rPr>
          <w:b/>
          <w:bCs/>
          <w:spacing w:val="14"/>
          <w:position w:val="17"/>
        </w:rPr>
        <w:t>10</w:t>
      </w:r>
      <w:r>
        <w:rPr>
          <w:spacing w:val="70"/>
          <w:position w:val="17"/>
        </w:rPr>
        <w:t xml:space="preserve"> </w:t>
      </w:r>
      <w:r>
        <w:rPr>
          <w:spacing w:val="14"/>
          <w:position w:val="17"/>
        </w:rPr>
        <w:t>挥发性污染物（</w:t>
      </w:r>
      <w:r>
        <w:rPr>
          <w:position w:val="17"/>
        </w:rPr>
        <w:t>VOCs</w:t>
      </w:r>
      <w:r>
        <w:rPr>
          <w:spacing w:val="14"/>
          <w:position w:val="17"/>
        </w:rPr>
        <w:t>）泄漏和排放应符合现行国家标</w:t>
      </w:r>
      <w:r>
        <w:rPr>
          <w:spacing w:val="13"/>
          <w:position w:val="17"/>
        </w:rPr>
        <w:t>准《挥发性有</w:t>
      </w:r>
    </w:p>
    <w:p>
      <w:pPr>
        <w:pStyle w:val="BodyText"/>
        <w:spacing w:before="1" w:line="219" w:lineRule="auto"/>
        <w:ind w:left="20"/>
      </w:pPr>
      <w:r>
        <w:rPr>
          <w:spacing w:val="9"/>
        </w:rPr>
        <w:t>机物无组织排放控制指标》</w:t>
      </w:r>
      <w:r>
        <w:rPr>
          <w:spacing w:val="52"/>
        </w:rPr>
        <w:t xml:space="preserve"> </w:t>
      </w:r>
      <w:r>
        <w:t>GB</w:t>
      </w:r>
      <w:r>
        <w:rPr>
          <w:spacing w:val="9"/>
        </w:rPr>
        <w:t xml:space="preserve"> 37822 </w:t>
      </w:r>
      <w:r>
        <w:rPr>
          <w:spacing w:val="8"/>
        </w:rPr>
        <w:t>的有关规定。</w:t>
      </w:r>
    </w:p>
    <w:p>
      <w:pPr>
        <w:pStyle w:val="BodyText"/>
        <w:spacing w:before="183" w:line="220" w:lineRule="auto"/>
        <w:ind w:left="605"/>
      </w:pPr>
      <w:r>
        <w:rPr>
          <w:b/>
          <w:bCs/>
          <w:spacing w:val="-2"/>
        </w:rPr>
        <w:t>11</w:t>
      </w:r>
      <w:r>
        <w:rPr>
          <w:spacing w:val="86"/>
        </w:rPr>
        <w:t xml:space="preserve"> </w:t>
      </w:r>
      <w:r>
        <w:rPr>
          <w:spacing w:val="-2"/>
        </w:rPr>
        <w:t>企业应按核发的排污许可证要求排放污染物，未取得排污许可证的，不</w:t>
      </w:r>
    </w:p>
    <w:p>
      <w:pPr>
        <w:spacing w:line="220" w:lineRule="auto"/>
        <w:sectPr>
          <w:footerReference w:type="default" r:id="rId18"/>
          <w:type w:val="nextPage"/>
          <w:pgSz w:w="11906" w:h="16839"/>
          <w:pgMar w:top="1426" w:right="1517" w:bottom="1162" w:left="1785" w:header="0" w:footer="992" w:gutter="0"/>
          <w:pgNumType w:start="15"/>
          <w:cols w:space="708"/>
          <w:titlePg w:val="0"/>
        </w:sectPr>
      </w:pPr>
    </w:p>
    <w:p>
      <w:pPr>
        <w:pStyle w:val="BodyText"/>
        <w:spacing w:before="48" w:line="220" w:lineRule="auto"/>
        <w:ind w:left="22"/>
      </w:pPr>
      <w:r>
        <w:rPr>
          <w:spacing w:val="-2"/>
        </w:rPr>
        <w:t>得排放污染物。</w:t>
      </w:r>
    </w:p>
    <w:p>
      <w:pPr>
        <w:pStyle w:val="BodyText"/>
        <w:spacing w:before="182" w:line="220" w:lineRule="auto"/>
        <w:ind w:left="23"/>
      </w:pPr>
      <w:r>
        <w:rPr>
          <w:b/>
          <w:bCs/>
          <w:spacing w:val="8"/>
        </w:rPr>
        <w:t>2.4.2</w:t>
      </w:r>
      <w:r>
        <w:rPr>
          <w:spacing w:val="7"/>
        </w:rPr>
        <w:t xml:space="preserve">   </w:t>
      </w:r>
      <w:r>
        <w:rPr>
          <w:spacing w:val="8"/>
        </w:rPr>
        <w:t>有色轻金属冶金工程项目危险废物处置应符合下列规定：</w:t>
      </w:r>
    </w:p>
    <w:p>
      <w:pPr>
        <w:pStyle w:val="BodyText"/>
        <w:spacing w:before="179" w:line="359" w:lineRule="auto"/>
        <w:ind w:left="22" w:right="169" w:firstLine="582"/>
      </w:pPr>
      <w:r>
        <w:rPr>
          <w:b/>
          <w:bCs/>
          <w:spacing w:val="11"/>
        </w:rPr>
        <w:t>1</w:t>
      </w:r>
      <w:r>
        <w:rPr>
          <w:spacing w:val="42"/>
        </w:rPr>
        <w:t xml:space="preserve">  </w:t>
      </w:r>
      <w:r>
        <w:rPr>
          <w:spacing w:val="11"/>
        </w:rPr>
        <w:t>列入《国家危险废物名录》</w:t>
      </w:r>
      <w:r>
        <w:rPr>
          <w:spacing w:val="-61"/>
        </w:rPr>
        <w:t xml:space="preserve"> </w:t>
      </w:r>
      <w:r>
        <w:rPr>
          <w:spacing w:val="11"/>
        </w:rPr>
        <w:t>的生产、使用单位对危险固体废物的产</w:t>
      </w:r>
      <w:r>
        <w:t xml:space="preserve"> </w:t>
      </w:r>
      <w:r>
        <w:rPr>
          <w:spacing w:val="9"/>
        </w:rPr>
        <w:t>生、收集、运输、分类、检测、包装、综合</w:t>
      </w:r>
      <w:r>
        <w:rPr>
          <w:spacing w:val="8"/>
        </w:rPr>
        <w:t>利用、贮存和处理处置等全过程，</w:t>
      </w:r>
    </w:p>
    <w:p>
      <w:pPr>
        <w:pStyle w:val="BodyText"/>
        <w:spacing w:line="220" w:lineRule="auto"/>
        <w:ind w:left="21"/>
      </w:pPr>
      <w:r>
        <w:rPr>
          <w:spacing w:val="14"/>
        </w:rPr>
        <w:t>应符合现行国家危险废物污染防治技术政策的规定。</w:t>
      </w:r>
    </w:p>
    <w:p>
      <w:pPr>
        <w:pStyle w:val="BodyText"/>
        <w:spacing w:before="182" w:line="359" w:lineRule="auto"/>
        <w:ind w:left="21" w:right="239" w:firstLine="569"/>
      </w:pPr>
      <w:r>
        <w:rPr>
          <w:b/>
          <w:bCs/>
          <w:spacing w:val="12"/>
        </w:rPr>
        <w:t>2</w:t>
      </w:r>
      <w:r>
        <w:rPr>
          <w:spacing w:val="39"/>
        </w:rPr>
        <w:t xml:space="preserve">  </w:t>
      </w:r>
      <w:r>
        <w:rPr>
          <w:spacing w:val="12"/>
        </w:rPr>
        <w:t>未列入《国家危险废物名录》</w:t>
      </w:r>
      <w:r>
        <w:rPr>
          <w:spacing w:val="-65"/>
        </w:rPr>
        <w:t xml:space="preserve"> </w:t>
      </w:r>
      <w:r>
        <w:rPr>
          <w:spacing w:val="12"/>
        </w:rPr>
        <w:t>，但不排除具有腐蚀性、毒性</w:t>
      </w:r>
      <w:r>
        <w:rPr>
          <w:spacing w:val="11"/>
        </w:rPr>
        <w:t>、易燃</w:t>
      </w:r>
      <w:r>
        <w:t xml:space="preserve"> </w:t>
      </w:r>
      <w:r>
        <w:rPr>
          <w:spacing w:val="14"/>
        </w:rPr>
        <w:t>性、反应性的固体废物，应按照国家现行的危险废物鉴别标准进行危</w:t>
      </w:r>
      <w:r>
        <w:rPr>
          <w:spacing w:val="13"/>
        </w:rPr>
        <w:t>险特性</w:t>
      </w:r>
    </w:p>
    <w:p>
      <w:pPr>
        <w:pStyle w:val="BodyText"/>
        <w:spacing w:before="1" w:line="220" w:lineRule="auto"/>
        <w:ind w:left="23"/>
      </w:pPr>
      <w:r>
        <w:rPr>
          <w:spacing w:val="1"/>
        </w:rPr>
        <w:t>鉴别。</w:t>
      </w:r>
    </w:p>
    <w:p>
      <w:pPr>
        <w:pStyle w:val="BodyText"/>
        <w:spacing w:before="181" w:line="358" w:lineRule="auto"/>
        <w:ind w:left="25" w:right="240" w:firstLine="566"/>
      </w:pPr>
      <w:r>
        <w:rPr>
          <w:b/>
          <w:bCs/>
          <w:spacing w:val="15"/>
        </w:rPr>
        <w:t>3</w:t>
      </w:r>
      <w:r>
        <w:rPr>
          <w:spacing w:val="15"/>
        </w:rPr>
        <w:t xml:space="preserve">  产生危险废物的单位必须按国家规定申报登记，并按规定自行处理</w:t>
      </w:r>
      <w:r>
        <w:rPr>
          <w:spacing w:val="8"/>
        </w:rPr>
        <w:t xml:space="preserve"> </w:t>
      </w:r>
      <w:r>
        <w:rPr>
          <w:spacing w:val="14"/>
        </w:rPr>
        <w:t>处置或交由持有危险废物经营许可证的单位收集、运输、贮存和</w:t>
      </w:r>
      <w:r>
        <w:rPr>
          <w:spacing w:val="13"/>
        </w:rPr>
        <w:t>处理处置。</w:t>
      </w:r>
    </w:p>
    <w:p>
      <w:pPr>
        <w:pStyle w:val="BodyText"/>
        <w:spacing w:line="220" w:lineRule="auto"/>
        <w:ind w:left="23"/>
      </w:pPr>
      <w:r>
        <w:rPr>
          <w:spacing w:val="14"/>
        </w:rPr>
        <w:t>危险废物转移应遵从国家危险废物转移联单管理的要求。</w:t>
      </w:r>
    </w:p>
    <w:p>
      <w:pPr>
        <w:pStyle w:val="BodyText"/>
        <w:spacing w:before="182" w:line="220" w:lineRule="auto"/>
        <w:ind w:left="586"/>
      </w:pPr>
      <w:r>
        <w:rPr>
          <w:b/>
          <w:bCs/>
          <w:spacing w:val="-1"/>
        </w:rPr>
        <w:t>4</w:t>
      </w:r>
      <w:r>
        <w:rPr>
          <w:spacing w:val="40"/>
        </w:rPr>
        <w:t xml:space="preserve">  </w:t>
      </w:r>
      <w:r>
        <w:rPr>
          <w:spacing w:val="-1"/>
        </w:rPr>
        <w:t>危险废物严禁与一般工业固体废物或生活垃圾混合装运与贮存。</w:t>
      </w:r>
    </w:p>
    <w:p>
      <w:pPr>
        <w:pStyle w:val="BodyText"/>
        <w:spacing w:before="182" w:line="359" w:lineRule="auto"/>
        <w:ind w:left="18" w:firstLine="574"/>
      </w:pPr>
      <w:r>
        <w:rPr>
          <w:b/>
          <w:bCs/>
          <w:spacing w:val="15"/>
        </w:rPr>
        <w:t>5</w:t>
      </w:r>
      <w:r>
        <w:rPr>
          <w:spacing w:val="15"/>
        </w:rPr>
        <w:t xml:space="preserve">  危险废物的贮存应符合现行国家标准《危险废物贮存</w:t>
      </w:r>
      <w:r>
        <w:rPr>
          <w:spacing w:val="14"/>
        </w:rPr>
        <w:t>污染控制标准》</w:t>
      </w:r>
      <w:r>
        <w:t xml:space="preserve"> </w:t>
      </w:r>
      <w:r>
        <w:t>GB</w:t>
      </w:r>
      <w:r>
        <w:rPr>
          <w:spacing w:val="12"/>
        </w:rPr>
        <w:t>18597 的规定</w:t>
      </w:r>
      <w:r>
        <w:rPr>
          <w:spacing w:val="-71"/>
        </w:rPr>
        <w:t xml:space="preserve"> </w:t>
      </w:r>
      <w:r>
        <w:rPr>
          <w:spacing w:val="12"/>
        </w:rPr>
        <w:t>。利用和处置应委托有资质单位，鼓励按照</w:t>
      </w:r>
      <w:r>
        <w:rPr>
          <w:spacing w:val="11"/>
        </w:rPr>
        <w:t>国家和地方危险</w:t>
      </w:r>
    </w:p>
    <w:p>
      <w:pPr>
        <w:pStyle w:val="BodyText"/>
        <w:spacing w:before="1" w:line="220" w:lineRule="auto"/>
        <w:ind w:left="20"/>
      </w:pPr>
      <w:r>
        <w:rPr>
          <w:spacing w:val="14"/>
        </w:rPr>
        <w:t>废物利用处置有关标准规范要求自行利用处置。</w:t>
      </w:r>
    </w:p>
    <w:p>
      <w:pPr>
        <w:pStyle w:val="BodyText"/>
        <w:spacing w:before="178" w:line="468" w:lineRule="exact"/>
        <w:jc w:val="right"/>
      </w:pPr>
      <w:r>
        <w:rPr>
          <w:b/>
          <w:bCs/>
          <w:spacing w:val="15"/>
          <w:position w:val="17"/>
        </w:rPr>
        <w:t>6</w:t>
      </w:r>
      <w:r>
        <w:rPr>
          <w:spacing w:val="15"/>
          <w:position w:val="17"/>
        </w:rPr>
        <w:t xml:space="preserve">  危险废物的填埋应符合现行国家标准《危险废物填埋污染控</w:t>
      </w:r>
      <w:r>
        <w:rPr>
          <w:spacing w:val="14"/>
          <w:position w:val="17"/>
        </w:rPr>
        <w:t>制标准》</w:t>
      </w:r>
    </w:p>
    <w:p>
      <w:pPr>
        <w:pStyle w:val="BodyText"/>
        <w:spacing w:before="1" w:line="220" w:lineRule="auto"/>
        <w:ind w:left="18"/>
      </w:pPr>
      <w:r>
        <w:t>GB</w:t>
      </w:r>
      <w:r>
        <w:rPr>
          <w:spacing w:val="2"/>
        </w:rPr>
        <w:t>18598 的规定。</w:t>
      </w:r>
    </w:p>
    <w:p>
      <w:pPr>
        <w:pStyle w:val="BodyText"/>
        <w:spacing w:before="178" w:line="468" w:lineRule="exact"/>
        <w:jc w:val="right"/>
      </w:pPr>
      <w:r>
        <w:rPr>
          <w:b/>
          <w:bCs/>
          <w:spacing w:val="15"/>
          <w:position w:val="17"/>
        </w:rPr>
        <w:t>7</w:t>
      </w:r>
      <w:r>
        <w:rPr>
          <w:spacing w:val="15"/>
          <w:position w:val="17"/>
        </w:rPr>
        <w:t xml:space="preserve">  危险废物的焚烧应符合现行国家标准《危险废物焚</w:t>
      </w:r>
      <w:r>
        <w:rPr>
          <w:spacing w:val="14"/>
          <w:position w:val="17"/>
        </w:rPr>
        <w:t>烧污染控制标准》</w:t>
      </w:r>
    </w:p>
    <w:p>
      <w:pPr>
        <w:pStyle w:val="BodyText"/>
        <w:spacing w:before="1" w:line="220" w:lineRule="auto"/>
        <w:ind w:left="18"/>
      </w:pPr>
      <w:r>
        <w:t>GB</w:t>
      </w:r>
      <w:r>
        <w:rPr>
          <w:spacing w:val="2"/>
        </w:rPr>
        <w:t>18484 的规定。</w:t>
      </w:r>
    </w:p>
    <w:p>
      <w:pPr>
        <w:pStyle w:val="BodyText"/>
        <w:spacing w:before="179" w:line="468" w:lineRule="exact"/>
        <w:ind w:left="588"/>
      </w:pPr>
      <w:r>
        <w:rPr>
          <w:b/>
          <w:bCs/>
          <w:spacing w:val="-2"/>
          <w:position w:val="17"/>
        </w:rPr>
        <w:t>8</w:t>
      </w:r>
      <w:r>
        <w:rPr>
          <w:spacing w:val="45"/>
          <w:position w:val="17"/>
        </w:rPr>
        <w:t xml:space="preserve">  </w:t>
      </w:r>
      <w:r>
        <w:rPr>
          <w:spacing w:val="-2"/>
          <w:position w:val="17"/>
        </w:rPr>
        <w:t>含有害、有毒物质的废料场，应选在地下水位较低和不受地面水穿流的</w:t>
      </w:r>
    </w:p>
    <w:p>
      <w:pPr>
        <w:pStyle w:val="BodyText"/>
        <w:spacing w:line="219" w:lineRule="auto"/>
        <w:ind w:left="21"/>
      </w:pPr>
      <w:r>
        <w:rPr>
          <w:spacing w:val="-1"/>
        </w:rPr>
        <w:t>地段，应采取防扬散、防流失等必要的防止污染措施。</w:t>
      </w:r>
    </w:p>
    <w:p>
      <w:pPr>
        <w:pStyle w:val="BodyText"/>
        <w:spacing w:before="181" w:line="468" w:lineRule="exact"/>
        <w:ind w:left="588"/>
      </w:pPr>
      <w:r>
        <w:rPr>
          <w:b/>
          <w:bCs/>
          <w:spacing w:val="15"/>
          <w:position w:val="17"/>
        </w:rPr>
        <w:t>9</w:t>
      </w:r>
      <w:r>
        <w:rPr>
          <w:spacing w:val="15"/>
          <w:position w:val="17"/>
        </w:rPr>
        <w:t xml:space="preserve">  有毒有害物质的贮(储)存、输送、生产和使用场所，应</w:t>
      </w:r>
      <w:r>
        <w:rPr>
          <w:spacing w:val="14"/>
          <w:position w:val="17"/>
        </w:rPr>
        <w:t>设置环境风</w:t>
      </w:r>
    </w:p>
    <w:p>
      <w:pPr>
        <w:pStyle w:val="BodyText"/>
        <w:spacing w:before="1" w:line="220" w:lineRule="auto"/>
        <w:ind w:left="34"/>
      </w:pPr>
      <w:r>
        <w:rPr>
          <w:spacing w:val="11"/>
        </w:rPr>
        <w:t>险防范和应急处理设施。</w:t>
      </w:r>
    </w:p>
    <w:p>
      <w:pPr>
        <w:pStyle w:val="BodyText"/>
        <w:spacing w:before="181" w:line="466" w:lineRule="exact"/>
        <w:ind w:left="605"/>
      </w:pPr>
      <w:r>
        <w:rPr>
          <w:b/>
          <w:bCs/>
          <w:spacing w:val="17"/>
          <w:position w:val="17"/>
        </w:rPr>
        <w:t>10</w:t>
      </w:r>
      <w:r>
        <w:rPr>
          <w:spacing w:val="72"/>
          <w:position w:val="17"/>
        </w:rPr>
        <w:t xml:space="preserve"> </w:t>
      </w:r>
      <w:r>
        <w:rPr>
          <w:spacing w:val="17"/>
          <w:position w:val="17"/>
        </w:rPr>
        <w:t>危</w:t>
      </w:r>
      <w:r>
        <w:rPr>
          <w:spacing w:val="-62"/>
          <w:position w:val="17"/>
        </w:rPr>
        <w:t xml:space="preserve"> </w:t>
      </w:r>
      <w:r>
        <w:rPr>
          <w:spacing w:val="17"/>
          <w:position w:val="17"/>
        </w:rPr>
        <w:t>险废物贮存设施应按现</w:t>
      </w:r>
      <w:r>
        <w:rPr>
          <w:spacing w:val="-70"/>
          <w:position w:val="17"/>
        </w:rPr>
        <w:t xml:space="preserve"> </w:t>
      </w:r>
      <w:r>
        <w:rPr>
          <w:spacing w:val="17"/>
          <w:position w:val="17"/>
        </w:rPr>
        <w:t>行</w:t>
      </w:r>
      <w:r>
        <w:rPr>
          <w:spacing w:val="-52"/>
          <w:position w:val="17"/>
        </w:rPr>
        <w:t xml:space="preserve"> </w:t>
      </w:r>
      <w:r>
        <w:rPr>
          <w:spacing w:val="17"/>
          <w:position w:val="17"/>
        </w:rPr>
        <w:t>国家标准《</w:t>
      </w:r>
      <w:r>
        <w:rPr>
          <w:spacing w:val="-53"/>
          <w:position w:val="17"/>
        </w:rPr>
        <w:t xml:space="preserve"> </w:t>
      </w:r>
      <w:r>
        <w:rPr>
          <w:spacing w:val="16"/>
          <w:position w:val="17"/>
        </w:rPr>
        <w:t>环境保护</w:t>
      </w:r>
      <w:r>
        <w:rPr>
          <w:spacing w:val="-54"/>
          <w:position w:val="17"/>
        </w:rPr>
        <w:t xml:space="preserve"> </w:t>
      </w:r>
      <w:r>
        <w:rPr>
          <w:spacing w:val="16"/>
          <w:position w:val="17"/>
        </w:rPr>
        <w:t>图</w:t>
      </w:r>
      <w:r>
        <w:rPr>
          <w:spacing w:val="-71"/>
          <w:position w:val="17"/>
        </w:rPr>
        <w:t xml:space="preserve"> </w:t>
      </w:r>
      <w:r>
        <w:rPr>
          <w:spacing w:val="16"/>
          <w:position w:val="17"/>
        </w:rPr>
        <w:t>形标志</w:t>
      </w:r>
      <w:r>
        <w:rPr>
          <w:spacing w:val="-62"/>
          <w:position w:val="17"/>
        </w:rPr>
        <w:t xml:space="preserve"> </w:t>
      </w:r>
      <w:r>
        <w:rPr>
          <w:spacing w:val="16"/>
          <w:position w:val="17"/>
        </w:rPr>
        <w:t>》</w:t>
      </w:r>
      <w:r>
        <w:rPr>
          <w:position w:val="17"/>
        </w:rPr>
        <w:t>GB</w:t>
      </w:r>
    </w:p>
    <w:p>
      <w:pPr>
        <w:pStyle w:val="BodyText"/>
        <w:spacing w:line="218" w:lineRule="auto"/>
        <w:ind w:left="38"/>
      </w:pPr>
      <w:r>
        <w:rPr>
          <w:spacing w:val="6"/>
        </w:rPr>
        <w:t>15562.2 的规定设置安全警告标志。</w:t>
      </w:r>
    </w:p>
    <w:p>
      <w:pPr>
        <w:pStyle w:val="BodyText"/>
        <w:spacing w:before="182" w:line="220" w:lineRule="auto"/>
        <w:ind w:left="23"/>
        <w:sectPr>
          <w:footerReference w:type="default" r:id="rId19"/>
          <w:pgSz w:w="11906" w:h="16839"/>
          <w:pgMar w:top="1426" w:right="1475" w:bottom="1162" w:left="1785" w:header="0" w:footer="992" w:gutter="0"/>
          <w:pgNumType w:start="16"/>
          <w:cols w:space="708"/>
        </w:sectPr>
      </w:pPr>
      <w:r>
        <w:rPr>
          <w:b/>
          <w:bCs/>
          <w:spacing w:val="4"/>
        </w:rPr>
        <w:t>2.4.3</w:t>
      </w:r>
      <w:r>
        <w:rPr>
          <w:spacing w:val="4"/>
        </w:rPr>
        <w:t xml:space="preserve">   有色轻金属冶金工程项目生态环境保护应符合下列规定：</w:t>
      </w:r>
    </w:p>
    <w:p>
      <w:pPr>
        <w:pStyle w:val="BodyText"/>
        <w:spacing w:before="182" w:line="359" w:lineRule="auto"/>
        <w:ind w:left="21" w:right="258" w:firstLine="584"/>
      </w:pPr>
      <w:r>
        <w:rPr>
          <w:b/>
          <w:bCs/>
          <w:spacing w:val="14"/>
        </w:rPr>
        <w:t>1</w:t>
      </w:r>
      <w:r>
        <w:rPr>
          <w:spacing w:val="14"/>
        </w:rPr>
        <w:t xml:space="preserve">  应采用先进或适用的清洁生产工艺技术和装备，从源头削减污染；</w:t>
      </w:r>
      <w:r>
        <w:rPr>
          <w:spacing w:val="9"/>
        </w:rPr>
        <w:t xml:space="preserve"> </w:t>
      </w:r>
      <w:r>
        <w:rPr>
          <w:spacing w:val="13"/>
        </w:rPr>
        <w:t>应提高废物、废水和余热余压等资源循环利用率，并控制污染物排放总量，</w:t>
      </w:r>
    </w:p>
    <w:p>
      <w:pPr>
        <w:pStyle w:val="BodyText"/>
        <w:spacing w:line="220" w:lineRule="auto"/>
        <w:ind w:left="25"/>
      </w:pPr>
      <w:r>
        <w:rPr>
          <w:spacing w:val="12"/>
        </w:rPr>
        <w:t>消除对人类健康和环境的危害。</w:t>
      </w:r>
    </w:p>
    <w:p>
      <w:pPr>
        <w:pStyle w:val="BodyText"/>
        <w:spacing w:before="182" w:line="220" w:lineRule="auto"/>
        <w:ind w:left="590"/>
      </w:pPr>
      <w:r>
        <w:rPr>
          <w:b/>
          <w:bCs/>
          <w:spacing w:val="10"/>
        </w:rPr>
        <w:t>2</w:t>
      </w:r>
      <w:r>
        <w:rPr>
          <w:spacing w:val="44"/>
        </w:rPr>
        <w:t xml:space="preserve">  </w:t>
      </w:r>
      <w:r>
        <w:rPr>
          <w:spacing w:val="10"/>
        </w:rPr>
        <w:t>生产建设活动损毁的土地，按照“谁损毁，谁复垦</w:t>
      </w:r>
      <w:r>
        <w:rPr>
          <w:spacing w:val="-71"/>
        </w:rPr>
        <w:t xml:space="preserve"> </w:t>
      </w:r>
      <w:r>
        <w:rPr>
          <w:spacing w:val="10"/>
        </w:rPr>
        <w:t>”的原则，</w:t>
      </w:r>
      <w:r>
        <w:rPr>
          <w:spacing w:val="-67"/>
        </w:rPr>
        <w:t xml:space="preserve"> </w:t>
      </w:r>
      <w:r>
        <w:rPr>
          <w:spacing w:val="10"/>
        </w:rPr>
        <w:t>由生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https://d.book118.com/777163034105006043</w:t>
        </w:r>
      </w:hyperlink>
    </w:p>
    <w:p>
      <w:pPr>
        <w:spacing w:line="220" w:lineRule="auto"/>
      </w:pPr>
    </w:p>
    <w:sectPr>
      <w:footerReference w:type="default" r:id="rId21"/>
      <w:type w:val="nextPage"/>
      <w:pgSz w:w="11906" w:h="16839"/>
      <w:pgMar w:top="1426" w:right="1475" w:bottom="1162" w:left="1785" w:header="0" w:footer="992" w:gutter="0"/>
      <w:pgNumType w:start="1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-1-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-2-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-2-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87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-3-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87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-3-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-4-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-4-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-5-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-5-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21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-6-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218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-6-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653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-7-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4653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-7-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-8-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-8-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-9-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111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pacing w:val="-3"/>
        <w:sz w:val="18"/>
        <w:szCs w:val="18"/>
      </w:rPr>
      <w:t>-9-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777163034105006043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2024-02-22T18:25:51Z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2024-02-22T18:25:55Z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65d7212e021855001f8db103wl</vt:lpwstr>
  </property>
</Properties>
</file>