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黑体" w:eastAsia="黑体"/>
          <w:sz w:val="36"/>
          <w:szCs w:val="36"/>
        </w:rPr>
      </w:pPr>
      <w:bookmarkStart w:id="0" w:name="_GoBack"/>
      <w:r>
        <w:rPr>
          <w:rFonts w:ascii="黑体" w:eastAsia="黑体" w:hint="eastAsia"/>
          <w:sz w:val="36"/>
          <w:szCs w:val="36"/>
        </w:rPr>
        <w:t>云南白药集团有限公司应收账款问题及对策研究</w:t>
      </w:r>
    </w:p>
    <w:bookmarkEnd w:id="0"/>
    <w:p/>
    <w:p/>
    <w:p/>
    <w:p>
      <w:pPr>
        <w:spacing w:before="100" w:beforeAutospacing="1" w:after="100" w:afterAutospacing="1" w:line="480" w:lineRule="auto"/>
        <w:jc w:val="center"/>
        <w:rPr>
          <w:rFonts w:ascii="黑体" w:eastAsia="黑体" w:hAnsi="黑体"/>
          <w:sz w:val="32"/>
          <w:szCs w:val="32"/>
        </w:rPr>
      </w:pPr>
    </w:p>
    <w:p/>
    <w:p/>
    <w:p/>
    <w:p/>
    <w:p/>
    <w:p/>
    <w:p>
      <w:pPr>
        <w:sectPr>
          <w:pgSz w:w="11906" w:h="16838"/>
          <w:pgMar w:top="1440" w:right="1800" w:bottom="1440" w:left="1800" w:header="851" w:footer="992" w:gutter="0"/>
          <w:pgNumType w:fmt="numberInDash" w:start="1"/>
          <w:cols w:num="1" w:space="425"/>
          <w:docGrid w:type="lines" w:linePitch="312" w:charSpace="0"/>
        </w:sectPr>
      </w:pPr>
    </w:p>
    <w:p/>
    <w:p/>
    <w:p>
      <w:pPr>
        <w:pStyle w:val="Heading1"/>
        <w:jc w:val="center"/>
        <w:rPr>
          <w:rFonts w:ascii="黑体" w:eastAsia="黑体" w:hAnsi="黑体" w:cs="黑体"/>
          <w:b w:val="0"/>
          <w:bCs w:val="0"/>
          <w:sz w:val="32"/>
          <w:szCs w:val="32"/>
        </w:rPr>
      </w:pPr>
      <w:bookmarkStart w:id="1" w:name="_Toc8074"/>
      <w:bookmarkStart w:id="2" w:name="_Toc13864"/>
      <w:r>
        <w:rPr>
          <w:rFonts w:ascii="黑体" w:eastAsia="黑体" w:hAnsi="黑体" w:cs="黑体" w:hint="eastAsia"/>
          <w:b w:val="0"/>
          <w:bCs w:val="0"/>
          <w:sz w:val="32"/>
          <w:szCs w:val="32"/>
        </w:rPr>
        <w:t>摘要</w:t>
      </w:r>
      <w:bookmarkEnd w:id="1"/>
      <w:bookmarkEnd w:id="2"/>
    </w:p>
    <w:p>
      <w:pPr>
        <w:spacing w:line="400" w:lineRule="exact"/>
        <w:jc w:val="center"/>
        <w:outlineLvl w:val="0"/>
        <w:rPr>
          <w:rFonts w:ascii="黑体" w:eastAsia="黑体"/>
          <w:b/>
          <w:sz w:val="32"/>
          <w:szCs w:val="32"/>
        </w:rPr>
      </w:pPr>
    </w:p>
    <w:p>
      <w:pPr>
        <w:ind w:firstLine="480" w:firstLineChars="20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国内制药企业的快速发展，云南白药公司在医药行业也同样面对着市场的竞争。云南白药公司为了提高公司药品的市场占有率，提升公司的竞争实力，常常采取赊销方式，为此产生了大量的应收账款，导致云南白药公司对应收账款的管理存在诸多问题，本文通过分析云南白药公司应收账款相关指标的分析，分析云南白药公司应收账款目前存在问题，据此提出一些加强应收账款管理的对策，希望更好的提高云南白药公司应收账款的管理水平，减少应收账款的风险。</w:t>
      </w:r>
    </w:p>
    <w:p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关键词：云南白药；应收账款；管理；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sectPr>
          <w:footerReference w:type="default" r:id="rId5"/>
          <w:pgSz w:w="11906" w:h="16838"/>
          <w:pgMar w:top="1440" w:right="1800" w:bottom="1440" w:left="1800" w:header="851" w:footer="992" w:gutter="0"/>
          <w:pgNumType w:fmt="upperRoman" w:start="1"/>
          <w:cols w:num="1" w:space="425"/>
          <w:docGrid w:type="lines" w:linePitch="312" w:charSpace="0"/>
        </w:sectPr>
      </w:pPr>
    </w:p>
    <w:p/>
    <w:p/>
    <w:sdt>
      <w:sdtPr>
        <w:rPr>
          <w:rFonts w:ascii="宋体" w:hAnsi="宋体"/>
        </w:rPr>
        <w:id w:val="147459686"/>
        <w:docPartObj>
          <w:docPartGallery w:val="Table of Contents"/>
          <w:docPartUnique/>
        </w:docPartObj>
      </w:sdtPr>
      <w:sdtEndPr>
        <w:rPr>
          <w:rFonts w:ascii="Times New Roman" w:hAnsi="Times New Roman"/>
        </w:rPr>
      </w:sdtEndPr>
      <w:sdtContent>
        <w:p>
          <w:pPr>
            <w:jc w:val="center"/>
            <w:rPr>
              <w:rFonts w:ascii="黑体" w:eastAsia="黑体" w:hAnsi="黑体" w:cs="黑体"/>
              <w:sz w:val="32"/>
              <w:szCs w:val="32"/>
            </w:rPr>
          </w:pPr>
          <w:r>
            <w:rPr>
              <w:rFonts w:ascii="黑体" w:eastAsia="黑体" w:hAnsi="黑体" w:cs="黑体" w:hint="eastAsia"/>
              <w:sz w:val="32"/>
              <w:szCs w:val="32"/>
            </w:rPr>
            <w:t>目录</w:t>
          </w:r>
        </w:p>
        <w:p>
          <w:pPr>
            <w:pStyle w:val="TOC1"/>
            <w:tabs>
              <w:tab w:val="right" w:leader="dot" w:pos="8306"/>
            </w:tabs>
            <w:rPr>
              <w:rFonts w:ascii="宋体" w:hAnsi="宋体" w:cs="宋体"/>
              <w:sz w:val="24"/>
            </w:rPr>
          </w:pPr>
          <w:r>
            <w:rPr>
              <w:rFonts w:ascii="宋体" w:hAnsi="宋体" w:cs="宋体" w:hint="eastAsia"/>
              <w:sz w:val="24"/>
            </w:rPr>
            <w:fldChar w:fldCharType="begin"/>
          </w:r>
          <w:r>
            <w:rPr>
              <w:rFonts w:ascii="宋体" w:hAnsi="宋体" w:cs="宋体" w:hint="eastAsia"/>
              <w:sz w:val="24"/>
            </w:rPr>
            <w:instrText xml:space="preserve">TOC \o "1-3" \h \u </w:instrText>
          </w:r>
          <w:r>
            <w:rPr>
              <w:rFonts w:ascii="宋体" w:hAnsi="宋体" w:cs="宋体" w:hint="eastAsia"/>
              <w:sz w:val="24"/>
            </w:rPr>
            <w:fldChar w:fldCharType="separate"/>
          </w:r>
          <w:hyperlink w:anchor="_Toc8074" w:history="1">
            <w:r>
              <w:rPr>
                <w:rFonts w:ascii="宋体" w:hAnsi="宋体" w:cs="宋体" w:hint="eastAsia"/>
                <w:sz w:val="24"/>
              </w:rPr>
              <w:t>摘要</w:t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 w:hint="eastAsia"/>
                <w:sz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</w:rPr>
              <w:instrText xml:space="preserve"> PAGEREF _Toc8074 </w:instrText>
            </w:r>
            <w:r>
              <w:rPr>
                <w:rFonts w:ascii="宋体" w:hAnsi="宋体" w:cs="宋体" w:hint="eastAsia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t>I</w:t>
            </w:r>
            <w:r>
              <w:rPr>
                <w:rFonts w:ascii="宋体" w:hAnsi="宋体" w:cs="宋体" w:hint="eastAsia"/>
                <w:sz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306"/>
            </w:tabs>
            <w:rPr>
              <w:rFonts w:ascii="宋体" w:hAnsi="宋体" w:cs="宋体"/>
              <w:sz w:val="24"/>
            </w:rPr>
          </w:pPr>
          <w:hyperlink w:anchor="_Toc30488" w:history="1">
            <w:r>
              <w:rPr>
                <w:rFonts w:ascii="宋体" w:hAnsi="宋体" w:cs="宋体" w:hint="eastAsia"/>
                <w:sz w:val="24"/>
              </w:rPr>
              <w:t>绪论</w:t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 w:hint="eastAsia"/>
                <w:sz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</w:rPr>
              <w:instrText xml:space="preserve"> PAGEREF _Toc30488 </w:instrText>
            </w:r>
            <w:r>
              <w:rPr>
                <w:rFonts w:ascii="宋体" w:hAnsi="宋体" w:cs="宋体" w:hint="eastAsia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ascii="宋体" w:hAnsi="宋体" w:cs="宋体" w:hint="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="宋体" w:hAnsi="宋体" w:cs="宋体"/>
              <w:sz w:val="24"/>
            </w:rPr>
          </w:pPr>
          <w:hyperlink w:anchor="_Toc18178" w:history="1">
            <w:r>
              <w:rPr>
                <w:rFonts w:ascii="宋体" w:hAnsi="宋体" w:cs="宋体" w:hint="eastAsia"/>
                <w:sz w:val="24"/>
              </w:rPr>
              <w:t>1、问题的提出</w:t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 w:hint="eastAsia"/>
                <w:sz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</w:rPr>
              <w:instrText xml:space="preserve"> PAGEREF _Toc18178 </w:instrText>
            </w:r>
            <w:r>
              <w:rPr>
                <w:rFonts w:ascii="宋体" w:hAnsi="宋体" w:cs="宋体" w:hint="eastAsia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ascii="宋体" w:hAnsi="宋体" w:cs="宋体" w:hint="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="宋体" w:hAnsi="宋体" w:cs="宋体"/>
              <w:sz w:val="24"/>
            </w:rPr>
          </w:pPr>
          <w:hyperlink w:anchor="_Toc1077" w:history="1">
            <w:r>
              <w:rPr>
                <w:rFonts w:ascii="宋体" w:hAnsi="宋体" w:cs="宋体" w:hint="eastAsia"/>
                <w:sz w:val="24"/>
              </w:rPr>
              <w:t>2、本论文相关的国外动态</w:t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 w:hint="eastAsia"/>
                <w:sz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</w:rPr>
              <w:instrText xml:space="preserve"> PAGEREF _Toc1077 </w:instrText>
            </w:r>
            <w:r>
              <w:rPr>
                <w:rFonts w:ascii="宋体" w:hAnsi="宋体" w:cs="宋体" w:hint="eastAsia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ascii="宋体" w:hAnsi="宋体" w:cs="宋体" w:hint="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="宋体" w:hAnsi="宋体" w:cs="宋体"/>
              <w:sz w:val="24"/>
            </w:rPr>
          </w:pPr>
          <w:hyperlink w:anchor="_Toc29621" w:history="1">
            <w:r>
              <w:rPr>
                <w:rFonts w:ascii="宋体" w:hAnsi="宋体" w:cs="宋体" w:hint="eastAsia"/>
                <w:sz w:val="24"/>
              </w:rPr>
              <w:t>3、本论文相关的国内动态</w:t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 w:hint="eastAsia"/>
                <w:sz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</w:rPr>
              <w:instrText xml:space="preserve"> PAGEREF _Toc29621 </w:instrText>
            </w:r>
            <w:r>
              <w:rPr>
                <w:rFonts w:ascii="宋体" w:hAnsi="宋体" w:cs="宋体" w:hint="eastAsia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ascii="宋体" w:hAnsi="宋体" w:cs="宋体" w:hint="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="宋体" w:hAnsi="宋体" w:cs="宋体"/>
              <w:sz w:val="24"/>
            </w:rPr>
          </w:pPr>
          <w:hyperlink w:anchor="_Toc26140" w:history="1">
            <w:r>
              <w:rPr>
                <w:rFonts w:ascii="宋体" w:hAnsi="宋体" w:cs="宋体" w:hint="eastAsia"/>
                <w:sz w:val="24"/>
              </w:rPr>
              <w:t>4、论文主要研究内容和组织结构</w:t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 w:hint="eastAsia"/>
                <w:sz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</w:rPr>
              <w:instrText xml:space="preserve"> PAGEREF _Toc26140 </w:instrText>
            </w:r>
            <w:r>
              <w:rPr>
                <w:rFonts w:ascii="宋体" w:hAnsi="宋体" w:cs="宋体" w:hint="eastAsia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t>2</w:t>
            </w:r>
            <w:r>
              <w:rPr>
                <w:rFonts w:ascii="宋体" w:hAnsi="宋体" w:cs="宋体" w:hint="eastAsia"/>
                <w:sz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306"/>
            </w:tabs>
            <w:rPr>
              <w:rFonts w:ascii="宋体" w:hAnsi="宋体" w:cs="宋体"/>
              <w:sz w:val="24"/>
            </w:rPr>
          </w:pPr>
          <w:hyperlink w:anchor="_Toc27037" w:history="1">
            <w:r>
              <w:rPr>
                <w:rFonts w:ascii="宋体" w:hAnsi="宋体" w:cs="宋体" w:hint="eastAsia"/>
                <w:sz w:val="24"/>
              </w:rPr>
              <w:t>一、云南白药公司应收账款基本情况</w:t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 w:hint="eastAsia"/>
                <w:sz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</w:rPr>
              <w:instrText xml:space="preserve"> PAGEREF _Toc27037 </w:instrText>
            </w:r>
            <w:r>
              <w:rPr>
                <w:rFonts w:ascii="宋体" w:hAnsi="宋体" w:cs="宋体" w:hint="eastAsia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t>3</w:t>
            </w:r>
            <w:r>
              <w:rPr>
                <w:rFonts w:ascii="宋体" w:hAnsi="宋体" w:cs="宋体" w:hint="eastAsia"/>
                <w:sz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306"/>
            </w:tabs>
            <w:rPr>
              <w:rFonts w:ascii="宋体" w:hAnsi="宋体" w:cs="宋体"/>
              <w:sz w:val="24"/>
            </w:rPr>
          </w:pPr>
          <w:hyperlink w:anchor="_Toc13991" w:history="1">
            <w:r>
              <w:rPr>
                <w:rFonts w:ascii="宋体" w:hAnsi="宋体" w:cs="宋体" w:hint="eastAsia"/>
                <w:sz w:val="24"/>
              </w:rPr>
              <w:t>二、云南白药公司应收账款相关指标分析</w:t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 w:hint="eastAsia"/>
                <w:sz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</w:rPr>
              <w:instrText xml:space="preserve"> PAGEREF _Toc13991 </w:instrText>
            </w:r>
            <w:r>
              <w:rPr>
                <w:rFonts w:ascii="宋体" w:hAnsi="宋体" w:cs="宋体" w:hint="eastAsia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t>4</w:t>
            </w:r>
            <w:r>
              <w:rPr>
                <w:rFonts w:ascii="宋体" w:hAnsi="宋体" w:cs="宋体" w:hint="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="宋体" w:hAnsi="宋体" w:cs="宋体"/>
              <w:sz w:val="24"/>
            </w:rPr>
          </w:pPr>
          <w:hyperlink w:anchor="_Toc20945" w:history="1">
            <w:r>
              <w:rPr>
                <w:rFonts w:ascii="宋体" w:hAnsi="宋体" w:cs="宋体" w:hint="eastAsia"/>
                <w:sz w:val="24"/>
              </w:rPr>
              <w:t>1、应收账款占资产比例分析</w:t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 w:hint="eastAsia"/>
                <w:sz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</w:rPr>
              <w:instrText xml:space="preserve"> PAGEREF _Toc20945 </w:instrText>
            </w:r>
            <w:r>
              <w:rPr>
                <w:rFonts w:ascii="宋体" w:hAnsi="宋体" w:cs="宋体" w:hint="eastAsia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t>4</w:t>
            </w:r>
            <w:r>
              <w:rPr>
                <w:rFonts w:ascii="宋体" w:hAnsi="宋体" w:cs="宋体" w:hint="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="宋体" w:hAnsi="宋体" w:cs="宋体"/>
              <w:sz w:val="24"/>
            </w:rPr>
          </w:pPr>
          <w:hyperlink w:anchor="_Toc7853" w:history="1">
            <w:r>
              <w:rPr>
                <w:rFonts w:ascii="宋体" w:hAnsi="宋体" w:cs="宋体" w:hint="eastAsia"/>
                <w:sz w:val="24"/>
              </w:rPr>
              <w:t>2、应收账款增长率和营业收入的增速分析</w:t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 w:hint="eastAsia"/>
                <w:sz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</w:rPr>
              <w:instrText xml:space="preserve"> PAGEREF _Toc7853 </w:instrText>
            </w:r>
            <w:r>
              <w:rPr>
                <w:rFonts w:ascii="宋体" w:hAnsi="宋体" w:cs="宋体" w:hint="eastAsia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t>5</w:t>
            </w:r>
            <w:r>
              <w:rPr>
                <w:rFonts w:ascii="宋体" w:hAnsi="宋体" w:cs="宋体" w:hint="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="宋体" w:hAnsi="宋体" w:cs="宋体"/>
              <w:sz w:val="24"/>
            </w:rPr>
          </w:pPr>
          <w:hyperlink w:anchor="_Toc11644" w:history="1">
            <w:r>
              <w:rPr>
                <w:rFonts w:ascii="宋体" w:hAnsi="宋体" w:cs="宋体" w:hint="eastAsia"/>
                <w:sz w:val="24"/>
              </w:rPr>
              <w:t>3、应收账款账龄分析</w:t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 w:hint="eastAsia"/>
                <w:sz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</w:rPr>
              <w:instrText xml:space="preserve"> PAGEREF _Toc11644 </w:instrText>
            </w:r>
            <w:r>
              <w:rPr>
                <w:rFonts w:ascii="宋体" w:hAnsi="宋体" w:cs="宋体" w:hint="eastAsia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t>7</w:t>
            </w:r>
            <w:r>
              <w:rPr>
                <w:rFonts w:ascii="宋体" w:hAnsi="宋体" w:cs="宋体" w:hint="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="宋体" w:hAnsi="宋体" w:cs="宋体"/>
              <w:sz w:val="24"/>
            </w:rPr>
          </w:pPr>
          <w:hyperlink w:anchor="_Toc12721" w:history="1">
            <w:r>
              <w:rPr>
                <w:rFonts w:ascii="宋体" w:hAnsi="宋体" w:cs="宋体" w:hint="eastAsia"/>
                <w:sz w:val="24"/>
              </w:rPr>
              <w:t>4、应收账款周转率和应收账款周转天数</w:t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 w:hint="eastAsia"/>
                <w:sz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</w:rPr>
              <w:instrText xml:space="preserve"> PAGEREF _Toc12721 </w:instrText>
            </w:r>
            <w:r>
              <w:rPr>
                <w:rFonts w:ascii="宋体" w:hAnsi="宋体" w:cs="宋体" w:hint="eastAsia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t>8</w:t>
            </w:r>
            <w:r>
              <w:rPr>
                <w:rFonts w:ascii="宋体" w:hAnsi="宋体" w:cs="宋体" w:hint="eastAsia"/>
                <w:sz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306"/>
            </w:tabs>
            <w:rPr>
              <w:rFonts w:ascii="宋体" w:hAnsi="宋体" w:cs="宋体"/>
              <w:sz w:val="24"/>
            </w:rPr>
          </w:pPr>
          <w:hyperlink w:anchor="_Toc5727" w:history="1">
            <w:r>
              <w:rPr>
                <w:rFonts w:ascii="宋体" w:hAnsi="宋体" w:cs="宋体" w:hint="eastAsia"/>
                <w:sz w:val="24"/>
              </w:rPr>
              <w:t>三、云南白药应收账款问题原因分析</w:t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 w:hint="eastAsia"/>
                <w:sz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</w:rPr>
              <w:instrText xml:space="preserve"> PAGEREF _Toc5727 </w:instrText>
            </w:r>
            <w:r>
              <w:rPr>
                <w:rFonts w:ascii="宋体" w:hAnsi="宋体" w:cs="宋体" w:hint="eastAsia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t>9</w:t>
            </w:r>
            <w:r>
              <w:rPr>
                <w:rFonts w:ascii="宋体" w:hAnsi="宋体" w:cs="宋体" w:hint="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="宋体" w:hAnsi="宋体" w:cs="宋体"/>
              <w:sz w:val="24"/>
            </w:rPr>
          </w:pPr>
          <w:hyperlink w:anchor="_Toc23219" w:history="1">
            <w:r>
              <w:rPr>
                <w:rFonts w:ascii="宋体" w:hAnsi="宋体" w:cs="宋体" w:hint="eastAsia"/>
                <w:sz w:val="24"/>
              </w:rPr>
              <w:t>1、应收账款日常管理不完善</w:t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 w:hint="eastAsia"/>
                <w:sz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</w:rPr>
              <w:instrText xml:space="preserve"> PAGEREF _Toc23219 </w:instrText>
            </w:r>
            <w:r>
              <w:rPr>
                <w:rFonts w:ascii="宋体" w:hAnsi="宋体" w:cs="宋体" w:hint="eastAsia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t>9</w:t>
            </w:r>
            <w:r>
              <w:rPr>
                <w:rFonts w:ascii="宋体" w:hAnsi="宋体" w:cs="宋体" w:hint="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="宋体" w:hAnsi="宋体" w:cs="宋体"/>
              <w:sz w:val="24"/>
            </w:rPr>
          </w:pPr>
          <w:hyperlink w:anchor="_Toc7245" w:history="1">
            <w:r>
              <w:rPr>
                <w:rFonts w:ascii="宋体" w:hAnsi="宋体" w:cs="宋体" w:hint="eastAsia"/>
                <w:sz w:val="24"/>
              </w:rPr>
              <w:t>2、没有建立信用管理部门</w:t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 w:hint="eastAsia"/>
                <w:sz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</w:rPr>
              <w:instrText xml:space="preserve"> PAGEREF _Toc7245 </w:instrText>
            </w:r>
            <w:r>
              <w:rPr>
                <w:rFonts w:ascii="宋体" w:hAnsi="宋体" w:cs="宋体" w:hint="eastAsia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t>11</w:t>
            </w:r>
            <w:r>
              <w:rPr>
                <w:rFonts w:ascii="宋体" w:hAnsi="宋体" w:cs="宋体" w:hint="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="宋体" w:hAnsi="宋体" w:cs="宋体"/>
              <w:sz w:val="24"/>
            </w:rPr>
          </w:pPr>
          <w:hyperlink w:anchor="_Toc15019" w:history="1">
            <w:r>
              <w:rPr>
                <w:rFonts w:ascii="宋体" w:hAnsi="宋体" w:cs="宋体" w:hint="eastAsia"/>
                <w:sz w:val="24"/>
              </w:rPr>
              <w:t>3、赊销管理不完善</w:t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 w:hint="eastAsia"/>
                <w:sz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</w:rPr>
              <w:instrText xml:space="preserve"> PAGEREF _Toc15019 </w:instrText>
            </w:r>
            <w:r>
              <w:rPr>
                <w:rFonts w:ascii="宋体" w:hAnsi="宋体" w:cs="宋体" w:hint="eastAsia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t>11</w:t>
            </w:r>
            <w:r>
              <w:rPr>
                <w:rFonts w:ascii="宋体" w:hAnsi="宋体" w:cs="宋体" w:hint="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="宋体" w:hAnsi="宋体" w:cs="宋体"/>
              <w:sz w:val="24"/>
            </w:rPr>
          </w:pPr>
          <w:hyperlink w:anchor="_Toc18753" w:history="1">
            <w:r>
              <w:rPr>
                <w:rFonts w:ascii="宋体" w:hAnsi="宋体" w:cs="宋体" w:hint="eastAsia"/>
                <w:sz w:val="24"/>
              </w:rPr>
              <w:t>4、应收账款催收管理不完善</w:t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 w:hint="eastAsia"/>
                <w:sz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</w:rPr>
              <w:instrText xml:space="preserve"> PAGEREF _Toc18753 </w:instrText>
            </w:r>
            <w:r>
              <w:rPr>
                <w:rFonts w:ascii="宋体" w:hAnsi="宋体" w:cs="宋体" w:hint="eastAsia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t>12</w:t>
            </w:r>
            <w:r>
              <w:rPr>
                <w:rFonts w:ascii="宋体" w:hAnsi="宋体" w:cs="宋体" w:hint="eastAsia"/>
                <w:sz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306"/>
            </w:tabs>
            <w:rPr>
              <w:rFonts w:ascii="宋体" w:hAnsi="宋体" w:cs="宋体"/>
              <w:sz w:val="24"/>
            </w:rPr>
          </w:pPr>
          <w:hyperlink w:anchor="_Toc26338" w:history="1">
            <w:r>
              <w:rPr>
                <w:rFonts w:ascii="宋体" w:hAnsi="宋体" w:cs="宋体" w:hint="eastAsia"/>
                <w:sz w:val="24"/>
              </w:rPr>
              <w:t>四、完善云南白药公司应收账款管理的对策</w:t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 w:hint="eastAsia"/>
                <w:sz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</w:rPr>
              <w:instrText xml:space="preserve"> PAGEREF _Toc26338 </w:instrText>
            </w:r>
            <w:r>
              <w:rPr>
                <w:rFonts w:ascii="宋体" w:hAnsi="宋体" w:cs="宋体" w:hint="eastAsia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t>13</w:t>
            </w:r>
            <w:r>
              <w:rPr>
                <w:rFonts w:ascii="宋体" w:hAnsi="宋体" w:cs="宋体" w:hint="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="宋体" w:hAnsi="宋体" w:cs="宋体"/>
              <w:sz w:val="24"/>
            </w:rPr>
          </w:pPr>
          <w:hyperlink w:anchor="_Toc24198" w:history="1">
            <w:r>
              <w:rPr>
                <w:rFonts w:ascii="宋体" w:hAnsi="宋体" w:cs="宋体" w:hint="eastAsia"/>
                <w:sz w:val="24"/>
              </w:rPr>
              <w:t>1、加强对应收账款日常管理</w:t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 w:hint="eastAsia"/>
                <w:sz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</w:rPr>
              <w:instrText xml:space="preserve"> PAGEREF _Toc24198 </w:instrText>
            </w:r>
            <w:r>
              <w:rPr>
                <w:rFonts w:ascii="宋体" w:hAnsi="宋体" w:cs="宋体" w:hint="eastAsia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t>13</w:t>
            </w:r>
            <w:r>
              <w:rPr>
                <w:rFonts w:ascii="宋体" w:hAnsi="宋体" w:cs="宋体" w:hint="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="宋体" w:hAnsi="宋体" w:cs="宋体"/>
              <w:sz w:val="24"/>
            </w:rPr>
          </w:pPr>
          <w:hyperlink w:anchor="_Toc16376" w:history="1">
            <w:r>
              <w:rPr>
                <w:rFonts w:ascii="宋体" w:hAnsi="宋体" w:cs="宋体" w:hint="eastAsia"/>
                <w:sz w:val="24"/>
              </w:rPr>
              <w:t>2、构建信用管理部门</w:t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 w:hint="eastAsia"/>
                <w:sz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</w:rPr>
              <w:instrText xml:space="preserve"> PAGEREF _Toc16376 </w:instrText>
            </w:r>
            <w:r>
              <w:rPr>
                <w:rFonts w:ascii="宋体" w:hAnsi="宋体" w:cs="宋体" w:hint="eastAsia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t>14</w:t>
            </w:r>
            <w:r>
              <w:rPr>
                <w:rFonts w:ascii="宋体" w:hAnsi="宋体" w:cs="宋体" w:hint="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="宋体" w:hAnsi="宋体" w:cs="宋体"/>
              <w:sz w:val="24"/>
            </w:rPr>
          </w:pPr>
          <w:hyperlink w:anchor="_Toc21684" w:history="1">
            <w:r>
              <w:rPr>
                <w:rFonts w:ascii="宋体" w:hAnsi="宋体" w:cs="宋体" w:hint="eastAsia"/>
                <w:sz w:val="24"/>
              </w:rPr>
              <w:t>3、完善赊销的流程管理</w:t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 w:hint="eastAsia"/>
                <w:sz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</w:rPr>
              <w:instrText xml:space="preserve"> PAGEREF _Toc21684 </w:instrText>
            </w:r>
            <w:r>
              <w:rPr>
                <w:rFonts w:ascii="宋体" w:hAnsi="宋体" w:cs="宋体" w:hint="eastAsia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t>16</w:t>
            </w:r>
            <w:r>
              <w:rPr>
                <w:rFonts w:ascii="宋体" w:hAnsi="宋体" w:cs="宋体" w:hint="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="宋体" w:hAnsi="宋体" w:cs="宋体"/>
              <w:sz w:val="24"/>
            </w:rPr>
          </w:pPr>
          <w:hyperlink w:anchor="_Toc29878" w:history="1">
            <w:r>
              <w:rPr>
                <w:rFonts w:ascii="宋体" w:hAnsi="宋体" w:cs="宋体" w:hint="eastAsia"/>
                <w:sz w:val="24"/>
              </w:rPr>
              <w:t>4、应收账款多样化催收</w:t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 w:hint="eastAsia"/>
                <w:sz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</w:rPr>
              <w:instrText xml:space="preserve"> PAGEREF _Toc29878 </w:instrText>
            </w:r>
            <w:r>
              <w:rPr>
                <w:rFonts w:ascii="宋体" w:hAnsi="宋体" w:cs="宋体" w:hint="eastAsia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t>17</w:t>
            </w:r>
            <w:r>
              <w:rPr>
                <w:rFonts w:ascii="宋体" w:hAnsi="宋体" w:cs="宋体" w:hint="eastAsia"/>
                <w:sz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306"/>
            </w:tabs>
            <w:rPr>
              <w:rFonts w:ascii="宋体" w:hAnsi="宋体" w:cs="宋体"/>
              <w:sz w:val="24"/>
            </w:rPr>
          </w:pPr>
          <w:hyperlink w:anchor="_Toc7617" w:history="1">
            <w:r>
              <w:rPr>
                <w:rFonts w:ascii="宋体" w:hAnsi="宋体" w:cs="宋体" w:hint="eastAsia"/>
                <w:sz w:val="24"/>
              </w:rPr>
              <w:t>结论</w:t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 w:hint="eastAsia"/>
                <w:sz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</w:rPr>
              <w:instrText xml:space="preserve"> PAGEREF _Toc7617 </w:instrText>
            </w:r>
            <w:r>
              <w:rPr>
                <w:rFonts w:ascii="宋体" w:hAnsi="宋体" w:cs="宋体" w:hint="eastAsia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t>18</w:t>
            </w:r>
            <w:r>
              <w:rPr>
                <w:rFonts w:ascii="宋体" w:hAnsi="宋体" w:cs="宋体" w:hint="eastAsia"/>
                <w:sz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306"/>
            </w:tabs>
            <w:rPr>
              <w:rFonts w:ascii="宋体" w:hAnsi="宋体" w:cs="宋体"/>
              <w:sz w:val="24"/>
            </w:rPr>
          </w:pPr>
          <w:hyperlink w:anchor="_Toc23645" w:history="1">
            <w:r>
              <w:rPr>
                <w:rFonts w:ascii="宋体" w:hAnsi="宋体" w:cs="宋体" w:hint="eastAsia"/>
                <w:sz w:val="24"/>
              </w:rPr>
              <w:t>参考文献</w:t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 w:hint="eastAsia"/>
                <w:sz w:val="24"/>
              </w:rPr>
              <w:fldChar w:fldCharType="begin"/>
            </w:r>
            <w:r>
              <w:rPr>
                <w:rFonts w:ascii="宋体" w:hAnsi="宋体" w:cs="宋体" w:hint="eastAsia"/>
                <w:sz w:val="24"/>
              </w:rPr>
              <w:instrText xml:space="preserve"> PAGEREF _Toc23645 </w:instrText>
            </w:r>
            <w:r>
              <w:rPr>
                <w:rFonts w:ascii="宋体" w:hAnsi="宋体" w:cs="宋体" w:hint="eastAsia"/>
                <w:sz w:val="24"/>
              </w:rPr>
              <w:fldChar w:fldCharType="separate"/>
            </w:r>
            <w:r>
              <w:rPr>
                <w:rFonts w:ascii="宋体" w:hAnsi="宋体" w:cs="宋体"/>
                <w:sz w:val="24"/>
              </w:rPr>
              <w:t>19</w:t>
            </w:r>
            <w:r>
              <w:rPr>
                <w:rFonts w:ascii="宋体" w:hAnsi="宋体" w:cs="宋体" w:hint="eastAsia"/>
                <w:sz w:val="24"/>
              </w:rPr>
              <w:fldChar w:fldCharType="end"/>
            </w:r>
          </w:hyperlink>
        </w:p>
        <w:p>
          <w:r>
            <w:rPr>
              <w:rFonts w:ascii="宋体" w:hAnsi="宋体" w:cs="宋体" w:hint="eastAsia"/>
              <w:sz w:val="24"/>
            </w:rPr>
            <w:fldChar w:fldCharType="end"/>
          </w:r>
        </w:p>
      </w:sdtContent>
    </w:sdt>
    <w:p/>
    <w:p/>
    <w:p/>
    <w:p/>
    <w:p/>
    <w:p/>
    <w:p/>
    <w:p/>
    <w:p/>
    <w:p/>
    <w:p/>
    <w:p/>
    <w:p/>
    <w:p/>
    <w:p/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https://d.book118.com/777201153105006024</w:t>
        </w:r>
      </w:hyperlink>
    </w:p>
    <w:p/>
    <w:sectPr>
      <w:footerReference w:type="default" r:id="rId7"/>
      <w:type w:val="nextPage"/>
      <w:pgSz w:w="11906" w:h="16838"/>
      <w:pgMar w:top="1440" w:right="1800" w:bottom="1440" w:left="1800" w:header="851" w:footer="992" w:gutter="0"/>
      <w:pgNumType w:fmt="upperRoman"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68040129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III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III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DFD9DBF1"/>
    <w:multiLevelType w:val="singleLevel"/>
    <w:tmpl w:val="DFD9DBF1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02D38295"/>
    <w:multiLevelType w:val="singleLevel"/>
    <w:tmpl w:val="02D38295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3C857695"/>
    <w:multiLevelType w:val="multilevel"/>
    <w:tmpl w:val="3C857695"/>
    <w:lvl w:ilvl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5E1D58C7"/>
    <w:multiLevelType w:val="multilevel"/>
    <w:tmpl w:val="5E1D58C7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92AB60C"/>
    <w:multiLevelType w:val="singleLevel"/>
    <w:tmpl w:val="792AB60C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A875C8"/>
    <w:rsid w:val="00AA0253"/>
    <w:rsid w:val="00AA2F82"/>
    <w:rsid w:val="09A875C8"/>
    <w:rsid w:val="1374411D"/>
    <w:rsid w:val="1E8C0802"/>
    <w:rsid w:val="42E2292F"/>
    <w:rsid w:val="4B737BCF"/>
    <w:rsid w:val="792C291E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39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qFormat/>
    <w:rPr>
      <w:rFonts w:ascii="宋体" w:hAnsi="Courier New"/>
    </w:rPr>
  </w:style>
  <w:style w:type="paragraph" w:styleId="Footer">
    <w:name w:val="footer"/>
    <w:basedOn w:val="Normal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表段落1"/>
    <w:basedOn w:val="Normal"/>
    <w:uiPriority w:val="34"/>
    <w:qFormat/>
    <w:pPr>
      <w:ind w:firstLine="420" w:firstLineChars="200"/>
    </w:pPr>
  </w:style>
  <w:style w:type="paragraph" w:customStyle="1" w:styleId="content">
    <w:name w:val="content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WPSOffice1">
    <w:name w:val="WPSOffice手动目录 1"/>
    <w:qFormat/>
    <w:rPr>
      <w:rFonts w:asciiTheme="minorHAnsi" w:eastAsiaTheme="minorEastAsia" w:hAnsiTheme="minorHAnsi" w:cstheme="minorBidi"/>
      <w:lang w:val="en-US" w:eastAsia="zh-CN" w:bidi="ar-SA"/>
    </w:rPr>
  </w:style>
  <w:style w:type="paragraph" w:customStyle="1" w:styleId="WPSOffice2">
    <w:name w:val="WPSOffice手动目录 2"/>
    <w:pPr>
      <w:ind w:left="200" w:leftChars="200"/>
    </w:pPr>
    <w:rPr>
      <w:rFonts w:asciiTheme="minorHAnsi" w:eastAsiaTheme="minorEastAsia" w:hAnsiTheme="minorHAnsi" w:cstheme="minorBidi"/>
      <w:lang w:val="en-US" w:eastAsia="zh-CN" w:bidi="ar-SA"/>
    </w:rPr>
  </w:style>
  <w:style w:type="paragraph" w:customStyle="1" w:styleId="WPSOffice3">
    <w:name w:val="WPSOffice手动目录 3"/>
    <w:qFormat/>
    <w:pPr>
      <w:ind w:left="400" w:leftChars="400"/>
    </w:pPr>
    <w:rPr>
      <w:rFonts w:asciiTheme="minorHAnsi" w:eastAsiaTheme="minorEastAsia" w:hAnsiTheme="minorHAnsi" w:cstheme="minorBidi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hyperlink" Target="https://d.book118.com/777201153105006024" TargetMode="External" /><Relationship Id="rId7" Type="http://schemas.openxmlformats.org/officeDocument/2006/relationships/footer" Target="footer2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2263</Words>
  <Characters>12903</Characters>
  <Application>Microsoft Office Word</Application>
  <DocSecurity>0</DocSecurity>
  <Lines>107</Lines>
  <Paragraphs>30</Paragraphs>
  <ScaleCrop>false</ScaleCrop>
  <Company/>
  <LinksUpToDate>false</LinksUpToDate>
  <CharactersWithSpaces>15136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张老师</cp:lastModifiedBy>
  <cp:revision>2</cp:revision>
  <cp:lastPrinted>2021-05-17T10:41:00Z</cp:lastPrinted>
  <dcterms:created xsi:type="dcterms:W3CDTF">2019-07-10T09:04:00Z</dcterms:created>
  <dcterms:modified xsi:type="dcterms:W3CDTF">2023-11-16T11:59:40Z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FBA67D2AA4B1443C92B82AAF05F5F912_12</vt:lpwstr>
  </property>
  <property fmtid="{D5CDD505-2E9C-101B-9397-08002B2CF9AE}" pid="3" name="KSOProductBuildVer">
    <vt:lpwstr>2052-12.1.0.15712</vt:lpwstr>
  </property>
  <property fmtid="{D5CDD505-2E9C-101B-9397-08002B2CF9AE}" pid="4" name="KSORubyTemplateID" linkTarget="0">
    <vt:lpwstr>6</vt:lpwstr>
  </property>
</Properties>
</file>