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84A">
      <w:pPr>
        <w:spacing w:line="460" w:lineRule="auto"/>
        <w:jc w:val="center"/>
        <w:rPr>
          <w:rFonts w:ascii="黑体" w:eastAsia="黑体" w:hAnsi="黑体"/>
          <w:b/>
          <w:bCs/>
          <w:sz w:val="36"/>
          <w:szCs w:val="36"/>
        </w:rPr>
      </w:pPr>
      <w:r>
        <w:rPr>
          <w:rFonts w:ascii="黑体" w:eastAsia="黑体" w:hAnsi="黑体" w:hint="eastAsia"/>
          <w:b/>
          <w:bCs/>
          <w:sz w:val="36"/>
          <w:szCs w:val="36"/>
        </w:rPr>
        <w:t>大型钢混转换桁架施工工法</w:t>
      </w:r>
    </w:p>
    <w:p w:rsidR="0027584A">
      <w:pPr>
        <w:adjustRightInd w:val="0"/>
        <w:snapToGrid w:val="0"/>
        <w:spacing w:line="460" w:lineRule="auto"/>
        <w:ind w:firstLine="2240" w:firstLineChars="800"/>
        <w:rPr>
          <w:rFonts w:ascii="楷体" w:eastAsia="楷体" w:hAnsi="楷体" w:cs="宋体" w:hint="eastAsia"/>
          <w:sz w:val="28"/>
          <w:szCs w:val="28"/>
        </w:rPr>
      </w:pPr>
      <w:r>
        <w:rPr>
          <w:rFonts w:ascii="楷体" w:eastAsia="楷体" w:hAnsi="楷体" w:cs="宋体" w:hint="eastAsia"/>
          <w:sz w:val="28"/>
          <w:szCs w:val="28"/>
        </w:rPr>
        <w:t>工法编号：</w:t>
      </w:r>
    </w:p>
    <w:p w:rsidR="0027584A">
      <w:pPr>
        <w:adjustRightInd w:val="0"/>
        <w:snapToGrid w:val="0"/>
        <w:spacing w:line="460" w:lineRule="auto"/>
        <w:jc w:val="center"/>
        <w:rPr>
          <w:rFonts w:ascii="楷体" w:eastAsia="楷体" w:hAnsi="楷体" w:cs="宋体"/>
          <w:sz w:val="28"/>
          <w:szCs w:val="28"/>
        </w:rPr>
      </w:pPr>
      <w:r>
        <w:rPr>
          <w:rFonts w:ascii="楷体" w:eastAsia="楷体" w:hAnsi="楷体" w:cs="宋体" w:hint="eastAsia"/>
          <w:sz w:val="28"/>
          <w:szCs w:val="28"/>
        </w:rPr>
        <w:t>编制单位：上海宝冶集团郑州分公司</w:t>
      </w:r>
    </w:p>
    <w:p w:rsidR="0027584A">
      <w:pPr>
        <w:pStyle w:val="1"/>
        <w:spacing w:line="460" w:lineRule="auto"/>
        <w:ind w:left="357" w:firstLine="1960" w:firstLineChars="700"/>
        <w:rPr>
          <w:rFonts w:ascii="楷体" w:eastAsia="楷体" w:hAnsi="楷体" w:cs="宋体" w:hint="eastAsia"/>
          <w:sz w:val="28"/>
          <w:szCs w:val="28"/>
        </w:rPr>
      </w:pPr>
      <w:r>
        <w:rPr>
          <w:rFonts w:ascii="楷体" w:eastAsia="楷体" w:hAnsi="楷体" w:cs="宋体" w:hint="eastAsia"/>
          <w:sz w:val="28"/>
          <w:szCs w:val="28"/>
        </w:rPr>
        <w:t xml:space="preserve">编制人： </w:t>
      </w:r>
    </w:p>
    <w:p w:rsidR="0027584A">
      <w:pPr>
        <w:pStyle w:val="Heading1"/>
        <w:spacing w:before="0" w:after="0" w:line="460" w:lineRule="auto"/>
        <w:jc w:val="center"/>
        <w:rPr>
          <w:rFonts w:ascii="黑体" w:eastAsia="黑体" w:hAnsi="黑体" w:hint="eastAsia"/>
          <w:sz w:val="28"/>
          <w:szCs w:val="28"/>
        </w:rPr>
      </w:pPr>
      <w:r>
        <w:rPr>
          <w:rFonts w:ascii="黑体" w:eastAsia="黑体" w:hAnsi="黑体" w:hint="eastAsia"/>
          <w:sz w:val="28"/>
          <w:szCs w:val="28"/>
        </w:rPr>
        <w:t>1.前言</w:t>
      </w:r>
    </w:p>
    <w:p w:rsidR="0027584A">
      <w:pPr>
        <w:pStyle w:val="NormalWeb"/>
        <w:widowControl/>
        <w:shd w:val="clear" w:color="auto" w:fill="FFFFFF"/>
        <w:spacing w:line="460" w:lineRule="auto"/>
        <w:ind w:firstLine="424" w:firstLineChars="202"/>
        <w:rPr>
          <w:rFonts w:ascii="宋体" w:hAnsi="宋体"/>
          <w:sz w:val="21"/>
          <w:szCs w:val="21"/>
        </w:rPr>
      </w:pPr>
      <w:r>
        <w:rPr>
          <w:rFonts w:ascii="宋体" w:hAnsi="宋体" w:hint="eastAsia"/>
          <w:sz w:val="21"/>
          <w:szCs w:val="21"/>
        </w:rPr>
        <w:t>随着施工技术的发展，高层建筑因其建筑功用，出现越来越多下部大跨度空间设计，为解决上部结构的荷载合理传递问题，钢结构转换桁架在高层建筑中的运用逐渐推广开来</w:t>
      </w:r>
      <w:r>
        <w:rPr>
          <w:rFonts w:ascii="宋体" w:hAnsi="宋体"/>
          <w:sz w:val="21"/>
          <w:szCs w:val="21"/>
        </w:rPr>
        <w:t>。</w:t>
      </w:r>
    </w:p>
    <w:p w:rsidR="0027584A">
      <w:pPr>
        <w:pStyle w:val="NormalWeb"/>
        <w:widowControl/>
        <w:shd w:val="clear" w:color="auto" w:fill="FFFFFF"/>
        <w:spacing w:line="460" w:lineRule="auto"/>
        <w:ind w:firstLine="480"/>
        <w:rPr>
          <w:rFonts w:ascii="宋体" w:hAnsi="宋体"/>
          <w:sz w:val="21"/>
          <w:szCs w:val="21"/>
        </w:rPr>
      </w:pPr>
      <w:r>
        <w:rPr>
          <w:rFonts w:ascii="宋体" w:hAnsi="宋体" w:hint="eastAsia"/>
          <w:sz w:val="21"/>
          <w:szCs w:val="21"/>
        </w:rPr>
        <w:t>钢桁架自身重量大、安装高度高、危险性大，安装质量规定高，影响同期各专业施工，占据施工关键线路，郑州报业大厦工程项目钢桁架施工采用地面拼装、整体吊装的施工方案，运用液压</w:t>
      </w:r>
      <w:r>
        <w:rPr>
          <w:rFonts w:hint="eastAsia"/>
          <w:sz w:val="21"/>
          <w:szCs w:val="21"/>
        </w:rPr>
        <w:t>同步提高施工，保证了工程质量、减少了施工风险、节约了工期。</w:t>
      </w:r>
    </w:p>
    <w:p w:rsidR="0027584A">
      <w:pPr>
        <w:pStyle w:val="NormalWeb"/>
        <w:widowControl/>
        <w:shd w:val="clear" w:color="auto" w:fill="FFFFFF"/>
        <w:spacing w:line="460" w:lineRule="auto"/>
        <w:ind w:firstLine="480"/>
        <w:rPr>
          <w:rFonts w:ascii="黑体" w:eastAsia="黑体" w:hAnsi="黑体" w:hint="eastAsia"/>
          <w:sz w:val="28"/>
          <w:szCs w:val="28"/>
        </w:rPr>
        <w:sectPr>
          <w:pgSz w:w="11906" w:h="16838"/>
          <w:pgMar w:top="1440" w:right="1418" w:bottom="1440" w:left="1701" w:header="851" w:footer="992" w:gutter="0"/>
          <w:cols w:space="720"/>
          <w:docGrid w:type="lines" w:linePitch="312"/>
        </w:sectPr>
      </w:pPr>
      <w:r>
        <w:rPr>
          <w:rFonts w:ascii="宋体" w:hAnsi="宋体" w:hint="eastAsia"/>
          <w:sz w:val="21"/>
          <w:szCs w:val="21"/>
        </w:rPr>
        <w:t>结合工程实践，将大型钢混转换桁架施工工艺编制成公司工法，为宝冶集团在后期类似的高层施工中提供借鉴和参考。</w:t>
      </w:r>
    </w:p>
    <w:p w:rsidR="0027584A">
      <w:pPr>
        <w:pStyle w:val="Heading1"/>
        <w:spacing w:before="0" w:after="0" w:line="460" w:lineRule="auto"/>
        <w:jc w:val="center"/>
        <w:rPr>
          <w:rFonts w:ascii="黑体" w:eastAsia="黑体" w:hAnsi="黑体" w:hint="eastAsia"/>
          <w:sz w:val="28"/>
          <w:szCs w:val="28"/>
        </w:rPr>
      </w:pPr>
      <w:r>
        <w:rPr>
          <w:rFonts w:ascii="黑体" w:eastAsia="黑体" w:hAnsi="黑体" w:hint="eastAsia"/>
          <w:sz w:val="28"/>
          <w:szCs w:val="28"/>
        </w:rPr>
        <w:t>2.工法特点</w:t>
      </w:r>
    </w:p>
    <w:p w:rsidR="0027584A">
      <w:pPr>
        <w:keepNext/>
        <w:keepLines/>
        <w:spacing w:line="460" w:lineRule="auto"/>
        <w:ind w:firstLine="420" w:firstLineChars="200"/>
        <w:jc w:val="left"/>
        <w:rPr>
          <w:rFonts w:hint="eastAsia"/>
          <w:szCs w:val="21"/>
        </w:rPr>
      </w:pPr>
      <w:r>
        <w:rPr>
          <w:rFonts w:hint="eastAsia"/>
        </w:rPr>
        <w:t xml:space="preserve">2.1  </w:t>
      </w:r>
      <w:r>
        <w:rPr>
          <w:rFonts w:hint="eastAsia"/>
          <w:szCs w:val="21"/>
        </w:rPr>
        <w:t>钢结构重要的拼装、焊接及油漆等工作在地面上完毕，施工效率高，施工质量易于保证。</w:t>
      </w:r>
    </w:p>
    <w:p w:rsidR="0027584A">
      <w:pPr>
        <w:keepNext/>
        <w:keepLines/>
        <w:spacing w:line="460" w:lineRule="auto"/>
        <w:ind w:firstLine="420" w:firstLineChars="200"/>
        <w:jc w:val="left"/>
        <w:rPr>
          <w:rFonts w:hint="eastAsia"/>
          <w:szCs w:val="21"/>
        </w:rPr>
      </w:pPr>
      <w:r>
        <w:rPr>
          <w:rFonts w:hint="eastAsia"/>
          <w:szCs w:val="21"/>
        </w:rPr>
        <w:t>2.2  钢结构的施工作业集中在地面，对其它专业的施工影响较小，且可以多作业面平行施工，有助于项目总工期控制。</w:t>
      </w:r>
    </w:p>
    <w:p w:rsidR="0027584A">
      <w:pPr>
        <w:keepNext/>
        <w:keepLines/>
        <w:spacing w:line="460" w:lineRule="auto"/>
        <w:ind w:firstLine="420" w:firstLineChars="200"/>
        <w:jc w:val="left"/>
        <w:rPr>
          <w:rFonts w:hint="eastAsia"/>
          <w:szCs w:val="21"/>
        </w:rPr>
      </w:pPr>
      <w:r>
        <w:rPr>
          <w:rFonts w:hint="eastAsia"/>
          <w:szCs w:val="21"/>
        </w:rPr>
        <w:t>2.3  钢结构的附属次结构件等在地面完毕安装，可减少高空吊装工作量，缩短安装施工周期。</w:t>
      </w:r>
    </w:p>
    <w:p w:rsidR="0027584A">
      <w:pPr>
        <w:keepNext/>
        <w:keepLines/>
        <w:spacing w:line="460" w:lineRule="auto"/>
        <w:ind w:firstLine="420" w:firstLineChars="200"/>
        <w:jc w:val="left"/>
        <w:rPr>
          <w:rFonts w:hint="eastAsia"/>
          <w:szCs w:val="21"/>
        </w:rPr>
      </w:pPr>
      <w:r>
        <w:rPr>
          <w:rFonts w:hint="eastAsia"/>
          <w:szCs w:val="21"/>
        </w:rPr>
        <w:t>2.4  通过钢结构单元的整体提高，将高空作业量降至最少，加之液压提高作业绝对时间较短，可以有效保证空中钢结构安装的总体工期。</w:t>
      </w:r>
    </w:p>
    <w:p w:rsidR="0027584A">
      <w:pPr>
        <w:keepNext/>
        <w:keepLines/>
        <w:spacing w:line="460" w:lineRule="auto"/>
        <w:ind w:firstLine="420" w:firstLineChars="200"/>
        <w:jc w:val="left"/>
        <w:rPr>
          <w:rFonts w:hint="eastAsia"/>
          <w:szCs w:val="21"/>
        </w:rPr>
      </w:pPr>
      <w:r>
        <w:rPr>
          <w:rFonts w:hint="eastAsia"/>
          <w:szCs w:val="21"/>
        </w:rPr>
        <w:t>2.5  采用</w:t>
      </w:r>
      <w:r>
        <w:rPr>
          <w:rFonts w:hint="eastAsia"/>
          <w:szCs w:val="21"/>
        </w:rPr>
        <w:t>“</w:t>
      </w:r>
      <w:r>
        <w:rPr>
          <w:rFonts w:hint="eastAsia"/>
          <w:szCs w:val="21"/>
        </w:rPr>
        <w:t>超大型构件液压同步提高施工技术</w:t>
      </w:r>
      <w:r>
        <w:rPr>
          <w:rFonts w:hint="eastAsia"/>
          <w:szCs w:val="21"/>
        </w:rPr>
        <w:t>”</w:t>
      </w:r>
      <w:r>
        <w:rPr>
          <w:rFonts w:hint="eastAsia"/>
          <w:szCs w:val="21"/>
        </w:rPr>
        <w:t>吊装钢结构，技术成熟，吊装过程的安全有保证；液压提高系统的提高器锚具不仅具有逆向运动自锁性，提高吊装过程安全性，并且系统自身具有毫米级的微调功能，可以实现空中精拟定位。</w:t>
      </w:r>
    </w:p>
    <w:p w:rsidR="0027584A">
      <w:pPr>
        <w:keepNext/>
        <w:keepLines/>
        <w:spacing w:line="460" w:lineRule="auto"/>
        <w:ind w:firstLine="420" w:firstLineChars="200"/>
        <w:jc w:val="left"/>
        <w:rPr>
          <w:rFonts w:hint="eastAsia"/>
          <w:szCs w:val="21"/>
        </w:rPr>
      </w:pPr>
      <w:r>
        <w:rPr>
          <w:rFonts w:hint="eastAsia"/>
          <w:szCs w:val="21"/>
        </w:rPr>
        <w:t>2.6  提高上下吊点等重要临时结构运用自身结构设立，加之液压同步提高动荷载极小的优点，可以使提高临时施焊量降至最少，有助于节约施工成本。</w:t>
      </w:r>
    </w:p>
    <w:p w:rsidR="0027584A">
      <w:pPr>
        <w:pStyle w:val="Heading1"/>
        <w:spacing w:before="0" w:after="0" w:line="460" w:lineRule="auto"/>
        <w:jc w:val="center"/>
        <w:rPr>
          <w:rFonts w:hint="eastAsia"/>
          <w:szCs w:val="21"/>
        </w:rPr>
      </w:pPr>
      <w:r>
        <w:rPr>
          <w:rFonts w:ascii="黑体" w:eastAsia="黑体" w:hAnsi="黑体" w:hint="eastAsia"/>
          <w:sz w:val="28"/>
          <w:szCs w:val="28"/>
        </w:rPr>
        <w:t>3.合用范围</w:t>
      </w:r>
    </w:p>
    <w:p w:rsidR="0027584A">
      <w:pPr>
        <w:spacing w:line="460" w:lineRule="auto"/>
        <w:ind w:firstLine="420" w:firstLineChars="200"/>
        <w:rPr>
          <w:rFonts w:hint="eastAsia"/>
          <w:szCs w:val="21"/>
        </w:rPr>
      </w:pPr>
      <w:r>
        <w:rPr>
          <w:rFonts w:hint="eastAsia"/>
          <w:szCs w:val="21"/>
        </w:rPr>
        <w:t>本工法合用于核心筒框架剪力墙结构的高层建筑中，下部存在大跨度空间，上部结构荷载需要有合理传力系统的结构施工。</w:t>
      </w:r>
    </w:p>
    <w:p w:rsidR="0027584A">
      <w:pPr>
        <w:pStyle w:val="Heading1"/>
        <w:spacing w:before="0" w:after="0" w:line="460" w:lineRule="auto"/>
        <w:jc w:val="center"/>
        <w:rPr>
          <w:rFonts w:ascii="黑体" w:eastAsia="黑体" w:hAnsi="黑体"/>
          <w:sz w:val="28"/>
          <w:szCs w:val="28"/>
        </w:rPr>
      </w:pPr>
      <w:r>
        <w:rPr>
          <w:rFonts w:ascii="黑体" w:eastAsia="黑体" w:hAnsi="黑体" w:hint="eastAsia"/>
          <w:sz w:val="28"/>
          <w:szCs w:val="28"/>
        </w:rPr>
        <w:t>4.工艺原理</w:t>
      </w:r>
    </w:p>
    <w:p w:rsidR="0027584A">
      <w:pPr>
        <w:spacing w:line="460" w:lineRule="auto"/>
        <w:ind w:firstLine="420" w:firstLineChars="200"/>
        <w:rPr>
          <w:rFonts w:ascii="黑体" w:eastAsia="黑体" w:hAnsi="黑体" w:hint="eastAsia"/>
          <w:sz w:val="28"/>
          <w:szCs w:val="28"/>
        </w:rPr>
      </w:pPr>
      <w:r>
        <w:rPr>
          <w:rFonts w:hint="eastAsia"/>
        </w:rPr>
        <w:t>钢桁架在其正下方的首层楼面上采用卧拼的方式拼装为整体，同时运用结构已安装完毕的钢骨结构设立提高平台，提高平台上布置两台液压提高器，在桁架上弦与上吊点相应的位置安装下吊点临时吊具，上下吊点通过专用钢绞线和专用底锚连接，运用液压同步提高系统将钢桁架翻身立直后，再继续提高至设计安装标高，完毕钢桁架安装。</w:t>
      </w:r>
    </w:p>
    <w:p w:rsidR="0027584A">
      <w:pPr>
        <w:pStyle w:val="Heading1"/>
        <w:spacing w:before="0" w:after="0" w:line="460" w:lineRule="auto"/>
        <w:jc w:val="center"/>
        <w:rPr>
          <w:rFonts w:ascii="黑体" w:eastAsia="黑体" w:hAnsi="黑体" w:hint="eastAsia"/>
          <w:sz w:val="28"/>
          <w:szCs w:val="28"/>
        </w:rPr>
      </w:pPr>
      <w:r>
        <w:rPr>
          <w:rFonts w:ascii="黑体" w:eastAsia="黑体" w:hAnsi="黑体" w:hint="eastAsia"/>
          <w:sz w:val="28"/>
          <w:szCs w:val="28"/>
        </w:rPr>
        <w:t>5.工艺流程及操作要点</w:t>
      </w:r>
    </w:p>
    <w:p w:rsidR="0027584A">
      <w:pPr>
        <w:spacing w:line="460" w:lineRule="auto"/>
        <w:ind w:firstLine="422" w:firstLineChars="201"/>
        <w:rPr>
          <w:rFonts w:ascii="宋体" w:hAnsi="宋体" w:hint="eastAsia"/>
          <w:b/>
          <w:bCs/>
          <w:szCs w:val="21"/>
        </w:rPr>
      </w:pPr>
      <w:r>
        <w:rPr>
          <w:rFonts w:ascii="宋体" w:hAnsi="宋体" w:hint="eastAsia"/>
          <w:b/>
          <w:bCs/>
          <w:szCs w:val="21"/>
        </w:rPr>
        <w:t>5.1 工艺流程</w:t>
      </w:r>
    </w:p>
    <w:p w:rsidR="0027584A">
      <w:pPr>
        <w:spacing w:line="360" w:lineRule="auto"/>
        <w:ind w:firstLine="422" w:firstLineChars="201"/>
        <w:rPr>
          <w:rFonts w:ascii="宋体" w:hAnsi="宋体" w:hint="eastAsia"/>
          <w:b/>
          <w:bCs/>
          <w:szCs w:val="21"/>
        </w:rPr>
        <w:sectPr>
          <w:type w:val="nextPage"/>
          <w:pgSz w:w="11906" w:h="16838"/>
          <w:pgMar w:top="1440" w:right="1418" w:bottom="1440" w:left="1701" w:header="851" w:footer="992" w:gutter="0"/>
          <w:pgNumType w:start="2"/>
          <w:cols w:space="720"/>
          <w:titlePg w:val="0"/>
          <w:docGrid w:type="lines" w:linePitch="312"/>
        </w:sectPr>
      </w:pPr>
      <w:r>
        <w:pict>
          <v:group id="组合 107" o:spid="_x0000_s1025" style="width:81.2pt;height:69.55pt;margin-top:17pt;margin-left:8.15pt;position:absolute;z-index:251658240" coordorigin="2122,21175" coordsize="1624,1318">
            <o:lock v:ext="edit" aspectratio="f"/>
            <v:line id="直线 106" o:spid="_x0000_s1026" style="position:absolute" from="2908,21595" to="2909,22494" stroked="t">
              <v:fill o:detectmouseclick="t"/>
              <v:stroke endarrow="open"/>
              <o:lock v:ext="edit" aspectratio="f"/>
            </v:line>
            <v:shapetype id="_x0000_t202" coordsize="21600,21600" o:spt="202" path="m,l,21600r21600,l21600,xe">
              <v:stroke joinstyle="miter"/>
              <v:path gradientshapeok="t" o:connecttype="rect"/>
            </v:shapetype>
            <v:shape id="文本框 105" o:spid="_x0000_s1027" type="#_x0000_t202" style="width:1625;height:412;left:2122;position:absolute;top:21175" filled="t" stroked="t">
              <o:lock v:ext="edit" aspectratio="f"/>
              <v:textbox>
                <w:txbxContent>
                  <w:p w:rsidR="0027584A">
                    <w:pPr>
                      <w:spacing w:line="460" w:lineRule="auto"/>
                      <w:rPr>
                        <w:rFonts w:hint="eastAsia"/>
                      </w:rPr>
                    </w:pPr>
                    <w:r>
                      <w:rPr>
                        <w:rFonts w:hint="eastAsia"/>
                      </w:rPr>
                      <w:t>钢柱钢梁安装</w:t>
                    </w:r>
                  </w:p>
                </w:txbxContent>
              </v:textbox>
            </v:shape>
          </v:group>
        </w:pict>
      </w:r>
    </w:p>
    <w:p w:rsidR="0027584A">
      <w:pPr>
        <w:spacing w:line="360" w:lineRule="auto"/>
        <w:ind w:firstLine="422" w:firstLineChars="201"/>
        <w:rPr>
          <w:rFonts w:ascii="宋体" w:hAnsi="宋体" w:hint="eastAsia"/>
          <w:b/>
          <w:bCs/>
          <w:szCs w:val="21"/>
        </w:rPr>
      </w:pPr>
    </w:p>
    <w:p w:rsidR="0027584A">
      <w:pPr>
        <w:rPr>
          <w:rFonts w:hint="eastAsia"/>
        </w:rPr>
      </w:pPr>
    </w:p>
    <w:p w:rsidR="0027584A">
      <w:pPr>
        <w:rPr>
          <w:rFonts w:hint="eastAsia"/>
        </w:rPr>
      </w:pPr>
    </w:p>
    <w:p w:rsidR="0027584A">
      <w:pPr>
        <w:rPr>
          <w:rFonts w:ascii="宋体" w:hAnsi="宋体" w:hint="eastAsia"/>
          <w:b/>
          <w:bCs/>
          <w:szCs w:val="21"/>
        </w:rPr>
      </w:pPr>
      <w:r>
        <w:pict>
          <v:group id="组合 255" o:spid="_x0000_i1028" style="width:423.7pt;height:140.35pt;mso-position-horizontal-relative:char;mso-position-vertical-relative:line" coordorigin="2028,20877" coordsize="8878,2753">
            <o:lock v:ext="edit" aspectratio="f"/>
            <v:group id="组合 256" o:spid="_x0000_s1029" style="width:1624;height:1203;left:8814;position:absolute;top:20877" coordorigin="8814,20877" coordsize="1624,1203">
              <o:lock v:ext="edit" aspectratio="f"/>
              <v:shape id="文本框 257" o:spid="_x0000_s1030" type="#_x0000_t202" style="width:1624;height:412;left:8814;position:absolute;top:20877" filled="t" stroked="t">
                <o:lock v:ext="edit" aspectratio="f"/>
                <v:textbox>
                  <w:txbxContent>
                    <w:p w:rsidR="0027584A">
                      <w:pPr>
                        <w:spacing w:line="460" w:lineRule="auto"/>
                        <w:rPr>
                          <w:rFonts w:hint="eastAsia"/>
                          <w:sz w:val="20"/>
                          <w:szCs w:val="22"/>
                        </w:rPr>
                      </w:pPr>
                      <w:r>
                        <w:rPr>
                          <w:rFonts w:hint="eastAsia"/>
                          <w:sz w:val="20"/>
                          <w:szCs w:val="22"/>
                        </w:rPr>
                        <w:t>桁架正式提高</w:t>
                      </w:r>
                    </w:p>
                  </w:txbxContent>
                </v:textbox>
              </v:shape>
              <v:line id="直线 258" o:spid="_x0000_s1031" style="flip:x;position:absolute" from="9591,21300" to="9602,22081" stroked="t">
                <v:stroke endarrow="open"/>
                <o:lock v:ext="edit" aspectratio="f"/>
              </v:line>
            </v:group>
            <v:group id="组合 259" o:spid="_x0000_s1032" style="width:3802;height:412;left:7104;position:absolute;top:22080" coordorigin="7104,22080" coordsize="3802,412">
              <o:lock v:ext="edit" aspectratio="f"/>
              <v:shape id="文本框 260" o:spid="_x0000_s1033" type="#_x0000_t202" style="width:2645;height:412;left:8262;position:absolute;top:22080" filled="t" stroked="t">
                <o:lock v:ext="edit" aspectratio="f"/>
                <v:textbox>
                  <w:txbxContent>
                    <w:p w:rsidR="0027584A">
                      <w:pPr>
                        <w:spacing w:line="460" w:lineRule="auto"/>
                        <w:rPr>
                          <w:rFonts w:hint="eastAsia"/>
                          <w:sz w:val="20"/>
                          <w:szCs w:val="22"/>
                        </w:rPr>
                      </w:pPr>
                      <w:r>
                        <w:rPr>
                          <w:rFonts w:hint="eastAsia"/>
                          <w:sz w:val="20"/>
                          <w:szCs w:val="22"/>
                        </w:rPr>
                        <w:t>提高至设计标高补充杆件</w:t>
                      </w:r>
                    </w:p>
                  </w:txbxContent>
                </v:textbox>
              </v:shape>
              <v:line id="直线 261" o:spid="_x0000_s1034" style="flip:x y;position:absolute" from="7104,22286" to="8262,22296" stroked="t">
                <v:stroke endarrow="open"/>
                <o:lock v:ext="edit" aspectratio="f"/>
              </v:line>
            </v:group>
            <v:group id="组合 262" o:spid="_x0000_s1035" style="width:6750;height:417;left:2056;position:absolute;top:20903" coordorigin="2056,20903" coordsize="6750,417">
              <o:lock v:ext="edit" aspectratio="f"/>
              <v:group id="组合 263" o:spid="_x0000_s1036" style="width:3423;height:412;left:2056;position:absolute;top:20908" coordorigin="2012,20876" coordsize="3423,412">
                <o:lock v:ext="edit" aspectratio="f"/>
                <v:shape id="文本框 264" o:spid="_x0000_s1037" type="#_x0000_t202" style="width:2035;height:412;left:2012;position:absolute;top:20876" filled="t" stroked="t">
                  <o:lock v:ext="edit" aspectratio="f"/>
                  <v:textbox>
                    <w:txbxContent>
                      <w:p w:rsidR="0027584A">
                        <w:pPr>
                          <w:spacing w:line="460" w:lineRule="auto"/>
                          <w:rPr>
                            <w:rFonts w:hint="eastAsia"/>
                            <w:sz w:val="20"/>
                            <w:szCs w:val="22"/>
                          </w:rPr>
                        </w:pPr>
                        <w:r>
                          <w:rPr>
                            <w:rFonts w:hint="eastAsia"/>
                            <w:sz w:val="20"/>
                            <w:szCs w:val="22"/>
                          </w:rPr>
                          <w:t>桁架地面整体拼装</w:t>
                        </w:r>
                      </w:p>
                    </w:txbxContent>
                  </v:textbox>
                </v:shape>
                <v:line id="直线 265" o:spid="_x0000_s1038" style="position:absolute" from="4051,21088" to="5435,21089" stroked="t">
                  <v:stroke endarrow="open"/>
                  <o:lock v:ext="edit" aspectratio="f"/>
                </v:line>
              </v:group>
              <v:group id="组合 266" o:spid="_x0000_s1039" style="width:3328;height:412;left:5478;position:absolute;top:20903" coordorigin="5478,20903" coordsize="3328,412">
                <o:lock v:ext="edit" aspectratio="f"/>
                <v:shape id="文本框 267" o:spid="_x0000_s1040" type="#_x0000_t202" style="width:1810;height:412;left:5478;position:absolute;top:20903" filled="t" stroked="t">
                  <o:lock v:ext="edit" aspectratio="f"/>
                  <v:textbox>
                    <w:txbxContent>
                      <w:p w:rsidR="0027584A">
                        <w:pPr>
                          <w:spacing w:line="460" w:lineRule="auto"/>
                          <w:rPr>
                            <w:rFonts w:hint="eastAsia"/>
                            <w:sz w:val="20"/>
                            <w:szCs w:val="22"/>
                          </w:rPr>
                        </w:pPr>
                        <w:r>
                          <w:rPr>
                            <w:rFonts w:hint="eastAsia"/>
                            <w:sz w:val="20"/>
                            <w:szCs w:val="22"/>
                          </w:rPr>
                          <w:t>桁架翻身预提高</w:t>
                        </w:r>
                      </w:p>
                    </w:txbxContent>
                  </v:textbox>
                </v:shape>
                <v:line id="直线 268" o:spid="_x0000_s1041" style="flip:y;position:absolute" from="7292,21094" to="8806,21112" stroked="t">
                  <v:stroke endarrow="open"/>
                  <o:lock v:ext="edit" aspectratio="f"/>
                </v:line>
              </v:group>
            </v:group>
            <v:group id="组合 269" o:spid="_x0000_s1042" style="width:5056;height:1552;left:2028;position:absolute;top:22078" coordorigin="2028,22078" coordsize="5056,1552">
              <o:lock v:ext="edit" aspectratio="f"/>
              <v:shape id="文本框 270" o:spid="_x0000_s1043" type="#_x0000_t202" style="width:1924;height:412;left:2028;position:absolute;top:23218" filled="t" stroked="t">
                <o:lock v:ext="edit" aspectratio="f"/>
                <v:textbox>
                  <w:txbxContent>
                    <w:p w:rsidR="0027584A">
                      <w:pPr>
                        <w:spacing w:line="460" w:lineRule="auto"/>
                        <w:rPr>
                          <w:rFonts w:hint="eastAsia"/>
                        </w:rPr>
                      </w:pPr>
                      <w:r>
                        <w:rPr>
                          <w:rFonts w:hint="eastAsia"/>
                          <w:sz w:val="20"/>
                          <w:szCs w:val="22"/>
                        </w:rPr>
                        <w:t>钢结构涂装补漆</w:t>
                      </w:r>
                    </w:p>
                  </w:txbxContent>
                </v:textbox>
              </v:shape>
              <v:line id="直线 271" o:spid="_x0000_s1044" style="flip:x;position:absolute" from="2964,22505" to="2975,23232" stroked="t">
                <v:stroke endarrow="open"/>
                <o:lock v:ext="edit" aspectratio="f"/>
              </v:line>
              <v:group id="组合 272" o:spid="_x0000_s1045" style="width:4750;height:419;left:2334;position:absolute;top:22078" coordorigin="2334,22078" coordsize="4750,419">
                <o:lock v:ext="edit" aspectratio="f"/>
                <v:shape id="文本框 273" o:spid="_x0000_s1046" type="#_x0000_t202" style="width:2002;height:412;left:5082;position:absolute;top:22085" filled="t" stroked="t">
                  <o:lock v:ext="edit" aspectratio="f"/>
                  <v:textbox>
                    <w:txbxContent>
                      <w:p w:rsidR="0027584A">
                        <w:pPr>
                          <w:spacing w:line="460" w:lineRule="auto"/>
                          <w:rPr>
                            <w:rFonts w:hint="eastAsia"/>
                            <w:sz w:val="20"/>
                            <w:szCs w:val="22"/>
                          </w:rPr>
                        </w:pPr>
                        <w:r>
                          <w:rPr>
                            <w:rFonts w:hint="eastAsia"/>
                            <w:sz w:val="20"/>
                            <w:szCs w:val="22"/>
                          </w:rPr>
                          <w:t>高强螺栓安装施工</w:t>
                        </w:r>
                      </w:p>
                    </w:txbxContent>
                  </v:textbox>
                </v:shape>
                <v:line id="直线 274" o:spid="_x0000_s1047" style="flip:x;position:absolute" from="3786,22300" to="5072,22312" stroked="t">
                  <v:stroke endarrow="open"/>
                  <o:lock v:ext="edit" aspectratio="f"/>
                </v:line>
                <v:shape id="文本框 275" o:spid="_x0000_s1048" type="#_x0000_t202" style="width:1431;height:412;left:2334;position:absolute;top:22078" filled="t" stroked="t">
                  <o:lock v:ext="edit" aspectratio="f"/>
                  <v:textbox>
                    <w:txbxContent>
                      <w:p w:rsidR="0027584A">
                        <w:pPr>
                          <w:spacing w:line="460" w:lineRule="auto"/>
                          <w:rPr>
                            <w:rFonts w:hint="eastAsia"/>
                            <w:sz w:val="20"/>
                            <w:szCs w:val="22"/>
                          </w:rPr>
                        </w:pPr>
                        <w:r>
                          <w:rPr>
                            <w:rFonts w:hint="eastAsia"/>
                            <w:sz w:val="20"/>
                            <w:szCs w:val="22"/>
                          </w:rPr>
                          <w:t>钢结构焊接</w:t>
                        </w:r>
                      </w:p>
                    </w:txbxContent>
                  </v:textbox>
                </v:shape>
              </v:group>
            </v:group>
            <w10:wrap type="none"/>
            <w10:anchorlock/>
          </v:group>
        </w:pict>
      </w:r>
    </w:p>
    <w:p w:rsidR="0027584A">
      <w:pPr>
        <w:pStyle w:val="212"/>
        <w:spacing w:line="460" w:lineRule="auto"/>
        <w:ind w:firstLine="420" w:firstLineChars="200"/>
        <w:rPr>
          <w:rFonts w:ascii="宋体" w:hAnsi="宋体" w:hint="eastAsia"/>
          <w:b/>
          <w:bCs/>
          <w:szCs w:val="21"/>
        </w:rPr>
      </w:pPr>
      <w:r>
        <w:rPr>
          <w:rFonts w:ascii="宋体" w:hAnsi="宋体" w:cs="仿宋"/>
          <w:szCs w:val="21"/>
        </w:rPr>
        <w:pict>
          <v:shapetype id="_x0000_t32" coordsize="21600,21600" o:spt="32" o:oned="t" path="m,l21600,21600e" filled="f">
            <v:path arrowok="t" fillok="f" o:connecttype="none"/>
            <o:lock v:ext="edit" shapetype="t"/>
          </v:shapetype>
          <v:shape id="直接箭头连接符 1" o:spid="_x0000_s1049" type="#_x0000_t32" style="width:0;height:22.15pt;margin-top:617.8pt;margin-left:117.75pt;mso-position-horizontal-relative:page;mso-position-vertical-relative:page;position:absolute;z-index:251659264" o:connectortype="straight" filled="f" stroked="f">
            <v:fill o:detectmouseclick="t"/>
            <v:path arrowok="t" fillok="f"/>
            <o:lock v:ext="edit" aspectratio="f"/>
          </v:shape>
        </w:pict>
      </w:r>
      <w:r>
        <w:rPr>
          <w:rFonts w:ascii="宋体" w:hAnsi="宋体" w:hint="eastAsia"/>
          <w:b/>
          <w:bCs/>
          <w:szCs w:val="21"/>
        </w:rPr>
        <w:t>5.2  操作要点</w:t>
      </w:r>
    </w:p>
    <w:p w:rsidR="0027584A">
      <w:pPr>
        <w:pStyle w:val="Heading2"/>
        <w:numPr>
          <w:ilvl w:val="0"/>
          <w:numId w:val="0"/>
        </w:numPr>
        <w:spacing w:before="163" w:after="163" w:line="460" w:lineRule="auto"/>
        <w:ind w:firstLine="420" w:firstLineChars="200"/>
        <w:rPr>
          <w:rFonts w:ascii="宋体" w:hAnsi="宋体" w:hint="eastAsia"/>
          <w:b w:val="0"/>
          <w:color w:val="FF0000"/>
        </w:rPr>
      </w:pPr>
      <w:bookmarkStart w:id="0" w:name="_Toc30127"/>
      <w:bookmarkStart w:id="1" w:name="_Toc353178627"/>
      <w:r>
        <w:rPr>
          <w:rFonts w:ascii="宋体" w:hAnsi="宋体" w:hint="eastAsia"/>
          <w:b w:val="0"/>
        </w:rPr>
        <w:t>5.2.1塔楼桁架安装</w:t>
      </w:r>
      <w:bookmarkEnd w:id="0"/>
      <w:bookmarkEnd w:id="1"/>
    </w:p>
    <w:p w:rsidR="0027584A">
      <w:pPr>
        <w:spacing w:before="163" w:line="460" w:lineRule="auto"/>
        <w:ind w:firstLine="420" w:firstLineChars="200"/>
      </w:pPr>
      <w:bookmarkStart w:id="2" w:name="_Toc13209"/>
      <w:r>
        <w:rPr>
          <w:rFonts w:hint="eastAsia"/>
        </w:rPr>
        <w:t>01  桁架钢柱安装</w:t>
      </w:r>
      <w:bookmarkEnd w:id="2"/>
    </w:p>
    <w:p w:rsidR="0027584A">
      <w:pPr>
        <w:spacing w:line="460" w:lineRule="auto"/>
        <w:ind w:firstLine="420" w:firstLineChars="200"/>
        <w:jc w:val="left"/>
        <w:rPr>
          <w:rFonts w:ascii="宋体" w:hAnsi="宋体" w:cs="宋体"/>
          <w:snapToGrid w:val="0"/>
          <w:kern w:val="0"/>
          <w:szCs w:val="20"/>
        </w:rPr>
      </w:pPr>
      <w:r>
        <w:rPr>
          <w:rFonts w:ascii="宋体" w:hAnsi="宋体" w:cs="宋体" w:hint="eastAsia"/>
          <w:szCs w:val="20"/>
        </w:rPr>
        <w:t>复核钢结构测量控制网，测设细部轴线并与土建测设的轴线互相参照，保证两个专业使用的轴线统一。复测已安装钢骨柱柱头的中心线轴线偏差、标高位置，形成数据，以便为上部钢柱的安装提供依据。根据每段钢柱的重量，准备不同规格的钢丝绳和卡环，并准备好倒链、揽风绳、工具包、榔头以及扳手等施工机具。</w:t>
      </w:r>
    </w:p>
    <w:p w:rsidR="0027584A">
      <w:pPr>
        <w:spacing w:line="460" w:lineRule="auto"/>
        <w:ind w:firstLine="420" w:firstLineChars="200"/>
        <w:jc w:val="left"/>
        <w:rPr>
          <w:rFonts w:ascii="宋体" w:hAnsi="宋体" w:cs="宋体"/>
          <w:snapToGrid w:val="0"/>
          <w:kern w:val="0"/>
          <w:szCs w:val="20"/>
        </w:rPr>
      </w:pPr>
      <w:r>
        <w:rPr>
          <w:rFonts w:ascii="宋体" w:hAnsi="宋体" w:cs="宋体" w:hint="eastAsia"/>
          <w:snapToGrid w:val="0"/>
          <w:kern w:val="0"/>
          <w:szCs w:val="20"/>
        </w:rPr>
        <w:t>（1）钢柱吊装：</w:t>
      </w:r>
    </w:p>
    <w:p w:rsidR="0027584A">
      <w:pPr>
        <w:spacing w:line="460" w:lineRule="auto"/>
        <w:ind w:firstLine="480"/>
        <w:jc w:val="left"/>
        <w:rPr>
          <w:rFonts w:ascii="宋体" w:hAnsi="宋体" w:cs="宋体"/>
          <w:szCs w:val="20"/>
        </w:rPr>
      </w:pPr>
      <w:r>
        <w:rPr>
          <w:rFonts w:ascii="宋体" w:hAnsi="宋体" w:cs="宋体" w:hint="eastAsia"/>
          <w:szCs w:val="20"/>
        </w:rPr>
        <w:t>钢柱吊装到位后，钢柱的中心线应与下面一段钢柱的中心线吻合，并四周兼顾，活动双夹板平稳插入下节柱相应的安装耳板上，穿好连接螺栓，连接好临时连接夹板，并及时拉设缆风绳对钢柱进一步进行稳固。</w:t>
      </w:r>
    </w:p>
    <w:p w:rsidR="0027584A">
      <w:pPr>
        <w:spacing w:line="460" w:lineRule="auto"/>
        <w:ind w:firstLine="420" w:firstLineChars="200"/>
        <w:jc w:val="left"/>
        <w:rPr>
          <w:rFonts w:ascii="宋体" w:hAnsi="宋体" w:cs="宋体"/>
          <w:snapToGrid w:val="0"/>
          <w:kern w:val="0"/>
          <w:szCs w:val="20"/>
        </w:rPr>
      </w:pPr>
      <w:r>
        <w:rPr>
          <w:rFonts w:ascii="宋体" w:hAnsi="宋体" w:cs="宋体" w:hint="eastAsia"/>
          <w:snapToGrid w:val="0"/>
          <w:kern w:val="0"/>
          <w:szCs w:val="20"/>
        </w:rPr>
        <w:t>（2）钢骨柱临时固定：</w:t>
      </w:r>
    </w:p>
    <w:p w:rsidR="0027584A">
      <w:pPr>
        <w:spacing w:line="460" w:lineRule="auto"/>
        <w:ind w:firstLine="420" w:firstLineChars="200"/>
        <w:jc w:val="left"/>
        <w:rPr>
          <w:rFonts w:ascii="宋体" w:hAnsi="宋体" w:cs="宋体"/>
          <w:szCs w:val="20"/>
        </w:rPr>
        <w:sectPr>
          <w:type w:val="nextPage"/>
          <w:pgSz w:w="11906" w:h="16838"/>
          <w:pgMar w:top="1440" w:right="1418" w:bottom="1440" w:left="1701" w:header="851" w:footer="992" w:gutter="0"/>
          <w:pgNumType w:start="3"/>
          <w:cols w:space="720"/>
          <w:titlePg w:val="0"/>
          <w:docGrid w:type="lines" w:linePitch="312"/>
        </w:sectPr>
      </w:pPr>
      <w:r>
        <w:rPr>
          <w:rFonts w:ascii="宋体" w:hAnsi="宋体" w:cs="宋体" w:hint="eastAsia"/>
          <w:szCs w:val="20"/>
        </w:rPr>
        <w:t>钢骨柱吊装后用临时连接耳板连接，作为钢柱的临时固定，待测量校正后，然后进行焊接。</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2504"/>
        <w:gridCol w:w="2508"/>
        <w:gridCol w:w="2848"/>
      </w:tblGrid>
      <w:tr>
        <w:tblPrEx>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Ex>
        <w:trPr>
          <w:trHeight w:val="3135"/>
          <w:jc w:val="center"/>
        </w:trPr>
        <w:tc>
          <w:tcPr>
            <w:tcW w:w="2504" w:type="dxa"/>
            <w:vAlign w:val="center"/>
          </w:tcPr>
          <w:p w:rsidR="0027584A">
            <w:pPr>
              <w:jc w:val="center"/>
              <w:rPr>
                <w:rFonts w:ascii="宋体" w:hAnsi="宋体"/>
                <w:color w:val="FF0000"/>
                <w:sz w:val="18"/>
                <w:szCs w:val="18"/>
              </w:rPr>
            </w:pPr>
            <w:r>
              <w:rPr>
                <w:rFonts w:ascii="宋体" w:hAnsi="宋体"/>
                <w:color w:val="FF000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45" o:spid="_x0000_i1050" type="#_x0000_t75" alt="006" style="width:52.6pt;height:141.75pt;mso-position-horizontal-relative:page;mso-position-vertical-relative:page" o:preferrelative="t" filled="f" stroked="f">
                  <v:imagedata r:id="rId4" o:title="006" croptop="14290f" cropbottom="12341f" cropleft="25954f" cropright="28456f" blacklevel="-3932f"/>
                  <v:path o:extrusionok="f"/>
                  <o:lock v:ext="edit" aspectratio="t"/>
                </v:shape>
              </w:pict>
            </w:r>
          </w:p>
        </w:tc>
        <w:tc>
          <w:tcPr>
            <w:tcW w:w="2508" w:type="dxa"/>
            <w:vAlign w:val="center"/>
          </w:tcPr>
          <w:p w:rsidR="0027584A">
            <w:pPr>
              <w:ind w:left="360" w:firstLine="360"/>
              <w:rPr>
                <w:rFonts w:ascii="宋体" w:hAnsi="宋体"/>
                <w:color w:val="FF0000"/>
                <w:sz w:val="18"/>
                <w:szCs w:val="18"/>
              </w:rPr>
            </w:pPr>
            <w:r>
              <w:rPr>
                <w:rFonts w:ascii="宋体" w:hAnsi="宋体"/>
                <w:color w:val="FF0000"/>
                <w:sz w:val="18"/>
                <w:szCs w:val="18"/>
              </w:rPr>
              <w:pict>
                <v:shape id="图片 141" o:spid="_x0000_i1051" type="#_x0000_t75" alt="009" style="width:47.05pt;height:141.75pt;mso-position-horizontal-relative:page;mso-position-vertical-relative:page" o:preferrelative="t" filled="f" stroked="f">
                  <v:fill o:detectmouseclick="t"/>
                  <v:imagedata r:id="rId5" o:title="009" croptop="11511f" cropbottom="10473f" cropleft="28191f" cropright="26534f" blacklevel="-3276f"/>
                  <v:path o:extrusionok="f"/>
                  <o:lock v:ext="edit" aspectratio="t"/>
                </v:shape>
              </w:pict>
            </w:r>
          </w:p>
        </w:tc>
        <w:tc>
          <w:tcPr>
            <w:tcW w:w="2848" w:type="dxa"/>
            <w:vAlign w:val="center"/>
          </w:tcPr>
          <w:p w:rsidR="0027584A">
            <w:pPr>
              <w:jc w:val="center"/>
              <w:rPr>
                <w:rFonts w:ascii="宋体" w:hAnsi="宋体"/>
                <w:color w:val="FF0000"/>
                <w:sz w:val="18"/>
                <w:szCs w:val="18"/>
              </w:rPr>
            </w:pPr>
            <w:r>
              <w:rPr>
                <w:rFonts w:ascii="宋体" w:hAnsi="宋体"/>
                <w:color w:val="FF0000"/>
                <w:sz w:val="18"/>
                <w:szCs w:val="18"/>
              </w:rPr>
              <w:pict>
                <v:shape id="图片 146" o:spid="_x0000_i1052" type="#_x0000_t75" alt="C:\Documents and Settings\Administrator\桌面\QQ截图20121111155048.jpg" style="width:88.35pt;height:141.75pt;mso-position-horizontal-relative:page;mso-position-vertical-relative:page" o:preferrelative="t" filled="f" stroked="f">
                  <v:fill o:detectmouseclick="t"/>
                  <v:imagedata r:id="rId6" o:title="QQ截图20121111155048" cropright="12053f"/>
                  <v:path o:extrusionok="f"/>
                  <o:lock v:ext="edit" aspectratio="t"/>
                </v:shape>
              </w:pict>
            </w:r>
          </w:p>
        </w:tc>
      </w:tr>
      <w:tr>
        <w:tblPrEx>
          <w:tblW w:w="0" w:type="auto"/>
          <w:jc w:val="center"/>
          <w:tblInd w:w="0" w:type="dxa"/>
          <w:tblLayout w:type="fixed"/>
          <w:tblLook w:val="0000"/>
        </w:tblPrEx>
        <w:trPr>
          <w:trHeight w:val="90"/>
          <w:jc w:val="center"/>
        </w:trPr>
        <w:tc>
          <w:tcPr>
            <w:tcW w:w="2504" w:type="dxa"/>
          </w:tcPr>
          <w:p w:rsidR="0027584A">
            <w:pPr>
              <w:jc w:val="center"/>
              <w:rPr>
                <w:rFonts w:ascii="宋体" w:hAnsi="宋体"/>
                <w:bCs/>
                <w:szCs w:val="21"/>
              </w:rPr>
            </w:pPr>
            <w:r>
              <w:rPr>
                <w:rFonts w:hint="eastAsia"/>
              </w:rPr>
              <w:t>图5.2.1-1起吊绑扎形式</w:t>
            </w:r>
          </w:p>
        </w:tc>
        <w:tc>
          <w:tcPr>
            <w:tcW w:w="2508" w:type="dxa"/>
          </w:tcPr>
          <w:p w:rsidR="0027584A">
            <w:pPr>
              <w:jc w:val="center"/>
              <w:rPr>
                <w:rFonts w:ascii="宋体" w:hAnsi="宋体"/>
                <w:bCs/>
                <w:szCs w:val="21"/>
              </w:rPr>
            </w:pPr>
            <w:r>
              <w:rPr>
                <w:rFonts w:hint="eastAsia"/>
              </w:rPr>
              <w:t>图5.2.1-2起吊绑扎形式</w:t>
            </w:r>
          </w:p>
        </w:tc>
        <w:tc>
          <w:tcPr>
            <w:tcW w:w="2848" w:type="dxa"/>
            <w:vAlign w:val="center"/>
          </w:tcPr>
          <w:p w:rsidR="0027584A">
            <w:pPr>
              <w:jc w:val="center"/>
              <w:rPr>
                <w:rFonts w:ascii="宋体" w:hAnsi="宋体"/>
                <w:bCs/>
                <w:szCs w:val="21"/>
              </w:rPr>
            </w:pPr>
            <w:r>
              <w:rPr>
                <w:rFonts w:hint="eastAsia"/>
              </w:rPr>
              <w:t>图5.2.1-3临时固定耳板</w:t>
            </w:r>
          </w:p>
        </w:tc>
      </w:tr>
    </w:tbl>
    <w:p w:rsidR="0027584A">
      <w:pPr>
        <w:spacing w:line="460" w:lineRule="auto"/>
        <w:ind w:firstLine="420" w:firstLineChars="200"/>
        <w:jc w:val="left"/>
        <w:rPr>
          <w:rFonts w:ascii="宋体" w:hAnsi="宋体" w:cs="宋体"/>
          <w:snapToGrid w:val="0"/>
          <w:kern w:val="0"/>
          <w:szCs w:val="20"/>
        </w:rPr>
      </w:pPr>
      <w:r>
        <w:rPr>
          <w:rFonts w:ascii="宋体" w:hAnsi="宋体" w:cs="宋体" w:hint="eastAsia"/>
          <w:snapToGrid w:val="0"/>
          <w:kern w:val="0"/>
          <w:szCs w:val="20"/>
        </w:rPr>
        <w:t>（3）钢骨柱吊装就位：</w:t>
      </w:r>
    </w:p>
    <w:p w:rsidR="0027584A">
      <w:pPr>
        <w:spacing w:line="460" w:lineRule="auto"/>
        <w:ind w:firstLine="420" w:firstLineChars="200"/>
        <w:jc w:val="left"/>
        <w:rPr>
          <w:rFonts w:ascii="宋体" w:hAnsi="宋体" w:cs="宋体"/>
          <w:szCs w:val="20"/>
        </w:rPr>
      </w:pPr>
      <w:r>
        <w:rPr>
          <w:rFonts w:ascii="宋体" w:hAnsi="宋体" w:cs="宋体" w:hint="eastAsia"/>
          <w:szCs w:val="20"/>
        </w:rPr>
        <w:t>钢骨柱吊装过程中采用防碰撞措施，即在钢构件吊装接近就位或者接近其它物体时，采用事先设立在钢构件上的牵引绳进行牵引导向，避免碰撞。</w:t>
      </w:r>
    </w:p>
    <w:p w:rsidR="0027584A">
      <w:pPr>
        <w:spacing w:line="460" w:lineRule="auto"/>
        <w:ind w:firstLine="420" w:firstLineChars="200"/>
        <w:jc w:val="left"/>
        <w:rPr>
          <w:rFonts w:ascii="宋体" w:hAnsi="宋体" w:cs="宋体"/>
          <w:snapToGrid w:val="0"/>
          <w:kern w:val="0"/>
          <w:szCs w:val="20"/>
        </w:rPr>
      </w:pPr>
      <w:r>
        <w:rPr>
          <w:rFonts w:ascii="宋体" w:hAnsi="宋体" w:cs="宋体" w:hint="eastAsia"/>
          <w:snapToGrid w:val="0"/>
          <w:kern w:val="0"/>
          <w:szCs w:val="20"/>
        </w:rPr>
        <w:t>（4）钢柱的校正：</w:t>
      </w:r>
    </w:p>
    <w:p w:rsidR="0027584A">
      <w:pPr>
        <w:spacing w:line="460" w:lineRule="auto"/>
        <w:ind w:firstLine="420" w:firstLineChars="200"/>
        <w:jc w:val="left"/>
        <w:rPr>
          <w:rFonts w:ascii="宋体" w:hAnsi="宋体" w:cs="宋体"/>
          <w:szCs w:val="20"/>
        </w:rPr>
      </w:pPr>
      <w:r>
        <w:rPr>
          <w:rFonts w:ascii="宋体" w:hAnsi="宋体" w:cs="宋体" w:hint="eastAsia"/>
          <w:snapToGrid w:val="0"/>
          <w:kern w:val="0"/>
          <w:szCs w:val="20"/>
        </w:rPr>
        <w:t>a、</w:t>
      </w:r>
      <w:r>
        <w:rPr>
          <w:rFonts w:ascii="宋体" w:hAnsi="宋体" w:cs="宋体" w:hint="eastAsia"/>
          <w:szCs w:val="20"/>
        </w:rPr>
        <w:t>上下两节柱错口的校正可在下节柱的耳板连接处加减垫片运用千斤顶来调整，千斤顶运用着力点在</w:t>
      </w:r>
      <w:r>
        <w:rPr>
          <w:rFonts w:ascii="宋体" w:hAnsi="宋体" w:cs="宋体" w:hint="eastAsia"/>
          <w:szCs w:val="20"/>
        </w:rPr>
        <w:t>“</w:t>
      </w:r>
      <w:r>
        <w:rPr>
          <w:rFonts w:ascii="宋体" w:hAnsi="宋体" w:cs="宋体" w:hint="eastAsia"/>
          <w:szCs w:val="20"/>
        </w:rPr>
        <w:t>7</w:t>
      </w:r>
      <w:r>
        <w:rPr>
          <w:rFonts w:ascii="宋体" w:hAnsi="宋体" w:cs="宋体" w:hint="eastAsia"/>
          <w:szCs w:val="20"/>
        </w:rPr>
        <w:t>”</w:t>
      </w:r>
      <w:r>
        <w:rPr>
          <w:rFonts w:ascii="宋体" w:hAnsi="宋体" w:cs="宋体" w:hint="eastAsia"/>
          <w:szCs w:val="20"/>
        </w:rPr>
        <w:t>字形挡块和构件上，为防止千斤顶坠落伤人，规定千斤顶用钢丝和构件进行绑定。</w:t>
      </w:r>
    </w:p>
    <w:p w:rsidR="0027584A">
      <w:pPr>
        <w:spacing w:line="460" w:lineRule="auto"/>
        <w:ind w:firstLine="480"/>
        <w:jc w:val="left"/>
        <w:rPr>
          <w:rFonts w:ascii="宋体" w:hAnsi="宋体" w:cs="宋体"/>
          <w:szCs w:val="20"/>
        </w:rPr>
      </w:pPr>
      <w:r>
        <w:rPr>
          <w:rFonts w:ascii="宋体" w:hAnsi="宋体" w:cs="宋体" w:hint="eastAsia"/>
          <w:szCs w:val="20"/>
        </w:rPr>
        <w:t>b、钢柱垂直度的校正采用两台经纬仪分别置于互相垂直的轴线控制线上，精确对中整平后，纵转望远镜，照准钢柱头上的标尺并读数，判断校正方向并指挥吊装人员对钢柱进行校正，直到两个正交方向上均校正到对的位置。</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3809"/>
        <w:gridCol w:w="3985"/>
      </w:tblGrid>
      <w:tr>
        <w:tblPrEx>
          <w:tblW w:w="0" w:type="auto"/>
          <w:jc w:val="center"/>
          <w:tblInd w:w="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Ex>
        <w:trPr>
          <w:jc w:val="center"/>
        </w:trPr>
        <w:tc>
          <w:tcPr>
            <w:tcW w:w="3809" w:type="dxa"/>
            <w:vAlign w:val="center"/>
          </w:tcPr>
          <w:p w:rsidR="0027584A">
            <w:pPr>
              <w:jc w:val="center"/>
              <w:rPr>
                <w:rFonts w:ascii="宋体" w:hAnsi="宋体" w:cs="宋体"/>
                <w:snapToGrid w:val="0"/>
                <w:color w:val="FF0000"/>
                <w:kern w:val="0"/>
                <w:szCs w:val="20"/>
              </w:rPr>
            </w:pPr>
            <w:r>
              <w:rPr>
                <w:rFonts w:ascii="宋体" w:hAnsi="宋体" w:cs="宋体"/>
                <w:color w:val="FF0000"/>
                <w:kern w:val="0"/>
                <w:szCs w:val="20"/>
              </w:rPr>
              <w:pict>
                <v:shape id="图片 166" o:spid="_x0000_i1053" type="#_x0000_t75" alt="IMG0023A" style="width:106.05pt;height:141.75pt;mso-position-horizontal-relative:page;mso-position-vertical-relative:page" o:preferrelative="t" filled="f" stroked="f">
                  <v:fill o:detectmouseclick="t"/>
                  <v:imagedata r:id="rId7" o:title="IMG0023A" cropleft="7050f"/>
                  <v:path o:extrusionok="f"/>
                  <o:lock v:ext="edit" aspectratio="t"/>
                </v:shape>
              </w:pict>
            </w:r>
          </w:p>
        </w:tc>
        <w:tc>
          <w:tcPr>
            <w:tcW w:w="3985" w:type="dxa"/>
          </w:tcPr>
          <w:p w:rsidR="0027584A">
            <w:pPr>
              <w:jc w:val="center"/>
              <w:rPr>
                <w:rFonts w:ascii="宋体" w:hAnsi="宋体" w:cs="宋体"/>
                <w:snapToGrid w:val="0"/>
                <w:color w:val="FF0000"/>
                <w:kern w:val="0"/>
                <w:szCs w:val="20"/>
              </w:rPr>
            </w:pPr>
            <w:r>
              <w:rPr>
                <w:rFonts w:ascii="宋体" w:hAnsi="宋体" w:cs="宋体"/>
                <w:color w:val="FF0000"/>
                <w:kern w:val="0"/>
                <w:szCs w:val="20"/>
              </w:rPr>
              <w:pict>
                <v:shape id="图片 168" o:spid="_x0000_i1054" type="#_x0000_t75" alt="钢柱校正" style="width:114.45pt;height:141.7pt;mso-position-horizontal-relative:page;mso-position-vertical-relative:page" o:preferrelative="t" filled="f" stroked="f">
                  <v:imagedata r:id="rId8" o:title="钢柱校正" cropbottom="8237f" cropleft="20117f" cropright="19370f"/>
                  <v:path o:extrusionok="f"/>
                  <o:lock v:ext="edit" aspectratio="t"/>
                </v:shape>
              </w:pict>
            </w:r>
          </w:p>
        </w:tc>
      </w:tr>
      <w:tr>
        <w:tblPrEx>
          <w:tblW w:w="0" w:type="auto"/>
          <w:jc w:val="center"/>
          <w:tblInd w:w="0" w:type="dxa"/>
          <w:tblLayout w:type="fixed"/>
          <w:tblLook w:val="0000"/>
        </w:tblPrEx>
        <w:trPr>
          <w:jc w:val="center"/>
        </w:trPr>
        <w:tc>
          <w:tcPr>
            <w:tcW w:w="3809" w:type="dxa"/>
          </w:tcPr>
          <w:p w:rsidR="0027584A">
            <w:pPr>
              <w:ind w:firstLine="420" w:firstLineChars="200"/>
              <w:rPr>
                <w:rFonts w:ascii="宋体" w:hAnsi="宋体" w:cs="宋体"/>
                <w:bCs/>
                <w:snapToGrid w:val="0"/>
                <w:kern w:val="0"/>
                <w:szCs w:val="21"/>
              </w:rPr>
            </w:pPr>
            <w:r>
              <w:rPr>
                <w:rFonts w:hint="eastAsia"/>
              </w:rPr>
              <w:t>图5.2.1-4  水平位置调整示意</w:t>
            </w:r>
          </w:p>
        </w:tc>
        <w:tc>
          <w:tcPr>
            <w:tcW w:w="3985" w:type="dxa"/>
          </w:tcPr>
          <w:p w:rsidR="0027584A">
            <w:pPr>
              <w:ind w:firstLine="630" w:firstLineChars="300"/>
              <w:rPr>
                <w:rFonts w:ascii="宋体" w:hAnsi="宋体" w:cs="宋体"/>
                <w:bCs/>
                <w:snapToGrid w:val="0"/>
                <w:kern w:val="0"/>
                <w:szCs w:val="21"/>
              </w:rPr>
            </w:pPr>
            <w:r>
              <w:rPr>
                <w:rFonts w:hint="eastAsia"/>
              </w:rPr>
              <w:t>图5.2.1-5  标高调整示意</w:t>
            </w:r>
          </w:p>
        </w:tc>
      </w:tr>
    </w:tbl>
    <w:p w:rsidR="0027584A">
      <w:pPr>
        <w:spacing w:before="163" w:line="460" w:lineRule="auto"/>
        <w:ind w:firstLine="420" w:firstLineChars="200"/>
        <w:rPr>
          <w:color w:val="FF0000"/>
        </w:rPr>
        <w:sectPr>
          <w:type w:val="nextPage"/>
          <w:pgSz w:w="11906" w:h="16838"/>
          <w:pgMar w:top="1440" w:right="1418" w:bottom="1440" w:left="1701" w:header="851" w:footer="992" w:gutter="0"/>
          <w:pgNumType w:start="4"/>
          <w:cols w:space="720"/>
          <w:titlePg w:val="0"/>
          <w:docGrid w:type="lines" w:linePitch="312"/>
        </w:sectPr>
      </w:pPr>
      <w:bookmarkStart w:id="3" w:name="_Toc5278"/>
      <w:r>
        <w:rPr>
          <w:rFonts w:hint="eastAsia"/>
        </w:rPr>
        <w:t>02  桁架钢梁安装</w:t>
      </w:r>
      <w:bookmarkEnd w:id="3"/>
    </w:p>
    <w:p w:rsidR="0027584A">
      <w:pPr>
        <w:spacing w:line="460" w:lineRule="auto"/>
        <w:ind w:firstLine="420" w:firstLineChars="200"/>
        <w:jc w:val="left"/>
        <w:rPr>
          <w:rFonts w:ascii="宋体" w:hAnsi="宋体" w:cs="宋体"/>
          <w:szCs w:val="20"/>
        </w:rPr>
      </w:pPr>
      <w:r>
        <w:rPr>
          <w:rFonts w:ascii="宋体" w:hAnsi="宋体" w:cs="宋体" w:hint="eastAsia"/>
          <w:szCs w:val="20"/>
        </w:rPr>
        <w:t>桁架钢梁截面较小，重量较轻，最重不超过3吨，均在塔吊吊装起重范围内。当钢柱临时固定好后，即进行钢梁的安装工作，使之形成稳定的框架结构。钢梁的安装作顺序如下：</w:t>
      </w:r>
    </w:p>
    <w:p w:rsidR="0027584A">
      <w:pPr>
        <w:tabs>
          <w:tab w:val="left" w:pos="341"/>
        </w:tabs>
        <w:spacing w:line="460" w:lineRule="auto"/>
        <w:ind w:firstLine="420" w:firstLineChars="200"/>
        <w:jc w:val="left"/>
        <w:rPr>
          <w:rFonts w:ascii="宋体" w:hAnsi="宋体" w:cs="宋体"/>
          <w:szCs w:val="20"/>
        </w:rPr>
      </w:pPr>
      <w:r>
        <w:rPr>
          <w:rFonts w:ascii="宋体" w:hAnsi="宋体" w:cs="宋体" w:hint="eastAsia"/>
          <w:szCs w:val="20"/>
        </w:rPr>
        <w:t>（1）侧钢骨柱临时安装完毕后，复测定位牛腿间距，为钢梁安装做好准备。</w:t>
      </w:r>
    </w:p>
    <w:p w:rsidR="0027584A">
      <w:pPr>
        <w:spacing w:line="460" w:lineRule="auto"/>
        <w:ind w:firstLine="420" w:firstLineChars="200"/>
        <w:jc w:val="left"/>
        <w:rPr>
          <w:rFonts w:ascii="宋体" w:hAnsi="宋体" w:cs="宋体"/>
          <w:szCs w:val="20"/>
        </w:rPr>
      </w:pPr>
      <w:r>
        <w:rPr>
          <w:rFonts w:ascii="宋体" w:hAnsi="宋体" w:cs="宋体" w:hint="eastAsia"/>
          <w:szCs w:val="20"/>
        </w:rPr>
        <w:t>（2）将钢梁吊至安装点处缓慢下降使梁平稳就位，等梁与柱牛腿对准后，用冲钉穿孔作临时就位对中，并将另一块连接板移至相对位置穿入冲钉中，将梁两端打紧逼正，节点两侧各穿入不少</w:t>
      </w:r>
      <w:r>
        <w:rPr>
          <w:rFonts w:ascii="宋体" w:hAnsi="宋体" w:cs="宋体"/>
          <w:szCs w:val="20"/>
        </w:rPr>
        <w:t>1</w:t>
      </w:r>
      <w:r>
        <w:rPr>
          <w:rFonts w:ascii="宋体" w:hAnsi="宋体" w:cs="宋体" w:hint="eastAsia"/>
          <w:szCs w:val="20"/>
        </w:rPr>
        <w:t>／</w:t>
      </w:r>
      <w:r>
        <w:rPr>
          <w:rFonts w:ascii="宋体" w:hAnsi="宋体" w:cs="宋体"/>
          <w:szCs w:val="20"/>
        </w:rPr>
        <w:t>3</w:t>
      </w:r>
      <w:r>
        <w:rPr>
          <w:rFonts w:ascii="宋体" w:hAnsi="宋体" w:cs="宋体" w:hint="eastAsia"/>
          <w:szCs w:val="20"/>
        </w:rPr>
        <w:t>的普通螺栓临时加以紧固。</w:t>
      </w:r>
    </w:p>
    <w:p w:rsidR="0027584A">
      <w:pPr>
        <w:spacing w:line="460" w:lineRule="auto"/>
        <w:ind w:firstLine="420" w:firstLineChars="200"/>
        <w:jc w:val="left"/>
        <w:rPr>
          <w:rFonts w:ascii="宋体" w:hAnsi="宋体" w:cs="宋体"/>
          <w:szCs w:val="20"/>
        </w:rPr>
      </w:pPr>
      <w:r>
        <w:rPr>
          <w:rFonts w:ascii="宋体" w:hAnsi="宋体" w:cs="宋体" w:hint="eastAsia"/>
          <w:szCs w:val="20"/>
        </w:rPr>
        <w:t>（3）每个节点上使用的临时螺栓和冲钉不少于安装总孔数的</w:t>
      </w:r>
      <w:r>
        <w:rPr>
          <w:rFonts w:ascii="宋体" w:hAnsi="宋体" w:cs="宋体"/>
          <w:szCs w:val="20"/>
        </w:rPr>
        <w:t>1</w:t>
      </w:r>
      <w:r>
        <w:rPr>
          <w:rFonts w:ascii="宋体" w:hAnsi="宋体" w:cs="宋体" w:hint="eastAsia"/>
          <w:szCs w:val="20"/>
        </w:rPr>
        <w:t>／</w:t>
      </w:r>
      <w:r>
        <w:rPr>
          <w:rFonts w:ascii="宋体" w:hAnsi="宋体" w:cs="宋体"/>
          <w:szCs w:val="20"/>
        </w:rPr>
        <w:t>3</w:t>
      </w:r>
      <w:r>
        <w:rPr>
          <w:rFonts w:ascii="宋体" w:hAnsi="宋体" w:cs="宋体" w:hint="eastAsia"/>
          <w:szCs w:val="20"/>
        </w:rPr>
        <w:t>，临时螺栓不少于两套，冲钉不宜多于临时螺栓的</w:t>
      </w:r>
      <w:r>
        <w:rPr>
          <w:rFonts w:ascii="宋体" w:hAnsi="宋体" w:cs="宋体"/>
          <w:szCs w:val="20"/>
        </w:rPr>
        <w:t>30</w:t>
      </w:r>
      <w:r>
        <w:rPr>
          <w:rFonts w:ascii="宋体" w:hAnsi="宋体" w:cs="宋体" w:hint="eastAsia"/>
          <w:szCs w:val="20"/>
        </w:rPr>
        <w:t>％。</w:t>
      </w:r>
    </w:p>
    <w:p w:rsidR="0027584A">
      <w:pPr>
        <w:spacing w:line="460" w:lineRule="auto"/>
        <w:ind w:firstLine="420" w:firstLineChars="200"/>
        <w:jc w:val="left"/>
        <w:rPr>
          <w:rFonts w:ascii="宋体" w:hAnsi="宋体" w:cs="宋体"/>
          <w:szCs w:val="20"/>
        </w:rPr>
      </w:pPr>
      <w:r>
        <w:rPr>
          <w:rFonts w:ascii="宋体" w:hAnsi="宋体" w:cs="宋体" w:hint="eastAsia"/>
          <w:szCs w:val="20"/>
        </w:rPr>
        <w:t>（4）调节好梁两端的焊接坡口间隙，并用水平尺校正钢梁与牛腿上翼缘的水平度达成设计和规范规定后，拧紧临时螺栓，将安全绳拴牢在梁两端的钢柱上。</w:t>
      </w:r>
    </w:p>
    <w:p w:rsidR="0027584A">
      <w:pPr>
        <w:spacing w:line="460" w:lineRule="auto"/>
        <w:ind w:firstLine="420" w:firstLineChars="200"/>
        <w:jc w:val="left"/>
        <w:rPr>
          <w:rFonts w:ascii="宋体" w:hAnsi="宋体" w:cs="宋体"/>
          <w:szCs w:val="20"/>
        </w:rPr>
      </w:pPr>
      <w:r>
        <w:rPr>
          <w:rFonts w:ascii="宋体" w:hAnsi="宋体" w:cs="宋体" w:hint="eastAsia"/>
          <w:szCs w:val="20"/>
        </w:rPr>
        <w:t>（5）在完毕一个独立单元柱与框架梁的安装后，即可进行上部钢柱与钢梁的安装。</w:t>
      </w:r>
    </w:p>
    <w:p w:rsidR="0027584A">
      <w:pPr>
        <w:spacing w:line="460" w:lineRule="auto"/>
        <w:ind w:firstLine="420" w:firstLineChars="200"/>
        <w:jc w:val="left"/>
        <w:rPr>
          <w:rFonts w:ascii="宋体" w:hAnsi="宋体" w:cs="宋体" w:hint="eastAsia"/>
          <w:szCs w:val="20"/>
        </w:rPr>
      </w:pPr>
      <w:r>
        <w:rPr>
          <w:rFonts w:ascii="宋体" w:hAnsi="宋体" w:cs="宋体" w:hint="eastAsia"/>
          <w:szCs w:val="20"/>
        </w:rPr>
        <w:t>（6）在任何一个单元钢柱与框架梁安装时，必须先校正钢柱，柱间框架梁调整校正完毕后，将各节点上安装螺栓拧紧，使各节点处的连接板贴合好以保证更换高强度螺栓的安装规定。</w:t>
      </w:r>
      <w:bookmarkStart w:id="4" w:name="_Toc1936"/>
    </w:p>
    <w:p w:rsidR="0027584A">
      <w:pPr>
        <w:spacing w:line="460" w:lineRule="auto"/>
        <w:ind w:firstLine="420" w:firstLineChars="200"/>
        <w:jc w:val="left"/>
        <w:rPr>
          <w:color w:val="FF0000"/>
        </w:rPr>
      </w:pPr>
      <w:r>
        <w:rPr>
          <w:rFonts w:ascii="宋体" w:hAnsi="宋体" w:cs="宋体" w:hint="eastAsia"/>
          <w:szCs w:val="20"/>
        </w:rPr>
        <w:t xml:space="preserve">03  </w:t>
      </w:r>
      <w:r>
        <w:rPr>
          <w:rFonts w:hint="eastAsia"/>
        </w:rPr>
        <w:t>桁架中间段拼装</w:t>
      </w:r>
      <w:bookmarkEnd w:id="4"/>
    </w:p>
    <w:p w:rsidR="0027584A">
      <w:pPr>
        <w:spacing w:line="460" w:lineRule="auto"/>
        <w:ind w:firstLine="420" w:firstLineChars="200"/>
        <w:jc w:val="left"/>
        <w:rPr>
          <w:rFonts w:ascii="宋体" w:hAnsi="宋体" w:cs="宋体"/>
          <w:szCs w:val="20"/>
        </w:rPr>
      </w:pPr>
      <w:r>
        <w:rPr>
          <w:rFonts w:ascii="宋体" w:hAnsi="宋体" w:cs="宋体" w:hint="eastAsia"/>
          <w:szCs w:val="20"/>
        </w:rPr>
        <w:t>转换桁架安装高度较高，结构杆件自重较大、杆件众多，高强螺栓群数量众多、若采用常规的分件高空散装，不仅高空组装、焊接工作量巨大，并且存在较大质量、安全风险，施工的难度较大。所以采用</w:t>
      </w:r>
      <w:r>
        <w:rPr>
          <w:rFonts w:ascii="宋体" w:hAnsi="宋体" w:cs="宋体"/>
          <w:szCs w:val="20"/>
        </w:rPr>
        <w:t>“地面组装、整体提高”</w:t>
      </w:r>
      <w:r>
        <w:rPr>
          <w:rFonts w:ascii="宋体" w:hAnsi="宋体" w:cs="宋体" w:hint="eastAsia"/>
          <w:szCs w:val="20"/>
        </w:rPr>
        <w:t>的方式</w:t>
      </w:r>
      <w:r>
        <w:rPr>
          <w:rFonts w:ascii="宋体" w:hAnsi="宋体" w:cs="宋体"/>
          <w:szCs w:val="20"/>
        </w:rPr>
        <w:t>安装</w:t>
      </w:r>
      <w:r>
        <w:rPr>
          <w:rFonts w:ascii="宋体" w:hAnsi="宋体" w:cs="宋体" w:hint="eastAsia"/>
          <w:szCs w:val="20"/>
        </w:rPr>
        <w:t>。安装后的转换桁架逐榀进行提高。</w:t>
      </w:r>
    </w:p>
    <w:p w:rsidR="0027584A">
      <w:pPr>
        <w:ind w:left="480" w:firstLine="480"/>
        <w:jc w:val="center"/>
        <w:rPr>
          <w:color w:val="FF0000"/>
        </w:rPr>
      </w:pPr>
      <w:r>
        <w:rPr>
          <w:rFonts w:ascii="Times New Roman" w:hAnsi="Times New Roman"/>
          <w:color w:val="FF0000"/>
          <w:szCs w:val="20"/>
        </w:rPr>
        <w:pict>
          <v:shape id="图片 148" o:spid="_x0000_i1055" type="#_x0000_t75" style="width:183.35pt;height:144.25pt;mso-position-horizontal-relative:page;mso-position-vertical-relative:page" o:preferrelative="t" filled="f" stroked="f">
            <v:imagedata r:id="rId9" o:title=""/>
            <v:path o:extrusionok="f"/>
            <o:lock v:ext="edit" aspectratio="t"/>
          </v:shape>
        </w:pict>
      </w:r>
    </w:p>
    <w:p w:rsidR="0027584A">
      <w:pPr>
        <w:spacing w:line="460" w:lineRule="auto"/>
        <w:ind w:left="480" w:firstLine="480"/>
        <w:jc w:val="center"/>
        <w:sectPr>
          <w:type w:val="nextPage"/>
          <w:pgSz w:w="11906" w:h="16838"/>
          <w:pgMar w:top="1440" w:right="1418" w:bottom="1440" w:left="1701" w:header="851" w:footer="992" w:gutter="0"/>
          <w:pgNumType w:start="5"/>
          <w:cols w:space="720"/>
          <w:titlePg w:val="0"/>
          <w:docGrid w:type="lines" w:linePitch="312"/>
        </w:sectPr>
      </w:pPr>
      <w:r>
        <w:rPr>
          <w:rFonts w:hint="eastAsia"/>
        </w:rPr>
        <w:t>图5.2.1-6  转换桁架提高段地面拼装示意图</w:t>
      </w:r>
    </w:p>
    <w:p w:rsidR="0027584A">
      <w:pPr>
        <w:spacing w:before="163" w:line="460" w:lineRule="auto"/>
        <w:ind w:firstLine="420" w:firstLineChars="200"/>
        <w:rPr>
          <w:rFonts w:hint="eastAsia"/>
        </w:rPr>
      </w:pPr>
      <w:bookmarkStart w:id="5" w:name="_Toc1124"/>
      <w:r>
        <w:rPr>
          <w:rFonts w:hint="eastAsia"/>
        </w:rPr>
        <w:t>（1）桁架拼装位置</w:t>
      </w:r>
      <w:bookmarkEnd w:id="5"/>
    </w:p>
    <w:p w:rsidR="0027584A">
      <w:pPr>
        <w:spacing w:line="460" w:lineRule="auto"/>
        <w:ind w:firstLine="420" w:firstLineChars="200"/>
        <w:jc w:val="left"/>
        <w:rPr>
          <w:rFonts w:hint="eastAsia"/>
        </w:rPr>
      </w:pPr>
      <w:r>
        <w:rPr>
          <w:rFonts w:hint="eastAsia"/>
        </w:rPr>
        <w:t>转换桁架中间段拼装位置选择在垂直于桁架位置的硬化地面位置拼装，拼装前提前拟定桁架提高上吊点的垂点，以此拟定桁架上弦顶面的位置。</w:t>
      </w:r>
    </w:p>
    <w:p w:rsidR="0027584A">
      <w:pPr>
        <w:spacing w:before="163" w:line="460" w:lineRule="auto"/>
        <w:ind w:firstLine="420" w:firstLineChars="200"/>
        <w:rPr>
          <w:rFonts w:hint="eastAsia"/>
        </w:rPr>
      </w:pPr>
      <w:bookmarkStart w:id="6" w:name="_Toc1501"/>
      <w:r>
        <w:rPr>
          <w:rFonts w:hint="eastAsia"/>
        </w:rPr>
        <w:t>（2）桁架拼装顺序</w:t>
      </w:r>
      <w:bookmarkEnd w:id="6"/>
    </w:p>
    <w:p w:rsidR="0027584A">
      <w:pPr>
        <w:spacing w:line="460" w:lineRule="auto"/>
        <w:ind w:firstLine="420" w:firstLineChars="200"/>
        <w:rPr>
          <w:rFonts w:hint="eastAsia"/>
        </w:rPr>
      </w:pPr>
      <w:r>
        <w:rPr>
          <w:rFonts w:hint="eastAsia"/>
        </w:rPr>
        <w:t>一方面安装桁架下弦1#及2#构件，将1#与2#构件连成一个整体，调整校正1#与2#构件的下弦并临时固定，</w:t>
      </w:r>
      <w:r>
        <w:rPr>
          <w:rFonts w:hint="eastAsia"/>
        </w:rPr>
        <w:t>→</w:t>
      </w:r>
      <w:r>
        <w:rPr>
          <w:rFonts w:hint="eastAsia"/>
        </w:rPr>
        <w:t>安装竖腹杆3#构件，将3#构件的竖腹杆与1#进行临时固定，调整3#上弦的起拱值，</w:t>
      </w:r>
      <w:r>
        <w:rPr>
          <w:rFonts w:hint="eastAsia"/>
        </w:rPr>
        <w:t>→</w:t>
      </w:r>
      <w:r>
        <w:rPr>
          <w:rFonts w:hint="eastAsia"/>
        </w:rPr>
        <w:t>安装4#桁架斜腹杆，一方面将4#构件的上弦部分与3#构件的上弦临时链接，然后安装4#构件与1#构件的斜腹杆，校正1#～4#构件组成的小拼装单元。</w:t>
      </w:r>
      <w:r>
        <w:rPr>
          <w:rFonts w:hint="eastAsia"/>
        </w:rPr>
        <w:t>→</w:t>
      </w:r>
      <w:r>
        <w:rPr>
          <w:rFonts w:hint="eastAsia"/>
        </w:rPr>
        <w:t>安装5#斜腹杆，先安装5#与3#构件的上弦，校正整个中间段上弦的几何尺寸。</w:t>
      </w:r>
      <w:r>
        <w:rPr>
          <w:rFonts w:hint="eastAsia"/>
        </w:rPr>
        <w:t>→</w:t>
      </w:r>
      <w:r>
        <w:rPr>
          <w:rFonts w:hint="eastAsia"/>
        </w:rPr>
        <w:t xml:space="preserve">最后安装6#下弦构件校正中间段下弦的几何尺寸。 </w:t>
      </w:r>
    </w:p>
    <w:p w:rsidR="0027584A">
      <w:pPr>
        <w:jc w:val="center"/>
        <w:rPr>
          <w:rFonts w:hint="eastAsia"/>
        </w:rPr>
      </w:pPr>
      <w:r>
        <w:rPr>
          <w:rFonts w:hint="eastAsia"/>
        </w:rPr>
        <w:object>
          <v:shape id="对象 47" o:spid="_x0000_i1056" type="#_x0000_t75" style="width:361.25pt;height:150.05pt;mso-position-horizontal-relative:page;mso-position-vertical-relative:page" o:oleicon="f" o:ole="" o:preferrelative="t" filled="f" stroked="f">
            <v:fill o:detectmouseclick="t"/>
            <v:imagedata r:id="rId10" o:title="" croptop="31993f" cropbottom="25176f" cropleft="35234f" cropright="20378f"/>
            <v:path o:extrusionok="f"/>
            <o:lock v:ext="edit" aspectratio="t"/>
          </v:shape>
          <o:OLEObject Type="Embed" ProgID="AutoCAD.Drawing.18" ShapeID="对象 47" DrawAspect="Content" ObjectID="_1234567890" r:id="rId11"/>
        </w:object>
      </w:r>
    </w:p>
    <w:p w:rsidR="0027584A">
      <w:pPr>
        <w:spacing w:line="460" w:lineRule="auto"/>
        <w:ind w:left="480" w:firstLine="480"/>
        <w:jc w:val="center"/>
        <w:rPr>
          <w:rFonts w:hint="eastAsia"/>
        </w:rPr>
      </w:pPr>
      <w:r>
        <w:rPr>
          <w:rFonts w:hint="eastAsia"/>
        </w:rPr>
        <w:t>图5.2.1-7  桁架中间段拼装顺序</w:t>
      </w:r>
    </w:p>
    <w:p w:rsidR="0027584A">
      <w:pPr>
        <w:spacing w:before="163" w:line="460" w:lineRule="auto"/>
        <w:ind w:firstLine="420" w:firstLineChars="200"/>
      </w:pPr>
      <w:bookmarkStart w:id="7" w:name="_Toc11386"/>
      <w:r>
        <w:rPr>
          <w:rFonts w:hint="eastAsia"/>
        </w:rPr>
        <w:t>（3）转换桁架拼装胎架设立</w:t>
      </w:r>
      <w:bookmarkEnd w:id="7"/>
    </w:p>
    <w:p w:rsidR="0027584A">
      <w:pPr>
        <w:spacing w:line="460" w:lineRule="auto"/>
        <w:ind w:firstLine="420" w:firstLineChars="200"/>
      </w:pPr>
      <w:r>
        <w:rPr>
          <w:rFonts w:hint="eastAsia"/>
        </w:rPr>
        <w:t>桁架拼装采用平面拼法在地面组装，组装前需要设立拼装胎架，桁架拼装胎架采用型钢滑轨+型钢平台组合胎架形式，滑轨作为桁架组装支撑系统及桁架提高过程中的辅助平衡轨道。型钢平台作为桁架节点找平支撑系统。滑轨采用H500*350*12*16型钢制作完毕，滑轨为避开桁架竖腹杆栓接点分段制作完毕。型钢平台选择18#工字钢叠加组合，平台设立在避开桁架对接接头位置。</w:t>
      </w:r>
    </w:p>
    <w:p w:rsidR="0027584A">
      <w:pPr>
        <w:tabs>
          <w:tab w:val="left" w:pos="2535"/>
        </w:tabs>
        <w:ind w:left="480" w:firstLine="480"/>
        <w:jc w:val="left"/>
        <w:sectPr>
          <w:type w:val="nextPage"/>
          <w:pgSz w:w="11906" w:h="16838"/>
          <w:pgMar w:top="1440" w:right="1418" w:bottom="1440" w:left="1701" w:header="851" w:footer="992" w:gutter="0"/>
          <w:pgNumType w:start="6"/>
          <w:cols w:space="720"/>
          <w:titlePg w:val="0"/>
          <w:docGrid w:type="lines" w:linePitch="312"/>
        </w:sectPr>
      </w:pPr>
    </w:p>
    <w:p w:rsidR="0027584A">
      <w:pPr>
        <w:ind w:left="0" w:hanging="284" w:leftChars="-135" w:hangingChars="135"/>
        <w:jc w:val="center"/>
      </w:pPr>
      <w:r>
        <w:object>
          <v:shape id="对象 150" o:spid="_x0000_i1057" type="#_x0000_t75" style="width:315.35pt;height:195.65pt;mso-position-horizontal-relative:page;mso-position-vertical-relative:page" o:oleicon="f" o:ole="" o:preferrelative="t" filled="f" stroked="f">
            <v:imagedata r:id="rId12" o:title="" croptop="6923f" cropbottom="12461f" cropleft="13653f" cropright="15272f"/>
            <v:path o:extrusionok="f"/>
            <o:lock v:ext="edit" aspectratio="t"/>
          </v:shape>
          <o:OLEObject Type="Embed" ProgID="AutoCAD.Drawing.18" ShapeID="对象 150" DrawAspect="Content" ObjectID="_1234567891" r:id="rId13"/>
        </w:object>
      </w:r>
    </w:p>
    <w:p w:rsidR="0027584A">
      <w:pPr>
        <w:spacing w:line="460" w:lineRule="auto"/>
        <w:ind w:left="0" w:hanging="284" w:leftChars="-135" w:hangingChars="135"/>
        <w:jc w:val="center"/>
      </w:pPr>
      <w:r>
        <w:rPr>
          <w:rFonts w:hint="eastAsia"/>
        </w:rPr>
        <w:t>图5.2.1-8  胎架平面布置图</w:t>
      </w:r>
    </w:p>
    <w:p w:rsidR="0027584A">
      <w:pPr>
        <w:pStyle w:val="Heading1"/>
        <w:spacing w:line="460" w:lineRule="auto"/>
        <w:ind w:firstLine="420" w:firstLineChars="200"/>
        <w:rPr>
          <w:rFonts w:ascii="宋体" w:hAnsi="宋体" w:hint="eastAsia"/>
          <w:b w:val="0"/>
          <w:kern w:val="2"/>
          <w:sz w:val="21"/>
          <w:szCs w:val="32"/>
        </w:rPr>
      </w:pPr>
      <w:bookmarkStart w:id="8" w:name="_Toc30651"/>
      <w:r>
        <w:rPr>
          <w:rFonts w:ascii="宋体" w:hAnsi="宋体" w:hint="eastAsia"/>
          <w:b w:val="0"/>
          <w:kern w:val="2"/>
          <w:sz w:val="21"/>
          <w:szCs w:val="32"/>
        </w:rPr>
        <w:t>5.2.2转换桁架提高</w:t>
      </w:r>
      <w:bookmarkStart w:id="9" w:name="_Toc5008"/>
      <w:bookmarkEnd w:id="8"/>
    </w:p>
    <w:p w:rsidR="0027584A">
      <w:pPr>
        <w:spacing w:line="460" w:lineRule="auto"/>
        <w:ind w:firstLine="420" w:firstLineChars="200"/>
        <w:rPr>
          <w:rFonts w:hint="eastAsia"/>
        </w:rPr>
      </w:pPr>
      <w:bookmarkEnd w:id="9"/>
      <w:r>
        <w:rPr>
          <w:rFonts w:hint="eastAsia"/>
        </w:rPr>
        <w:t>根据结构布置，钢桁架在其正下方的首层楼面上采用卧拼的方式拼装为整体，同时，运用结构已安装完毕的钢骨结构设立提高平台，每榀桁架共设立2组，每组提高平台上布置一台XY-TS-75型液压提高器，在桁架上弦与上吊点相应的位置安装下吊点临时吊具，上下吊点通过专用钢绞线和专用底锚连接，运用液压同步提高系统将钢桁架翻身立直后，再继续提高至设计安装标高，完毕钢桁架的安装。</w:t>
      </w:r>
    </w:p>
    <w:p w:rsidR="0027584A">
      <w:pPr>
        <w:jc w:val="center"/>
        <w:rPr>
          <w:color w:val="FF0000"/>
        </w:rPr>
      </w:pPr>
      <w:r>
        <w:rPr>
          <w:rFonts w:hAnsi="宋体"/>
          <w:color w:val="FF0000"/>
        </w:rPr>
        <w:pict>
          <v:shape id="图片 152" o:spid="_x0000_i1058" type="#_x0000_t75" alt="提升立面图" style="width:243.15pt;height:188.8pt;mso-position-horizontal-relative:page;mso-position-vertical-relative:page" o:preferrelative="t" filled="f" stroked="f">
            <v:fill o:detectmouseclick="t"/>
            <v:imagedata r:id="rId14" o:title="提升立面图" croptop="15950f" cropbottom="6348f" cropleft="19671f" cropright="21494f"/>
            <v:path o:extrusionok="f"/>
            <o:lock v:ext="edit" aspectratio="t"/>
          </v:shape>
        </w:pict>
      </w:r>
    </w:p>
    <w:p w:rsidR="0027584A">
      <w:pPr>
        <w:spacing w:line="460" w:lineRule="auto"/>
        <w:rPr>
          <w:color w:val="FF0000"/>
        </w:rPr>
        <w:sectPr>
          <w:type w:val="nextPage"/>
          <w:pgSz w:w="11906" w:h="16838"/>
          <w:pgMar w:top="1440" w:right="1418" w:bottom="1440" w:left="1701" w:header="851" w:footer="992" w:gutter="0"/>
          <w:pgNumType w:start="7"/>
          <w:cols w:space="720"/>
          <w:titlePg w:val="0"/>
          <w:docGrid w:type="lines" w:linePitch="312"/>
        </w:sectPr>
      </w:pPr>
      <w:r>
        <w:rPr>
          <w:rFonts w:hint="eastAsia"/>
          <w:color w:val="FF0000"/>
        </w:rPr>
        <w:t xml:space="preserve">                             </w:t>
      </w:r>
      <w:r>
        <w:rPr>
          <w:rFonts w:hint="eastAsia"/>
        </w:rPr>
        <w:t xml:space="preserve">   图5.2.2-1  提高立面图</w:t>
      </w:r>
    </w:p>
    <w:p w:rsidR="0027584A">
      <w:pPr>
        <w:spacing w:line="460" w:lineRule="auto"/>
        <w:ind w:firstLine="420" w:firstLineChars="200"/>
        <w:rPr>
          <w:rFonts w:hint="eastAsia"/>
        </w:rPr>
      </w:pPr>
      <w:r>
        <w:rPr>
          <w:rFonts w:hint="eastAsia"/>
        </w:rPr>
        <w:t>01  桁架预提高</w:t>
      </w:r>
    </w:p>
    <w:p w:rsidR="0027584A">
      <w:pPr>
        <w:numPr>
          <w:ilvl w:val="0"/>
          <w:numId w:val="2"/>
        </w:numPr>
        <w:spacing w:line="460" w:lineRule="auto"/>
        <w:ind w:firstLine="420" w:firstLineChars="200"/>
        <w:rPr>
          <w:rFonts w:ascii="宋体" w:hAnsi="宋体" w:hint="eastAsia"/>
          <w:szCs w:val="21"/>
        </w:rPr>
      </w:pPr>
      <w:r>
        <w:rPr>
          <w:rFonts w:ascii="宋体" w:hAnsi="宋体" w:hint="eastAsia"/>
          <w:szCs w:val="21"/>
        </w:rPr>
        <w:t>调试液压同步提高系统；</w:t>
      </w:r>
    </w:p>
    <w:p w:rsidR="0027584A">
      <w:pPr>
        <w:numPr>
          <w:ilvl w:val="0"/>
          <w:numId w:val="2"/>
        </w:numPr>
        <w:spacing w:line="460" w:lineRule="auto"/>
        <w:ind w:firstLine="420" w:firstLineChars="200"/>
        <w:rPr>
          <w:rFonts w:ascii="宋体" w:hAnsi="宋体"/>
          <w:szCs w:val="21"/>
        </w:rPr>
      </w:pPr>
      <w:r>
        <w:rPr>
          <w:rFonts w:ascii="宋体" w:hAnsi="宋体" w:hint="eastAsia"/>
          <w:szCs w:val="21"/>
        </w:rPr>
        <w:t>张拉钢绞线，使得所有钢绞线均匀受力；</w:t>
      </w:r>
    </w:p>
    <w:p w:rsidR="0027584A">
      <w:pPr>
        <w:numPr>
          <w:ilvl w:val="0"/>
          <w:numId w:val="2"/>
        </w:numPr>
        <w:spacing w:line="460" w:lineRule="auto"/>
        <w:ind w:firstLine="420" w:firstLineChars="200"/>
        <w:rPr>
          <w:rFonts w:ascii="宋体" w:hAnsi="宋体"/>
          <w:szCs w:val="21"/>
        </w:rPr>
      </w:pPr>
      <w:r>
        <w:rPr>
          <w:rFonts w:ascii="宋体" w:hAnsi="宋体" w:hint="eastAsia"/>
          <w:szCs w:val="21"/>
        </w:rPr>
        <w:t>检查提高单元以及液压同步提高的所有临时措施是否满足设计规定；</w:t>
      </w:r>
    </w:p>
    <w:p w:rsidR="0027584A">
      <w:pPr>
        <w:numPr>
          <w:ilvl w:val="0"/>
          <w:numId w:val="2"/>
        </w:numPr>
        <w:spacing w:line="460" w:lineRule="auto"/>
        <w:ind w:firstLine="420" w:firstLineChars="200"/>
        <w:rPr>
          <w:rFonts w:ascii="宋体" w:hAnsi="宋体"/>
          <w:szCs w:val="21"/>
        </w:rPr>
      </w:pPr>
      <w:r>
        <w:rPr>
          <w:rFonts w:ascii="宋体" w:hAnsi="宋体" w:hint="eastAsia"/>
          <w:szCs w:val="21"/>
        </w:rPr>
        <w:t>确认无误后，按照设计荷载的20%、40%、60%、70%、80%、90%、95%、100%的顺序逐级加载，直至桁架上弦脱离拼装平台；</w:t>
      </w:r>
    </w:p>
    <w:p w:rsidR="0027584A">
      <w:pPr>
        <w:numPr>
          <w:ilvl w:val="0"/>
          <w:numId w:val="2"/>
        </w:numPr>
        <w:spacing w:line="460" w:lineRule="auto"/>
        <w:ind w:firstLine="420" w:firstLineChars="200"/>
        <w:rPr>
          <w:rFonts w:ascii="宋体" w:hAnsi="宋体"/>
          <w:szCs w:val="21"/>
        </w:rPr>
      </w:pPr>
      <w:r>
        <w:rPr>
          <w:rFonts w:ascii="宋体" w:hAnsi="宋体" w:hint="eastAsia"/>
          <w:szCs w:val="21"/>
        </w:rPr>
        <w:t>继续提高桁架提高单元，并根据提高速度缓慢释放桁架下弦处的倒链，使得桁架下弦在胎架上平稳滑动；</w:t>
      </w:r>
    </w:p>
    <w:p w:rsidR="0027584A">
      <w:pPr>
        <w:numPr>
          <w:ilvl w:val="0"/>
          <w:numId w:val="2"/>
        </w:numPr>
        <w:spacing w:line="460" w:lineRule="auto"/>
        <w:ind w:firstLine="420" w:firstLineChars="200"/>
        <w:rPr>
          <w:rFonts w:ascii="宋体" w:hAnsi="宋体"/>
          <w:szCs w:val="21"/>
        </w:rPr>
      </w:pPr>
      <w:r>
        <w:rPr>
          <w:rFonts w:ascii="宋体" w:hAnsi="宋体" w:hint="eastAsia"/>
          <w:szCs w:val="21"/>
        </w:rPr>
        <w:t>桁架提高单元翻身作业结束后，运用液压同步提高系统将其提高约100mm后，暂停提高；</w:t>
      </w:r>
    </w:p>
    <w:p w:rsidR="0027584A">
      <w:pPr>
        <w:numPr>
          <w:ilvl w:val="0"/>
          <w:numId w:val="2"/>
        </w:numPr>
        <w:spacing w:line="460" w:lineRule="auto"/>
        <w:ind w:firstLine="420" w:firstLineChars="200"/>
        <w:rPr>
          <w:rFonts w:ascii="宋体" w:hAnsi="宋体"/>
          <w:szCs w:val="21"/>
        </w:rPr>
      </w:pPr>
      <w:r>
        <w:rPr>
          <w:rFonts w:ascii="宋体" w:hAnsi="宋体" w:hint="eastAsia"/>
          <w:szCs w:val="21"/>
        </w:rPr>
        <w:t>微调提高单元的各个吊点的标高，使其处在水平，并静置4～12小时。</w:t>
      </w:r>
    </w:p>
    <w:p w:rsidR="0027584A">
      <w:pPr>
        <w:numPr>
          <w:ilvl w:val="0"/>
          <w:numId w:val="2"/>
        </w:numPr>
        <w:spacing w:line="460" w:lineRule="auto"/>
        <w:ind w:firstLine="420" w:firstLineChars="200"/>
        <w:rPr>
          <w:rFonts w:ascii="宋体" w:hAnsi="宋体"/>
          <w:szCs w:val="21"/>
        </w:rPr>
      </w:pPr>
      <w:r>
        <w:rPr>
          <w:rFonts w:ascii="宋体" w:hAnsi="宋体" w:hint="eastAsia"/>
          <w:szCs w:val="21"/>
        </w:rPr>
        <w:t>再次检查提高单元以及提高临时措施有无异常，确认无异常情况后，开始正式提高。</w:t>
      </w:r>
    </w:p>
    <w:p w:rsidR="0027584A">
      <w:pPr>
        <w:spacing w:line="460" w:lineRule="auto"/>
        <w:ind w:firstLine="420" w:firstLineChars="200"/>
      </w:pPr>
      <w:bookmarkStart w:id="10" w:name="_Toc417940732"/>
      <w:bookmarkStart w:id="11" w:name="_Toc415169052"/>
      <w:bookmarkStart w:id="12" w:name="_Toc414392127"/>
      <w:bookmarkStart w:id="13" w:name="_Toc414361998"/>
      <w:bookmarkStart w:id="14" w:name="_Toc414393239"/>
      <w:bookmarkStart w:id="15" w:name="_Toc414362136"/>
      <w:bookmarkStart w:id="16" w:name="_Toc414392207"/>
      <w:bookmarkStart w:id="17" w:name="_Toc414530024"/>
      <w:bookmarkStart w:id="18" w:name="_Toc414834550"/>
      <w:bookmarkStart w:id="19" w:name="_Toc415160510"/>
      <w:bookmarkStart w:id="20" w:name="_Toc415168965"/>
      <w:bookmarkStart w:id="21" w:name="_Toc417906415"/>
      <w:bookmarkStart w:id="22" w:name="_Toc417941130"/>
      <w:bookmarkStart w:id="23" w:name="_Toc418186379"/>
      <w:bookmarkStart w:id="24" w:name="_Toc420156498"/>
      <w:bookmarkStart w:id="25" w:name="_Toc420156770"/>
      <w:bookmarkStart w:id="26" w:name="_Toc415170751"/>
      <w:bookmarkStart w:id="27" w:name="_Toc418621011"/>
      <w:bookmarkStart w:id="28" w:name="_Toc418606460"/>
      <w:bookmarkStart w:id="29" w:name="_Toc420156852"/>
      <w:bookmarkStart w:id="30" w:name="_Toc417907807"/>
      <w:bookmarkStart w:id="31" w:name="_Toc417941048"/>
      <w:bookmarkStart w:id="32" w:name="_Toc418197170"/>
      <w:bookmarkStart w:id="33" w:name="_Toc418622410"/>
      <w:bookmarkStart w:id="34" w:name="_Toc420157086"/>
      <w:bookmarkStart w:id="35" w:name="_Toc416155505"/>
      <w:bookmarkStart w:id="36" w:name="_Toc418531081"/>
      <w:bookmarkStart w:id="37" w:name="_Toc418847088"/>
      <w:bookmarkStart w:id="38" w:name="_Toc417899692"/>
      <w:bookmarkStart w:id="39" w:name="_Toc419662516"/>
      <w:bookmarkStart w:id="40" w:name="_Toc418606543"/>
      <w:bookmarkStart w:id="41" w:name="_Toc418188185"/>
      <w:bookmarkStart w:id="42" w:name="_Toc419389319"/>
      <w:bookmarkStart w:id="43" w:name="_Toc419660772"/>
      <w:bookmarkStart w:id="44" w:name="_Toc420156938"/>
      <w:bookmarkStart w:id="45" w:name="_Toc416157326"/>
      <w:bookmarkStart w:id="46" w:name="_Toc419663184"/>
      <w:bookmarkStart w:id="47" w:name="_Toc423525928"/>
      <w:bookmarkStart w:id="48" w:name="_Toc502306702"/>
      <w:bookmarkStart w:id="49" w:name="_Toc355962815"/>
      <w:bookmarkStart w:id="50" w:name="_Toc496650091"/>
      <w:bookmarkStart w:id="51" w:name="_Toc444957595"/>
      <w:bookmarkStart w:id="52" w:name="_Toc503934093"/>
      <w:bookmarkStart w:id="53" w:name="_Toc389856315"/>
      <w:bookmarkStart w:id="54" w:name="_Toc10158"/>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rFonts w:hint="eastAsia"/>
        </w:rPr>
        <w:t>02  正式</w:t>
      </w:r>
      <w:r>
        <w:t>提高</w:t>
      </w:r>
      <w:bookmarkEnd w:id="47"/>
      <w:bookmarkEnd w:id="48"/>
      <w:bookmarkEnd w:id="49"/>
      <w:bookmarkEnd w:id="50"/>
      <w:bookmarkEnd w:id="51"/>
      <w:bookmarkEnd w:id="52"/>
      <w:bookmarkEnd w:id="53"/>
      <w:bookmarkEnd w:id="54"/>
    </w:p>
    <w:p w:rsidR="0027584A">
      <w:pPr>
        <w:spacing w:before="163" w:line="460" w:lineRule="auto"/>
        <w:ind w:firstLine="420" w:firstLineChars="200"/>
      </w:pPr>
      <w:bookmarkStart w:id="55" w:name="_Toc327604429"/>
      <w:bookmarkStart w:id="56" w:name="_Toc318058920"/>
      <w:bookmarkStart w:id="57" w:name="_Toc389856319"/>
      <w:bookmarkStart w:id="58" w:name="_Toc314851570"/>
      <w:bookmarkStart w:id="59" w:name="_Toc355962819"/>
      <w:bookmarkStart w:id="60" w:name="_Toc332628980"/>
      <w:bookmarkStart w:id="61" w:name="_Toc318059095"/>
      <w:bookmarkStart w:id="62" w:name="_Toc502306706"/>
      <w:bookmarkStart w:id="63" w:name="_Toc496650095"/>
      <w:bookmarkStart w:id="64" w:name="_Toc444957599"/>
      <w:bookmarkStart w:id="65" w:name="_Toc423525933"/>
      <w:bookmarkStart w:id="66" w:name="_Toc332364333"/>
      <w:bookmarkStart w:id="67" w:name="_Toc503934097"/>
      <w:bookmarkStart w:id="68" w:name="_Toc26398"/>
      <w:bookmarkStart w:id="69" w:name="_Toc237105642"/>
      <w:bookmarkStart w:id="70" w:name="_Toc262235619"/>
      <w:bookmarkStart w:id="71" w:name="_Toc237013641"/>
      <w:bookmarkStart w:id="72" w:name="_Toc237151498"/>
      <w:r>
        <w:rPr>
          <w:rFonts w:hint="eastAsia"/>
        </w:rPr>
        <w:t>（1）姿态检测调整</w:t>
      </w:r>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27584A">
      <w:pPr>
        <w:spacing w:line="460" w:lineRule="auto"/>
        <w:ind w:firstLine="420" w:firstLineChars="200"/>
        <w:rPr>
          <w:rFonts w:ascii="宋体" w:hAnsi="宋体"/>
          <w:szCs w:val="21"/>
        </w:rPr>
      </w:pPr>
      <w:r>
        <w:rPr>
          <w:rFonts w:ascii="宋体" w:hAnsi="宋体" w:hint="eastAsia"/>
          <w:szCs w:val="21"/>
        </w:rPr>
        <w:t>用测量仪器检测各吊点的离地距离，计算出各吊点相对高差。通过液压提高系统设备调整各吊点高度，使提高单元达成设计姿态。</w:t>
      </w:r>
    </w:p>
    <w:p w:rsidR="0027584A">
      <w:pPr>
        <w:spacing w:before="163" w:line="460" w:lineRule="auto"/>
        <w:ind w:left="142" w:firstLine="210" w:firstLineChars="100"/>
      </w:pPr>
      <w:bookmarkStart w:id="73" w:name="_Toc502306707"/>
      <w:bookmarkStart w:id="74" w:name="_Toc23762"/>
      <w:bookmarkStart w:id="75" w:name="_Toc314851571"/>
      <w:bookmarkStart w:id="76" w:name="_Toc389856320"/>
      <w:bookmarkStart w:id="77" w:name="_Toc444957600"/>
      <w:bookmarkStart w:id="78" w:name="_Toc503934098"/>
      <w:bookmarkStart w:id="79" w:name="_Toc327604430"/>
      <w:bookmarkStart w:id="80" w:name="_Toc332628981"/>
      <w:bookmarkStart w:id="81" w:name="_Toc496650096"/>
      <w:bookmarkStart w:id="82" w:name="_Toc318058921"/>
      <w:bookmarkStart w:id="83" w:name="_Toc318059096"/>
      <w:bookmarkStart w:id="84" w:name="_Toc355962820"/>
      <w:bookmarkStart w:id="85" w:name="_Toc423525934"/>
      <w:bookmarkStart w:id="86" w:name="_Toc332364334"/>
      <w:r>
        <w:rPr>
          <w:rFonts w:hint="eastAsia"/>
        </w:rPr>
        <w:t>（2）整体同步提高</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27584A">
      <w:pPr>
        <w:spacing w:line="460" w:lineRule="auto"/>
        <w:ind w:firstLine="420" w:firstLineChars="200"/>
        <w:rPr>
          <w:rFonts w:ascii="宋体" w:hAnsi="宋体"/>
          <w:szCs w:val="21"/>
        </w:rPr>
      </w:pPr>
      <w:r>
        <w:rPr>
          <w:rFonts w:ascii="宋体" w:hAnsi="宋体" w:hint="eastAsia"/>
          <w:szCs w:val="21"/>
        </w:rPr>
        <w:t>以调整后的各吊点高度为新的起始位置，复位位移传感器。在整体提高过程中，保持该姿态直至提高到设计标高附近。</w:t>
      </w:r>
    </w:p>
    <w:p w:rsidR="0027584A">
      <w:pPr>
        <w:spacing w:before="163" w:line="460" w:lineRule="auto"/>
        <w:ind w:firstLine="420" w:firstLineChars="200"/>
      </w:pPr>
      <w:bookmarkStart w:id="87" w:name="_Toc496650097"/>
      <w:bookmarkStart w:id="88" w:name="_Toc402"/>
      <w:bookmarkStart w:id="89" w:name="_Toc355962821"/>
      <w:bookmarkStart w:id="90" w:name="_Toc318058922"/>
      <w:bookmarkStart w:id="91" w:name="_Toc332364335"/>
      <w:bookmarkStart w:id="92" w:name="_Toc444957601"/>
      <w:bookmarkStart w:id="93" w:name="_Toc318059097"/>
      <w:bookmarkStart w:id="94" w:name="_Toc423525935"/>
      <w:bookmarkStart w:id="95" w:name="_Toc389856321"/>
      <w:bookmarkStart w:id="96" w:name="_Toc327604431"/>
      <w:bookmarkStart w:id="97" w:name="_Toc502306708"/>
      <w:bookmarkStart w:id="98" w:name="_Toc314851572"/>
      <w:bookmarkStart w:id="99" w:name="_Toc332628982"/>
      <w:bookmarkStart w:id="100" w:name="_Toc503934099"/>
      <w:r>
        <w:rPr>
          <w:rFonts w:hint="eastAsia"/>
        </w:rPr>
        <w:t>（3）提高过程的微调</w:t>
      </w:r>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27584A">
      <w:pPr>
        <w:spacing w:line="460" w:lineRule="auto"/>
        <w:ind w:firstLine="420" w:firstLineChars="200"/>
        <w:rPr>
          <w:rFonts w:ascii="宋体" w:hAnsi="宋体"/>
          <w:szCs w:val="21"/>
        </w:rPr>
        <w:sectPr>
          <w:type w:val="nextPage"/>
          <w:pgSz w:w="11906" w:h="16838"/>
          <w:pgMar w:top="1440" w:right="1418" w:bottom="1440" w:left="1701" w:header="851" w:footer="992" w:gutter="0"/>
          <w:pgNumType w:start="8"/>
          <w:cols w:space="720"/>
          <w:titlePg w:val="0"/>
          <w:docGrid w:type="lines" w:linePitch="312"/>
        </w:sectPr>
      </w:pPr>
    </w:p>
    <w:p w:rsidR="0027584A">
      <w:pPr>
        <w:spacing w:line="460" w:lineRule="auto"/>
        <w:ind w:firstLine="420" w:firstLineChars="200"/>
        <w:rPr>
          <w:rFonts w:ascii="宋体" w:hAnsi="宋体"/>
          <w:szCs w:val="21"/>
        </w:rPr>
      </w:pPr>
      <w:r>
        <w:rPr>
          <w:rFonts w:ascii="宋体" w:hAnsi="宋体" w:hint="eastAsia"/>
          <w:szCs w:val="21"/>
        </w:rPr>
        <w:t>在提高过程中，由于空中姿态调整和后装杆件安装等需要进行高度微调。在微调开始前，将计算机同步控制系统由自动模式切换成手动模式。根据需要，对整个液压提高系统中各个吊点的液压提高器进行同步微动（上升或下降），或者对单台液压提高器进行微动调整。微动即点动调整精度可以达成毫米级，完全可以满足结构安装的精度需要。</w:t>
      </w:r>
    </w:p>
    <w:p w:rsidR="0027584A">
      <w:pPr>
        <w:spacing w:before="163" w:line="460" w:lineRule="auto"/>
        <w:ind w:left="142" w:firstLine="420" w:firstLineChars="200"/>
      </w:pPr>
      <w:bookmarkStart w:id="101" w:name="_Toc314851573"/>
      <w:bookmarkStart w:id="102" w:name="_Toc332628983"/>
      <w:bookmarkStart w:id="103" w:name="_Toc332364336"/>
      <w:bookmarkStart w:id="104" w:name="_Toc496650098"/>
      <w:bookmarkStart w:id="105" w:name="_Toc444957602"/>
      <w:bookmarkStart w:id="106" w:name="_Toc327604432"/>
      <w:bookmarkStart w:id="107" w:name="_Toc318059098"/>
      <w:bookmarkStart w:id="108" w:name="_Toc503934100"/>
      <w:bookmarkStart w:id="109" w:name="_Toc502306709"/>
      <w:bookmarkStart w:id="110" w:name="_Toc11754"/>
      <w:bookmarkStart w:id="111" w:name="_Toc355962822"/>
      <w:bookmarkStart w:id="112" w:name="_Toc389856322"/>
      <w:bookmarkStart w:id="113" w:name="_Toc318058923"/>
      <w:bookmarkStart w:id="114" w:name="_Toc423525936"/>
      <w:r>
        <w:rPr>
          <w:rFonts w:hint="eastAsia"/>
        </w:rPr>
        <w:t>（4）提高就位</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0027584A">
      <w:pPr>
        <w:spacing w:line="460" w:lineRule="auto"/>
        <w:ind w:firstLine="420" w:firstLineChars="200"/>
        <w:rPr>
          <w:color w:val="FF0000"/>
        </w:rPr>
      </w:pPr>
      <w:bookmarkEnd w:id="69"/>
      <w:bookmarkEnd w:id="70"/>
      <w:bookmarkEnd w:id="71"/>
      <w:bookmarkEnd w:id="72"/>
      <w:r>
        <w:rPr>
          <w:rFonts w:ascii="宋体" w:hAnsi="宋体" w:hint="eastAsia"/>
          <w:szCs w:val="21"/>
        </w:rPr>
        <w:t>提高单元提高至距离设计标高约200mm时，暂停提高；各吊点微调使结构精确提高到达设计位置；液压提高系统设备暂停工作，保持提高单元的空中姿态，后装杆件安装，使提高单元结构形成整体稳定受力体系。液压提高系统设备同步减压，至钢绞线完全松弛；拆除液压提高系统设备及相关临时措施，完毕提高单元的整体提高安装。</w:t>
      </w:r>
    </w:p>
    <w:p w:rsidR="0027584A">
      <w:pPr>
        <w:pStyle w:val="Heading1"/>
        <w:spacing w:line="460" w:lineRule="auto"/>
        <w:ind w:firstLine="420" w:firstLineChars="200"/>
        <w:rPr>
          <w:rFonts w:ascii="宋体" w:hAnsi="宋体" w:hint="eastAsia"/>
          <w:b w:val="0"/>
          <w:kern w:val="2"/>
          <w:sz w:val="21"/>
          <w:szCs w:val="32"/>
        </w:rPr>
      </w:pPr>
      <w:bookmarkStart w:id="115" w:name="_Toc1595"/>
      <w:bookmarkStart w:id="116" w:name="_Toc353178658"/>
      <w:r>
        <w:rPr>
          <w:rFonts w:ascii="宋体" w:hAnsi="宋体" w:hint="eastAsia"/>
          <w:b w:val="0"/>
          <w:kern w:val="2"/>
          <w:sz w:val="21"/>
          <w:szCs w:val="32"/>
        </w:rPr>
        <w:t>5.2.3高强螺栓施工</w:t>
      </w:r>
      <w:bookmarkEnd w:id="115"/>
      <w:bookmarkEnd w:id="116"/>
    </w:p>
    <w:p w:rsidR="0027584A">
      <w:pPr>
        <w:spacing w:before="163" w:line="460" w:lineRule="auto"/>
        <w:ind w:firstLine="420" w:firstLineChars="200"/>
      </w:pPr>
      <w:bookmarkStart w:id="117" w:name="_Toc353178664"/>
      <w:bookmarkStart w:id="118" w:name="_Toc12322"/>
      <w:r>
        <w:rPr>
          <w:rFonts w:hint="eastAsia"/>
        </w:rPr>
        <w:t>01  工艺流程</w:t>
      </w:r>
      <w:bookmarkEnd w:id="117"/>
      <w:bookmarkEnd w:id="118"/>
    </w:p>
    <w:p w:rsidR="0027584A">
      <w:pPr>
        <w:spacing w:line="460" w:lineRule="auto"/>
        <w:ind w:firstLine="420" w:firstLineChars="200"/>
        <w:jc w:val="left"/>
        <w:rPr>
          <w:rFonts w:ascii="宋体" w:hAnsi="宋体" w:cs="宋体"/>
          <w:snapToGrid w:val="0"/>
          <w:kern w:val="0"/>
          <w:szCs w:val="20"/>
        </w:rPr>
      </w:pPr>
      <w:r>
        <w:rPr>
          <w:rFonts w:ascii="宋体" w:hAnsi="宋体" w:cs="宋体" w:hint="eastAsia"/>
          <w:snapToGrid w:val="0"/>
          <w:kern w:val="0"/>
          <w:szCs w:val="20"/>
        </w:rPr>
        <w:t>（1）临时螺栓固定钢构件</w:t>
      </w:r>
    </w:p>
    <w:p w:rsidR="0027584A">
      <w:pPr>
        <w:spacing w:line="460" w:lineRule="auto"/>
        <w:ind w:firstLine="420" w:firstLineChars="200"/>
        <w:jc w:val="left"/>
        <w:rPr>
          <w:rFonts w:ascii="宋体" w:hAnsi="宋体" w:cs="宋体"/>
          <w:snapToGrid w:val="0"/>
          <w:kern w:val="0"/>
          <w:szCs w:val="20"/>
        </w:rPr>
      </w:pPr>
      <w:r>
        <w:rPr>
          <w:rFonts w:ascii="宋体" w:hAnsi="宋体" w:cs="宋体" w:hint="eastAsia"/>
          <w:snapToGrid w:val="0"/>
          <w:kern w:val="0"/>
          <w:szCs w:val="20"/>
        </w:rPr>
        <w:t>（2）用高强度螺栓替换临时螺栓，初拧并作好标志</w:t>
      </w:r>
    </w:p>
    <w:p w:rsidR="0027584A">
      <w:pPr>
        <w:spacing w:line="460" w:lineRule="auto"/>
        <w:ind w:firstLine="420" w:firstLineChars="200"/>
        <w:jc w:val="left"/>
        <w:rPr>
          <w:rFonts w:hint="eastAsia"/>
        </w:rPr>
      </w:pPr>
      <w:r>
        <w:rPr>
          <w:rFonts w:hint="eastAsia"/>
        </w:rPr>
        <w:t>（3）转换桁架高强螺栓施拧顺序为先施拧钢柱部分螺栓群，然后施拧上下弦螺栓群，最后施拧斜腹杆的螺栓群。将钢柱作为施拧节点中心部分，以此向四周扩散施拧，减少由于高强度螺栓的施拧力所带来的附加应力，保证高强度螺栓施拧质量及连接板顶紧面的完全贴紧。单个高强度螺栓群的施拧顺序采用从中心向四周扩散的原则进行。</w:t>
      </w:r>
    </w:p>
    <w:p w:rsidR="0027584A">
      <w:pPr>
        <w:spacing w:line="460" w:lineRule="auto"/>
        <w:ind w:left="120"/>
        <w:jc w:val="left"/>
      </w:pPr>
      <w:r>
        <w:object>
          <v:shape id="对象 153" o:spid="_x0000_i1059" type="#_x0000_t75" style="width:225.4pt;height:143.45pt;mso-position-horizontal-relative:page;mso-position-vertical-relative:page" o:oleicon="f" o:ole="" o:preferrelative="t" filled="f" stroked="f">
            <v:fill o:detectmouseclick="t"/>
            <v:imagedata r:id="rId15" o:title="" croptop="21165f" cropbottom="29862f" cropleft="51037f" cropright="4597f"/>
            <v:path o:extrusionok="f"/>
            <o:lock v:ext="edit" aspectratio="t"/>
          </v:shape>
          <o:OLEObject Type="Embed" ProgID="AutoCAD.Drawing.18" ShapeID="对象 153" DrawAspect="Content" ObjectID="_1234567892" r:id="rId16"/>
        </w:object>
      </w:r>
      <w:r>
        <w:rPr>
          <w:rFonts w:hint="eastAsia"/>
        </w:rPr>
        <w:t xml:space="preserve">       </w:t>
      </w:r>
      <w:r>
        <w:object>
          <v:shape id="对象 156" o:spid="_x0000_i1060" type="#_x0000_t75" style="width:149.85pt;height:144.15pt;mso-position-horizontal-relative:page;mso-position-vertical-relative:page" o:oleicon="f" o:ole="" o:preferrelative="t" filled="f" stroked="f">
            <v:imagedata r:id="rId17" o:title="" croptop="10878f" cropbottom="18724f" cropleft="25564f" cropright="23753f"/>
            <v:path o:extrusionok="f"/>
            <o:lock v:ext="edit" aspectratio="t"/>
          </v:shape>
          <o:OLEObject Type="Embed" ProgID="AutoCAD.Drawing.18" ShapeID="对象 156" DrawAspect="Content" ObjectID="_1234567893" r:id="rId18"/>
        </w:object>
      </w:r>
    </w:p>
    <w:p w:rsidR="0027584A">
      <w:pPr>
        <w:spacing w:line="460" w:lineRule="auto"/>
        <w:jc w:val="left"/>
        <w:rPr>
          <w:rFonts w:hint="eastAsia"/>
        </w:rPr>
      </w:pPr>
      <w:r>
        <w:rPr>
          <w:rFonts w:hint="eastAsia"/>
        </w:rPr>
        <w:t>图5.2.3-1  弦杆及竖腹杆高强螺栓紧固顺序         图5.2.3-2  斜腹杆高强螺栓紧固顺序</w:t>
      </w:r>
    </w:p>
    <w:p w:rsidR="0027584A">
      <w:pPr>
        <w:ind w:firstLine="420" w:firstLineChars="200"/>
        <w:jc w:val="left"/>
        <w:rPr>
          <w:rFonts w:hint="eastAsia"/>
          <w:color w:val="FF0000"/>
        </w:rPr>
      </w:pPr>
      <w:r>
        <w:rPr>
          <w:rFonts w:hint="eastAsia"/>
          <w:color w:val="FF0000"/>
        </w:rPr>
        <w:br/>
      </w:r>
      <w:r>
        <w:rPr>
          <w:rFonts w:hint="eastAsia"/>
          <w:color w:val="FF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 w:history="1">
        <w:r>
          <w:rPr>
            <w:rFonts w:ascii="SimSun" w:eastAsia="SimSun" w:hAnsi="SimSun" w:cs="SimSun"/>
            <w:b/>
            <w:bCs/>
            <w:color w:val="0000EE"/>
            <w:kern w:val="0"/>
            <w:sz w:val="30"/>
            <w:szCs w:val="30"/>
            <w:u w:val="single" w:color="0000EE"/>
          </w:rPr>
          <w:t>https://d.book118.com/778025047142006024</w:t>
        </w:r>
      </w:hyperlink>
    </w:p>
    <w:p w:rsidR="0027584A">
      <w:pPr>
        <w:ind w:firstLine="420" w:firstLineChars="200"/>
        <w:jc w:val="left"/>
        <w:rPr>
          <w:rFonts w:hint="eastAsia"/>
          <w:color w:val="FF0000"/>
        </w:rPr>
      </w:pPr>
    </w:p>
    <w:sectPr>
      <w:type w:val="nextPage"/>
      <w:pgSz w:w="11906" w:h="16838"/>
      <w:pgMar w:top="1440" w:right="1418" w:bottom="1440" w:left="1701" w:header="851" w:footer="992" w:gutter="0"/>
      <w:pgNumType w:start="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华文行楷">
    <w:panose1 w:val="02010800040101010101"/>
    <w:charset w:val="86"/>
    <w:family w:val="auto"/>
    <w:pitch w:val="variable"/>
    <w:sig w:usb0="00000001" w:usb1="080F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Cambria Math">
    <w:panose1 w:val="02040503050406030204"/>
    <w:charset w:val="01"/>
    <w:family w:val="roman"/>
    <w:notTrueType/>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8A634CA"/>
    <w:multiLevelType w:val="singleLevel"/>
    <w:tmpl w:val="A8A634CA"/>
    <w:lvl w:ilvl="0">
      <w:start w:val="2"/>
      <w:numFmt w:val="decimal"/>
      <w:suff w:val="nothing"/>
      <w:lvlText w:val="（%1）"/>
      <w:lvlJc w:val="left"/>
    </w:lvl>
  </w:abstractNum>
  <w:abstractNum w:abstractNumId="1">
    <w:nsid w:val="0FC0BE82"/>
    <w:multiLevelType w:val="singleLevel"/>
    <w:tmpl w:val="0FC0BE82"/>
    <w:lvl w:ilvl="0">
      <w:start w:val="1"/>
      <w:numFmt w:val="decimal"/>
      <w:suff w:val="nothing"/>
      <w:lvlText w:val="（%1）"/>
      <w:lvlJc w:val="left"/>
    </w:lvl>
  </w:abstractNum>
  <w:abstractNum w:abstractNumId="2">
    <w:nsid w:val="36065495"/>
    <w:multiLevelType w:val="multilevel"/>
    <w:tmpl w:val="36065495"/>
    <w:lvl w:ilvl="0">
      <w:start w:val="1"/>
      <w:numFmt w:val="decimal"/>
      <w:lvlText w:val="%1. "/>
      <w:lvlJc w:val="left"/>
      <w:pPr>
        <w:ind w:left="142" w:firstLine="0"/>
      </w:pPr>
      <w:rPr>
        <w:rFonts w:hint="eastAsia"/>
      </w:rPr>
    </w:lvl>
    <w:lvl w:ilvl="1">
      <w:start w:val="1"/>
      <w:numFmt w:val="decimal"/>
      <w:lvlText w:val="%1.%2. "/>
      <w:lvlJc w:val="left"/>
      <w:pPr>
        <w:ind w:left="0" w:firstLine="0"/>
      </w:pPr>
      <w:rPr>
        <w:rFonts w:hint="eastAsia"/>
      </w:rPr>
    </w:lvl>
    <w:lvl w:ilvl="2">
      <w:start w:val="1"/>
      <w:numFmt w:val="decimal"/>
      <w:lvlText w:val="%1.%2.%3. "/>
      <w:lvlJc w:val="left"/>
      <w:pPr>
        <w:ind w:left="142" w:firstLine="0"/>
      </w:pPr>
      <w:rPr>
        <w:rFonts w:hint="eastAsia"/>
      </w:rPr>
    </w:lvl>
    <w:lvl w:ilvl="3">
      <w:start w:val="1"/>
      <w:numFmt w:val="decimal"/>
      <w:suff w:val="nothing"/>
      <w:lvlText w:val="%1.%2.%3.%4"/>
      <w:lvlJc w:val="left"/>
      <w:pPr>
        <w:ind w:left="142" w:firstLine="0"/>
      </w:pPr>
      <w:rPr>
        <w:rFonts w:hint="eastAsia"/>
      </w:rPr>
    </w:lvl>
    <w:lvl w:ilvl="4">
      <w:start w:val="1"/>
      <w:numFmt w:val="none"/>
      <w:suff w:val="nothing"/>
      <w:lvlJc w:val="left"/>
      <w:pPr>
        <w:ind w:left="142" w:firstLine="0"/>
      </w:pPr>
      <w:rPr>
        <w:rFonts w:hint="eastAsia"/>
      </w:rPr>
    </w:lvl>
    <w:lvl w:ilvl="5">
      <w:start w:val="1"/>
      <w:numFmt w:val="none"/>
      <w:suff w:val="nothing"/>
      <w:lvlJc w:val="left"/>
      <w:pPr>
        <w:ind w:left="142" w:firstLine="0"/>
      </w:pPr>
      <w:rPr>
        <w:rFonts w:hint="eastAsia"/>
      </w:rPr>
    </w:lvl>
    <w:lvl w:ilvl="6">
      <w:start w:val="1"/>
      <w:numFmt w:val="none"/>
      <w:suff w:val="nothing"/>
      <w:lvlJc w:val="left"/>
      <w:pPr>
        <w:ind w:left="142" w:firstLine="0"/>
      </w:pPr>
      <w:rPr>
        <w:rFonts w:hint="eastAsia"/>
      </w:rPr>
    </w:lvl>
    <w:lvl w:ilvl="7">
      <w:start w:val="1"/>
      <w:numFmt w:val="none"/>
      <w:suff w:val="nothing"/>
      <w:lvlJc w:val="left"/>
      <w:pPr>
        <w:ind w:left="142" w:firstLine="0"/>
      </w:pPr>
      <w:rPr>
        <w:rFonts w:hint="eastAsia"/>
      </w:rPr>
    </w:lvl>
    <w:lvl w:ilvl="8">
      <w:start w:val="1"/>
      <w:numFmt w:val="none"/>
      <w:suff w:val="nothing"/>
      <w:lvlJc w:val="left"/>
      <w:pPr>
        <w:ind w:left="142" w:firstLine="0"/>
      </w:pPr>
      <w:rPr>
        <w:rFonts w:hint="eastAsia"/>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61C0E"/>
    <w:rsid w:val="0027584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nhideWhenUsed="0" w:qFormat="1"/>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qFormat="1"/>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numPr>
        <w:ilvl w:val="1"/>
        <w:numId w:val="1"/>
      </w:numPr>
      <w:ind w:left="142"/>
      <w:outlineLvl w:val="1"/>
    </w:pPr>
    <w:rPr>
      <w:rFonts w:ascii="Arial" w:eastAsia="宋体" w:hAnsi="Arial" w:cs="Times New Roman"/>
      <w:b/>
      <w:bCs/>
      <w:szCs w:val="32"/>
    </w:rPr>
  </w:style>
  <w:style w:type="paragraph" w:styleId="Heading3">
    <w:name w:val="heading 3"/>
    <w:basedOn w:val="Normal"/>
    <w:next w:val="Normal"/>
    <w:qFormat/>
    <w:pPr>
      <w:keepNext/>
      <w:keepLines/>
      <w:numPr>
        <w:ilvl w:val="2"/>
        <w:numId w:val="1"/>
      </w:numPr>
      <w:spacing w:before="50" w:beforeLines="50"/>
      <w:outlineLvl w:val="2"/>
    </w:pPr>
    <w:rPr>
      <w:rFonts w:ascii="宋体" w:eastAsia="宋体" w:hAnsi="宋体" w:cs="Times New Roman"/>
      <w:bCs/>
      <w:szCs w:val="32"/>
    </w:rPr>
  </w:style>
  <w:style w:type="paragraph" w:styleId="Heading4">
    <w:name w:val="heading 4"/>
    <w:basedOn w:val="Normal"/>
    <w:next w:val="Normal"/>
    <w:qFormat/>
    <w:pPr>
      <w:keepNext/>
      <w:keepLines/>
      <w:numPr>
        <w:ilvl w:val="3"/>
        <w:numId w:val="1"/>
      </w:numPr>
      <w:jc w:val="left"/>
      <w:outlineLvl w:val="3"/>
    </w:pPr>
    <w:rPr>
      <w:rFonts w:ascii="宋体" w:eastAsia="宋体" w:hAnsi="宋体" w:cs="Times New Roman"/>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adjustRightInd w:val="0"/>
      <w:snapToGrid w:val="0"/>
      <w:spacing w:line="360" w:lineRule="auto"/>
      <w:ind w:firstLine="4560" w:firstLineChars="800"/>
      <w:jc w:val="left"/>
    </w:pPr>
    <w:rPr>
      <w:rFonts w:ascii="Times New Roman" w:eastAsia="华文行楷" w:hAnsi="Times New Roman"/>
      <w:spacing w:val="5"/>
      <w:sz w:val="56"/>
    </w:rPr>
  </w:style>
  <w:style w:type="paragraph" w:styleId="CommentText">
    <w:name w:val="annotation text"/>
    <w:basedOn w:val="Normal"/>
    <w:uiPriority w:val="99"/>
    <w:qFormat/>
    <w:pPr>
      <w:ind w:firstLine="200" w:firstLineChars="200"/>
      <w:jc w:val="left"/>
    </w:pPr>
    <w:rPr>
      <w:rFonts w:ascii="仿宋_GB2312" w:eastAsia="宋体" w:hAnsi="Times New Roman" w:cs="Times New Roman"/>
      <w:szCs w:val="24"/>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pPr>
    <w:rPr>
      <w:sz w:val="18"/>
      <w:szCs w:val="18"/>
    </w:rPr>
  </w:style>
  <w:style w:type="paragraph" w:styleId="NormalWeb">
    <w:name w:val="Normal (Web)"/>
    <w:basedOn w:val="Normal"/>
    <w:rPr>
      <w:sz w:val="24"/>
    </w:rPr>
  </w:style>
  <w:style w:type="paragraph" w:customStyle="1" w:styleId="a">
    <w:name w:val="图表标题"/>
    <w:basedOn w:val="Normal"/>
    <w:qFormat/>
    <w:pPr>
      <w:widowControl w:val="0"/>
      <w:spacing w:line="400" w:lineRule="atLeast"/>
      <w:jc w:val="center"/>
    </w:pPr>
    <w:rPr>
      <w:rFonts w:ascii="宋体" w:eastAsia="宋体" w:hAnsi="Calibri" w:cs="Times New Roman"/>
      <w:b/>
      <w:kern w:val="0"/>
      <w:sz w:val="21"/>
      <w:szCs w:val="20"/>
      <w:lang w:val="zh-CN" w:eastAsia="zh-CN"/>
    </w:rPr>
  </w:style>
  <w:style w:type="paragraph" w:styleId="ListParagraph">
    <w:name w:val="List Paragraph"/>
    <w:basedOn w:val="Normal"/>
    <w:uiPriority w:val="34"/>
    <w:qFormat/>
    <w:pPr>
      <w:ind w:firstLine="420" w:firstLineChars="200"/>
    </w:pPr>
  </w:style>
  <w:style w:type="paragraph" w:customStyle="1" w:styleId="a0">
    <w:name w:val="联想正文"/>
    <w:basedOn w:val="Normal"/>
    <w:qFormat/>
  </w:style>
  <w:style w:type="paragraph" w:customStyle="1" w:styleId="1">
    <w:name w:val="列出段落1"/>
    <w:basedOn w:val="Normal"/>
    <w:uiPriority w:val="99"/>
    <w:unhideWhenUsed/>
    <w:qFormat/>
    <w:pPr>
      <w:ind w:firstLine="420" w:firstLineChars="200"/>
    </w:pPr>
    <w:rPr>
      <w:rFonts w:ascii="Calibri" w:eastAsia="宋体" w:hAnsi="Calibri" w:cs="黑体"/>
    </w:rPr>
  </w:style>
  <w:style w:type="paragraph" w:customStyle="1" w:styleId="212">
    <w:name w:val="样式 样式 正文缩进正文（首行缩进两字） + 首行缩进:  2 字符1 + 首行缩进:  2 字符"/>
    <w:basedOn w:val="Normal"/>
    <w:pPr>
      <w:shd w:val="clear" w:color="auto" w:fill="FFFFFF"/>
      <w:ind w:firstLine="480"/>
    </w:pPr>
    <w:rPr>
      <w:rFonts w:ascii="Times New Roman" w:hAnsi="Times New Roman" w:cs="宋体"/>
      <w:szCs w:val="20"/>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wmf" /><Relationship Id="rId11" Type="http://schemas.openxmlformats.org/officeDocument/2006/relationships/oleObject" Target="embeddings/oleObject1.bin" /><Relationship Id="rId12" Type="http://schemas.openxmlformats.org/officeDocument/2006/relationships/image" Target="media/image8.wmf" /><Relationship Id="rId13" Type="http://schemas.openxmlformats.org/officeDocument/2006/relationships/oleObject" Target="embeddings/oleObject2.bin" /><Relationship Id="rId14" Type="http://schemas.openxmlformats.org/officeDocument/2006/relationships/image" Target="media/image9.wmf" /><Relationship Id="rId15" Type="http://schemas.openxmlformats.org/officeDocument/2006/relationships/image" Target="media/image10.wmf" /><Relationship Id="rId16" Type="http://schemas.openxmlformats.org/officeDocument/2006/relationships/oleObject" Target="embeddings/oleObject3.bin" /><Relationship Id="rId17" Type="http://schemas.openxmlformats.org/officeDocument/2006/relationships/image" Target="media/image11.wmf" /><Relationship Id="rId18" Type="http://schemas.openxmlformats.org/officeDocument/2006/relationships/oleObject" Target="embeddings/oleObject4.bin" /><Relationship Id="rId19" Type="http://schemas.openxmlformats.org/officeDocument/2006/relationships/hyperlink" Target="https://d.book118.com/778025047142006024" TargetMode="Externa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560</TotalTime>
  <Pages>10</Pages>
  <Words>1868</Words>
  <Characters>10652</Characters>
  <Application>Microsoft Office Word</Application>
  <DocSecurity>0</DocSecurity>
  <Lines>88</Lines>
  <Paragraphs>24</Paragraphs>
  <ScaleCrop>false</ScaleCrop>
  <Manager>金武攸</Manager>
  <Company/>
  <LinksUpToDate>false</LinksUpToDate>
  <CharactersWithSpaces>12496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2023大型钢混转换桁架施工工法</dc:title>
  <dc:subject>2023大型钢混转换桁架施工工法</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