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2018-2023年长沙幼儿师范高等专科学校高职单招（数学／语文／英语）历年常考试题库含答案解析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《五代史伶官传序》中，告诫人们要居安思危的警戒性语句是（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A.祸患常积于忽微，智勇多困于所溺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B.满招损，谦得益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C.忧劳可以兴国，逸豫可以亡身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D.盛衰之理，虽曰天命，岂非人事哉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spacing w:after="200" w:line="276" w:lineRule="atLeast"/>
        <w:jc w:val="left"/>
        <w:rPr>
          <w:rFonts w:ascii="黑体" w:eastAsia="黑体" w:hAnsi="黑体"/>
          <w:sz w:val="24"/>
          <w:lang w:val="en-US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ja-JP" w:bidi="ar-SA"/>
        </w:rPr>
        <w:t>2.</w:t>
      </w:r>
      <w:r>
        <w:rPr>
          <w:rFonts w:ascii="黑体" w:eastAsia="黑体" w:hAnsi="黑体" w:cs="Times New Roman"/>
          <w:sz w:val="24"/>
          <w:lang w:val="en-US" w:eastAsia="ja-JP" w:bidi="ar-SA"/>
        </w:rPr>
        <w:t>《苦恼》中，人与马的对比体现在（　　）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A.人像“幽灵”，马像“蜜糖饼”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B.姚纳挨“脖儿拐”，马挨鞭子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C.姚纳死了儿子，马死了崽儿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D.没有人听姚纳诉说，马却听其诉说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</w:p>
    <w:p w:rsidR="00327933" w:rsidRPr="00730BBD" w:rsidP="00386F93">
      <w:pPr>
        <w:pStyle w:val="Normal1"/>
        <w:spacing w:after="200" w:line="276" w:lineRule="auto"/>
        <w:jc w:val="left"/>
        <w:rPr>
          <w:rFonts w:ascii="黑体" w:eastAsia="黑体" w:hAnsi="黑体"/>
          <w:sz w:val="24"/>
          <w:lang w:val="en-US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下列各组句中加点的字，意思相同的一组是（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drawing>
          <wp:inline distT="0" distB="0" distL="0" distR="0">
            <wp:extent cx="3467464" cy="2190980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467464" cy="2190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巴金的散文集有（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A.《华盖集》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B.《朝花夕拾》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C.《龙·虎·狗》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D.《闲书》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下列语句中，论述“大同世界”特点的是（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A.各亲其亲，各子其子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B.以正君臣，以笃父子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C.刑仁讲让，示民有常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D.男有分，女有归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《蜀相》是一首（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A.五律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B.七律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C.七古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D.七绝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下列《马伶传》的句子中最能体现作者主观创作意图的是（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A.以分宜教分宜，安得不工哉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B.倘三年犹不得，即犹不归尔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C.日侍昆山相国于朝房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D.见昆山犹之见分宜也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在《爱尔克的灯光》中，“爱尔克的灯光”的象征意义是（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A.封建家庭和礼教的没落与崩溃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B.对新生活的信念和对理想的追求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C.对旧家庭的憎恶和对财富的鄙弃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D.美好希望的破灭和生活的悲剧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8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在《声声慢》（寻寻觅觅）一词中，作者借以抒写家破人亡之痛的主要景物是（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A.晚风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B.黄花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C.梧桐细雨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D.过雁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辛弃疾《水龙吟（登建康赏心亭）》中运用典故表达壮志未酬、时光虚度的感伤之情的是（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A.休说鲈鱼堪脍，尽西风、季鹰归未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B.求田问舍，怕应羞见，刘郎才气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C.可惜流年，忧愁风雨，树犹如此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D.倩何人，唤取红巾翠袖，揾英雄泪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下列句子中，不是词类活用的是（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drawing>
          <wp:inline distT="0" distB="0" distL="0" distR="0">
            <wp:extent cx="2162402" cy="1333640"/>
            <wp:effectExtent l="0" t="0" r="0" b="0"/>
            <wp:docPr id="2043371326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3371326" name="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162402" cy="1333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《冯谖客孟尝君》中最能表现冯谖政治才能的情节是（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A.弹铗而歌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B.焚券市义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C.营造三窟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D.乘车过友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https://d.book118.com/778034000135006040</w:t>
        </w:r>
      </w:hyperlink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11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778034000135006040" TargetMode="External" /><Relationship Id="rId11" Type="http://schemas.openxmlformats.org/officeDocument/2006/relationships/footer" Target="footer4.xml" /><Relationship Id="rId12" Type="http://schemas.openxmlformats.org/officeDocument/2006/relationships/theme" Target="theme/theme1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image" Target="media/image1.png" /><Relationship Id="rId7" Type="http://schemas.openxmlformats.org/officeDocument/2006/relationships/footer" Target="footer2.xml" /><Relationship Id="rId8" Type="http://schemas.openxmlformats.org/officeDocument/2006/relationships/footer" Target="footer3.xml" /><Relationship Id="rId9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