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917" w:rsidP="00B65917">
      <w:pPr>
        <w:pStyle w:val="NormalWeb"/>
        <w:spacing w:before="0" w:beforeAutospacing="0" w:after="0" w:afterAutospacing="0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﻿2024江苏建筑安全员C证考试题库</w:t>
      </w:r>
    </w:p>
    <w:p w:rsidR="00B65917" w:rsidP="00B65917">
      <w:pPr>
        <w:jc w:val="center"/>
        <w:rPr>
          <w:rFonts w:ascii="Times New Roman" w:hAnsi="Times New Roman" w:cs="Times New Roman" w:hint="eastAsia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学校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班级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姓名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考号</w:t>
      </w:r>
      <w:r>
        <w:rPr>
          <w:rFonts w:ascii="Times New Roman" w:hAnsi="Times New Roman" w:cs="Times New Roman"/>
          <w:color w:val="000000"/>
          <w:sz w:val="27"/>
          <w:szCs w:val="27"/>
        </w:rPr>
        <w:t>:________</w:t>
      </w:r>
    </w:p>
    <w:p w:rsidR="00B65917" w:rsidP="00B65917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B65917" w:rsidP="00B65917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一、单选题</w:t>
      </w:r>
      <w:r>
        <w:rPr>
          <w:rFonts w:ascii="Times New Roman" w:hAnsi="Times New Roman" w:cs="Times New Roman"/>
          <w:color w:val="000000"/>
          <w:sz w:val="27"/>
          <w:szCs w:val="27"/>
        </w:rPr>
        <w:t>(210</w:t>
      </w:r>
      <w:r>
        <w:rPr>
          <w:rFonts w:ascii="Times New Roman" w:hAnsi="Times New Roman" w:cs="Times New Roman"/>
          <w:color w:val="000000"/>
          <w:sz w:val="27"/>
          <w:szCs w:val="27"/>
        </w:rPr>
        <w:t>题</w:t>
      </w:r>
      <w:r>
        <w:rPr>
          <w:rFonts w:ascii="Times New Roman" w:hAnsi="Times New Roman" w:cs="Times New Roman"/>
          <w:color w:val="000000"/>
          <w:sz w:val="27"/>
          <w:szCs w:val="27"/>
        </w:rPr>
        <w:t>)</w:t>
      </w:r>
    </w:p>
    <w:p w:rsidR="00B65917" w:rsidP="00B65917">
      <w:pPr>
        <w:rPr>
          <w:rFonts w:ascii="宋体" w:hAnsi="宋体" w:cs="宋体"/>
          <w:sz w:val="24"/>
          <w:szCs w:val="24"/>
        </w:rPr>
        <w:sectPr w:rsidSect="00BE351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000000"/>
          <w:sz w:val="27"/>
          <w:szCs w:val="27"/>
        </w:rPr>
        <w:t>1.</w:t>
      </w:r>
      <w:r>
        <w:rPr>
          <w:rFonts w:ascii="Times New Roman" w:hAnsi="Times New Roman" w:cs="Times New Roman"/>
          <w:color w:val="000000"/>
          <w:sz w:val="27"/>
          <w:szCs w:val="27"/>
        </w:rPr>
        <w:t>脚手板搭接铺设时，接头应支在横向水平杆上，搭接长度不小于（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C 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A.100mm B.150mm C.200mm D.250mm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2.</w:t>
      </w:r>
      <w:r>
        <w:rPr>
          <w:rFonts w:ascii="Times New Roman" w:hAnsi="Times New Roman" w:cs="Times New Roman"/>
          <w:color w:val="000000"/>
          <w:sz w:val="27"/>
          <w:szCs w:val="27"/>
        </w:rPr>
        <w:t>施工现场的机动车道与</w:t>
      </w:r>
      <w:r>
        <w:rPr>
          <w:rFonts w:ascii="Times New Roman" w:hAnsi="Times New Roman" w:cs="Times New Roman"/>
          <w:color w:val="000000"/>
          <w:sz w:val="27"/>
          <w:szCs w:val="27"/>
        </w:rPr>
        <w:t>220/380V</w:t>
      </w:r>
      <w:r>
        <w:rPr>
          <w:rFonts w:ascii="Times New Roman" w:hAnsi="Times New Roman" w:cs="Times New Roman"/>
          <w:color w:val="000000"/>
          <w:sz w:val="27"/>
          <w:szCs w:val="27"/>
        </w:rPr>
        <w:t>架空线路交叉时的最小垂直距离应是（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A.4m B.5m C.6m D.7m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3.</w:t>
      </w:r>
      <w:r>
        <w:rPr>
          <w:rFonts w:ascii="Times New Roman" w:hAnsi="Times New Roman" w:cs="Times New Roman"/>
          <w:color w:val="000000"/>
          <w:sz w:val="27"/>
          <w:szCs w:val="27"/>
        </w:rPr>
        <w:t>施工单位应当根据建设工程施工的特点、范围，对施工现场</w:t>
      </w:r>
      <w:r>
        <w:rPr>
          <w:rFonts w:ascii="Times New Roman" w:hAnsi="Times New Roman" w:cs="Times New Roman"/>
          <w:color w:val="000000"/>
          <w:sz w:val="27"/>
          <w:szCs w:val="27"/>
        </w:rPr>
        <w:t>( D )</w:t>
      </w:r>
      <w:r>
        <w:rPr>
          <w:rFonts w:ascii="Times New Roman" w:hAnsi="Times New Roman" w:cs="Times New Roman"/>
          <w:color w:val="000000"/>
          <w:sz w:val="27"/>
          <w:szCs w:val="27"/>
        </w:rPr>
        <w:t>进行监控，制定施工现场生产安全事故应急救援预案。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事故隐患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危险源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危险部位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易发生重大事故部位、环节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4.</w:t>
      </w:r>
      <w:r>
        <w:rPr>
          <w:rFonts w:ascii="Times New Roman" w:hAnsi="Times New Roman" w:cs="Times New Roman"/>
          <w:color w:val="000000"/>
          <w:sz w:val="27"/>
          <w:szCs w:val="27"/>
        </w:rPr>
        <w:t>建设工程安全管理的方针是（</w:t>
      </w:r>
      <w:r>
        <w:rPr>
          <w:rFonts w:ascii="Times New Roman" w:hAnsi="Times New Roman" w:cs="Times New Roman"/>
          <w:color w:val="000000"/>
          <w:sz w:val="27"/>
          <w:szCs w:val="27"/>
        </w:rPr>
        <w:t>A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安全第一，预防为主，综合治理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质量第一，兼顾安全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安全至上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安全责任重于泰山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5.</w:t>
      </w:r>
      <w:r>
        <w:rPr>
          <w:rFonts w:ascii="Times New Roman" w:hAnsi="Times New Roman" w:cs="Times New Roman"/>
          <w:color w:val="000000"/>
          <w:sz w:val="27"/>
          <w:szCs w:val="27"/>
        </w:rPr>
        <w:t>房屋拆除应当由具备保证安全条件的建筑施工单位承担，由（</w:t>
      </w:r>
      <w:r>
        <w:rPr>
          <w:rFonts w:ascii="Times New Roman" w:hAnsi="Times New Roman" w:cs="Times New Roman"/>
          <w:color w:val="000000"/>
          <w:sz w:val="27"/>
          <w:szCs w:val="27"/>
        </w:rPr>
        <w:t>A</w:t>
      </w:r>
      <w:r>
        <w:rPr>
          <w:rFonts w:ascii="Times New Roman" w:hAnsi="Times New Roman" w:cs="Times New Roman"/>
          <w:color w:val="000000"/>
          <w:sz w:val="27"/>
          <w:szCs w:val="27"/>
        </w:rPr>
        <w:t>）对安全负责。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建筑施工单位负责人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专职安全生产管理人员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项目经理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建筑单位负责人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6.</w:t>
      </w:r>
      <w:r>
        <w:rPr>
          <w:rFonts w:ascii="Times New Roman" w:hAnsi="Times New Roman" w:cs="Times New Roman"/>
          <w:color w:val="000000"/>
          <w:sz w:val="27"/>
          <w:szCs w:val="27"/>
        </w:rPr>
        <w:t>建筑施工发生安全事故的原因不包括（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</w:p>
    <w:p w:rsidR="00B65917" w:rsidP="00B65917">
      <w:pPr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社会因素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物的因素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环境因素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管理因素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7.</w:t>
      </w:r>
      <w:r>
        <w:rPr>
          <w:rFonts w:ascii="Times New Roman" w:hAnsi="Times New Roman" w:cs="Times New Roman"/>
          <w:color w:val="000000"/>
          <w:sz w:val="27"/>
          <w:szCs w:val="27"/>
        </w:rPr>
        <w:t>在城市市区噪声敏感建筑物集中区域内，下列哪种情况（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</w:t>
      </w:r>
      <w:r>
        <w:rPr>
          <w:rFonts w:ascii="Times New Roman" w:hAnsi="Times New Roman" w:cs="Times New Roman"/>
          <w:color w:val="000000"/>
          <w:sz w:val="27"/>
          <w:szCs w:val="27"/>
        </w:rPr>
        <w:t>）禁止夜间进行产生环境噪声污染的建筑施工作业。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抢修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抢险作业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因生产工艺上要求或者特殊需要必须连续作业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工期要求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8.</w:t>
      </w:r>
      <w:r>
        <w:rPr>
          <w:rFonts w:ascii="Times New Roman" w:hAnsi="Times New Roman" w:cs="Times New Roman"/>
          <w:color w:val="000000"/>
          <w:sz w:val="27"/>
          <w:szCs w:val="27"/>
        </w:rPr>
        <w:t>开关箱与用电设备的水平距离不宜超过（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 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A.3m B.4m C.5m D.6m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9.</w:t>
      </w:r>
      <w:r>
        <w:rPr>
          <w:rFonts w:ascii="Times New Roman" w:hAnsi="Times New Roman" w:cs="Times New Roman"/>
          <w:color w:val="000000"/>
          <w:sz w:val="27"/>
          <w:szCs w:val="27"/>
        </w:rPr>
        <w:t>密目式安全网抗阻燃性，其续燃和阻燃时间不得小于（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A.3S B.4S C.5S D.6S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10.</w:t>
      </w:r>
      <w:r>
        <w:rPr>
          <w:rFonts w:ascii="Times New Roman" w:hAnsi="Times New Roman" w:cs="Times New Roman"/>
          <w:color w:val="000000"/>
          <w:sz w:val="27"/>
          <w:szCs w:val="27"/>
        </w:rPr>
        <w:t>我国《安全生产法》规定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未为从业人员提供符合国家标准或者行业标准的劳动防护用品的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责令限期改正；逾期未改正的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处罚款限额是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C ),</w:t>
      </w:r>
      <w:r>
        <w:rPr>
          <w:rFonts w:ascii="Times New Roman" w:hAnsi="Times New Roman" w:cs="Times New Roman"/>
          <w:color w:val="000000"/>
          <w:sz w:val="27"/>
          <w:szCs w:val="27"/>
        </w:rPr>
        <w:t>对其直接负责的主管人员和其他直接责任人员处</w:t>
      </w:r>
      <w:r>
        <w:rPr>
          <w:rFonts w:ascii="Times New Roman" w:hAnsi="Times New Roman" w:cs="Times New Roman"/>
          <w:color w:val="000000"/>
          <w:sz w:val="27"/>
          <w:szCs w:val="27"/>
        </w:rPr>
        <w:t>1</w:t>
      </w:r>
      <w:r>
        <w:rPr>
          <w:rFonts w:ascii="Times New Roman" w:hAnsi="Times New Roman" w:cs="Times New Roman"/>
          <w:color w:val="000000"/>
          <w:sz w:val="27"/>
          <w:szCs w:val="27"/>
        </w:rPr>
        <w:t>万元以上</w:t>
      </w:r>
      <w:r>
        <w:rPr>
          <w:rFonts w:ascii="Times New Roman" w:hAnsi="Times New Roman" w:cs="Times New Roman"/>
          <w:color w:val="000000"/>
          <w:sz w:val="27"/>
          <w:szCs w:val="27"/>
        </w:rPr>
        <w:t>2</w:t>
      </w:r>
      <w:r>
        <w:rPr>
          <w:rFonts w:ascii="Times New Roman" w:hAnsi="Times New Roman" w:cs="Times New Roman"/>
          <w:color w:val="000000"/>
          <w:sz w:val="27"/>
          <w:szCs w:val="27"/>
        </w:rPr>
        <w:t>万元以下的罚款。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A.2</w:t>
      </w:r>
      <w:r>
        <w:rPr>
          <w:rFonts w:ascii="Times New Roman" w:hAnsi="Times New Roman" w:cs="Times New Roman"/>
          <w:color w:val="000000"/>
          <w:sz w:val="27"/>
          <w:szCs w:val="27"/>
        </w:rPr>
        <w:t>万元以上</w:t>
      </w:r>
      <w:r>
        <w:rPr>
          <w:rFonts w:ascii="Times New Roman" w:hAnsi="Times New Roman" w:cs="Times New Roman"/>
          <w:color w:val="000000"/>
          <w:sz w:val="27"/>
          <w:szCs w:val="27"/>
        </w:rPr>
        <w:t>5</w:t>
      </w:r>
      <w:r>
        <w:rPr>
          <w:rFonts w:ascii="Times New Roman" w:hAnsi="Times New Roman" w:cs="Times New Roman"/>
          <w:color w:val="000000"/>
          <w:sz w:val="27"/>
          <w:szCs w:val="27"/>
        </w:rPr>
        <w:t>万元以下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B.5</w:t>
      </w:r>
      <w:r>
        <w:rPr>
          <w:rFonts w:ascii="Times New Roman" w:hAnsi="Times New Roman" w:cs="Times New Roman"/>
          <w:color w:val="000000"/>
          <w:sz w:val="27"/>
          <w:szCs w:val="27"/>
        </w:rPr>
        <w:t>万元以上</w:t>
      </w:r>
      <w:r>
        <w:rPr>
          <w:rFonts w:ascii="Times New Roman" w:hAnsi="Times New Roman" w:cs="Times New Roman"/>
          <w:color w:val="000000"/>
          <w:sz w:val="27"/>
          <w:szCs w:val="27"/>
        </w:rPr>
        <w:t>10</w:t>
      </w:r>
      <w:r>
        <w:rPr>
          <w:rFonts w:ascii="Times New Roman" w:hAnsi="Times New Roman" w:cs="Times New Roman"/>
          <w:color w:val="000000"/>
          <w:sz w:val="27"/>
          <w:szCs w:val="27"/>
        </w:rPr>
        <w:t>万元以下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C.5</w:t>
      </w:r>
      <w:r>
        <w:rPr>
          <w:rFonts w:ascii="Times New Roman" w:hAnsi="Times New Roman" w:cs="Times New Roman"/>
          <w:color w:val="000000"/>
          <w:sz w:val="27"/>
          <w:szCs w:val="27"/>
        </w:rPr>
        <w:t>万元以上</w:t>
      </w:r>
      <w:r>
        <w:rPr>
          <w:rFonts w:ascii="Times New Roman" w:hAnsi="Times New Roman" w:cs="Times New Roman"/>
          <w:color w:val="000000"/>
          <w:sz w:val="27"/>
          <w:szCs w:val="27"/>
        </w:rPr>
        <w:t>20</w:t>
      </w:r>
      <w:r>
        <w:rPr>
          <w:rFonts w:ascii="Times New Roman" w:hAnsi="Times New Roman" w:cs="Times New Roman"/>
          <w:color w:val="000000"/>
          <w:sz w:val="27"/>
          <w:szCs w:val="27"/>
        </w:rPr>
        <w:t>万元以下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D.10</w:t>
      </w:r>
      <w:r>
        <w:rPr>
          <w:rFonts w:ascii="Times New Roman" w:hAnsi="Times New Roman" w:cs="Times New Roman"/>
          <w:color w:val="000000"/>
          <w:sz w:val="27"/>
          <w:szCs w:val="27"/>
        </w:rPr>
        <w:t>万元以上</w:t>
      </w:r>
      <w:r>
        <w:rPr>
          <w:rFonts w:ascii="Times New Roman" w:hAnsi="Times New Roman" w:cs="Times New Roman"/>
          <w:color w:val="000000"/>
          <w:sz w:val="27"/>
          <w:szCs w:val="27"/>
        </w:rPr>
        <w:t>20</w:t>
      </w:r>
      <w:r>
        <w:rPr>
          <w:rFonts w:ascii="Times New Roman" w:hAnsi="Times New Roman" w:cs="Times New Roman"/>
          <w:color w:val="000000"/>
          <w:sz w:val="27"/>
          <w:szCs w:val="27"/>
        </w:rPr>
        <w:t>万元以下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11. ( C )</w:t>
      </w:r>
      <w:r>
        <w:rPr>
          <w:rFonts w:ascii="Times New Roman" w:hAnsi="Times New Roman" w:cs="Times New Roman"/>
          <w:color w:val="000000"/>
          <w:sz w:val="27"/>
          <w:szCs w:val="27"/>
        </w:rPr>
        <w:t>的颁布实施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标志着安全生产成为我国现阶段建筑业工作的重点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安全生产制度被确立为促进我国建筑业发展的一项根本制度。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《建筑法》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《安全生产法》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《建设工程安全生产管理条例》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《建设工程质量管理条例》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12.</w:t>
      </w:r>
      <w:r>
        <w:rPr>
          <w:rFonts w:ascii="宋体" w:hAnsi="宋体" w:cs="宋体"/>
          <w:sz w:val="24"/>
          <w:szCs w:val="24"/>
        </w:rPr>
        <w:br/>
      </w:r>
      <w:r>
        <w:rPr>
          <w:rFonts w:ascii="宋体" w:hAnsi="宋体" w:cs="宋体"/>
          <w:sz w:val="24"/>
          <w:szCs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https://d.book118.com/778077050127006043</w:t>
        </w:r>
      </w:hyperlink>
    </w:p>
    <w:p w:rsidR="00B65917" w:rsidP="00B65917">
      <w:pPr>
        <w:rPr>
          <w:rFonts w:ascii="宋体" w:hAnsi="宋体" w:cs="宋体"/>
          <w:sz w:val="24"/>
          <w:szCs w:val="24"/>
        </w:rPr>
      </w:pPr>
    </w:p>
    <w:sectPr w:rsidSect="00BE351B"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E3DFB"/>
    <w:rsid w:val="003E3DFB"/>
    <w:rsid w:val="00B65917"/>
    <w:rsid w:val="00BE351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51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6591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77807705012700604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5632</Words>
  <Characters>32105</Characters>
  <Application>Microsoft Office Word</Application>
  <DocSecurity>0</DocSecurity>
  <Lines>267</Lines>
  <Paragraphs>75</Paragraphs>
  <ScaleCrop>false</ScaleCrop>
  <Company/>
  <LinksUpToDate>false</LinksUpToDate>
  <CharactersWithSpaces>37662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2024-03-07T18:08:00Z</dcterms:created>
  <dcterms:modified xsi:type="dcterms:W3CDTF">2024-03-07T18:08:00Z</dcterms:modified>
</cp:coreProperties>
</file>