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脱硝设备项目可行性建设方案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9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_Toc12198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_Toc27214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_Toc10274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_Toc28835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_Toc26993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8" w:history="1">
        <w:r>
          <w:rPr>
            <w:rFonts w:ascii="仿宋" w:eastAsia="仿宋" w:hAnsi="仿宋" w:cs="仿宋" w:hint="eastAsia"/>
            <w:lang w:eastAsia="zh-CN"/>
          </w:rPr>
          <w:t>二、建设风险评估分析</w:t>
        </w:r>
        <w:r>
          <w:tab/>
        </w:r>
        <w:r>
          <w:fldChar w:fldCharType="begin"/>
        </w:r>
        <w:r>
          <w:instrText xml:space="preserve"> PAGEREF _Toc31828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_Toc27347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_Toc19057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_Toc10038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_Toc26421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_Toc4678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_Toc13113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_Toc16364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_Toc4770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94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_Toc6594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_Toc25086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7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_Toc13767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_Toc24524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_Toc20340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_Toc5314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4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_Toc12214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_Toc26417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_Toc3306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_Toc18356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6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_Toc8746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_Toc16596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9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_Toc3559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_Toc27114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_Toc24415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3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_Toc10483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_Toc15117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_Toc12846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_Toc5808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3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9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_Toc14994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_Toc15736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_Toc6793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6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_Toc3706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_Toc7150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_Toc22442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6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_Toc22616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_Toc23068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_Toc11032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5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_Toc20535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_Toc19122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_Toc15236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_Toc30427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_Toc16000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3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_Toc25493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_Toc18296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_Toc2785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_Toc21568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_Toc11676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_Toc18420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_Toc27797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06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_Toc30150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_Toc23650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_Toc2249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7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_Toc27917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_Toc10560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_Toc7299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5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_Toc20175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0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_Toc19330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07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_Toc24074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_Toc17462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9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21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7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脱硝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49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脱硝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脱硝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脱硝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83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99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在脱硝设备项目启动前，将进行一系列深入的地质调查，包括钻探和土壤取样，以深入了解项目区域的地层结构和土壤组成。特别是对于土壤的承载能力和地下水位的深度进行详细评估。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完成初始的地质风险评估后，脱硝设备项目将安装长期地质监测设备，如倾斜仪、裂缝计和地下水位计，以持续监测地质条件的变化。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57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脱硝设备项目将通过这些措施来适应和尊重特殊环境条件，确保项目的可持续发展，同时减少对环境的负面影响。这不仅有助于保护自然和文化遗产，还能提升项目在社会责任方面的表现和形象。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828"/>
      <w:r>
        <w:rPr>
          <w:rFonts w:ascii="仿宋" w:eastAsia="仿宋" w:hAnsi="仿宋" w:cs="仿宋" w:hint="eastAsia"/>
          <w:sz w:val="28"/>
          <w:lang w:eastAsia="zh-CN"/>
        </w:rPr>
        <w:t>二、建设风险评估分析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347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法律合规性：建立严格的法律合规性程序，确保项目的运营和管理始终符合当地和国家的法规要求。与法律专家合作，定期审查和更新法律合规性政策。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风险缓解与应对策略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https://d.book118.com/778101017106006036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脱硝设备项目可行性建设方案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脱硝设备项目可行性建设方案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脱硝设备项目可行性建设方案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脱硝设备项目可行性建设方案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脱硝设备项目可行性建设方案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脱硝设备项目可行性建设方案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脱硝设备项目可行性建设方案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脱硝设备项目可行性建设方案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脱硝设备项目可行性建设方案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脱硝设备项目可行性建设方案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脱硝设备项目可行性建设方案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脱硝设备项目可行性建设方案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284111"/>
    <w:rsid w:val="292841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78101017106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2024-02-03T05:39:00Z</dcterms:created>
  <dcterms:modified xsi:type="dcterms:W3CDTF">2024-02-03T05:40:21Z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341BA68D232C4CF8B60FF9BE028C4FBA_11</vt:lpwstr>
  </property>
  <property fmtid="{D5CDD505-2E9C-101B-9397-08002B2CF9AE}" pid="3" name="KSOProductBuildVer">
    <vt:lpwstr>2052-12.1.0.16250</vt:lpwstr>
  </property>
</Properties>
</file>