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20" w:lineRule="auto"/>
        <w:ind w:left="291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川味复合调味料项目商业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计划</w:t>
      </w:r>
    </w:p>
    <w:p>
      <w:pPr>
        <w:spacing w:before="221" w:line="219" w:lineRule="auto"/>
        <w:ind w:left="3901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20223220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二)、员工手册编制与更新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四)、制度执行与监督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(一)、川味复合调味料项目建设期原辅材料供应情况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二)、川味复合调味料项目运营期原辅材料供应及质量管理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三、川味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复合调味料项目概论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一)、川味复合调味料项目承办单位基本情况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、川味复合调味料项目概况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)、川味复合调味料项目评价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2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、川味复合调味料项目可行性研究报告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(二)、川味复合调味料项目技术工艺分析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三)、川味复合调味料项目技术流程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2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(一)、川味复合调味料项目风险分析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二)、川味复合调味料项目风险对策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八、劳动安全生产分析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九、财务管理与资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3547534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十、公司治理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93510394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43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十一、川味复合调味料项目管理与团队协作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)、川味复合调味料项目管理方法论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(二)、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川味复合调味料项目计划与进度管理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川味复合调味料项目风险管理与应对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44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2" w:right="5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项目商业计划书是为了规范川味复合调味料项目的实施步骤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和计划而编写的。</w:t>
      </w:r>
      <w:r>
        <w:rPr>
          <w:rFonts w:ascii="FangSong" w:eastAsia="FangSong" w:hAnsi="FangSong" w:cs="FangSong"/>
          <w:spacing w:val="-3"/>
          <w:sz w:val="28"/>
          <w:szCs w:val="28"/>
        </w:rPr>
        <w:t>通</w:t>
      </w:r>
      <w:r>
        <w:rPr>
          <w:rFonts w:ascii="FangSong" w:eastAsia="FangSong" w:hAnsi="FangSong" w:cs="FangSong"/>
          <w:spacing w:val="-2"/>
          <w:sz w:val="28"/>
          <w:szCs w:val="28"/>
        </w:rPr>
        <w:t>过详细描述川味复合调味料项目的背景和目标，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分</w:t>
      </w:r>
      <w:r>
        <w:rPr>
          <w:rFonts w:ascii="FangSong" w:eastAsia="FangSong" w:hAnsi="FangSong" w:cs="FangSong"/>
          <w:spacing w:val="-12"/>
          <w:sz w:val="28"/>
          <w:szCs w:val="28"/>
        </w:rPr>
        <w:t>析项目的可行性和可行方案，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旨</w:t>
      </w:r>
      <w:r>
        <w:rPr>
          <w:rFonts w:ascii="FangSong" w:eastAsia="FangSong" w:hAnsi="FangSong" w:cs="FangSong"/>
          <w:spacing w:val="-8"/>
          <w:sz w:val="28"/>
          <w:szCs w:val="28"/>
        </w:rPr>
        <w:t>在为项目相关人员提供一个清晰的指导和参考。请注意，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本方案不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5"/>
          <w:sz w:val="28"/>
          <w:szCs w:val="28"/>
        </w:rPr>
        <w:t>做</w:t>
      </w:r>
      <w:r>
        <w:rPr>
          <w:rFonts w:ascii="FangSong" w:eastAsia="FangSong" w:hAnsi="FangSong" w:cs="FangSong"/>
          <w:spacing w:val="-3"/>
          <w:sz w:val="28"/>
          <w:szCs w:val="28"/>
        </w:rPr>
        <w:t>为商业用途，只用作学习交流。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、制度建设与员工手册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2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5" w:lineRule="auto"/>
        <w:ind w:left="34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</w:p>
    <w:p>
      <w:pPr>
        <w:sectPr>
          <w:pgSz w:w="11906" w:h="16839"/>
          <w:pgMar w:top="1431" w:right="1704" w:bottom="0" w:left="1785" w:header="0" w:footer="0" w:gutter="0"/>
          <w:pgNumType w:start="5"/>
          <w:cols w:space="708"/>
        </w:sectPr>
      </w:pPr>
    </w:p>
    <w:p>
      <w:pPr>
        <w:spacing w:before="184" w:line="414" w:lineRule="auto"/>
        <w:ind w:left="32" w:right="102" w:firstLine="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性时能够做出明智的决策。这些方面的有机结合构建了公司健康的</w:t>
      </w:r>
      <w:r>
        <w:rPr>
          <w:rFonts w:ascii="FangSong" w:eastAsia="FangSong" w:hAnsi="FangSong" w:cs="FangSong"/>
          <w:spacing w:val="-2"/>
          <w:sz w:val="28"/>
          <w:szCs w:val="28"/>
        </w:rPr>
        <w:t>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2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ectPr>
          <w:pgSz w:w="11906" w:h="16839"/>
          <w:pgMar w:top="1431" w:right="1697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ectPr>
          <w:pgSz w:w="11906" w:h="16839"/>
          <w:pgMar w:top="1431" w:right="1623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9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89" w:line="416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</w:p>
    <w:p>
      <w:pPr>
        <w:sectPr>
          <w:pgSz w:w="11906" w:h="16839"/>
          <w:pgMar w:top="1431" w:right="1743" w:bottom="0" w:left="1785" w:header="0" w:footer="0" w:gutter="0"/>
          <w:pgNumType w:start="8"/>
          <w:cols w:space="708"/>
        </w:sectPr>
      </w:pPr>
    </w:p>
    <w:p>
      <w:pPr>
        <w:spacing w:before="183" w:line="220" w:lineRule="auto"/>
        <w:ind w:left="29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before="290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3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36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8" w:line="416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</w:p>
    <w:p>
      <w:pPr>
        <w:sectPr>
          <w:pgSz w:w="11906" w:h="16839"/>
          <w:pgMar w:top="1431" w:right="1763" w:bottom="0" w:left="1785" w:header="0" w:footer="0" w:gutter="0"/>
          <w:pgNumType w:start="9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6"/>
          <w:sz w:val="28"/>
          <w:szCs w:val="28"/>
        </w:rPr>
        <w:t>持</w:t>
      </w:r>
      <w:r>
        <w:rPr>
          <w:rFonts w:ascii="FangSong" w:eastAsia="FangSong" w:hAnsi="FangSong" w:cs="FangSong"/>
          <w:spacing w:val="-5"/>
          <w:sz w:val="28"/>
          <w:szCs w:val="28"/>
        </w:rPr>
        <w:t>制度的有效性。</w:t>
      </w:r>
    </w:p>
    <w:p>
      <w:pPr>
        <w:spacing w:before="289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8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89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4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</w:p>
    <w:p>
      <w:pPr>
        <w:sectPr>
          <w:pgSz w:w="11906" w:h="16839"/>
          <w:pgMar w:top="1431" w:right="1603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39" w:right="14" w:hanging="8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关</w:t>
      </w:r>
      <w:r>
        <w:rPr>
          <w:rFonts w:ascii="FangSong" w:eastAsia="FangSong" w:hAnsi="FangSong" w:cs="FangSong"/>
          <w:spacing w:val="-14"/>
          <w:sz w:val="28"/>
          <w:szCs w:val="28"/>
        </w:rPr>
        <w:t>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1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90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5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5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(一)、川味复合调味料项目建设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在川</w:t>
      </w:r>
      <w:r>
        <w:rPr>
          <w:rFonts w:ascii="FangSong" w:eastAsia="FangSong" w:hAnsi="FangSong" w:cs="FangSong"/>
          <w:spacing w:val="-15"/>
          <w:sz w:val="28"/>
          <w:szCs w:val="28"/>
        </w:rPr>
        <w:t>味</w:t>
      </w:r>
      <w:r>
        <w:rPr>
          <w:rFonts w:ascii="FangSong" w:eastAsia="FangSong" w:hAnsi="FangSong" w:cs="FangSong"/>
          <w:spacing w:val="-8"/>
          <w:sz w:val="28"/>
          <w:szCs w:val="28"/>
        </w:rPr>
        <w:t>复合调味料项目的建设和运营过程中，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确保工程顺利进行</w:t>
      </w:r>
      <w:r>
        <w:rPr>
          <w:rFonts w:ascii="FangSong" w:eastAsia="FangSong" w:hAnsi="FangSong" w:cs="FangSong"/>
          <w:spacing w:val="-3"/>
          <w:sz w:val="28"/>
          <w:szCs w:val="28"/>
        </w:rPr>
        <w:t>和产品质量稳定的重要环节。本章将详细探讨川味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复</w:t>
      </w:r>
      <w:r>
        <w:rPr>
          <w:rFonts w:ascii="FangSong" w:eastAsia="FangSong" w:hAnsi="FangSong" w:cs="FangSong"/>
          <w:spacing w:val="-8"/>
          <w:sz w:val="28"/>
          <w:szCs w:val="28"/>
        </w:rPr>
        <w:t>合调味料项目建设期和运营期的原辅材料供应情况，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以及相关的质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量管理措施。</w:t>
      </w:r>
    </w:p>
    <w:p>
      <w:pPr>
        <w:spacing w:before="1"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川味复合调味料项目建设期</w:t>
      </w:r>
      <w:r>
        <w:rPr>
          <w:rFonts w:ascii="FangSong" w:eastAsia="FangSong" w:hAnsi="FangSong" w:cs="FangSong"/>
          <w:sz w:val="28"/>
          <w:szCs w:val="28"/>
        </w:rPr>
        <w:t>原辅材料供应情况</w:t>
      </w:r>
    </w:p>
    <w:p>
      <w:pPr>
        <w:spacing w:before="29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在川</w:t>
      </w:r>
      <w:r>
        <w:rPr>
          <w:rFonts w:ascii="FangSong" w:eastAsia="FangSong" w:hAnsi="FangSong" w:cs="FangSong"/>
          <w:spacing w:val="-15"/>
          <w:sz w:val="28"/>
          <w:szCs w:val="28"/>
        </w:rPr>
        <w:t>味</w:t>
      </w:r>
      <w:r>
        <w:rPr>
          <w:rFonts w:ascii="FangSong" w:eastAsia="FangSong" w:hAnsi="FangSong" w:cs="FangSong"/>
          <w:spacing w:val="-8"/>
          <w:sz w:val="28"/>
          <w:szCs w:val="28"/>
        </w:rPr>
        <w:t>复合调味料项目建设期间，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度和质量有着直</w:t>
      </w:r>
      <w:r>
        <w:rPr>
          <w:rFonts w:ascii="FangSong" w:eastAsia="FangSong" w:hAnsi="FangSong" w:cs="FangSong"/>
          <w:spacing w:val="-5"/>
          <w:sz w:val="28"/>
          <w:szCs w:val="28"/>
        </w:rPr>
        <w:t>接</w:t>
      </w:r>
      <w:r>
        <w:rPr>
          <w:rFonts w:ascii="FangSong" w:eastAsia="FangSong" w:hAnsi="FangSong" w:cs="FangSong"/>
          <w:spacing w:val="-3"/>
          <w:sz w:val="28"/>
          <w:szCs w:val="28"/>
        </w:rPr>
        <w:t>的影响。下面是川味复合调味料项目建设期原辅材</w:t>
      </w:r>
    </w:p>
    <w:p>
      <w:pPr>
        <w:spacing w:line="220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7"/>
          <w:sz w:val="28"/>
          <w:szCs w:val="28"/>
        </w:rPr>
        <w:t>供</w:t>
      </w:r>
      <w:r>
        <w:rPr>
          <w:rFonts w:ascii="FangSong" w:eastAsia="FangSong" w:hAnsi="FangSong" w:cs="FangSong"/>
          <w:spacing w:val="-6"/>
          <w:sz w:val="28"/>
          <w:szCs w:val="28"/>
        </w:rPr>
        <w:t>应情况的主要内容：</w:t>
      </w:r>
    </w:p>
    <w:p>
      <w:pPr>
        <w:spacing w:before="291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7" w:line="220" w:lineRule="auto"/>
        <w:ind w:right="1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</w:p>
    <w:p>
      <w:pPr>
        <w:sectPr>
          <w:pgSz w:w="11906" w:h="16839"/>
          <w:pgMar w:top="1431" w:right="1785" w:bottom="0" w:left="1785" w:header="0" w:footer="0" w:gutter="0"/>
          <w:pgNumType w:start="12"/>
          <w:cols w:space="708"/>
        </w:sectPr>
      </w:pPr>
    </w:p>
    <w:p>
      <w:pPr>
        <w:spacing w:before="183" w:line="220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bookmarkStart w:id="12" w:name="_bookmark13"/>
      <w:bookmarkEnd w:id="12"/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before="290"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、川味复合调味料项目运营期原辅材料供应及质量管理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47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川味</w:t>
      </w:r>
      <w:r>
        <w:rPr>
          <w:rFonts w:ascii="FangSong" w:eastAsia="FangSong" w:hAnsi="FangSong" w:cs="FangSong"/>
          <w:spacing w:val="-13"/>
          <w:sz w:val="28"/>
          <w:szCs w:val="28"/>
        </w:rPr>
        <w:t>复</w:t>
      </w:r>
      <w:r>
        <w:rPr>
          <w:rFonts w:ascii="FangSong" w:eastAsia="FangSong" w:hAnsi="FangSong" w:cs="FangSong"/>
          <w:spacing w:val="-8"/>
          <w:sz w:val="28"/>
          <w:szCs w:val="28"/>
        </w:rPr>
        <w:t>合调味料项目进入运营期后，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原辅材料的持续供应和质量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管理</w:t>
      </w:r>
      <w:r>
        <w:rPr>
          <w:rFonts w:ascii="FangSong" w:eastAsia="FangSong" w:hAnsi="FangSong" w:cs="FangSong"/>
          <w:spacing w:val="-4"/>
          <w:sz w:val="28"/>
          <w:szCs w:val="28"/>
        </w:rPr>
        <w:t>同样至关重要。下面是川味复合调味料项目运营期原辅材料供应</w:t>
      </w:r>
    </w:p>
    <w:p>
      <w:pPr>
        <w:spacing w:before="1" w:line="223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及质量管理的关键方面：</w:t>
      </w:r>
    </w:p>
    <w:p>
      <w:pPr>
        <w:spacing w:before="285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before="1"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2" w:line="417" w:lineRule="auto"/>
        <w:ind w:left="35" w:right="102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三、川味复合调味料项目概论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(一)、川味复合调味料项目承办单位基本情况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(二)、川味复合调味料项目概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川味复合调味料项目名称：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川味复合调味料项</w:t>
      </w:r>
      <w:r>
        <w:rPr>
          <w:rFonts w:ascii="FangSong" w:eastAsia="FangSong" w:hAnsi="FangSong" w:cs="FangSong"/>
          <w:spacing w:val="-3"/>
          <w:sz w:val="28"/>
          <w:szCs w:val="28"/>
        </w:rPr>
        <w:t>目</w:t>
      </w:r>
    </w:p>
    <w:p>
      <w:pPr>
        <w:spacing w:before="291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川味复合调味料项目类型：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制造</w:t>
      </w:r>
      <w:r>
        <w:rPr>
          <w:rFonts w:ascii="FangSong" w:eastAsia="FangSong" w:hAnsi="FangSong" w:cs="FangSong"/>
          <w:spacing w:val="-8"/>
          <w:sz w:val="28"/>
          <w:szCs w:val="28"/>
        </w:rPr>
        <w:t>业</w:t>
      </w:r>
    </w:p>
    <w:p>
      <w:pPr>
        <w:spacing w:before="290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川</w:t>
      </w:r>
      <w:r>
        <w:rPr>
          <w:rFonts w:ascii="FangSong" w:eastAsia="FangSong" w:hAnsi="FangSong" w:cs="FangSong"/>
          <w:spacing w:val="-14"/>
          <w:sz w:val="28"/>
          <w:szCs w:val="28"/>
        </w:rPr>
        <w:t>味复合调味料项目地点：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市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区</w:t>
      </w:r>
    </w:p>
    <w:p>
      <w:pPr>
        <w:spacing w:before="290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川</w:t>
      </w:r>
      <w:r>
        <w:rPr>
          <w:rFonts w:ascii="FangSong" w:eastAsia="FangSong" w:hAnsi="FangSong" w:cs="FangSong"/>
          <w:spacing w:val="-13"/>
          <w:sz w:val="28"/>
          <w:szCs w:val="28"/>
        </w:rPr>
        <w:t>味复合调味料项目规模：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投资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万元，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占</w:t>
      </w:r>
    </w:p>
    <w:p>
      <w:pPr>
        <w:spacing w:before="291" w:line="222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地</w:t>
      </w:r>
      <w:r>
        <w:rPr>
          <w:rFonts w:ascii="FangSong" w:eastAsia="FangSong" w:hAnsi="FangSong" w:cs="FangSong"/>
          <w:spacing w:val="-15"/>
          <w:sz w:val="28"/>
          <w:szCs w:val="28"/>
        </w:rPr>
        <w:t>面积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平方米</w:t>
      </w:r>
    </w:p>
    <w:p>
      <w:pPr>
        <w:spacing w:before="287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川味复合调味料项目周期：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建设期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>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ectPr>
          <w:pgSz w:w="11906" w:h="16839"/>
          <w:pgMar w:top="1431" w:right="1697" w:bottom="0" w:left="1785" w:header="0" w:footer="0" w:gutter="0"/>
          <w:pgNumType w:start="14"/>
          <w:cols w:space="708"/>
        </w:sectPr>
      </w:pPr>
    </w:p>
    <w:p>
      <w:pPr>
        <w:spacing w:before="182" w:line="416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川味复合调味料项目背景：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川味复合调味料项目的建设旨在X</w:t>
      </w:r>
      <w:r>
        <w:rPr>
          <w:rFonts w:ascii="FangSong" w:eastAsia="FangSong" w:hAnsi="FangSong" w:cs="FangSong"/>
          <w:spacing w:val="-2"/>
          <w:sz w:val="28"/>
          <w:szCs w:val="28"/>
        </w:rPr>
        <w:t>X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将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领域带来新的发展机遇。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(三)、川味复合调味料项目评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价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29" w:right="12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2"/>
          <w:sz w:val="28"/>
          <w:szCs w:val="28"/>
        </w:rPr>
        <w:t>市</w:t>
      </w:r>
      <w:r>
        <w:rPr>
          <w:rFonts w:ascii="FangSong" w:eastAsia="FangSong" w:hAnsi="FangSong" w:cs="FangSong"/>
          <w:spacing w:val="-25"/>
          <w:sz w:val="28"/>
          <w:szCs w:val="28"/>
        </w:rPr>
        <w:t>场</w:t>
      </w:r>
      <w:r>
        <w:rPr>
          <w:rFonts w:ascii="FangSong" w:eastAsia="FangSong" w:hAnsi="FangSong" w:cs="FangSong"/>
          <w:spacing w:val="-21"/>
          <w:sz w:val="28"/>
          <w:szCs w:val="28"/>
        </w:rPr>
        <w:t>前景：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1"/>
          <w:sz w:val="28"/>
          <w:szCs w:val="28"/>
        </w:rPr>
        <w:t>该川味复合调味料项目处于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XX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行业，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市场前景广阔，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</w:t>
      </w:r>
      <w:r>
        <w:rPr>
          <w:rFonts w:ascii="FangSong" w:eastAsia="FangSong" w:hAnsi="FangSong" w:cs="FangSong"/>
          <w:spacing w:val="-5"/>
          <w:sz w:val="28"/>
          <w:szCs w:val="28"/>
        </w:rPr>
        <w:t>望</w:t>
      </w:r>
      <w:r>
        <w:rPr>
          <w:rFonts w:ascii="FangSong" w:eastAsia="FangSong" w:hAnsi="FangSong" w:cs="FangSong"/>
          <w:spacing w:val="-3"/>
          <w:sz w:val="28"/>
          <w:szCs w:val="28"/>
        </w:rPr>
        <w:t>在未来取得可观的市场份额。</w:t>
      </w:r>
    </w:p>
    <w:p>
      <w:pPr>
        <w:spacing w:before="1" w:line="411" w:lineRule="auto"/>
        <w:ind w:left="31" w:right="211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211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44" w:right="211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味复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调味料项目具备较高的实施可行性。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ectPr>
          <w:pgSz w:w="11906" w:h="16839"/>
          <w:pgMar w:top="1431" w:right="1588" w:bottom="0" w:left="1785" w:header="0" w:footer="0" w:gutter="0"/>
          <w:pgNumType w:start="15"/>
          <w:cols w:space="708"/>
        </w:sectPr>
      </w:pPr>
    </w:p>
    <w:p>
      <w:pPr>
        <w:spacing w:before="245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四、川味复合调味料项目可行性研究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报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3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在川</w:t>
      </w:r>
      <w:r>
        <w:rPr>
          <w:rFonts w:ascii="FangSong" w:eastAsia="FangSong" w:hAnsi="FangSong" w:cs="FangSong"/>
          <w:spacing w:val="-15"/>
          <w:sz w:val="28"/>
          <w:szCs w:val="28"/>
        </w:rPr>
        <w:t>味</w:t>
      </w:r>
      <w:r>
        <w:rPr>
          <w:rFonts w:ascii="FangSong" w:eastAsia="FangSong" w:hAnsi="FangSong" w:cs="FangSong"/>
          <w:spacing w:val="-8"/>
          <w:sz w:val="28"/>
          <w:szCs w:val="28"/>
        </w:rPr>
        <w:t>复合调味料行业，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体验和实用性，突显以下核心价值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1" w:line="339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8" w:line="372" w:lineRule="auto"/>
        <w:ind w:left="37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ectPr>
          <w:pgSz w:w="11906" w:h="16839"/>
          <w:pgMar w:top="1431" w:right="1743" w:bottom="0" w:left="1785" w:header="0" w:footer="0" w:gutter="0"/>
          <w:pgNumType w:start="16"/>
          <w:cols w:space="708"/>
        </w:sectPr>
      </w:pPr>
    </w:p>
    <w:p>
      <w:pPr>
        <w:spacing w:before="181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5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</w:t>
      </w:r>
      <w:r>
        <w:rPr>
          <w:rFonts w:ascii="FangSong" w:eastAsia="FangSong" w:hAnsi="FangSong" w:cs="FangSong"/>
          <w:spacing w:val="-2"/>
          <w:sz w:val="28"/>
          <w:szCs w:val="28"/>
        </w:rPr>
        <w:t>出，成为消费者首选的川味复合调味料产品。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川味复合调味料项目总投</w:t>
      </w:r>
      <w:r>
        <w:rPr>
          <w:rFonts w:ascii="FangSong" w:eastAsia="FangSong" w:hAnsi="FangSong" w:cs="FangSong"/>
          <w:spacing w:val="-1"/>
          <w:sz w:val="28"/>
          <w:szCs w:val="28"/>
        </w:rPr>
        <w:t>资</w:t>
      </w:r>
    </w:p>
    <w:p>
      <w:pPr>
        <w:spacing w:before="291" w:line="411" w:lineRule="auto"/>
        <w:ind w:left="81" w:right="82" w:firstLine="5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建设规模旨在实现一个全面、可持续的川味复合调味料项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目。川味复合调味料项目总投资将主要用于以下几个方面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1" w:line="411" w:lineRule="auto"/>
        <w:ind w:left="44" w:right="82" w:firstLine="6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味</w:t>
      </w:r>
      <w:r>
        <w:rPr>
          <w:rFonts w:ascii="FangSong" w:eastAsia="FangSong" w:hAnsi="FangSong" w:cs="FangSong"/>
          <w:spacing w:val="-7"/>
          <w:sz w:val="28"/>
          <w:szCs w:val="28"/>
        </w:rPr>
        <w:t>复</w:t>
      </w:r>
      <w:r>
        <w:rPr>
          <w:rFonts w:ascii="FangSong" w:eastAsia="FangSong" w:hAnsi="FangSong" w:cs="FangSong"/>
          <w:spacing w:val="-4"/>
          <w:sz w:val="28"/>
          <w:szCs w:val="28"/>
        </w:rPr>
        <w:t>合调味料项目的顺利进行。</w:t>
      </w:r>
    </w:p>
    <w:p>
      <w:pPr>
        <w:spacing w:before="1" w:line="411" w:lineRule="auto"/>
        <w:ind w:left="31" w:right="82" w:firstLine="7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一部分资金将用于技术研发，以确保川味复合调味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料项目引领行业</w:t>
      </w:r>
      <w:r>
        <w:rPr>
          <w:rFonts w:ascii="FangSong" w:eastAsia="FangSong" w:hAnsi="FangSong" w:cs="FangSong"/>
          <w:spacing w:val="-2"/>
          <w:sz w:val="28"/>
          <w:szCs w:val="28"/>
        </w:rPr>
        <w:t>发展潮流，保持技术创新。</w:t>
      </w:r>
    </w:p>
    <w:p>
      <w:pPr>
        <w:spacing w:before="1" w:line="411" w:lineRule="auto"/>
        <w:ind w:left="41" w:right="8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川味复合调味料项目</w:t>
      </w:r>
      <w:r>
        <w:rPr>
          <w:rFonts w:ascii="FangSong" w:eastAsia="FangSong" w:hAnsi="FangSong" w:cs="FangSong"/>
          <w:sz w:val="28"/>
          <w:szCs w:val="28"/>
        </w:rPr>
        <w:t>规模与产能</w:t>
      </w:r>
    </w:p>
    <w:p>
      <w:pPr>
        <w:spacing w:before="291" w:line="339" w:lineRule="auto"/>
        <w:ind w:left="31" w:right="82" w:firstLine="7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我们计划在川味复合调味料项目建</w:t>
      </w:r>
      <w:r>
        <w:rPr>
          <w:rFonts w:ascii="FangSong" w:eastAsia="FangSong" w:hAnsi="FangSong" w:cs="FangSong"/>
          <w:sz w:val="28"/>
          <w:szCs w:val="28"/>
        </w:rPr>
        <w:t>设后的第一年实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现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>〈</w:t>
      </w:r>
      <w:r>
        <w:rPr>
          <w:rFonts w:ascii="FangSong" w:eastAsia="FangSong" w:hAnsi="FangSong" w:cs="FangSong"/>
          <w:spacing w:val="-19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的年产量。通过逐步提升产能，我们将在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>〈</w:t>
      </w:r>
      <w:r>
        <w:rPr>
          <w:rFonts w:ascii="FangSong" w:eastAsia="FangSong" w:hAnsi="FangSong" w:cs="FangSong"/>
          <w:spacing w:val="-19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标</w:t>
      </w:r>
      <w:r>
        <w:rPr>
          <w:rFonts w:ascii="FangSong" w:eastAsia="FangSong" w:hAnsi="FangSong" w:cs="FangSong"/>
          <w:spacing w:val="-11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的年产量水平。</w:t>
      </w:r>
    </w:p>
    <w:p>
      <w:pPr>
        <w:spacing w:before="1" w:line="189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川味</w:t>
      </w:r>
      <w:r>
        <w:rPr>
          <w:rFonts w:ascii="FangSong" w:eastAsia="FangSong" w:hAnsi="FangSong" w:cs="FangSong"/>
          <w:spacing w:val="-13"/>
          <w:sz w:val="28"/>
          <w:szCs w:val="28"/>
        </w:rPr>
        <w:t>复</w:t>
      </w:r>
      <w:r>
        <w:rPr>
          <w:rFonts w:ascii="FangSong" w:eastAsia="FangSong" w:hAnsi="FangSong" w:cs="FangSong"/>
          <w:spacing w:val="-8"/>
          <w:sz w:val="28"/>
          <w:szCs w:val="28"/>
        </w:rPr>
        <w:t>合调味料项目规模：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川味复合调味料项目将建设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规模</w:t>
      </w:r>
    </w:p>
    <w:p>
      <w:pPr>
        <w:sectPr>
          <w:pgSz w:w="11906" w:h="16839"/>
          <w:pgMar w:top="1431" w:right="1718" w:bottom="0" w:left="1785" w:header="0" w:footer="0" w:gutter="0"/>
          <w:pgNumType w:start="17"/>
          <w:cols w:space="708"/>
        </w:sectPr>
      </w:pPr>
    </w:p>
    <w:p>
      <w:pPr>
        <w:spacing w:before="184" w:line="411" w:lineRule="auto"/>
        <w:ind w:left="31" w:right="45" w:firstLine="5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Calibri" w:eastAsia="Calibri" w:hAnsi="Calibri" w:cs="Calibri"/>
          <w:spacing w:val="-2"/>
          <w:sz w:val="28"/>
          <w:szCs w:val="28"/>
        </w:rPr>
        <w:t>»</w:t>
      </w:r>
      <w:r>
        <w:rPr>
          <w:rFonts w:ascii="Calibri" w:eastAsia="Calibri" w:hAnsi="Calibri" w:cs="Calibri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，包括生产厂房、办公区域</w:t>
      </w:r>
      <w:r>
        <w:rPr>
          <w:rFonts w:ascii="FangSong" w:eastAsia="FangSong" w:hAnsi="FangSong" w:cs="FangSong"/>
          <w:spacing w:val="-1"/>
          <w:sz w:val="28"/>
          <w:szCs w:val="28"/>
        </w:rPr>
        <w:t>、仓储设施等。这将确保川味复合调味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料项目能够满足预期的产能需求，并为未来的扩展提供充足的</w:t>
      </w:r>
      <w:r>
        <w:rPr>
          <w:rFonts w:ascii="FangSong" w:eastAsia="FangSong" w:hAnsi="FangSong" w:cs="FangSong"/>
          <w:spacing w:val="-1"/>
          <w:sz w:val="28"/>
          <w:szCs w:val="28"/>
        </w:rPr>
        <w:t>空</w:t>
      </w:r>
      <w:r>
        <w:rPr>
          <w:rFonts w:ascii="FangSong" w:eastAsia="FangSong" w:hAnsi="FangSong" w:cs="FangSong"/>
          <w:sz w:val="28"/>
          <w:szCs w:val="28"/>
        </w:rPr>
        <w:t>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</w:t>
      </w:r>
      <w:r>
        <w:rPr>
          <w:rFonts w:ascii="FangSong" w:eastAsia="FangSong" w:hAnsi="FangSong" w:cs="FangSong"/>
          <w:spacing w:val="-3"/>
          <w:sz w:val="28"/>
          <w:szCs w:val="28"/>
        </w:rPr>
        <w:t>废</w:t>
      </w:r>
      <w:r>
        <w:rPr>
          <w:rFonts w:ascii="FangSong" w:eastAsia="FangSong" w:hAnsi="FangSong" w:cs="FangSong"/>
          <w:spacing w:val="-2"/>
          <w:sz w:val="28"/>
          <w:szCs w:val="28"/>
        </w:rPr>
        <w:t>水处理、废气处理等，以确保川味复合调味料项目的环保性。</w:t>
      </w:r>
    </w:p>
    <w:p>
      <w:pPr>
        <w:spacing w:before="1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川味复合调味料项目总投资</w:t>
      </w:r>
      <w:r>
        <w:rPr>
          <w:rFonts w:ascii="FangSong" w:eastAsia="FangSong" w:hAnsi="FangSong" w:cs="FangSong"/>
          <w:sz w:val="28"/>
          <w:szCs w:val="28"/>
        </w:rPr>
        <w:t>与用地规模</w:t>
      </w:r>
    </w:p>
    <w:p>
      <w:pPr>
        <w:spacing w:before="293" w:line="411" w:lineRule="auto"/>
        <w:ind w:left="32" w:right="2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该川味复合调味料项目总征地面积为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亩)，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其</w:t>
      </w:r>
      <w:r>
        <w:rPr>
          <w:rFonts w:ascii="FangSong" w:eastAsia="FangSong" w:hAnsi="FangSong" w:cs="FangSong"/>
          <w:spacing w:val="-5"/>
          <w:sz w:val="28"/>
          <w:szCs w:val="28"/>
        </w:rPr>
        <w:t>中</w:t>
      </w:r>
      <w:r>
        <w:rPr>
          <w:rFonts w:ascii="FangSong" w:eastAsia="FangSong" w:hAnsi="FangSong" w:cs="FangSong"/>
          <w:spacing w:val="-3"/>
          <w:sz w:val="28"/>
          <w:szCs w:val="28"/>
        </w:rPr>
        <w:t>：净用地面积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亩)。川味复合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调味料项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规划的总建筑面积为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平方米，包括规划建设主体工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程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平方米，计容建筑面积XXXX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3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万</w:t>
      </w:r>
      <w:r>
        <w:rPr>
          <w:rFonts w:ascii="FangSong" w:eastAsia="FangSong" w:hAnsi="FangSong" w:cs="FangSong"/>
          <w:spacing w:val="-12"/>
          <w:sz w:val="28"/>
          <w:szCs w:val="28"/>
        </w:rPr>
        <w:t>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6" w:line="416" w:lineRule="auto"/>
        <w:ind w:left="20" w:right="102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川味复合调味</w:t>
      </w:r>
      <w:r>
        <w:rPr>
          <w:rFonts w:ascii="FangSong" w:eastAsia="FangSong" w:hAnsi="FangSong" w:cs="FangSong"/>
          <w:spacing w:val="-5"/>
          <w:sz w:val="28"/>
          <w:szCs w:val="28"/>
        </w:rPr>
        <w:t>料</w:t>
      </w:r>
      <w:r>
        <w:rPr>
          <w:rFonts w:ascii="FangSong" w:eastAsia="FangSong" w:hAnsi="FangSong" w:cs="FangSong"/>
          <w:spacing w:val="-3"/>
          <w:sz w:val="28"/>
          <w:szCs w:val="28"/>
        </w:rPr>
        <w:t>项目计划购置设备共计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万元。这</w:t>
      </w:r>
      <w:r>
        <w:rPr>
          <w:rFonts w:ascii="FangSong" w:eastAsia="FangSong" w:hAnsi="FangSong" w:cs="FangSong"/>
          <w:spacing w:val="1"/>
          <w:sz w:val="28"/>
          <w:szCs w:val="28"/>
        </w:rPr>
        <w:t>些设备将在川味复合调味料项目运营中发挥关键作用，</w:t>
      </w:r>
    </w:p>
    <w:p>
      <w:pPr>
        <w:sectPr>
          <w:pgSz w:w="11906" w:h="16839"/>
          <w:pgMar w:top="1431" w:right="1697" w:bottom="0" w:left="1785" w:header="0" w:footer="0" w:gutter="0"/>
          <w:pgNumType w:start="18"/>
          <w:cols w:space="708"/>
        </w:sectPr>
      </w:pPr>
    </w:p>
    <w:p>
      <w:pPr>
        <w:spacing w:before="183" w:line="223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6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8" w:line="411" w:lineRule="auto"/>
        <w:ind w:left="34" w:right="38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川味复合调味料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目计划总投资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万元，其中包括用地费、建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筑工程投资和设</w:t>
      </w:r>
      <w:r>
        <w:rPr>
          <w:rFonts w:ascii="FangSong" w:eastAsia="FangSong" w:hAnsi="FangSong" w:cs="FangSong"/>
          <w:spacing w:val="-4"/>
          <w:sz w:val="28"/>
          <w:szCs w:val="28"/>
        </w:rPr>
        <w:t>备</w:t>
      </w:r>
      <w:r>
        <w:rPr>
          <w:rFonts w:ascii="FangSong" w:eastAsia="FangSong" w:hAnsi="FangSong" w:cs="FangSong"/>
          <w:spacing w:val="-3"/>
          <w:sz w:val="28"/>
          <w:szCs w:val="28"/>
        </w:rPr>
        <w:t>购置费等多个方面的支出。预计年实现营业收入XX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万元，这将为川味复合调味料项目未来的发展提供可观的经济回报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416" w:lineRule="auto"/>
        <w:ind w:left="32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7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我们将在市场营销战略上寻求跨足式发展，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</w:p>
    <w:p>
      <w:pPr>
        <w:sectPr>
          <w:pgSz w:w="11906" w:h="16839"/>
          <w:pgMar w:top="1431" w:right="1704" w:bottom="0" w:left="1785" w:header="0" w:footer="0" w:gutter="0"/>
          <w:pgNumType w:start="19"/>
          <w:cols w:space="708"/>
        </w:sectPr>
      </w:pPr>
    </w:p>
    <w:p>
      <w:pPr>
        <w:spacing w:before="185" w:line="411" w:lineRule="auto"/>
        <w:ind w:left="39" w:right="49" w:hanging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9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中的竞争力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二)、川味复合调味料项目技术工艺分析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4" w:lineRule="auto"/>
        <w:ind w:left="31" w:right="49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ectPr>
          <w:pgSz w:w="11906" w:h="16839"/>
          <w:pgMar w:top="1431" w:right="1750" w:bottom="0" w:left="1785" w:header="0" w:footer="0" w:gutter="0"/>
          <w:pgNumType w:start="20"/>
          <w:cols w:space="708"/>
        </w:sectPr>
      </w:pPr>
    </w:p>
    <w:p>
      <w:pPr>
        <w:spacing w:before="184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2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提供优质产品和服务。保障工艺流程能够满足川味复合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调</w:t>
      </w:r>
      <w:r>
        <w:rPr>
          <w:rFonts w:ascii="FangSong" w:eastAsia="FangSong" w:hAnsi="FangSong" w:cs="FangSong"/>
          <w:spacing w:val="-12"/>
          <w:sz w:val="28"/>
          <w:szCs w:val="28"/>
        </w:rPr>
        <w:t>味料项目产品要求，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求进行</w:t>
      </w:r>
      <w:r>
        <w:rPr>
          <w:rFonts w:ascii="FangSong" w:eastAsia="FangSong" w:hAnsi="FangSong" w:cs="FangSong"/>
          <w:spacing w:val="-4"/>
          <w:sz w:val="28"/>
          <w:szCs w:val="28"/>
        </w:rPr>
        <w:t>操</w:t>
      </w:r>
      <w:r>
        <w:rPr>
          <w:rFonts w:ascii="FangSong" w:eastAsia="FangSong" w:hAnsi="FangSong" w:cs="FangSong"/>
          <w:spacing w:val="-3"/>
          <w:sz w:val="28"/>
          <w:szCs w:val="28"/>
        </w:rPr>
        <w:t>作，提高产品合格率。</w:t>
      </w:r>
    </w:p>
    <w:p>
      <w:pPr>
        <w:spacing w:before="1" w:line="411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35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川味复合调味料项目建设贯彻“三同时”的原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则，注重环境保护、职业安全卫生、消防及节能等各项措施的落实。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89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川味</w:t>
      </w:r>
      <w:r>
        <w:rPr>
          <w:rFonts w:ascii="FangSong" w:eastAsia="FangSong" w:hAnsi="FangSong" w:cs="FangSong"/>
          <w:spacing w:val="-13"/>
          <w:sz w:val="28"/>
          <w:szCs w:val="28"/>
        </w:rPr>
        <w:t>复</w:t>
      </w:r>
      <w:r>
        <w:rPr>
          <w:rFonts w:ascii="FangSong" w:eastAsia="FangSong" w:hAnsi="FangSong" w:cs="FangSong"/>
          <w:spacing w:val="-8"/>
          <w:sz w:val="28"/>
          <w:szCs w:val="28"/>
        </w:rPr>
        <w:t>合调味料项目拟采用国内成熟的生产工艺，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生产技术由生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产技术人员和研发技术人员共同制定。所采用的技术具有能耗低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质量、高环保性的特点，所生产的产品已经在国内外市场获得认可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7" w:line="414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川</w:t>
      </w:r>
      <w:r>
        <w:rPr>
          <w:rFonts w:ascii="FangSong" w:eastAsia="FangSong" w:hAnsi="FangSong" w:cs="FangSong"/>
          <w:spacing w:val="-4"/>
          <w:sz w:val="28"/>
          <w:szCs w:val="28"/>
        </w:rPr>
        <w:t>味复合调味料项目的技术保障措施从设计、施工、试运行到投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、销售等各个环节，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以确保川味复合调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味料项目在技术开发和生产技术应用上达到现代化生产水平。这</w:t>
      </w:r>
      <w:r>
        <w:rPr>
          <w:rFonts w:ascii="FangSong" w:eastAsia="FangSong" w:hAnsi="FangSong" w:cs="FangSong"/>
          <w:spacing w:val="-3"/>
          <w:sz w:val="28"/>
          <w:szCs w:val="28"/>
        </w:rPr>
        <w:t>种</w:t>
      </w:r>
      <w:r>
        <w:rPr>
          <w:rFonts w:ascii="FangSong" w:eastAsia="FangSong" w:hAnsi="FangSong" w:cs="FangSong"/>
          <w:sz w:val="28"/>
          <w:szCs w:val="28"/>
        </w:rPr>
        <w:t>综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合的技术支持将确保川味复合调味料项目的可持续发展和高效运营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743" w:bottom="0" w:left="1785" w:header="0" w:footer="0" w:gutter="0"/>
          <w:pgNumType w:start="21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川味复合调味料项目技术流程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2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https://d.book118.com/778113121061006046</w:t>
        </w:r>
      </w:hyperlink>
    </w:p>
    <w:p/>
    <w:sectPr>
      <w:pgSz w:w="11906" w:h="16839"/>
      <w:pgMar w:top="1431" w:right="1785" w:bottom="0" w:left="1785" w:header="0" w:footer="0" w:gutter="0"/>
      <w:pgNumType w:start="2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778113121061006046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2024-03-13T13:00:07Z</vt:filetime>
  </property>
  <property fmtid="{D5CDD505-2E9C-101B-9397-08002B2CF9AE}" pid="3" name="CRO">
    <vt:lpwstr>wqlLaW5nc29mdCBQREYgdG8gV1BTIDgw</vt:lpwstr>
  </property>
</Properties>
</file>