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default"/>
          <w:b/>
          <w:bCs/>
          <w:sz w:val="36"/>
          <w:szCs w:val="36"/>
        </w:rPr>
      </w:pPr>
      <w:r>
        <w:rPr>
          <w:rFonts w:ascii="幼圆" w:eastAsia="幼圆" w:hAnsi="幼圆" w:cs="幼圆" w:hint="eastAsia"/>
          <w:b/>
          <w:bCs/>
          <w:sz w:val="36"/>
          <w:szCs w:val="36"/>
          <w:u w:val="dotted"/>
          <w:lang w:eastAsia="zh-CN"/>
        </w:rPr>
        <w:t>海信智能家居</w:t>
      </w:r>
      <w:r>
        <w:rPr>
          <w:rFonts w:ascii="幼圆" w:eastAsia="幼圆" w:hAnsi="幼圆" w:cs="幼圆" w:hint="eastAsia"/>
          <w:b/>
          <w:bCs/>
          <w:sz w:val="36"/>
          <w:szCs w:val="36"/>
          <w:u w:val="dotted"/>
        </w:rPr>
        <w:t>公司</w:t>
      </w:r>
      <w:r>
        <w:rPr>
          <w:rFonts w:ascii="幼圆" w:eastAsia="幼圆" w:hAnsi="幼圆" w:cs="幼圆" w:hint="eastAsia"/>
          <w:b/>
          <w:bCs/>
          <w:sz w:val="36"/>
          <w:szCs w:val="36"/>
          <w:u w:val="dotted"/>
          <w:lang w:val="en-US" w:eastAsia="zh-CN"/>
        </w:rPr>
        <w:t>财务状况分析与评价案例</w:t>
      </w:r>
    </w:p>
    <w:p>
      <w:pPr>
        <w:keepNext w:val="0"/>
        <w:keepLines w:val="0"/>
        <w:pageBreakBefore w:val="0"/>
        <w:widowControl w:val="0"/>
        <w:kinsoku/>
        <w:wordWrap/>
        <w:overflowPunct/>
        <w:topLinePunct w:val="0"/>
        <w:autoSpaceDE/>
        <w:autoSpaceDN/>
        <w:bidi w:val="0"/>
        <w:adjustRightInd/>
        <w:snapToGrid/>
        <w:spacing w:before="340" w:after="340" w:line="360" w:lineRule="auto"/>
        <w:jc w:val="center"/>
        <w:textAlignment w:val="auto"/>
        <w:rPr>
          <w:rFonts w:ascii="幼圆" w:eastAsia="幼圆" w:hAnsi="幼圆" w:cs="幼圆" w:hint="eastAsia"/>
          <w:sz w:val="30"/>
          <w:szCs w:val="30"/>
        </w:rPr>
      </w:pPr>
      <w:r>
        <w:rPr>
          <w:rFonts w:ascii="幼圆" w:eastAsia="幼圆" w:hAnsi="幼圆" w:cs="幼圆" w:hint="eastAsia"/>
          <w:sz w:val="30"/>
          <w:szCs w:val="30"/>
        </w:rPr>
        <w:t>目  录</w:t>
      </w:r>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r>
        <w:rPr>
          <w:rStyle w:val="Hyperlink"/>
          <w:rFonts w:ascii="幼圆" w:eastAsia="幼圆" w:hAnsi="幼圆" w:cs="幼圆" w:hint="eastAsia"/>
          <w:sz w:val="24"/>
          <w:szCs w:val="24"/>
        </w:rPr>
        <w:fldChar w:fldCharType="begin"/>
      </w:r>
      <w:r>
        <w:rPr>
          <w:rStyle w:val="Hyperlink"/>
          <w:rFonts w:ascii="幼圆" w:eastAsia="幼圆" w:hAnsi="幼圆" w:cs="幼圆" w:hint="eastAsia"/>
          <w:sz w:val="24"/>
          <w:szCs w:val="24"/>
        </w:rPr>
        <w:instrText xml:space="preserve">TOC \o "1-2" \h \u </w:instrText>
      </w:r>
      <w:r>
        <w:rPr>
          <w:rStyle w:val="Hyperlink"/>
          <w:rFonts w:ascii="幼圆" w:eastAsia="幼圆" w:hAnsi="幼圆" w:cs="幼圆" w:hint="eastAsia"/>
          <w:sz w:val="24"/>
          <w:szCs w:val="24"/>
        </w:rPr>
        <w:fldChar w:fldCharType="separate"/>
      </w:r>
      <w:hyperlink w:anchor="_Toc1280" w:history="1">
        <w:r>
          <w:rPr>
            <w:rFonts w:ascii="幼圆" w:eastAsia="幼圆" w:hAnsi="幼圆" w:cs="幼圆" w:hint="eastAsia"/>
            <w:sz w:val="24"/>
            <w:szCs w:val="24"/>
          </w:rPr>
          <w:t>引  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_Toc1280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12360" w:history="1">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分析相关理论概述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_Toc12360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3940" w:history="1">
        <w:r>
          <w:rPr>
            <w:rFonts w:ascii="幼圆" w:eastAsia="幼圆" w:hAnsi="幼圆" w:cs="幼圆" w:hint="eastAsia"/>
            <w:sz w:val="24"/>
            <w:szCs w:val="24"/>
          </w:rPr>
          <w:t>1.1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_Toc3940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32041" w:history="1">
        <w:r>
          <w:rPr>
            <w:rFonts w:ascii="幼圆" w:eastAsia="幼圆" w:hAnsi="幼圆" w:cs="幼圆" w:hint="eastAsia"/>
            <w:sz w:val="24"/>
            <w:szCs w:val="24"/>
          </w:rPr>
          <w:t>1.1.1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的概念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_Toc32041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8625" w:history="1">
        <w:r>
          <w:rPr>
            <w:rFonts w:ascii="幼圆" w:eastAsia="幼圆" w:hAnsi="幼圆" w:cs="幼圆" w:hint="eastAsia"/>
            <w:sz w:val="24"/>
            <w:szCs w:val="24"/>
          </w:rPr>
          <w:t>1.1.2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分析</w:t>
        </w:r>
        <w:r>
          <w:rPr>
            <w:rFonts w:ascii="幼圆" w:eastAsia="幼圆" w:hAnsi="幼圆" w:cs="幼圆" w:hint="eastAsia"/>
            <w:sz w:val="24"/>
            <w:szCs w:val="24"/>
          </w:rPr>
          <w:t>的目的、意义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_Toc18625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7583" w:history="1">
        <w:r>
          <w:rPr>
            <w:rFonts w:ascii="幼圆" w:eastAsia="幼圆" w:hAnsi="幼圆" w:cs="幼圆" w:hint="eastAsia"/>
            <w:sz w:val="24"/>
            <w:szCs w:val="24"/>
          </w:rPr>
          <w:t>1.1.3</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资产负债表的分析主体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_Toc17583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7282" w:history="1">
        <w:r>
          <w:rPr>
            <w:rFonts w:ascii="幼圆" w:eastAsia="幼圆" w:hAnsi="幼圆" w:cs="幼圆" w:hint="eastAsia"/>
            <w:sz w:val="24"/>
            <w:szCs w:val="24"/>
          </w:rPr>
          <w:t>1.1.4</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资产负债表在企业发展中的重要性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_Toc7282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15217" w:history="1">
        <w:r>
          <w:rPr>
            <w:rFonts w:ascii="幼圆" w:eastAsia="幼圆" w:hAnsi="幼圆" w:cs="幼圆" w:hint="eastAsia"/>
            <w:sz w:val="24"/>
            <w:szCs w:val="24"/>
            <w:lang w:val="en-US" w:eastAsia="zh-CN"/>
          </w:rPr>
          <w:t>1.2 资产负债表的分析方法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_Toc15217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4302" w:history="1">
        <w:r>
          <w:rPr>
            <w:rFonts w:ascii="幼圆" w:eastAsia="幼圆" w:hAnsi="幼圆" w:cs="幼圆" w:hint="eastAsia"/>
            <w:sz w:val="24"/>
            <w:szCs w:val="24"/>
            <w:lang w:val="en-US" w:eastAsia="zh-CN"/>
          </w:rPr>
          <w:t>1.2.1 水平分析法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_Toc4302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8970" w:history="1">
        <w:r>
          <w:rPr>
            <w:rFonts w:ascii="幼圆" w:eastAsia="幼圆" w:hAnsi="幼圆" w:cs="幼圆" w:hint="eastAsia"/>
            <w:sz w:val="24"/>
            <w:szCs w:val="24"/>
            <w:lang w:val="en-US" w:eastAsia="zh-CN"/>
          </w:rPr>
          <w:t>1.2.2 垂直分析法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_Toc18970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6570" w:history="1">
        <w:r>
          <w:rPr>
            <w:rFonts w:ascii="幼圆" w:eastAsia="幼圆" w:hAnsi="幼圆" w:cs="幼圆" w:hint="eastAsia"/>
            <w:sz w:val="24"/>
            <w:szCs w:val="24"/>
            <w:lang w:val="en-US" w:eastAsia="zh-CN"/>
          </w:rPr>
          <w:t>1.2.3 比率分析法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_Toc16570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8749" w:history="1">
        <w:r>
          <w:rPr>
            <w:rFonts w:ascii="幼圆" w:eastAsia="幼圆" w:hAnsi="幼圆" w:cs="幼圆" w:hint="eastAsia"/>
            <w:sz w:val="24"/>
            <w:szCs w:val="24"/>
            <w:lang w:val="en-US" w:eastAsia="zh-CN"/>
          </w:rPr>
          <w:t>1.2.4 趋势分析法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_Toc18749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11964" w:history="1">
        <w:r>
          <w:rPr>
            <w:rFonts w:ascii="幼圆" w:eastAsia="幼圆" w:hAnsi="幼圆" w:cs="幼圆" w:hint="eastAsia"/>
            <w:sz w:val="24"/>
            <w:szCs w:val="24"/>
          </w:rPr>
          <w:t>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lang w:eastAsia="zh-CN"/>
          </w:rPr>
          <w:t>海信智能家居公司</w:t>
        </w:r>
        <w:r>
          <w:rPr>
            <w:rFonts w:ascii="幼圆" w:eastAsia="幼圆" w:hAnsi="幼圆" w:cs="幼圆" w:hint="eastAsia"/>
            <w:sz w:val="24"/>
            <w:szCs w:val="24"/>
          </w:rPr>
          <w:t>财务状况</w:t>
        </w:r>
        <w:r>
          <w:rPr>
            <w:rFonts w:ascii="幼圆" w:eastAsia="幼圆" w:hAnsi="幼圆" w:cs="幼圆" w:hint="eastAsia"/>
            <w:sz w:val="24"/>
            <w:szCs w:val="24"/>
            <w:lang w:val="en-US" w:eastAsia="zh-CN"/>
          </w:rPr>
          <w:t>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_Toc11964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29853" w:history="1">
        <w:r>
          <w:rPr>
            <w:rFonts w:ascii="幼圆" w:eastAsia="幼圆" w:hAnsi="幼圆" w:cs="幼圆" w:hint="eastAsia"/>
            <w:sz w:val="24"/>
            <w:szCs w:val="24"/>
          </w:rPr>
          <w:t>2.1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lang w:eastAsia="zh-CN"/>
          </w:rPr>
          <w:t>海信智能家居公司</w:t>
        </w:r>
        <w:r>
          <w:rPr>
            <w:rFonts w:ascii="幼圆" w:eastAsia="幼圆" w:hAnsi="幼圆" w:cs="幼圆" w:hint="eastAsia"/>
            <w:sz w:val="24"/>
            <w:szCs w:val="24"/>
          </w:rPr>
          <w:t>的基本情况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_Toc29853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9616" w:history="1">
        <w:r>
          <w:rPr>
            <w:rFonts w:ascii="幼圆" w:eastAsia="幼圆" w:hAnsi="幼圆" w:cs="幼圆" w:hint="eastAsia"/>
            <w:sz w:val="24"/>
            <w:szCs w:val="24"/>
          </w:rPr>
          <w:t>2.1.1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企业情况的概述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_Toc9616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5002" w:history="1">
        <w:r>
          <w:rPr>
            <w:rFonts w:ascii="幼圆" w:eastAsia="幼圆" w:hAnsi="幼圆" w:cs="幼圆" w:hint="eastAsia"/>
            <w:sz w:val="24"/>
            <w:szCs w:val="24"/>
          </w:rPr>
          <w:t>2.1.2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企业经营现状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_Toc15002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26071" w:history="1">
        <w:r>
          <w:rPr>
            <w:rFonts w:ascii="幼圆" w:eastAsia="幼圆" w:hAnsi="幼圆" w:cs="幼圆" w:hint="eastAsia"/>
            <w:sz w:val="24"/>
            <w:szCs w:val="24"/>
          </w:rPr>
          <w:t>2.1.3</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公司主要经济来源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_Toc26071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26788" w:history="1">
        <w:r>
          <w:rPr>
            <w:rFonts w:ascii="幼圆" w:eastAsia="幼圆" w:hAnsi="幼圆" w:cs="幼圆" w:hint="eastAsia"/>
            <w:sz w:val="24"/>
            <w:szCs w:val="24"/>
          </w:rPr>
          <w:t>2.2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影响企业经济发展的因素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_Toc26788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3228" w:history="1">
        <w:r>
          <w:rPr>
            <w:rFonts w:ascii="幼圆" w:eastAsia="幼圆" w:hAnsi="幼圆" w:cs="幼圆" w:hint="eastAsia"/>
            <w:sz w:val="24"/>
            <w:szCs w:val="24"/>
          </w:rPr>
          <w:t>3</w:t>
        </w:r>
        <w:r>
          <w:rPr>
            <w:rFonts w:ascii="幼圆" w:eastAsia="幼圆" w:hAnsi="幼圆" w:cs="幼圆" w:hint="eastAsia"/>
            <w:sz w:val="24"/>
            <w:szCs w:val="24"/>
            <w:lang w:val="en-US" w:eastAsia="zh-CN"/>
          </w:rPr>
          <w:t xml:space="preserve"> </w:t>
        </w:r>
        <w:r>
          <w:rPr>
            <w:rFonts w:ascii="幼圆" w:eastAsia="幼圆" w:hAnsi="幼圆" w:cs="幼圆" w:hint="eastAsia"/>
            <w:sz w:val="24"/>
            <w:szCs w:val="24"/>
            <w:lang w:eastAsia="zh-CN"/>
          </w:rPr>
          <w:t>海信智能家居公司</w:t>
        </w:r>
        <w:r>
          <w:rPr>
            <w:rFonts w:ascii="幼圆" w:eastAsia="幼圆" w:hAnsi="幼圆" w:cs="幼圆" w:hint="eastAsia"/>
            <w:sz w:val="24"/>
            <w:szCs w:val="24"/>
            <w:lang w:val="en-US" w:eastAsia="zh-CN"/>
          </w:rPr>
          <w:t>财务状况分析与评价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_Toc3228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11721" w:history="1">
        <w:r>
          <w:rPr>
            <w:rFonts w:ascii="幼圆" w:eastAsia="幼圆" w:hAnsi="幼圆" w:cs="幼圆" w:hint="eastAsia"/>
            <w:sz w:val="24"/>
            <w:szCs w:val="24"/>
          </w:rPr>
          <w:t>3.1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水平</w:t>
        </w:r>
        <w:r>
          <w:rPr>
            <w:rFonts w:ascii="幼圆" w:eastAsia="幼圆" w:hAnsi="幼圆" w:cs="幼圆" w:hint="eastAsia"/>
            <w:sz w:val="24"/>
            <w:szCs w:val="24"/>
          </w:rPr>
          <w:t>分析</w:t>
        </w:r>
        <w:r>
          <w:rPr>
            <w:rFonts w:ascii="幼圆" w:eastAsia="幼圆" w:hAnsi="幼圆" w:cs="幼圆" w:hint="eastAsia"/>
            <w:sz w:val="24"/>
            <w:szCs w:val="24"/>
            <w:lang w:val="en-US" w:eastAsia="zh-CN"/>
          </w:rPr>
          <w:t>和垂直分析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_Toc11721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1383" w:history="1">
        <w:r>
          <w:rPr>
            <w:rFonts w:ascii="幼圆" w:eastAsia="幼圆" w:hAnsi="幼圆" w:cs="幼圆" w:hint="eastAsia"/>
            <w:sz w:val="24"/>
            <w:szCs w:val="24"/>
          </w:rPr>
          <w:t>3.1.1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企业资产分析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_Toc11383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1644" w:history="1">
        <w:r>
          <w:rPr>
            <w:rFonts w:ascii="幼圆" w:eastAsia="幼圆" w:hAnsi="幼圆" w:cs="幼圆" w:hint="eastAsia"/>
            <w:sz w:val="24"/>
            <w:szCs w:val="24"/>
          </w:rPr>
          <w:t>3.1.2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企业负债分析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_Toc11644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9236" w:history="1">
        <w:r>
          <w:rPr>
            <w:rFonts w:ascii="幼圆" w:eastAsia="幼圆" w:hAnsi="幼圆" w:cs="幼圆" w:hint="eastAsia"/>
            <w:sz w:val="24"/>
            <w:szCs w:val="24"/>
          </w:rPr>
          <w:t>3.2</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企业偿债能力分析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_Toc9236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sectPr>
          <w:headerReference w:type="default" r:id="rId4"/>
          <w:footerReference w:type="default" r:id="rId5"/>
          <w:pgSz w:w="11906" w:h="16838"/>
          <w:pgMar w:top="1644" w:right="1361" w:bottom="1644" w:left="1361" w:header="851" w:footer="992" w:gutter="0"/>
          <w:pgBorders>
            <w:top w:val="none" w:sz="0" w:space="0" w:color="auto"/>
            <w:left w:val="none" w:sz="0" w:space="0" w:color="auto"/>
            <w:bottom w:val="none" w:sz="0" w:space="0" w:color="auto"/>
            <w:right w:val="none" w:sz="0" w:space="0" w:color="auto"/>
          </w:pgBorders>
          <w:pgNumType w:start="1"/>
          <w:cols w:space="708"/>
          <w:docGrid w:type="lines" w:linePitch="312" w:charSpace="0"/>
        </w:sectPr>
      </w:pPr>
      <w:hyperlink w:anchor="_Toc30865" w:history="1">
        <w:r>
          <w:rPr>
            <w:rFonts w:ascii="幼圆" w:eastAsia="幼圆" w:hAnsi="幼圆" w:cs="幼圆" w:hint="eastAsia"/>
            <w:sz w:val="24"/>
            <w:szCs w:val="24"/>
          </w:rPr>
          <w:t>3.</w:t>
        </w:r>
        <w:r>
          <w:rPr>
            <w:rFonts w:ascii="幼圆" w:eastAsia="幼圆" w:hAnsi="幼圆" w:cs="幼圆" w:hint="eastAsia"/>
            <w:sz w:val="24"/>
            <w:szCs w:val="24"/>
            <w:lang w:val="en-US" w:eastAsia="zh-CN"/>
          </w:rPr>
          <w:t>3 海信智能家居公司财务状况评价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_Toc30865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0638" w:history="1">
        <w:r>
          <w:rPr>
            <w:rFonts w:ascii="幼圆" w:eastAsia="幼圆" w:hAnsi="幼圆" w:cs="幼圆" w:hint="eastAsia"/>
            <w:sz w:val="24"/>
            <w:szCs w:val="24"/>
          </w:rPr>
          <w:t>3.</w:t>
        </w:r>
        <w:r>
          <w:rPr>
            <w:rFonts w:ascii="幼圆" w:eastAsia="幼圆" w:hAnsi="幼圆" w:cs="幼圆" w:hint="eastAsia"/>
            <w:sz w:val="24"/>
            <w:szCs w:val="24"/>
            <w:lang w:val="en-US" w:eastAsia="zh-CN"/>
          </w:rPr>
          <w:t>3</w:t>
        </w:r>
        <w:r>
          <w:rPr>
            <w:rFonts w:ascii="幼圆" w:eastAsia="幼圆" w:hAnsi="幼圆" w:cs="幼圆" w:hint="eastAsia"/>
            <w:sz w:val="24"/>
            <w:szCs w:val="24"/>
          </w:rPr>
          <w:t>.</w:t>
        </w:r>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应收账款</w:t>
        </w:r>
        <w:r>
          <w:rPr>
            <w:rFonts w:ascii="幼圆" w:eastAsia="幼圆" w:hAnsi="幼圆" w:cs="幼圆" w:hint="eastAsia"/>
            <w:sz w:val="24"/>
            <w:szCs w:val="24"/>
            <w:lang w:val="en-US" w:eastAsia="zh-CN"/>
          </w:rPr>
          <w:t>坏账</w:t>
        </w:r>
        <w:r>
          <w:rPr>
            <w:rFonts w:ascii="幼圆" w:eastAsia="幼圆" w:hAnsi="幼圆" w:cs="幼圆" w:hint="eastAsia"/>
            <w:sz w:val="24"/>
            <w:szCs w:val="24"/>
          </w:rPr>
          <w:t>风险</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_Toc10638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27369" w:history="1">
        <w:r>
          <w:rPr>
            <w:rFonts w:ascii="幼圆" w:eastAsia="幼圆" w:hAnsi="幼圆" w:cs="幼圆" w:hint="eastAsia"/>
            <w:sz w:val="24"/>
            <w:szCs w:val="24"/>
            <w:lang w:val="en-US" w:eastAsia="zh-CN"/>
          </w:rPr>
          <w:t>3.3.2 短期偿债能力弱</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_Toc27369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9151" w:history="1">
        <w:r>
          <w:rPr>
            <w:rFonts w:ascii="幼圆" w:eastAsia="幼圆" w:hAnsi="幼圆" w:cs="幼圆" w:hint="eastAsia"/>
            <w:sz w:val="24"/>
            <w:szCs w:val="24"/>
            <w:lang w:val="en-US" w:eastAsia="zh-CN"/>
          </w:rPr>
          <w:t>3.3.3 存货积压风险</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_Toc19151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7276" w:history="1">
        <w:r>
          <w:rPr>
            <w:rFonts w:ascii="幼圆" w:eastAsia="幼圆" w:hAnsi="幼圆" w:cs="幼圆" w:hint="eastAsia"/>
            <w:sz w:val="24"/>
            <w:szCs w:val="24"/>
            <w:lang w:val="en-US" w:eastAsia="zh-CN"/>
          </w:rPr>
          <w:t>3.3.4 企业流动负债风险较高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_Toc7276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31766" w:history="1">
        <w:r>
          <w:rPr>
            <w:rFonts w:ascii="幼圆" w:eastAsia="幼圆" w:hAnsi="幼圆" w:cs="幼圆" w:hint="eastAsia"/>
            <w:sz w:val="24"/>
            <w:szCs w:val="24"/>
            <w:lang w:val="en-US" w:eastAsia="zh-CN"/>
          </w:rPr>
          <w:t>4 改善</w:t>
        </w:r>
        <w:r>
          <w:rPr>
            <w:rFonts w:ascii="幼圆" w:eastAsia="幼圆" w:hAnsi="幼圆" w:cs="幼圆" w:hint="eastAsia"/>
            <w:sz w:val="24"/>
            <w:szCs w:val="24"/>
            <w:lang w:eastAsia="zh-CN"/>
          </w:rPr>
          <w:t>海信智能家居公司</w:t>
        </w:r>
        <w:r>
          <w:rPr>
            <w:rFonts w:ascii="幼圆" w:eastAsia="幼圆" w:hAnsi="幼圆" w:cs="幼圆" w:hint="eastAsia"/>
            <w:sz w:val="24"/>
            <w:szCs w:val="24"/>
          </w:rPr>
          <w:t>财务状况</w:t>
        </w:r>
        <w:r>
          <w:rPr>
            <w:rFonts w:ascii="幼圆" w:eastAsia="幼圆" w:hAnsi="幼圆" w:cs="幼圆" w:hint="eastAsia"/>
            <w:sz w:val="24"/>
            <w:szCs w:val="24"/>
            <w:lang w:val="en-US" w:eastAsia="zh-CN"/>
          </w:rPr>
          <w:t>的</w:t>
        </w:r>
        <w:r>
          <w:rPr>
            <w:rFonts w:ascii="幼圆" w:eastAsia="幼圆" w:hAnsi="幼圆" w:cs="幼圆" w:hint="eastAsia"/>
            <w:sz w:val="24"/>
            <w:szCs w:val="24"/>
          </w:rPr>
          <w:t>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_Toc31766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9796" w:history="1">
        <w:r>
          <w:rPr>
            <w:rFonts w:ascii="幼圆" w:eastAsia="幼圆" w:hAnsi="幼圆" w:cs="幼圆" w:hint="eastAsia"/>
            <w:sz w:val="24"/>
            <w:szCs w:val="24"/>
          </w:rPr>
          <w:t>4.</w:t>
        </w:r>
        <w:r>
          <w:rPr>
            <w:rFonts w:ascii="幼圆" w:eastAsia="幼圆" w:hAnsi="幼圆" w:cs="幼圆" w:hint="eastAsia"/>
            <w:sz w:val="24"/>
            <w:szCs w:val="24"/>
            <w:lang w:val="en-US" w:eastAsia="zh-CN"/>
          </w:rPr>
          <w:t xml:space="preserve">1 </w:t>
        </w:r>
        <w:r>
          <w:rPr>
            <w:rFonts w:ascii="幼圆" w:eastAsia="幼圆" w:hAnsi="幼圆" w:cs="幼圆" w:hint="eastAsia"/>
            <w:sz w:val="24"/>
            <w:szCs w:val="24"/>
          </w:rPr>
          <w:t>加强应收账款的收回</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_Toc9796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4379" w:history="1">
        <w:r>
          <w:rPr>
            <w:rFonts w:ascii="幼圆" w:eastAsia="幼圆" w:hAnsi="幼圆" w:cs="幼圆" w:hint="eastAsia"/>
            <w:sz w:val="24"/>
            <w:szCs w:val="24"/>
            <w:lang w:val="en-US" w:eastAsia="zh-CN"/>
          </w:rPr>
          <w:t>4.1.1 加强应收账款的风险防范意识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_Toc14379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19793" w:history="1">
        <w:r>
          <w:rPr>
            <w:rFonts w:ascii="幼圆" w:eastAsia="幼圆" w:hAnsi="幼圆" w:cs="幼圆" w:hint="eastAsia"/>
            <w:sz w:val="24"/>
            <w:szCs w:val="24"/>
            <w:lang w:val="en-US" w:eastAsia="zh-CN"/>
          </w:rPr>
          <w:t>4.1.2 制定应收账款的收回制度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_Toc19793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30907" w:history="1">
        <w:r>
          <w:rPr>
            <w:rFonts w:ascii="幼圆" w:eastAsia="幼圆" w:hAnsi="幼圆" w:cs="幼圆" w:hint="eastAsia"/>
            <w:sz w:val="24"/>
            <w:szCs w:val="24"/>
            <w:lang w:val="en-US" w:eastAsia="zh-CN"/>
          </w:rPr>
          <w:t>4.2 提高企业短期偿债能力</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_Toc30907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5017" w:history="1">
        <w:r>
          <w:rPr>
            <w:rFonts w:ascii="幼圆" w:eastAsia="幼圆" w:hAnsi="幼圆" w:cs="幼圆" w:hint="eastAsia"/>
            <w:sz w:val="24"/>
            <w:szCs w:val="24"/>
            <w:lang w:val="en-US" w:eastAsia="zh-CN"/>
          </w:rPr>
          <w:t>4.3 提高对存货风险的管控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_Toc5017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4760" w:history="1">
        <w:r>
          <w:rPr>
            <w:rFonts w:ascii="幼圆" w:eastAsia="幼圆" w:hAnsi="幼圆" w:cs="幼圆" w:hint="eastAsia"/>
            <w:sz w:val="24"/>
            <w:szCs w:val="24"/>
            <w:lang w:val="en-US" w:eastAsia="zh-CN"/>
          </w:rPr>
          <w:t>4.3.1 制定科学的管理流程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_Toc4760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480" w:leftChars="0" w:firstLineChars="200"/>
        <w:jc w:val="distribute"/>
        <w:textAlignment w:val="auto"/>
        <w:rPr>
          <w:rFonts w:ascii="幼圆" w:eastAsia="幼圆" w:hAnsi="幼圆" w:cs="幼圆" w:hint="eastAsia"/>
          <w:sz w:val="24"/>
          <w:szCs w:val="24"/>
        </w:rPr>
      </w:pPr>
      <w:hyperlink w:anchor="_Toc29185" w:history="1">
        <w:r>
          <w:rPr>
            <w:rFonts w:ascii="幼圆" w:eastAsia="幼圆" w:hAnsi="幼圆" w:cs="幼圆" w:hint="eastAsia"/>
            <w:sz w:val="24"/>
            <w:szCs w:val="24"/>
            <w:lang w:val="en-US" w:eastAsia="zh-CN"/>
          </w:rPr>
          <w:t>4.3.2 加强存货内部管理制度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_Toc29185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firstLine="240" w:leftChars="0" w:firstLineChars="100"/>
        <w:jc w:val="distribute"/>
        <w:textAlignment w:val="auto"/>
        <w:rPr>
          <w:rFonts w:ascii="幼圆" w:eastAsia="幼圆" w:hAnsi="幼圆" w:cs="幼圆" w:hint="eastAsia"/>
          <w:sz w:val="24"/>
          <w:szCs w:val="24"/>
        </w:rPr>
      </w:pPr>
      <w:hyperlink w:anchor="_Toc7432" w:history="1">
        <w:r>
          <w:rPr>
            <w:rFonts w:ascii="幼圆" w:eastAsia="幼圆" w:hAnsi="幼圆" w:cs="幼圆" w:hint="eastAsia"/>
            <w:sz w:val="24"/>
            <w:szCs w:val="24"/>
            <w:lang w:val="en-US" w:eastAsia="zh-CN"/>
          </w:rPr>
          <w:t>4.4 应对企业流动负债风险的措施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_Toc7432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25822" w:history="1">
        <w:r>
          <w:rPr>
            <w:rFonts w:ascii="幼圆" w:eastAsia="幼圆" w:hAnsi="幼圆" w:cs="幼圆" w:hint="eastAsia"/>
            <w:sz w:val="24"/>
            <w:szCs w:val="24"/>
          </w:rPr>
          <w:t>结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_Toc25822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8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hyperlink w:anchor="_Toc1162" w:history="1">
        <w:r>
          <w:rPr>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_Toc1162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917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24"/>
          <w:szCs w:val="24"/>
        </w:rPr>
      </w:pPr>
      <w:r>
        <w:rPr>
          <w:rFonts w:ascii="幼圆" w:eastAsia="幼圆" w:hAnsi="幼圆" w:cs="幼圆" w:hint="eastAsia"/>
          <w:sz w:val="24"/>
          <w:szCs w:val="24"/>
        </w:rPr>
        <w:fldChar w:fldCharType="end"/>
      </w:r>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outlineLvl w:val="0"/>
        <w:rPr>
          <w:rFonts w:ascii="幼圆" w:eastAsia="幼圆" w:hAnsi="幼圆" w:cs="幼圆" w:hint="eastAsia"/>
        </w:rPr>
      </w:pPr>
      <w:bookmarkStart w:id="0" w:name="_Toc1280"/>
    </w:p>
    <w:p>
      <w:pPr>
        <w:pStyle w:val="TOC1"/>
        <w:keepNext w:val="0"/>
        <w:keepLines w:val="0"/>
        <w:pageBreakBefore w:val="0"/>
        <w:widowControl w:val="0"/>
        <w:tabs>
          <w:tab w:val="right" w:leader="dot" w:pos="9174"/>
        </w:tabs>
        <w:kinsoku/>
        <w:wordWrap/>
        <w:overflowPunct/>
        <w:topLinePunct w:val="0"/>
        <w:autoSpaceDE/>
        <w:autoSpaceDN/>
        <w:bidi w:val="0"/>
        <w:adjustRightInd/>
        <w:snapToGrid/>
        <w:spacing w:after="0" w:line="360" w:lineRule="auto"/>
        <w:ind w:left="0" w:leftChars="0"/>
        <w:jc w:val="distribute"/>
        <w:textAlignment w:val="auto"/>
        <w:rPr>
          <w:rFonts w:ascii="幼圆" w:eastAsia="幼圆" w:hAnsi="幼圆" w:cs="幼圆" w:hint="eastAsia"/>
          <w:sz w:val="30"/>
          <w:szCs w:val="30"/>
        </w:rPr>
      </w:pPr>
      <w:r>
        <w:rPr>
          <w:rFonts w:ascii="幼圆" w:eastAsia="幼圆" w:hAnsi="幼圆" w:cs="幼圆" w:hint="eastAsia"/>
          <w:sz w:val="30"/>
          <w:szCs w:val="30"/>
        </w:rPr>
        <w:t>引  言</w:t>
      </w:r>
      <w:bookmarkEnd w:id="0"/>
    </w:p>
    <w:p>
      <w:pPr>
        <w:spacing w:after="0" w:line="360" w:lineRule="auto"/>
        <w:ind w:firstLine="480" w:firstLineChars="200"/>
        <w:jc w:val="left"/>
        <w:rPr>
          <w:rFonts w:ascii="幼圆" w:eastAsia="幼圆" w:hAnsi="幼圆" w:cs="幼圆" w:hint="eastAsia"/>
          <w:sz w:val="24"/>
        </w:rPr>
      </w:pPr>
      <w:r>
        <w:rPr>
          <w:rFonts w:ascii="幼圆" w:eastAsia="幼圆" w:hAnsi="幼圆" w:cs="幼圆" w:hint="eastAsia"/>
          <w:sz w:val="24"/>
        </w:rPr>
        <w:t>随着我国资产经济的发展，各个企业的不断扩大，在企业不断发展的时候，随之而来的财务风险也在不断地加大，在企业中资产负债表成为了反应企业经营状况，经营成果，帮助企业管理的重要依据，也是企业最重要的财务报表，在企业</w:t>
      </w:r>
      <w:r>
        <w:rPr>
          <w:rFonts w:ascii="幼圆" w:eastAsia="幼圆" w:hAnsi="幼圆" w:cs="幼圆" w:hint="eastAsia"/>
          <w:sz w:val="24"/>
          <w:lang w:val="en-US" w:eastAsia="zh-CN"/>
        </w:rPr>
        <w:t>将来</w:t>
      </w:r>
      <w:r>
        <w:rPr>
          <w:rFonts w:ascii="幼圆" w:eastAsia="幼圆" w:hAnsi="幼圆" w:cs="幼圆" w:hint="eastAsia"/>
          <w:sz w:val="24"/>
        </w:rPr>
        <w:t>的发展中有着不可磨灭的重要作用。同时企业财务报表有助于及时准确地熟悉财务状况和经营成果等，及时反映企业的财务状况，分析可能存在的问题，在此基础上能更好的决策，规避风险的发生，帮助管理层更好的经营决策</w:t>
      </w:r>
      <w:r>
        <w:rPr>
          <w:rFonts w:ascii="幼圆" w:eastAsia="幼圆" w:hAnsi="幼圆" w:cs="幼圆" w:hint="eastAsia"/>
          <w:sz w:val="24"/>
          <w:lang w:eastAsia="zh-CN"/>
        </w:rPr>
        <w:t>（</w:t>
      </w:r>
      <w:r>
        <w:rPr>
          <w:rFonts w:ascii="幼圆" w:eastAsia="幼圆" w:hAnsi="幼圆" w:cs="幼圆" w:hint="eastAsia"/>
          <w:sz w:val="24"/>
          <w:lang w:val="en-US" w:eastAsia="zh-CN"/>
        </w:rPr>
        <w:t>李明宇 ,张艺馨,2022</w:t>
      </w:r>
      <w:r>
        <w:rPr>
          <w:rFonts w:ascii="幼圆" w:eastAsia="幼圆" w:hAnsi="幼圆" w:cs="幼圆" w:hint="eastAsia"/>
          <w:sz w:val="24"/>
          <w:lang w:eastAsia="zh-CN"/>
        </w:rPr>
        <w:t>）</w:t>
      </w:r>
      <w:r>
        <w:rPr>
          <w:rFonts w:ascii="幼圆" w:eastAsia="幼圆" w:hAnsi="幼圆" w:cs="幼圆" w:hint="eastAsia"/>
          <w:sz w:val="24"/>
        </w:rPr>
        <w:t>。</w:t>
      </w:r>
    </w:p>
    <w:p>
      <w:pPr>
        <w:spacing w:after="0" w:line="360" w:lineRule="auto"/>
        <w:ind w:firstLine="480" w:firstLineChars="200"/>
        <w:jc w:val="left"/>
        <w:rPr>
          <w:rFonts w:ascii="幼圆" w:eastAsia="幼圆" w:hAnsi="幼圆" w:cs="幼圆" w:hint="eastAsia"/>
        </w:rPr>
        <w:sectPr>
          <w:headerReference w:type="default" r:id="rId6"/>
          <w:footerReference w:type="default" r:id="rId7"/>
          <w:type w:val="nextPage"/>
          <w:pgSz w:w="11906" w:h="16838"/>
          <w:pgMar w:top="1644" w:right="1361" w:bottom="1644" w:left="1361" w:header="851" w:footer="992" w:gutter="0"/>
          <w:pgBorders>
            <w:top w:val="none" w:sz="0" w:space="0" w:color="auto"/>
            <w:left w:val="none" w:sz="0" w:space="0" w:color="auto"/>
            <w:bottom w:val="none" w:sz="0" w:space="0" w:color="auto"/>
            <w:right w:val="none" w:sz="0" w:space="0" w:color="auto"/>
          </w:pgBorders>
          <w:pgNumType w:start="2"/>
          <w:cols w:space="708"/>
          <w:titlePg w:val="0"/>
          <w:docGrid w:type="lines" w:linePitch="312" w:charSpace="0"/>
        </w:sectPr>
      </w:pPr>
      <w:r>
        <w:rPr>
          <w:rFonts w:ascii="幼圆" w:eastAsia="幼圆" w:hAnsi="幼圆" w:cs="幼圆" w:hint="eastAsia"/>
          <w:sz w:val="24"/>
        </w:rPr>
        <w:t>本文以</w:t>
      </w:r>
      <w:r>
        <w:rPr>
          <w:rFonts w:ascii="幼圆" w:eastAsia="幼圆" w:hAnsi="幼圆" w:cs="幼圆" w:hint="eastAsia"/>
          <w:sz w:val="24"/>
          <w:lang w:eastAsia="zh-CN"/>
        </w:rPr>
        <w:t>海信智能家居公司</w:t>
      </w:r>
      <w:r>
        <w:rPr>
          <w:rFonts w:ascii="幼圆" w:eastAsia="幼圆" w:hAnsi="幼圆" w:cs="幼圆" w:hint="eastAsia"/>
          <w:sz w:val="24"/>
        </w:rPr>
        <w:t>为例，主要通过对该企业资产负债表的研究，了解企业</w:t>
      </w:r>
      <w:r>
        <w:rPr>
          <w:rFonts w:ascii="幼圆" w:eastAsia="幼圆" w:hAnsi="幼圆" w:cs="幼圆" w:hint="eastAsia"/>
          <w:sz w:val="24"/>
          <w:lang w:val="en-US" w:eastAsia="zh-CN"/>
        </w:rPr>
        <w:t>近</w:t>
      </w:r>
      <w:r>
        <w:rPr>
          <w:rFonts w:ascii="幼圆" w:eastAsia="幼圆" w:hAnsi="幼圆" w:cs="幼圆" w:hint="eastAsia"/>
          <w:sz w:val="24"/>
        </w:rPr>
        <w:t>五年的财务报表，全面充分了解</w:t>
      </w:r>
      <w:r>
        <w:rPr>
          <w:rFonts w:ascii="幼圆" w:eastAsia="幼圆" w:hAnsi="幼圆" w:cs="幼圆" w:hint="eastAsia"/>
          <w:sz w:val="24"/>
          <w:lang w:eastAsia="zh-CN"/>
        </w:rPr>
        <w:t>海信智能家居公司</w:t>
      </w:r>
      <w:r>
        <w:rPr>
          <w:rFonts w:ascii="幼圆" w:eastAsia="幼圆" w:hAnsi="幼圆" w:cs="幼圆" w:hint="eastAsia"/>
          <w:sz w:val="24"/>
        </w:rPr>
        <w:t>的财务状况，发展现状</w:t>
      </w:r>
      <w:r>
        <w:rPr>
          <w:rFonts w:ascii="幼圆" w:eastAsia="幼圆" w:hAnsi="幼圆" w:cs="幼圆" w:hint="eastAsia"/>
          <w:sz w:val="24"/>
          <w:lang w:val="en-US" w:eastAsia="zh-CN"/>
        </w:rPr>
        <w:t>和</w:t>
      </w:r>
      <w:r>
        <w:rPr>
          <w:rFonts w:ascii="幼圆" w:eastAsia="幼圆" w:hAnsi="幼圆" w:cs="幼圆" w:hint="eastAsia"/>
          <w:sz w:val="24"/>
        </w:rPr>
        <w:t>经济效益，再结合</w:t>
      </w:r>
      <w:r>
        <w:rPr>
          <w:rFonts w:ascii="幼圆" w:eastAsia="幼圆" w:hAnsi="幼圆" w:cs="幼圆" w:hint="eastAsia"/>
          <w:sz w:val="24"/>
          <w:lang w:eastAsia="zh-CN"/>
        </w:rPr>
        <w:t>海信智能家居</w:t>
      </w:r>
      <w:r>
        <w:rPr>
          <w:rFonts w:ascii="幼圆" w:eastAsia="幼圆" w:hAnsi="幼圆" w:cs="幼圆" w:hint="eastAsia"/>
          <w:sz w:val="24"/>
        </w:rPr>
        <w:t>企业实际情况，综合</w:t>
      </w:r>
      <w:r>
        <w:rPr>
          <w:rFonts w:ascii="幼圆" w:eastAsia="幼圆" w:hAnsi="幼圆" w:cs="幼圆" w:hint="eastAsia"/>
          <w:sz w:val="24"/>
          <w:lang w:val="en-US" w:eastAsia="zh-CN"/>
        </w:rPr>
        <w:t>使用</w:t>
      </w:r>
      <w:r>
        <w:rPr>
          <w:rFonts w:ascii="幼圆" w:eastAsia="幼圆" w:hAnsi="幼圆" w:cs="幼圆" w:hint="eastAsia"/>
          <w:sz w:val="24"/>
        </w:rPr>
        <w:t>分析方法，较为全面的分析企业的财务</w:t>
      </w:r>
    </w:p>
    <w:p>
      <w:pPr>
        <w:spacing w:after="0" w:line="360" w:lineRule="auto"/>
        <w:ind w:firstLine="480" w:firstLineChars="200"/>
        <w:jc w:val="left"/>
        <w:rPr>
          <w:rFonts w:ascii="幼圆" w:eastAsia="幼圆" w:hAnsi="幼圆" w:cs="幼圆" w:hint="eastAsia"/>
        </w:rPr>
      </w:pPr>
      <w:r>
        <w:rPr>
          <w:rFonts w:ascii="幼圆" w:eastAsia="幼圆" w:hAnsi="幼圆" w:cs="幼圆" w:hint="eastAsia"/>
          <w:sz w:val="24"/>
          <w:lang w:val="en-US" w:eastAsia="zh-CN"/>
        </w:rPr>
        <w:t>情况</w:t>
      </w:r>
      <w:r>
        <w:rPr>
          <w:rFonts w:ascii="幼圆" w:eastAsia="幼圆" w:hAnsi="幼圆" w:cs="幼圆" w:hint="eastAsia"/>
          <w:sz w:val="24"/>
        </w:rPr>
        <w:t>，为</w:t>
      </w:r>
      <w:r>
        <w:rPr>
          <w:rFonts w:ascii="幼圆" w:eastAsia="幼圆" w:hAnsi="幼圆" w:cs="幼圆" w:hint="eastAsia"/>
          <w:sz w:val="24"/>
          <w:lang w:eastAsia="zh-CN"/>
        </w:rPr>
        <w:t>智能家电</w:t>
      </w:r>
      <w:r>
        <w:rPr>
          <w:rFonts w:ascii="幼圆" w:eastAsia="幼圆" w:hAnsi="幼圆" w:cs="幼圆" w:hint="eastAsia"/>
          <w:sz w:val="24"/>
        </w:rPr>
        <w:t>企业的发展提供更好的理论基础。</w:t>
      </w:r>
    </w:p>
    <w:p>
      <w:pPr>
        <w:spacing w:before="340" w:after="340" w:line="360" w:lineRule="auto"/>
        <w:jc w:val="center"/>
        <w:outlineLvl w:val="0"/>
        <w:rPr>
          <w:rFonts w:ascii="幼圆" w:eastAsia="幼圆" w:hAnsi="幼圆" w:cs="幼圆" w:hint="eastAsia"/>
          <w:sz w:val="30"/>
          <w:szCs w:val="30"/>
        </w:rPr>
      </w:pPr>
      <w:bookmarkStart w:id="1" w:name="_Toc12360"/>
      <w:r>
        <w:rPr>
          <w:rFonts w:ascii="幼圆" w:eastAsia="幼圆" w:hAnsi="幼圆" w:cs="幼圆" w:hint="eastAsia"/>
          <w:sz w:val="30"/>
          <w:szCs w:val="30"/>
          <w:lang w:val="en-US" w:eastAsia="zh-CN"/>
        </w:rPr>
        <w:t xml:space="preserve">1 </w:t>
      </w:r>
      <w:r>
        <w:rPr>
          <w:rFonts w:ascii="幼圆" w:eastAsia="幼圆" w:hAnsi="幼圆" w:cs="幼圆" w:hint="eastAsia"/>
          <w:sz w:val="30"/>
          <w:szCs w:val="30"/>
        </w:rPr>
        <w:t>资产负债表</w:t>
      </w:r>
      <w:r>
        <w:rPr>
          <w:rFonts w:ascii="幼圆" w:eastAsia="幼圆" w:hAnsi="幼圆" w:cs="幼圆" w:hint="eastAsia"/>
          <w:sz w:val="30"/>
          <w:szCs w:val="30"/>
          <w:lang w:val="en-US" w:eastAsia="zh-CN"/>
        </w:rPr>
        <w:t>分析相关理论概述</w:t>
      </w:r>
      <w:bookmarkEnd w:id="1"/>
    </w:p>
    <w:p>
      <w:pPr>
        <w:spacing w:before="312" w:beforeLines="100" w:after="312" w:afterLines="100" w:line="360" w:lineRule="auto"/>
        <w:jc w:val="left"/>
        <w:outlineLvl w:val="0"/>
        <w:rPr>
          <w:rFonts w:ascii="幼圆" w:eastAsia="幼圆" w:hAnsi="幼圆" w:cs="幼圆" w:hint="eastAsia"/>
          <w:color w:val="0000FF"/>
          <w:sz w:val="28"/>
          <w:szCs w:val="28"/>
        </w:rPr>
      </w:pPr>
      <w:bookmarkStart w:id="2" w:name="_Toc3940"/>
      <w:r>
        <w:rPr>
          <w:rFonts w:ascii="幼圆" w:eastAsia="幼圆" w:hAnsi="幼圆" w:cs="幼圆" w:hint="eastAsia"/>
          <w:sz w:val="28"/>
          <w:szCs w:val="28"/>
        </w:rPr>
        <w:t>1.1</w:t>
      </w:r>
      <w:r>
        <w:rPr>
          <w:rFonts w:ascii="幼圆" w:eastAsia="幼圆" w:hAnsi="幼圆" w:cs="幼圆" w:hint="eastAsia"/>
          <w:sz w:val="28"/>
          <w:szCs w:val="28"/>
          <w:lang w:val="en-US" w:eastAsia="zh-CN"/>
        </w:rPr>
        <w:t xml:space="preserve"> </w:t>
      </w:r>
      <w:r>
        <w:rPr>
          <w:rFonts w:ascii="幼圆" w:eastAsia="幼圆" w:hAnsi="幼圆" w:cs="幼圆" w:hint="eastAsia"/>
          <w:sz w:val="28"/>
          <w:szCs w:val="28"/>
        </w:rPr>
        <w:t>资产负债表</w:t>
      </w:r>
      <w:r>
        <w:rPr>
          <w:rFonts w:ascii="幼圆" w:eastAsia="幼圆" w:hAnsi="幼圆" w:cs="幼圆" w:hint="eastAsia"/>
          <w:sz w:val="28"/>
          <w:szCs w:val="28"/>
          <w:lang w:val="en-US" w:eastAsia="zh-CN"/>
        </w:rPr>
        <w:t>概述</w:t>
      </w:r>
      <w:bookmarkEnd w:id="2"/>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left"/>
        <w:textAlignment w:val="auto"/>
        <w:outlineLvl w:val="1"/>
        <w:rPr>
          <w:rFonts w:ascii="幼圆" w:eastAsia="幼圆" w:hAnsi="幼圆" w:cs="幼圆" w:hint="eastAsia"/>
          <w:sz w:val="24"/>
        </w:rPr>
      </w:pPr>
      <w:bookmarkStart w:id="3" w:name="_Toc32041"/>
      <w:r>
        <w:rPr>
          <w:rFonts w:ascii="幼圆" w:eastAsia="幼圆" w:hAnsi="幼圆" w:cs="幼圆" w:hint="eastAsia"/>
          <w:sz w:val="24"/>
          <w:szCs w:val="24"/>
        </w:rPr>
        <w:t>1.1.1</w:t>
      </w:r>
      <w:r>
        <w:rPr>
          <w:rFonts w:ascii="幼圆" w:eastAsia="幼圆" w:hAnsi="幼圆" w:cs="幼圆" w:hint="eastAsia"/>
          <w:sz w:val="24"/>
          <w:szCs w:val="24"/>
          <w:lang w:val="en-US" w:eastAsia="zh-CN"/>
        </w:rPr>
        <w:t xml:space="preserve"> </w:t>
      </w:r>
      <w:r>
        <w:rPr>
          <w:rFonts w:ascii="幼圆" w:eastAsia="幼圆" w:hAnsi="幼圆" w:cs="幼圆" w:hint="eastAsia"/>
          <w:sz w:val="24"/>
          <w:szCs w:val="24"/>
        </w:rPr>
        <w:t>资产负债表</w:t>
      </w:r>
      <w:r>
        <w:rPr>
          <w:rFonts w:ascii="幼圆" w:eastAsia="幼圆" w:hAnsi="幼圆" w:cs="幼圆" w:hint="eastAsia"/>
          <w:sz w:val="24"/>
          <w:szCs w:val="24"/>
          <w:lang w:val="en-US" w:eastAsia="zh-CN"/>
        </w:rPr>
        <w:t>的概念</w:t>
      </w:r>
      <w:bookmarkEnd w:id="3"/>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rPr>
        <w:t>资产负债表是反应企业在某一特定日期</w:t>
      </w:r>
      <w:r>
        <w:rPr>
          <w:rFonts w:ascii="幼圆" w:eastAsia="幼圆" w:hAnsi="幼圆" w:cs="幼圆" w:hint="eastAsia"/>
          <w:sz w:val="24"/>
          <w:lang w:val="en-US" w:eastAsia="zh-CN"/>
        </w:rPr>
        <w:t>的</w:t>
      </w:r>
      <w:r>
        <w:rPr>
          <w:rFonts w:ascii="幼圆" w:eastAsia="幼圆" w:hAnsi="幼圆" w:cs="幼圆" w:hint="eastAsia"/>
          <w:sz w:val="24"/>
        </w:rPr>
        <w:t>全部资产、负债</w:t>
      </w:r>
      <w:r>
        <w:rPr>
          <w:rFonts w:ascii="幼圆" w:eastAsia="幼圆" w:hAnsi="幼圆" w:cs="幼圆" w:hint="eastAsia"/>
          <w:sz w:val="24"/>
          <w:lang w:eastAsia="zh-CN"/>
        </w:rPr>
        <w:t>、</w:t>
      </w:r>
      <w:r>
        <w:rPr>
          <w:rFonts w:ascii="幼圆" w:eastAsia="幼圆" w:hAnsi="幼圆" w:cs="幼圆" w:hint="eastAsia"/>
          <w:sz w:val="24"/>
        </w:rPr>
        <w:t>所有者权益情况的会计报表，是企业生产经营的静态体现。</w:t>
      </w:r>
      <w:r>
        <w:rPr>
          <w:rFonts w:ascii="幼圆" w:eastAsia="幼圆" w:hAnsi="幼圆" w:cs="幼圆" w:hint="eastAsia"/>
          <w:sz w:val="24"/>
          <w:lang w:val="en-US" w:eastAsia="zh-CN"/>
        </w:rPr>
        <w:t>是</w:t>
      </w:r>
      <w:r>
        <w:rPr>
          <w:rFonts w:ascii="幼圆" w:eastAsia="幼圆" w:hAnsi="幼圆" w:cs="幼圆" w:hint="eastAsia"/>
          <w:sz w:val="24"/>
        </w:rPr>
        <w:t>企业在所拥有或控制的经济资源、所承担的现有义务和所有者对净资产的要求权</w:t>
      </w:r>
      <w:r>
        <w:rPr>
          <w:rFonts w:ascii="幼圆" w:eastAsia="幼圆" w:hAnsi="幼圆" w:cs="幼圆" w:hint="eastAsia"/>
          <w:sz w:val="24"/>
          <w:lang w:eastAsia="zh-CN"/>
        </w:rPr>
        <w:t>（</w:t>
      </w:r>
      <w:r>
        <w:rPr>
          <w:rFonts w:ascii="幼圆" w:eastAsia="幼圆" w:hAnsi="幼圆" w:cs="幼圆" w:hint="eastAsia"/>
          <w:sz w:val="24"/>
          <w:lang w:val="en-US" w:eastAsia="zh-CN"/>
        </w:rPr>
        <w:t>王思聪, 赵天,2021</w:t>
      </w:r>
      <w:r>
        <w:rPr>
          <w:rFonts w:ascii="幼圆" w:eastAsia="幼圆" w:hAnsi="幼圆" w:cs="幼圆" w:hint="eastAsia"/>
          <w:sz w:val="24"/>
          <w:lang w:eastAsia="zh-CN"/>
        </w:rPr>
        <w:t>）</w:t>
      </w:r>
      <w:r>
        <w:rPr>
          <w:rFonts w:ascii="幼圆" w:eastAsia="幼圆" w:hAnsi="幼圆" w:cs="幼圆" w:hint="eastAsia"/>
          <w:sz w:val="24"/>
        </w:rPr>
        <w:t>。它是一张揭示企业在一定时点财务状况的静态报表。是分析企业所拥有的经济资源以及分布情况，是企业生产经营过程中不可缺少的财务报表。</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left"/>
        <w:textAlignment w:val="auto"/>
        <w:outlineLvl w:val="1"/>
        <w:rPr>
          <w:rFonts w:ascii="幼圆" w:eastAsia="幼圆" w:hAnsi="幼圆" w:cs="幼圆" w:hint="eastAsia"/>
          <w:sz w:val="24"/>
        </w:rPr>
      </w:pPr>
      <w:bookmarkStart w:id="4" w:name="_Toc18625"/>
      <w:r>
        <w:rPr>
          <w:rFonts w:ascii="幼圆" w:eastAsia="幼圆" w:hAnsi="幼圆" w:cs="幼圆" w:hint="eastAsia"/>
          <w:sz w:val="24"/>
        </w:rPr>
        <w:t>1.1.2</w:t>
      </w:r>
      <w:r>
        <w:rPr>
          <w:rFonts w:ascii="幼圆" w:eastAsia="幼圆" w:hAnsi="幼圆" w:cs="幼圆" w:hint="eastAsia"/>
          <w:sz w:val="24"/>
          <w:lang w:val="en-US" w:eastAsia="zh-CN"/>
        </w:rPr>
        <w:t xml:space="preserve"> </w:t>
      </w:r>
      <w:r>
        <w:rPr>
          <w:rFonts w:ascii="幼圆" w:eastAsia="幼圆" w:hAnsi="幼圆" w:cs="幼圆" w:hint="eastAsia"/>
          <w:sz w:val="24"/>
        </w:rPr>
        <w:t>资产负债表</w:t>
      </w:r>
      <w:r>
        <w:rPr>
          <w:rFonts w:ascii="幼圆" w:eastAsia="幼圆" w:hAnsi="幼圆" w:cs="幼圆" w:hint="eastAsia"/>
          <w:sz w:val="24"/>
          <w:lang w:val="en-US" w:eastAsia="zh-CN"/>
        </w:rPr>
        <w:t>分析</w:t>
      </w:r>
      <w:r>
        <w:rPr>
          <w:rFonts w:ascii="幼圆" w:eastAsia="幼圆" w:hAnsi="幼圆" w:cs="幼圆" w:hint="eastAsia"/>
          <w:sz w:val="24"/>
        </w:rPr>
        <w:t>的目的、意义</w:t>
      </w:r>
      <w:bookmarkEnd w:id="4"/>
      <w:r>
        <w:rPr>
          <w:rFonts w:ascii="幼圆" w:eastAsia="幼圆" w:hAnsi="幼圆" w:cs="幼圆" w:hint="eastAsia"/>
          <w:sz w:val="24"/>
        </w:rPr>
        <w:tab/>
      </w:r>
    </w:p>
    <w:p>
      <w:pPr>
        <w:tabs>
          <w:tab w:val="center" w:pos="4153"/>
        </w:tabs>
        <w:spacing w:after="0" w:line="360" w:lineRule="auto"/>
        <w:ind w:firstLine="480" w:firstLineChars="200"/>
        <w:jc w:val="lef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lang w:val="en-US" w:eastAsia="zh-CN"/>
        </w:rPr>
        <w:t>能够更加直观反应出智能家电企业资产是由那些项目构成，同时也能直观的看出在某一天内资产的分布情况</w:t>
      </w:r>
      <w:r>
        <w:rPr>
          <w:rFonts w:ascii="幼圆" w:eastAsia="幼圆" w:hAnsi="幼圆" w:cs="幼圆" w:hint="eastAsia"/>
          <w:sz w:val="24"/>
        </w:rPr>
        <w:t>。资产代表的是企业的经济资源，是企业经营的基础，资产负债表</w:t>
      </w:r>
      <w:r>
        <w:rPr>
          <w:rFonts w:ascii="幼圆" w:eastAsia="幼圆" w:hAnsi="幼圆" w:cs="幼圆" w:hint="eastAsia"/>
          <w:sz w:val="24"/>
          <w:lang w:val="en-US" w:eastAsia="zh-CN"/>
        </w:rPr>
        <w:t>可以体现</w:t>
      </w:r>
      <w:r>
        <w:rPr>
          <w:rFonts w:ascii="幼圆" w:eastAsia="幼圆" w:hAnsi="幼圆" w:cs="幼圆" w:hint="eastAsia"/>
          <w:sz w:val="24"/>
        </w:rPr>
        <w:t>企业的经营规模等，反应企业的生产经营特点，</w:t>
      </w:r>
      <w:r>
        <w:rPr>
          <w:rFonts w:ascii="幼圆" w:eastAsia="幼圆" w:hAnsi="幼圆" w:cs="幼圆" w:hint="eastAsia"/>
          <w:sz w:val="24"/>
          <w:lang w:val="en-US" w:eastAsia="zh-CN"/>
        </w:rPr>
        <w:t>更加准确的诠释、反应出经营</w:t>
      </w:r>
      <w:r>
        <w:rPr>
          <w:rFonts w:ascii="幼圆" w:eastAsia="幼圆" w:hAnsi="幼圆" w:cs="幼圆" w:hint="eastAsia"/>
          <w:sz w:val="24"/>
        </w:rPr>
        <w:t>、收入</w:t>
      </w:r>
      <w:r>
        <w:rPr>
          <w:rFonts w:ascii="幼圆" w:eastAsia="幼圆" w:hAnsi="幼圆" w:cs="幼圆" w:hint="eastAsia"/>
          <w:sz w:val="24"/>
          <w:lang w:eastAsia="zh-CN"/>
        </w:rPr>
        <w:t>、</w:t>
      </w:r>
      <w:r>
        <w:rPr>
          <w:rFonts w:ascii="幼圆" w:eastAsia="幼圆" w:hAnsi="幼圆" w:cs="幼圆" w:hint="eastAsia"/>
          <w:sz w:val="24"/>
        </w:rPr>
        <w:t>支出等情况</w:t>
      </w:r>
      <w:r>
        <w:rPr>
          <w:rFonts w:ascii="幼圆" w:eastAsia="幼圆" w:hAnsi="幼圆" w:cs="幼圆" w:hint="eastAsia"/>
          <w:sz w:val="24"/>
          <w:lang w:eastAsia="zh-CN"/>
        </w:rPr>
        <w:t>（</w:t>
      </w:r>
      <w:r>
        <w:rPr>
          <w:rFonts w:ascii="幼圆" w:eastAsia="幼圆" w:hAnsi="幼圆" w:cs="幼圆" w:hint="eastAsia"/>
          <w:sz w:val="24"/>
          <w:lang w:val="en-US" w:eastAsia="zh-CN"/>
        </w:rPr>
        <w:t>钱晓晨,孙梦琪,周欣怡</w:t>
      </w:r>
      <w:r>
        <w:rPr>
          <w:rFonts w:ascii="幼圆" w:eastAsia="幼圆" w:hAnsi="幼圆" w:cs="幼圆" w:hint="eastAsia"/>
          <w:sz w:val="24"/>
          <w:lang w:eastAsia="zh-CN"/>
        </w:rPr>
        <w:t>）</w:t>
      </w:r>
      <w:r>
        <w:rPr>
          <w:rFonts w:ascii="幼圆" w:eastAsia="幼圆" w:hAnsi="幼圆" w:cs="幼圆" w:hint="eastAsia"/>
          <w:sz w:val="24"/>
        </w:rPr>
        <w:t>。（2）资产负债表可以提供企业</w:t>
      </w:r>
      <w:r>
        <w:rPr>
          <w:rFonts w:ascii="幼圆" w:eastAsia="幼圆" w:hAnsi="幼圆" w:cs="幼圆" w:hint="eastAsia"/>
          <w:sz w:val="24"/>
          <w:lang w:val="en-US" w:eastAsia="zh-CN"/>
        </w:rPr>
        <w:t>的</w:t>
      </w:r>
      <w:r>
        <w:rPr>
          <w:rFonts w:ascii="幼圆" w:eastAsia="幼圆" w:hAnsi="幼圆" w:cs="幼圆" w:hint="eastAsia"/>
          <w:sz w:val="24"/>
        </w:rPr>
        <w:t>信息管理决策，提供财务数据更好的信息分析，了解企业的营运能力、偿债能力和财务风险。资产负债表向人们揭示了企业拥有或控制的能用的货币资金的经济资源，把流动资产、流动负债联系起来，评价企业的短期偿债能力等</w:t>
      </w:r>
      <w:r>
        <w:rPr>
          <w:rFonts w:ascii="幼圆" w:eastAsia="幼圆" w:hAnsi="幼圆" w:cs="幼圆" w:hint="eastAsia"/>
          <w:sz w:val="24"/>
          <w:lang w:eastAsia="zh-CN"/>
        </w:rPr>
        <w:t>（</w:t>
      </w:r>
      <w:r>
        <w:rPr>
          <w:rFonts w:ascii="幼圆" w:eastAsia="幼圆" w:hAnsi="幼圆" w:cs="幼圆" w:hint="eastAsia"/>
          <w:sz w:val="24"/>
          <w:lang w:val="en-US" w:eastAsia="zh-CN"/>
        </w:rPr>
        <w:t>吴昊天,郑子轩,冯芷,2022</w:t>
      </w:r>
      <w:r>
        <w:rPr>
          <w:rFonts w:ascii="幼圆" w:eastAsia="幼圆" w:hAnsi="幼圆" w:cs="幼圆" w:hint="eastAsia"/>
          <w:sz w:val="24"/>
          <w:lang w:eastAsia="zh-CN"/>
        </w:rPr>
        <w:t>）</w:t>
      </w:r>
      <w:r>
        <w:rPr>
          <w:rFonts w:ascii="幼圆" w:eastAsia="幼圆" w:hAnsi="幼圆" w:cs="幼圆" w:hint="eastAsia"/>
          <w:sz w:val="24"/>
        </w:rPr>
        <w:t>。也反应了企业的资本结构和财务实力，生产经营的特点，有助于企业管理者更好的进行投资决策，为企业将来的发展提供更好的帮助。</w:t>
      </w:r>
    </w:p>
    <w:p>
      <w:pPr>
        <w:spacing w:before="156" w:beforeLines="50" w:after="156" w:afterLines="50" w:line="360" w:lineRule="auto"/>
        <w:jc w:val="left"/>
        <w:outlineLvl w:val="1"/>
        <w:rPr>
          <w:rFonts w:ascii="幼圆" w:eastAsia="幼圆" w:hAnsi="幼圆" w:cs="幼圆" w:hint="eastAsia"/>
          <w:sz w:val="24"/>
        </w:rPr>
      </w:pPr>
      <w:bookmarkStart w:id="5" w:name="_Toc17583"/>
      <w:r>
        <w:rPr>
          <w:rFonts w:ascii="幼圆" w:eastAsia="幼圆" w:hAnsi="幼圆" w:cs="幼圆" w:hint="eastAsia"/>
          <w:sz w:val="24"/>
        </w:rPr>
        <w:t>1.1.3</w:t>
      </w:r>
      <w:r>
        <w:rPr>
          <w:rFonts w:ascii="幼圆" w:eastAsia="幼圆" w:hAnsi="幼圆" w:cs="幼圆" w:hint="eastAsia"/>
          <w:sz w:val="24"/>
          <w:lang w:val="en-US" w:eastAsia="zh-CN"/>
        </w:rPr>
        <w:t xml:space="preserve"> </w:t>
      </w:r>
      <w:r>
        <w:rPr>
          <w:rFonts w:ascii="幼圆" w:eastAsia="幼圆" w:hAnsi="幼圆" w:cs="幼圆" w:hint="eastAsia"/>
          <w:sz w:val="24"/>
        </w:rPr>
        <w:t>资产负债表的分析主体</w:t>
      </w:r>
      <w:bookmarkEnd w:id="5"/>
    </w:p>
    <w:p>
      <w:pPr>
        <w:spacing w:after="0" w:line="360" w:lineRule="auto"/>
        <w:ind w:firstLine="480" w:firstLineChars="200"/>
        <w:jc w:val="left"/>
        <w:rPr>
          <w:rFonts w:ascii="幼圆" w:eastAsia="幼圆" w:hAnsi="幼圆" w:cs="幼圆" w:hint="eastAsia"/>
          <w:sz w:val="24"/>
        </w:rPr>
        <w:sectPr>
          <w:headerReference w:type="default" r:id="rId8"/>
          <w:footerReference w:type="default" r:id="rId9"/>
          <w:type w:val="nextPage"/>
          <w:pgSz w:w="11906" w:h="16838"/>
          <w:pgMar w:top="1644" w:right="1361" w:bottom="1644" w:left="1361" w:header="851" w:footer="992" w:gutter="0"/>
          <w:pgBorders>
            <w:top w:val="none" w:sz="0" w:space="0" w:color="auto"/>
            <w:left w:val="none" w:sz="0" w:space="0" w:color="auto"/>
            <w:bottom w:val="none" w:sz="0" w:space="0" w:color="auto"/>
            <w:right w:val="none" w:sz="0" w:space="0" w:color="auto"/>
          </w:pgBorders>
          <w:pgNumType w:start="3"/>
          <w:cols w:space="708"/>
          <w:titlePg w:val="0"/>
          <w:docGrid w:type="lines" w:linePitch="312" w:charSpace="0"/>
        </w:sectPr>
      </w:pPr>
      <w:r>
        <w:rPr>
          <w:rFonts w:ascii="幼圆" w:eastAsia="幼圆" w:hAnsi="幼圆" w:cs="幼圆" w:hint="eastAsia"/>
          <w:sz w:val="24"/>
        </w:rPr>
        <w:t>资产负债表的分析主体</w:t>
      </w:r>
      <w:r>
        <w:rPr>
          <w:rFonts w:ascii="幼圆" w:eastAsia="幼圆" w:hAnsi="幼圆" w:cs="幼圆" w:hint="eastAsia"/>
          <w:sz w:val="24"/>
          <w:lang w:val="en-US" w:eastAsia="zh-CN"/>
        </w:rPr>
        <w:t>包括</w:t>
      </w:r>
      <w:r>
        <w:rPr>
          <w:rFonts w:ascii="幼圆" w:eastAsia="幼圆" w:hAnsi="幼圆" w:cs="幼圆" w:hint="eastAsia"/>
          <w:sz w:val="24"/>
        </w:rPr>
        <w:t>权益投资者、债权人、财务人员、经理人员、政府机构和其他与企业利益相关的人员</w:t>
      </w:r>
      <w:r>
        <w:rPr>
          <w:rFonts w:ascii="幼圆" w:eastAsia="幼圆" w:hAnsi="幼圆" w:cs="幼圆" w:hint="eastAsia"/>
          <w:sz w:val="24"/>
          <w:lang w:eastAsia="zh-CN"/>
        </w:rPr>
        <w:t>（</w:t>
      </w:r>
      <w:r>
        <w:rPr>
          <w:rFonts w:ascii="幼圆" w:eastAsia="幼圆" w:hAnsi="幼圆" w:cs="幼圆" w:hint="eastAsia"/>
          <w:sz w:val="24"/>
          <w:lang w:val="en-US" w:eastAsia="zh-CN"/>
        </w:rPr>
        <w:t>陈思源 ,楼文斌, 江雨</w:t>
      </w:r>
      <w:r>
        <w:rPr>
          <w:rFonts w:ascii="幼圆" w:eastAsia="幼圆" w:hAnsi="幼圆" w:cs="幼圆" w:hint="eastAsia"/>
          <w:sz w:val="24"/>
          <w:lang w:eastAsia="zh-CN"/>
        </w:rPr>
        <w:t>）</w:t>
      </w:r>
      <w:r>
        <w:rPr>
          <w:rFonts w:ascii="幼圆" w:eastAsia="幼圆" w:hAnsi="幼圆" w:cs="幼圆" w:hint="eastAsia"/>
          <w:sz w:val="24"/>
        </w:rPr>
        <w:t>。</w:t>
      </w:r>
      <w:r>
        <w:rPr>
          <w:rFonts w:ascii="幼圆" w:eastAsia="幼圆" w:hAnsi="幼圆" w:cs="幼圆" w:hint="eastAsia"/>
          <w:sz w:val="24"/>
          <w:lang w:val="en-US" w:eastAsia="zh-CN"/>
        </w:rPr>
        <w:t>不同人员处于各自不同目的、需要来查看资产负债表，从而获得</w:t>
      </w:r>
      <w:r>
        <w:rPr>
          <w:rFonts w:ascii="幼圆" w:eastAsia="幼圆" w:hAnsi="幼圆" w:cs="幼圆" w:hint="eastAsia"/>
          <w:sz w:val="24"/>
        </w:rPr>
        <w:t>企业的财务</w:t>
      </w:r>
      <w:r>
        <w:rPr>
          <w:rFonts w:ascii="幼圆" w:eastAsia="幼圆" w:hAnsi="幼圆" w:cs="幼圆" w:hint="eastAsia"/>
          <w:sz w:val="24"/>
          <w:lang w:val="en-US" w:eastAsia="zh-CN"/>
        </w:rPr>
        <w:t>状况</w:t>
      </w:r>
      <w:r>
        <w:rPr>
          <w:rFonts w:ascii="幼圆" w:eastAsia="幼圆" w:hAnsi="幼圆" w:cs="幼圆" w:hint="eastAsia"/>
          <w:sz w:val="24"/>
        </w:rPr>
        <w:t>，</w:t>
      </w:r>
      <w:r>
        <w:rPr>
          <w:rFonts w:ascii="幼圆" w:eastAsia="幼圆" w:hAnsi="幼圆" w:cs="幼圆" w:hint="eastAsia"/>
          <w:sz w:val="24"/>
          <w:lang w:val="en-US" w:eastAsia="zh-CN"/>
        </w:rPr>
        <w:t>以不同目的、不同岗位履行不同责任</w:t>
      </w:r>
      <w:r>
        <w:rPr>
          <w:rFonts w:ascii="幼圆" w:eastAsia="幼圆" w:hAnsi="幼圆" w:cs="幼圆" w:hint="eastAsia"/>
          <w:sz w:val="24"/>
        </w:rPr>
        <w:t>。</w:t>
      </w:r>
    </w:p>
    <w:p>
      <w:pPr>
        <w:spacing w:before="156" w:beforeLines="50" w:after="156" w:afterLines="50" w:line="360" w:lineRule="auto"/>
        <w:jc w:val="left"/>
        <w:outlineLvl w:val="1"/>
        <w:rPr>
          <w:rFonts w:ascii="幼圆" w:eastAsia="幼圆" w:hAnsi="幼圆" w:cs="幼圆" w:hint="eastAsia"/>
          <w:sz w:val="24"/>
        </w:rPr>
      </w:pPr>
      <w:bookmarkStart w:id="6" w:name="_Toc7282"/>
      <w:r>
        <w:rPr>
          <w:rFonts w:ascii="幼圆" w:eastAsia="幼圆" w:hAnsi="幼圆" w:cs="幼圆" w:hint="eastAsia"/>
          <w:sz w:val="24"/>
        </w:rPr>
        <w:t>1.1.4</w:t>
      </w:r>
      <w:r>
        <w:rPr>
          <w:rFonts w:ascii="幼圆" w:eastAsia="幼圆" w:hAnsi="幼圆" w:cs="幼圆" w:hint="eastAsia"/>
          <w:sz w:val="24"/>
          <w:lang w:val="en-US" w:eastAsia="zh-CN"/>
        </w:rPr>
        <w:t xml:space="preserve"> </w:t>
      </w:r>
      <w:r>
        <w:rPr>
          <w:rFonts w:ascii="幼圆" w:eastAsia="幼圆" w:hAnsi="幼圆" w:cs="幼圆" w:hint="eastAsia"/>
          <w:sz w:val="24"/>
        </w:rPr>
        <w:t>资产负债表在企业发展中的重要性</w:t>
      </w:r>
      <w:bookmarkEnd w:id="6"/>
    </w:p>
    <w:p>
      <w:pPr>
        <w:spacing w:after="0" w:line="360" w:lineRule="auto"/>
        <w:ind w:firstLine="480" w:firstLineChars="200"/>
        <w:jc w:val="left"/>
        <w:rPr>
          <w:rFonts w:ascii="幼圆" w:eastAsia="幼圆" w:hAnsi="幼圆" w:cs="幼圆" w:hint="eastAsia"/>
          <w:sz w:val="24"/>
        </w:rPr>
      </w:pPr>
      <w:r>
        <w:rPr>
          <w:rFonts w:ascii="幼圆" w:eastAsia="幼圆" w:hAnsi="幼圆" w:cs="幼圆" w:hint="eastAsia"/>
          <w:sz w:val="24"/>
        </w:rPr>
        <w:t>资产负债表在企业中处于十分重要的地位，反应一定期间的会计成果，直观的揭示</w:t>
      </w:r>
      <w:r>
        <w:rPr>
          <w:rFonts w:ascii="幼圆" w:eastAsia="幼圆" w:hAnsi="幼圆" w:cs="幼圆" w:hint="eastAsia"/>
          <w:sz w:val="24"/>
          <w:lang w:val="en-US" w:eastAsia="zh-CN"/>
        </w:rPr>
        <w:t>了</w:t>
      </w:r>
      <w:r>
        <w:rPr>
          <w:rFonts w:ascii="幼圆" w:eastAsia="幼圆" w:hAnsi="幼圆" w:cs="幼圆" w:hint="eastAsia"/>
          <w:sz w:val="24"/>
        </w:rPr>
        <w:t>企业的财务状况，成本费用和投资收益，为信息使用者提供财务的分析数据，通过数据分析，了解到企业的资产负债和所有者权益之间的相互关系，企业的偿债能力等。资产负债表能</w:t>
      </w:r>
      <w:r>
        <w:rPr>
          <w:rFonts w:ascii="幼圆" w:eastAsia="幼圆" w:hAnsi="幼圆" w:cs="幼圆" w:hint="eastAsia"/>
          <w:sz w:val="24"/>
          <w:lang w:val="en-US" w:eastAsia="zh-CN"/>
        </w:rPr>
        <w:t>体现</w:t>
      </w:r>
      <w:r>
        <w:rPr>
          <w:rFonts w:ascii="幼圆" w:eastAsia="幼圆" w:hAnsi="幼圆" w:cs="幼圆" w:hint="eastAsia"/>
          <w:sz w:val="24"/>
        </w:rPr>
        <w:t>出企业的真实</w:t>
      </w:r>
      <w:r>
        <w:rPr>
          <w:rFonts w:ascii="幼圆" w:eastAsia="幼圆" w:hAnsi="幼圆" w:cs="幼圆" w:hint="eastAsia"/>
          <w:sz w:val="24"/>
          <w:lang w:val="en-US" w:eastAsia="zh-CN"/>
        </w:rPr>
        <w:t>完整的</w:t>
      </w:r>
      <w:r>
        <w:rPr>
          <w:rFonts w:ascii="幼圆" w:eastAsia="幼圆" w:hAnsi="幼圆" w:cs="幼圆" w:hint="eastAsia"/>
          <w:sz w:val="24"/>
        </w:rPr>
        <w:t>经营</w:t>
      </w:r>
      <w:r>
        <w:rPr>
          <w:rFonts w:ascii="幼圆" w:eastAsia="幼圆" w:hAnsi="幼圆" w:cs="幼圆" w:hint="eastAsia"/>
          <w:sz w:val="24"/>
          <w:lang w:val="en-US" w:eastAsia="zh-CN"/>
        </w:rPr>
        <w:t>状况</w:t>
      </w:r>
      <w:r>
        <w:rPr>
          <w:rFonts w:ascii="幼圆" w:eastAsia="幼圆" w:hAnsi="幼圆" w:cs="幼圆" w:hint="eastAsia"/>
          <w:sz w:val="24"/>
          <w:lang w:eastAsia="zh-CN"/>
        </w:rPr>
        <w:t>（</w:t>
      </w:r>
      <w:r>
        <w:rPr>
          <w:rFonts w:ascii="幼圆" w:eastAsia="幼圆" w:hAnsi="幼圆" w:cs="幼圆" w:hint="eastAsia"/>
          <w:sz w:val="24"/>
          <w:lang w:val="en-US" w:eastAsia="zh-CN"/>
        </w:rPr>
        <w:t>谭梓榆 ,韩冬梅 ,姚嘉,2019</w:t>
      </w:r>
      <w:r>
        <w:rPr>
          <w:rFonts w:ascii="幼圆" w:eastAsia="幼圆" w:hAnsi="幼圆" w:cs="幼圆" w:hint="eastAsia"/>
          <w:sz w:val="24"/>
          <w:lang w:eastAsia="zh-CN"/>
        </w:rPr>
        <w:t>）</w:t>
      </w:r>
      <w:r>
        <w:rPr>
          <w:rFonts w:ascii="幼圆" w:eastAsia="幼圆" w:hAnsi="幼圆" w:cs="幼圆" w:hint="eastAsia"/>
          <w:sz w:val="24"/>
        </w:rPr>
        <w:t>。对企业来说，在对资产负债表的全面分析对比，明白认识到资产负债表的重要性，了解企业财务风险，才能在企业的投资决策上做出准确地决策，促进企业长远的发展。</w:t>
      </w:r>
    </w:p>
    <w:p>
      <w:pPr>
        <w:spacing w:before="312" w:beforeLines="100" w:after="312" w:afterLines="100" w:line="360" w:lineRule="auto"/>
        <w:jc w:val="left"/>
        <w:outlineLvl w:val="0"/>
        <w:rPr>
          <w:rFonts w:ascii="幼圆" w:eastAsia="幼圆" w:hAnsi="幼圆" w:cs="幼圆" w:hint="eastAsia"/>
          <w:sz w:val="28"/>
          <w:szCs w:val="28"/>
        </w:rPr>
      </w:pPr>
      <w:bookmarkStart w:id="7" w:name="_Toc15217"/>
      <w:r>
        <w:rPr>
          <w:rFonts w:ascii="幼圆" w:eastAsia="幼圆" w:hAnsi="幼圆" w:cs="幼圆" w:hint="eastAsia"/>
          <w:sz w:val="28"/>
          <w:szCs w:val="28"/>
          <w:lang w:val="en-US" w:eastAsia="zh-CN"/>
        </w:rPr>
        <w:t>1.2 资产负债表的分析方法</w:t>
      </w:r>
      <w:bookmarkEnd w:id="7"/>
    </w:p>
    <w:p>
      <w:pPr>
        <w:spacing w:before="156" w:beforeLines="50" w:after="156" w:afterLines="50" w:line="360" w:lineRule="auto"/>
        <w:jc w:val="left"/>
        <w:outlineLvl w:val="1"/>
        <w:rPr>
          <w:rFonts w:ascii="幼圆" w:eastAsia="幼圆" w:hAnsi="幼圆" w:cs="幼圆" w:hint="eastAsia"/>
          <w:sz w:val="24"/>
        </w:rPr>
      </w:pPr>
      <w:bookmarkStart w:id="8" w:name="_Toc4302"/>
      <w:r>
        <w:rPr>
          <w:rFonts w:ascii="幼圆" w:eastAsia="幼圆" w:hAnsi="幼圆" w:cs="幼圆" w:hint="eastAsia"/>
          <w:sz w:val="24"/>
          <w:lang w:val="en-US" w:eastAsia="zh-CN"/>
        </w:rPr>
        <w:t>1.2.1 水平分析法</w:t>
      </w:r>
      <w:bookmarkEnd w:id="8"/>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水平分析法：指将反应企业财务状况信息与反应企业前期或历史某一时刻的财务状况的信息进行对比，总体研究在生产经营发展的过程中各个项目的收入所带来经济效益</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以及各项财务状况的发展与变化趋势的一种财务分析方法</w:t>
      </w:r>
      <w:r>
        <w:rPr>
          <w:rFonts w:ascii="幼圆" w:eastAsia="幼圆" w:hAnsi="幼圆" w:cs="幼圆" w:hint="eastAsia"/>
          <w:sz w:val="24"/>
          <w:lang w:eastAsia="zh-CN"/>
        </w:rPr>
        <w:t>（</w:t>
      </w:r>
      <w:r>
        <w:rPr>
          <w:rFonts w:ascii="幼圆" w:eastAsia="幼圆" w:hAnsi="幼圆" w:cs="幼圆" w:hint="eastAsia"/>
          <w:sz w:val="24"/>
          <w:lang w:val="en-US" w:eastAsia="zh-CN"/>
        </w:rPr>
        <w:t>齐雪峰 ,彭泽,2022</w:t>
      </w:r>
      <w:r>
        <w:rPr>
          <w:rFonts w:ascii="幼圆" w:eastAsia="幼圆" w:hAnsi="幼圆" w:cs="幼圆" w:hint="eastAsia"/>
          <w:sz w:val="24"/>
          <w:lang w:eastAsia="zh-CN"/>
        </w:rPr>
        <w:t>）</w:t>
      </w:r>
      <w:r>
        <w:rPr>
          <w:rFonts w:ascii="幼圆" w:eastAsia="幼圆" w:hAnsi="幼圆" w:cs="幼圆" w:hint="eastAsia"/>
          <w:sz w:val="24"/>
          <w:szCs w:val="24"/>
          <w:lang w:val="en-US" w:eastAsia="zh-CN"/>
        </w:rPr>
        <w:t>。</w:t>
      </w:r>
    </w:p>
    <w:p>
      <w:pPr>
        <w:spacing w:before="156" w:beforeLines="50" w:after="156" w:afterLines="50" w:line="360" w:lineRule="auto"/>
        <w:jc w:val="left"/>
        <w:outlineLvl w:val="1"/>
        <w:rPr>
          <w:rFonts w:ascii="幼圆" w:eastAsia="幼圆" w:hAnsi="幼圆" w:cs="幼圆" w:hint="eastAsia"/>
          <w:sz w:val="24"/>
        </w:rPr>
      </w:pPr>
      <w:bookmarkStart w:id="9" w:name="_Toc18970"/>
      <w:r>
        <w:rPr>
          <w:rFonts w:ascii="幼圆" w:eastAsia="幼圆" w:hAnsi="幼圆" w:cs="幼圆" w:hint="eastAsia"/>
          <w:sz w:val="24"/>
          <w:lang w:val="en-US" w:eastAsia="zh-CN"/>
        </w:rPr>
        <w:t>1.2.2 垂直分析法</w:t>
      </w:r>
      <w:bookmarkEnd w:id="9"/>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垂直分析法：把进行财务数据分析的各个不同项目的数据与总体财务报表进行分析比较，得出所分析项目数据与总体中进行比较，总结出该项目在总体比重、重要性程度以及所发生的变化。垂直分析法更注重于报表内部各项目的内在结构分析，它只对当期利润表或者资产负债表等做纵向分析</w:t>
      </w:r>
      <w:r>
        <w:rPr>
          <w:rFonts w:ascii="幼圆" w:eastAsia="幼圆" w:hAnsi="幼圆" w:cs="幼圆" w:hint="eastAsia"/>
          <w:sz w:val="24"/>
          <w:lang w:eastAsia="zh-CN"/>
        </w:rPr>
        <w:t>（</w:t>
      </w:r>
      <w:r>
        <w:rPr>
          <w:rFonts w:ascii="幼圆" w:eastAsia="幼圆" w:hAnsi="幼圆" w:cs="幼圆" w:hint="eastAsia"/>
          <w:sz w:val="24"/>
          <w:lang w:val="en-US" w:eastAsia="zh-CN"/>
        </w:rPr>
        <w:t>程海蓝,曹星原,袁雅,2022</w:t>
      </w:r>
      <w:r>
        <w:rPr>
          <w:rFonts w:ascii="幼圆" w:eastAsia="幼圆" w:hAnsi="幼圆" w:cs="幼圆" w:hint="eastAsia"/>
          <w:sz w:val="24"/>
          <w:lang w:eastAsia="zh-CN"/>
        </w:rPr>
        <w:t>）</w:t>
      </w:r>
      <w:r>
        <w:rPr>
          <w:rFonts w:ascii="幼圆" w:eastAsia="幼圆" w:hAnsi="幼圆" w:cs="幼圆" w:hint="eastAsia"/>
          <w:sz w:val="24"/>
          <w:szCs w:val="24"/>
          <w:lang w:val="en-US" w:eastAsia="zh-CN"/>
        </w:rPr>
        <w:t>。步骤：（1）计算出表中各个项目的比例。（2）</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通过实际计算出的比例来明确的看出此项比例在报表中所占比重为多少，以及是否具有重要性。(3)把计算出的数据比例与上一年的相对比，得出结论，观察数值得出企业的变化趋势</w:t>
      </w:r>
      <w:r>
        <w:rPr>
          <w:rFonts w:ascii="幼圆" w:eastAsia="幼圆" w:hAnsi="幼圆" w:cs="幼圆" w:hint="eastAsia"/>
          <w:sz w:val="24"/>
          <w:lang w:eastAsia="zh-CN"/>
        </w:rPr>
        <w:t>（</w:t>
      </w:r>
      <w:r>
        <w:rPr>
          <w:rFonts w:ascii="幼圆" w:eastAsia="幼圆" w:hAnsi="幼圆" w:cs="幼圆" w:hint="eastAsia"/>
          <w:sz w:val="24"/>
          <w:lang w:val="en-US" w:eastAsia="zh-CN"/>
        </w:rPr>
        <w:t>段云天 ,余梓萱,2021</w:t>
      </w:r>
      <w:r>
        <w:rPr>
          <w:rFonts w:ascii="幼圆" w:eastAsia="幼圆" w:hAnsi="幼圆" w:cs="幼圆" w:hint="eastAsia"/>
          <w:sz w:val="24"/>
          <w:lang w:eastAsia="zh-CN"/>
        </w:rPr>
        <w:t>）</w:t>
      </w:r>
      <w:r>
        <w:rPr>
          <w:rFonts w:ascii="幼圆" w:eastAsia="幼圆" w:hAnsi="幼圆" w:cs="幼圆" w:hint="eastAsia"/>
          <w:sz w:val="24"/>
          <w:szCs w:val="24"/>
          <w:lang w:val="en-US" w:eastAsia="zh-CN"/>
        </w:rPr>
        <w:t>。</w:t>
      </w:r>
    </w:p>
    <w:p>
      <w:pPr>
        <w:spacing w:before="156" w:beforeLines="50" w:after="156" w:afterLines="50" w:line="360" w:lineRule="auto"/>
        <w:jc w:val="left"/>
        <w:outlineLvl w:val="1"/>
        <w:rPr>
          <w:rFonts w:ascii="幼圆" w:eastAsia="幼圆" w:hAnsi="幼圆" w:cs="幼圆" w:hint="eastAsia"/>
          <w:sz w:val="24"/>
        </w:rPr>
      </w:pPr>
      <w:bookmarkStart w:id="10" w:name="_Toc16570"/>
      <w:r>
        <w:rPr>
          <w:rFonts w:ascii="幼圆" w:eastAsia="幼圆" w:hAnsi="幼圆" w:cs="幼圆" w:hint="eastAsia"/>
          <w:sz w:val="24"/>
          <w:lang w:val="en-US" w:eastAsia="zh-CN"/>
        </w:rPr>
        <w:t>1.2.3 比率分析法</w:t>
      </w:r>
      <w:bookmarkEnd w:id="10"/>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480" w:firstLineChars="200"/>
        <w:jc w:val="left"/>
        <w:textAlignment w:val="auto"/>
        <w:rPr>
          <w:rFonts w:ascii="幼圆" w:eastAsia="幼圆" w:hAnsi="幼圆" w:cs="幼圆" w:hint="eastAsia"/>
          <w:sz w:val="24"/>
        </w:rPr>
        <w:sectPr>
          <w:headerReference w:type="default" r:id="rId10"/>
          <w:footerReference w:type="default" r:id="rId11"/>
          <w:type w:val="nextPage"/>
          <w:pgSz w:w="11906" w:h="16838"/>
          <w:pgMar w:top="1644" w:right="1361" w:bottom="1644" w:left="1361" w:header="851" w:footer="992" w:gutter="0"/>
          <w:pgBorders>
            <w:top w:val="none" w:sz="0" w:space="0" w:color="auto"/>
            <w:left w:val="none" w:sz="0" w:space="0" w:color="auto"/>
            <w:bottom w:val="none" w:sz="0" w:space="0" w:color="auto"/>
            <w:right w:val="none" w:sz="0" w:space="0" w:color="auto"/>
          </w:pgBorders>
          <w:pgNumType w:start="4"/>
          <w:cols w:space="708"/>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比率分析法：是利用财务报表中两项相关数值的比率揭示企业财务状况和经营成果的一种分析方法。是以同一期财务报表上重要项目的相关数据进行比较，求出比率，反应各项目之间的相互关系，评价企业财务状况，用以分析和评价公司经营活动以及公司目前和历史状况的一种方法</w:t>
      </w:r>
      <w:r>
        <w:rPr>
          <w:rFonts w:ascii="幼圆" w:eastAsia="幼圆" w:hAnsi="幼圆" w:cs="幼圆" w:hint="eastAsia"/>
          <w:sz w:val="24"/>
          <w:lang w:eastAsia="zh-CN"/>
        </w:rPr>
        <w:t>（</w:t>
      </w:r>
      <w:r>
        <w:rPr>
          <w:rFonts w:ascii="幼圆" w:eastAsia="幼圆" w:hAnsi="幼圆" w:cs="幼圆" w:hint="eastAsia"/>
          <w:sz w:val="24"/>
          <w:lang w:val="en-US" w:eastAsia="zh-CN"/>
        </w:rPr>
        <w:t>叶婉仪 ,马紫</w:t>
      </w:r>
      <w:r>
        <w:rPr>
          <w:rFonts w:ascii="幼圆" w:eastAsia="幼圆" w:hAnsi="幼圆" w:cs="幼圆" w:hint="eastAsia"/>
          <w:sz w:val="24"/>
          <w:lang w:eastAsia="zh-CN"/>
        </w:rPr>
        <w:t>）</w:t>
      </w:r>
      <w:r>
        <w:rPr>
          <w:rFonts w:ascii="幼圆" w:eastAsia="幼圆" w:hAnsi="幼圆" w:cs="幼圆" w:hint="eastAsia"/>
          <w:sz w:val="24"/>
          <w:szCs w:val="24"/>
          <w:lang w:val="en-US" w:eastAsia="zh-CN"/>
        </w:rPr>
        <w:t>。</w:t>
      </w:r>
    </w:p>
    <w:p>
      <w:pPr>
        <w:spacing w:before="156" w:beforeLines="50" w:after="156" w:afterLines="50" w:line="360" w:lineRule="auto"/>
        <w:jc w:val="left"/>
        <w:outlineLvl w:val="1"/>
        <w:rPr>
          <w:rFonts w:ascii="幼圆" w:eastAsia="幼圆" w:hAnsi="幼圆" w:cs="幼圆" w:hint="eastAsia"/>
          <w:sz w:val="24"/>
        </w:rPr>
      </w:pPr>
      <w:bookmarkStart w:id="11" w:name="_Toc18749"/>
      <w:r>
        <w:rPr>
          <w:rFonts w:ascii="幼圆" w:eastAsia="幼圆" w:hAnsi="幼圆" w:cs="幼圆" w:hint="eastAsia"/>
          <w:sz w:val="24"/>
          <w:lang w:val="en-US" w:eastAsia="zh-CN"/>
        </w:rPr>
        <w:t>1.2.4 趋势分析法</w:t>
      </w:r>
      <w:bookmarkEnd w:id="11"/>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趋势分析法：是通过对连续财务报告或两期报表数据中的共同指标进行对比，把握其变动方向、金额以及增减水平，以说明企业财务状况和经营成果的变动趋势的一种方法</w:t>
      </w:r>
      <w:r>
        <w:rPr>
          <w:rFonts w:ascii="幼圆" w:eastAsia="幼圆" w:hAnsi="幼圆" w:cs="幼圆" w:hint="eastAsia"/>
          <w:sz w:val="24"/>
          <w:lang w:eastAsia="zh-CN"/>
        </w:rPr>
        <w:t>（</w:t>
      </w:r>
      <w:r>
        <w:rPr>
          <w:rFonts w:ascii="幼圆" w:eastAsia="幼圆" w:hAnsi="幼圆" w:cs="幼圆" w:hint="eastAsia"/>
          <w:sz w:val="24"/>
          <w:lang w:val="en-US" w:eastAsia="zh-CN"/>
        </w:rPr>
        <w:t>苏沛然 ,钟瑾萱, 许嘉,2022</w:t>
      </w:r>
      <w:r>
        <w:rPr>
          <w:rFonts w:ascii="幼圆" w:eastAsia="幼圆" w:hAnsi="幼圆" w:cs="幼圆" w:hint="eastAsia"/>
          <w:sz w:val="24"/>
          <w:lang w:eastAsia="zh-CN"/>
        </w:rPr>
        <w:t>）</w:t>
      </w:r>
      <w:r>
        <w:rPr>
          <w:rFonts w:ascii="幼圆" w:eastAsia="幼圆" w:hAnsi="幼圆" w:cs="幼圆" w:hint="eastAsia"/>
          <w:sz w:val="24"/>
          <w:szCs w:val="24"/>
          <w:lang w:val="en-US" w:eastAsia="zh-CN"/>
        </w:rPr>
        <w:t>。能通过对财务报表中各类数字的相同指标或比率进行对比，得出它们的增减变动方向、数额、幅度，以揭示企业财务状况、生产经营状况变化趋势的一种分析方法。</w:t>
      </w:r>
    </w:p>
    <w:p>
      <w:pPr>
        <w:spacing w:before="340" w:after="340" w:line="360" w:lineRule="auto"/>
        <w:jc w:val="center"/>
        <w:outlineLvl w:val="0"/>
        <w:rPr>
          <w:rFonts w:ascii="幼圆" w:eastAsia="幼圆" w:hAnsi="幼圆" w:cs="幼圆" w:hint="eastAsia"/>
          <w:sz w:val="30"/>
          <w:szCs w:val="30"/>
        </w:rPr>
      </w:pPr>
      <w:bookmarkStart w:id="12" w:name="_Toc11964"/>
      <w:r>
        <w:rPr>
          <w:rFonts w:ascii="幼圆" w:eastAsia="幼圆" w:hAnsi="幼圆" w:cs="幼圆" w:hint="eastAsia"/>
          <w:sz w:val="30"/>
          <w:szCs w:val="30"/>
        </w:rPr>
        <w:t>2</w:t>
      </w:r>
      <w:r>
        <w:rPr>
          <w:rFonts w:ascii="幼圆" w:eastAsia="幼圆" w:hAnsi="幼圆" w:cs="幼圆" w:hint="eastAsia"/>
          <w:sz w:val="30"/>
          <w:szCs w:val="30"/>
          <w:lang w:val="en-US" w:eastAsia="zh-CN"/>
        </w:rPr>
        <w:t xml:space="preserve"> </w:t>
      </w:r>
      <w:r>
        <w:rPr>
          <w:rFonts w:ascii="幼圆" w:eastAsia="幼圆" w:hAnsi="幼圆" w:cs="幼圆" w:hint="eastAsia"/>
          <w:sz w:val="30"/>
          <w:szCs w:val="30"/>
          <w:lang w:eastAsia="zh-CN"/>
        </w:rPr>
        <w:t>海信智能家居公司</w:t>
      </w:r>
      <w:r>
        <w:rPr>
          <w:rFonts w:ascii="幼圆" w:eastAsia="幼圆" w:hAnsi="幼圆" w:cs="幼圆" w:hint="eastAsia"/>
          <w:sz w:val="30"/>
          <w:szCs w:val="30"/>
        </w:rPr>
        <w:t>财务状况</w:t>
      </w:r>
      <w:r>
        <w:rPr>
          <w:rFonts w:ascii="幼圆" w:eastAsia="幼圆" w:hAnsi="幼圆" w:cs="幼圆" w:hint="eastAsia"/>
          <w:sz w:val="30"/>
          <w:szCs w:val="30"/>
          <w:lang w:val="en-US" w:eastAsia="zh-CN"/>
        </w:rPr>
        <w:t>概述</w:t>
      </w:r>
      <w:bookmarkEnd w:id="12"/>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left"/>
        <w:textAlignment w:val="auto"/>
        <w:outlineLvl w:val="0"/>
        <w:rPr>
          <w:rFonts w:ascii="幼圆" w:eastAsia="幼圆" w:hAnsi="幼圆" w:cs="幼圆" w:hint="eastAsia"/>
          <w:sz w:val="28"/>
          <w:szCs w:val="28"/>
        </w:rPr>
      </w:pPr>
      <w:bookmarkStart w:id="13" w:name="_Toc9616"/>
      <w:r>
        <w:rPr>
          <w:rFonts w:ascii="幼圆" w:eastAsia="幼圆" w:hAnsi="幼圆" w:cs="幼圆" w:hint="eastAsia"/>
          <w:sz w:val="28"/>
          <w:szCs w:val="28"/>
        </w:rPr>
        <w:t>2.1</w:t>
      </w:r>
      <w:r>
        <w:rPr>
          <w:rFonts w:ascii="幼圆" w:eastAsia="幼圆" w:hAnsi="幼圆" w:cs="幼圆" w:hint="eastAsia"/>
          <w:sz w:val="28"/>
          <w:szCs w:val="28"/>
          <w:lang w:val="en-US" w:eastAsia="zh-CN"/>
        </w:rPr>
        <w:t xml:space="preserve"> </w:t>
      </w:r>
      <w:r>
        <w:rPr>
          <w:rFonts w:ascii="幼圆" w:eastAsia="幼圆" w:hAnsi="幼圆" w:cs="幼圆" w:hint="eastAsia"/>
          <w:sz w:val="28"/>
          <w:szCs w:val="28"/>
        </w:rPr>
        <w:t>企业情况的概述</w:t>
      </w:r>
      <w:bookmarkEnd w:id="13"/>
    </w:p>
    <w:p>
      <w:pPr>
        <w:keepNext w:val="0"/>
        <w:keepLines w:val="0"/>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outlineLvl w:val="9"/>
        <w:rPr>
          <w:rFonts w:ascii="幼圆" w:eastAsia="幼圆" w:hAnsi="幼圆" w:cs="幼圆" w:hint="eastAsia"/>
          <w:b w:val="0"/>
          <w:bCs w:val="0"/>
          <w:color w:val="000000"/>
          <w:sz w:val="24"/>
        </w:rPr>
      </w:pPr>
      <w:r>
        <w:rPr>
          <w:rFonts w:ascii="幼圆" w:eastAsia="幼圆" w:hAnsi="幼圆" w:cs="幼圆" w:hint="eastAsia"/>
          <w:b w:val="0"/>
          <w:bCs w:val="0"/>
          <w:color w:val="000000"/>
          <w:sz w:val="24"/>
          <w:szCs w:val="24"/>
          <w:lang w:val="en-US" w:eastAsia="zh-CN"/>
        </w:rPr>
        <w:t>海信智能家居公司是我国智能家电行业的代表性企业，深耕智能家电领域多年，海信智能家居在曾经在2018-2020年三年连续获得我国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国家智能家电企业荣誉金奖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以及入围了华润排行榜排出的</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全球优质智能家电企业500强</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。海信智能家居的发展是我国智能家电企业改革创新的缩影，因此能够在很大程度上代表着我国智能家电企业的发展状况。公司秉承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实干创造未来</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的企业精神，坚持</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以市场为导向，以客户为中心</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的经营理念，拥有一批高素质的管理人才和高素质的专业技术队伍，吸收新创意，严把质量关口，全方位的服务跟踪，坚持做出高品质产品，本着</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追求、质量、技术、精神</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8字宗旨，基于智能家电市场需求进行不断创新，使公司始终处于智能家电行业前沿，引领智能家电行业的发展。</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ascii="宋体" w:hAnsi="宋体" w:cs="宋体" w:hint="eastAsia"/>
          <w:sz w:val="24"/>
        </w:rPr>
      </w:pPr>
    </w:p>
    <w:p>
      <w:pPr>
        <w:widowControl w:val="0"/>
        <w:spacing w:after="120"/>
        <w:ind w:left="420" w:firstLine="480" w:leftChars="200" w:firstLineChars="200"/>
        <w:jc w:val="both"/>
        <w:rPr>
          <w:rFonts w:ascii="幼圆" w:eastAsia="幼圆" w:hAnsi="幼圆" w:cs="幼圆" w:hint="eastAsia"/>
          <w:sz w:val="24"/>
        </w:rPr>
      </w:pPr>
      <w:r>
        <w:rPr>
          <w:rFonts w:ascii="幼圆" w:eastAsia="幼圆" w:hAnsi="幼圆" w:cs="幼圆" w:hint="eastAsia"/>
          <w:sz w:val="24"/>
        </w:rPr>
        <w:br/>
      </w:r>
      <w:r>
        <w:rPr>
          <w:rFonts w:ascii="幼圆" w:eastAsia="幼圆" w:hAnsi="幼圆" w:cs="幼圆" w:hint="eastAsia"/>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https://d.book118.com/778130047071006036</w:t>
        </w:r>
      </w:hyperlink>
    </w:p>
    <w:p>
      <w:pPr>
        <w:widowControl w:val="0"/>
        <w:spacing w:after="120"/>
        <w:ind w:left="420" w:firstLine="480" w:leftChars="200" w:firstLineChars="200"/>
        <w:jc w:val="both"/>
        <w:rPr>
          <w:rFonts w:ascii="幼圆" w:eastAsia="幼圆" w:hAnsi="幼圆" w:cs="幼圆" w:hint="eastAsia"/>
          <w:sz w:val="24"/>
        </w:rPr>
      </w:pPr>
    </w:p>
    <w:sectPr>
      <w:headerReference w:type="default" r:id="rId13"/>
      <w:footerReference w:type="default" r:id="rId14"/>
      <w:type w:val="nextPage"/>
      <w:pgSz w:w="11906" w:h="16838"/>
      <w:pgMar w:top="1644" w:right="1361" w:bottom="1644" w:left="1361" w:header="851" w:footer="992" w:gutter="0"/>
      <w:pgBorders>
        <w:top w:val="none" w:sz="0" w:space="0" w:color="auto"/>
        <w:left w:val="none" w:sz="0" w:space="0" w:color="auto"/>
        <w:bottom w:val="none" w:sz="0" w:space="0" w:color="auto"/>
        <w:right w:val="none" w:sz="0" w:space="0" w:color="auto"/>
      </w:pgBorders>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roman"/>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Light">
    <w:panose1 w:val="020F0302020204030204"/>
    <w:charset w:val="00"/>
    <w:family w:val="auto"/>
    <w:pitch w:val="default"/>
    <w:sig w:usb0="E4002EFF" w:usb1="C200247B" w:usb2="00000009" w:usb3="00000000" w:csb0="200001FF" w:csb1="00000000"/>
  </w:font>
  <w:font w:name="Calibri">
    <w:panose1 w:val="020F0502020204030204"/>
    <w:charset w:val="00"/>
    <w:family w:val="swiss"/>
    <w:pitch w:val="default"/>
    <w:sig w:usb0="E4002EFF" w:usb1="C200247B" w:usb2="00000009" w:usb3="00000000" w:csb0="200001F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fldChar w:fldCharType="begin"/>
    </w:r>
    <w:r>
      <w:instrText>PAGE   \* MERGEFORMAT</w:instrText>
    </w:r>
    <w:r>
      <w:fldChar w:fldCharType="separate"/>
    </w:r>
    <w:r>
      <w:rPr>
        <w:lang w:val="zh-CN"/>
      </w:rPr>
      <w:t>1</w:t>
    </w:r>
    <w:r>
      <w:fldChar w:fldCharType="end"/>
    </w:r>
  </w:p>
  <w:p>
    <w:pPr>
      <w:pStyle w:val="Footer"/>
      <w:tabs>
        <w:tab w:val="center" w:pos="4153"/>
        <w:tab w:val="right" w:pos="8306"/>
      </w:tabs>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fldChar w:fldCharType="begin"/>
    </w:r>
    <w:r>
      <w:instrText>PAGE   \* MERGEFORMAT</w:instrText>
    </w:r>
    <w:r>
      <w:fldChar w:fldCharType="separate"/>
    </w:r>
    <w:r>
      <w:rPr>
        <w:lang w:val="zh-CN"/>
      </w:rPr>
      <w:t>2</w:t>
    </w:r>
    <w:r>
      <w:fldChar w:fldCharType="end"/>
    </w:r>
  </w:p>
  <w:p>
    <w:pPr>
      <w:pStyle w:val="Footer"/>
      <w:tabs>
        <w:tab w:val="center" w:pos="4153"/>
        <w:tab w:val="right" w:pos="8306"/>
      </w:tabs>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fldChar w:fldCharType="begin"/>
    </w:r>
    <w:r>
      <w:instrText>PAGE   \* MERGEFORMAT</w:instrText>
    </w:r>
    <w:r>
      <w:fldChar w:fldCharType="separate"/>
    </w:r>
    <w:r>
      <w:rPr>
        <w:lang w:val="zh-CN"/>
      </w:rPr>
      <w:t>3</w:t>
    </w:r>
    <w:r>
      <w:fldChar w:fldCharType="end"/>
    </w:r>
  </w:p>
  <w:p>
    <w:pPr>
      <w:pStyle w:val="Footer"/>
      <w:tabs>
        <w:tab w:val="center" w:pos="4153"/>
        <w:tab w:val="right" w:pos="8306"/>
      </w:tabs>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fldChar w:fldCharType="begin"/>
    </w:r>
    <w:r>
      <w:instrText>PAGE   \* MERGEFORMAT</w:instrText>
    </w:r>
    <w:r>
      <w:fldChar w:fldCharType="separate"/>
    </w:r>
    <w:r>
      <w:rPr>
        <w:lang w:val="zh-CN"/>
      </w:rPr>
      <w:t>4</w:t>
    </w:r>
    <w:r>
      <w:fldChar w:fldCharType="end"/>
    </w:r>
  </w:p>
  <w:p>
    <w:pPr>
      <w:pStyle w:val="Footer"/>
      <w:tabs>
        <w:tab w:val="center" w:pos="4153"/>
        <w:tab w:val="right" w:pos="8306"/>
      </w:tabs>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fldChar w:fldCharType="begin"/>
    </w:r>
    <w:r>
      <w:instrText>PAGE   \* MERGEFORMAT</w:instrText>
    </w:r>
    <w:r>
      <w:fldChar w:fldCharType="separate"/>
    </w:r>
    <w:r>
      <w:rPr>
        <w:lang w:val="zh-CN"/>
      </w:rPr>
      <w:t>5</w:t>
    </w:r>
    <w:r>
      <w:fldChar w:fldCharType="end"/>
    </w:r>
  </w:p>
  <w:p>
    <w:pPr>
      <w:pStyle w:val="Footer"/>
      <w:tabs>
        <w:tab w:val="center" w:pos="4153"/>
        <w:tab w:val="right" w:pos="8306"/>
      </w:tabs>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pBdr>
        <w:bottom w:val="single" w:sz="4" w:space="0" w:color="auto"/>
      </w:pBdr>
      <w:kinsoku/>
      <w:wordWrap/>
      <w:overflowPunct/>
      <w:topLinePunct w:val="0"/>
      <w:autoSpaceDE/>
      <w:autoSpaceDN/>
      <w:bidi w:val="0"/>
      <w:adjustRightInd/>
      <w:snapToGrid/>
      <w:spacing w:after="0" w:line="240" w:lineRule="auto"/>
      <w:jc w:val="left"/>
      <w:textAlignment w:val="auto"/>
      <w:rPr>
        <w:rFonts w:ascii="宋体" w:hAnsi="宋体" w:cs="宋体"/>
        <w:color w:val="000000"/>
        <w:kern w:val="0"/>
        <w:sz w:val="18"/>
        <w:szCs w:val="18"/>
        <w:lang w:bidi="ar"/>
      </w:rPr>
    </w:pPr>
    <w:r>
      <w:rPr>
        <w:rFonts w:ascii="宋体" w:hAnsi="宋体" w:cs="宋体"/>
        <w:color w:val="000000"/>
        <w:kern w:val="0"/>
        <w:sz w:val="18"/>
        <w:szCs w:val="18"/>
        <w:lang w:bidi="ar"/>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pBdr>
        <w:bottom w:val="single" w:sz="4" w:space="0" w:color="auto"/>
      </w:pBdr>
      <w:kinsoku/>
      <w:wordWrap/>
      <w:overflowPunct/>
      <w:topLinePunct w:val="0"/>
      <w:autoSpaceDE/>
      <w:autoSpaceDN/>
      <w:bidi w:val="0"/>
      <w:adjustRightInd/>
      <w:snapToGrid/>
      <w:spacing w:after="0" w:line="240" w:lineRule="auto"/>
      <w:jc w:val="left"/>
      <w:textAlignment w:val="auto"/>
      <w:rPr>
        <w:rFonts w:ascii="宋体" w:hAnsi="宋体" w:cs="宋体"/>
        <w:color w:val="000000"/>
        <w:kern w:val="0"/>
        <w:sz w:val="18"/>
        <w:szCs w:val="18"/>
        <w:lang w:bidi="ar"/>
      </w:rPr>
    </w:pPr>
    <w:r>
      <w:rPr>
        <w:rFonts w:ascii="宋体" w:hAnsi="宋体" w:cs="宋体"/>
        <w:color w:val="000000"/>
        <w:kern w:val="0"/>
        <w:sz w:val="18"/>
        <w:szCs w:val="18"/>
        <w:lang w:bidi="ar"/>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pBdr>
        <w:bottom w:val="single" w:sz="4" w:space="0" w:color="auto"/>
      </w:pBdr>
      <w:kinsoku/>
      <w:wordWrap/>
      <w:overflowPunct/>
      <w:topLinePunct w:val="0"/>
      <w:autoSpaceDE/>
      <w:autoSpaceDN/>
      <w:bidi w:val="0"/>
      <w:adjustRightInd/>
      <w:snapToGrid/>
      <w:spacing w:after="0" w:line="240" w:lineRule="auto"/>
      <w:jc w:val="left"/>
      <w:textAlignment w:val="auto"/>
      <w:rPr>
        <w:rFonts w:ascii="宋体" w:hAnsi="宋体" w:cs="宋体"/>
        <w:color w:val="000000"/>
        <w:kern w:val="0"/>
        <w:sz w:val="18"/>
        <w:szCs w:val="18"/>
        <w:lang w:bidi="ar"/>
      </w:rPr>
    </w:pPr>
    <w:r>
      <w:rPr>
        <w:rFonts w:ascii="宋体" w:hAnsi="宋体" w:cs="宋体"/>
        <w:color w:val="000000"/>
        <w:kern w:val="0"/>
        <w:sz w:val="18"/>
        <w:szCs w:val="18"/>
        <w:lang w:bidi="ar"/>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pBdr>
        <w:bottom w:val="single" w:sz="4" w:space="0" w:color="auto"/>
      </w:pBdr>
      <w:kinsoku/>
      <w:wordWrap/>
      <w:overflowPunct/>
      <w:topLinePunct w:val="0"/>
      <w:autoSpaceDE/>
      <w:autoSpaceDN/>
      <w:bidi w:val="0"/>
      <w:adjustRightInd/>
      <w:snapToGrid/>
      <w:spacing w:after="0" w:line="240" w:lineRule="auto"/>
      <w:jc w:val="left"/>
      <w:textAlignment w:val="auto"/>
      <w:rPr>
        <w:rFonts w:ascii="宋体" w:hAnsi="宋体" w:cs="宋体"/>
        <w:color w:val="000000"/>
        <w:kern w:val="0"/>
        <w:sz w:val="18"/>
        <w:szCs w:val="18"/>
        <w:lang w:bidi="ar"/>
      </w:rPr>
    </w:pPr>
    <w:r>
      <w:rPr>
        <w:rFonts w:ascii="宋体" w:hAnsi="宋体" w:cs="宋体"/>
        <w:color w:val="000000"/>
        <w:kern w:val="0"/>
        <w:sz w:val="18"/>
        <w:szCs w:val="18"/>
        <w:lang w:bidi="ar"/>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pBdr>
        <w:bottom w:val="single" w:sz="4" w:space="0" w:color="auto"/>
      </w:pBdr>
      <w:kinsoku/>
      <w:wordWrap/>
      <w:overflowPunct/>
      <w:topLinePunct w:val="0"/>
      <w:autoSpaceDE/>
      <w:autoSpaceDN/>
      <w:bidi w:val="0"/>
      <w:adjustRightInd/>
      <w:snapToGrid/>
      <w:spacing w:after="0" w:line="240" w:lineRule="auto"/>
      <w:jc w:val="left"/>
      <w:textAlignment w:val="auto"/>
      <w:rPr>
        <w:rFonts w:ascii="宋体" w:hAnsi="宋体" w:cs="宋体"/>
        <w:color w:val="000000"/>
        <w:kern w:val="0"/>
        <w:sz w:val="18"/>
        <w:szCs w:val="18"/>
        <w:lang w:bidi="ar"/>
      </w:rPr>
    </w:pPr>
    <w:r>
      <w:rPr>
        <w:rFonts w:ascii="宋体" w:hAnsi="宋体" w:cs="宋体"/>
        <w:color w:val="000000"/>
        <w:kern w:val="0"/>
        <w:sz w:val="18"/>
        <w:szCs w:val="18"/>
        <w:lang w:bidi="ar"/>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9FD7F7"/>
    <w:multiLevelType w:val="singleLevel"/>
    <w:tmpl w:val="EC9FD7F7"/>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139527AC"/>
    <w:rsid w:val="000833AF"/>
    <w:rsid w:val="000D338A"/>
    <w:rsid w:val="00131515"/>
    <w:rsid w:val="002A2A04"/>
    <w:rsid w:val="004C0267"/>
    <w:rsid w:val="005207C6"/>
    <w:rsid w:val="0052177C"/>
    <w:rsid w:val="00597071"/>
    <w:rsid w:val="006B1EF0"/>
    <w:rsid w:val="00717E8D"/>
    <w:rsid w:val="007A0C94"/>
    <w:rsid w:val="008706BC"/>
    <w:rsid w:val="00933980"/>
    <w:rsid w:val="00A1721A"/>
    <w:rsid w:val="00A403A6"/>
    <w:rsid w:val="00B14FC4"/>
    <w:rsid w:val="00B868B4"/>
    <w:rsid w:val="00BB6DE0"/>
    <w:rsid w:val="00BE686C"/>
    <w:rsid w:val="00C43408"/>
    <w:rsid w:val="00CB04A1"/>
    <w:rsid w:val="00D35791"/>
    <w:rsid w:val="00E25E04"/>
    <w:rsid w:val="00E36361"/>
    <w:rsid w:val="00EF0CB1"/>
    <w:rsid w:val="00F00DD0"/>
    <w:rsid w:val="00F10AE8"/>
    <w:rsid w:val="00FB5A9B"/>
    <w:rsid w:val="00FB7484"/>
    <w:rsid w:val="00FC2700"/>
    <w:rsid w:val="00FD4345"/>
    <w:rsid w:val="00FF1CAE"/>
    <w:rsid w:val="010C2593"/>
    <w:rsid w:val="01ED149B"/>
    <w:rsid w:val="02121F0E"/>
    <w:rsid w:val="02F9119C"/>
    <w:rsid w:val="030B77F0"/>
    <w:rsid w:val="032C357A"/>
    <w:rsid w:val="039054BC"/>
    <w:rsid w:val="046A4311"/>
    <w:rsid w:val="05C32C2B"/>
    <w:rsid w:val="05E761EF"/>
    <w:rsid w:val="067E005E"/>
    <w:rsid w:val="073844F8"/>
    <w:rsid w:val="07401C6A"/>
    <w:rsid w:val="07C70B5C"/>
    <w:rsid w:val="08B330C7"/>
    <w:rsid w:val="091B4F60"/>
    <w:rsid w:val="09765A5C"/>
    <w:rsid w:val="0B29583C"/>
    <w:rsid w:val="0B7944D0"/>
    <w:rsid w:val="0C0D3E44"/>
    <w:rsid w:val="0C1F2E0E"/>
    <w:rsid w:val="0D3D0C48"/>
    <w:rsid w:val="0D735CBA"/>
    <w:rsid w:val="0D9E2905"/>
    <w:rsid w:val="0DFA309D"/>
    <w:rsid w:val="0E163401"/>
    <w:rsid w:val="0E2C092B"/>
    <w:rsid w:val="0EF94E25"/>
    <w:rsid w:val="0F1532A3"/>
    <w:rsid w:val="0F640784"/>
    <w:rsid w:val="106A32D7"/>
    <w:rsid w:val="10C3246B"/>
    <w:rsid w:val="117F1F86"/>
    <w:rsid w:val="11D45D00"/>
    <w:rsid w:val="127A6366"/>
    <w:rsid w:val="12F87ED5"/>
    <w:rsid w:val="139527AC"/>
    <w:rsid w:val="13E524C3"/>
    <w:rsid w:val="14343E76"/>
    <w:rsid w:val="14562CCF"/>
    <w:rsid w:val="150B73BE"/>
    <w:rsid w:val="1513600E"/>
    <w:rsid w:val="1564547C"/>
    <w:rsid w:val="1582283C"/>
    <w:rsid w:val="164403D1"/>
    <w:rsid w:val="165F4FF4"/>
    <w:rsid w:val="16904424"/>
    <w:rsid w:val="1702000D"/>
    <w:rsid w:val="17837B7E"/>
    <w:rsid w:val="188B07B2"/>
    <w:rsid w:val="18A44EB5"/>
    <w:rsid w:val="18AE026B"/>
    <w:rsid w:val="18C03DF4"/>
    <w:rsid w:val="195D5B25"/>
    <w:rsid w:val="197E7A53"/>
    <w:rsid w:val="1A59521D"/>
    <w:rsid w:val="1BF40B2A"/>
    <w:rsid w:val="1C163A0C"/>
    <w:rsid w:val="1C5003EB"/>
    <w:rsid w:val="1CA05A14"/>
    <w:rsid w:val="1CA63EC5"/>
    <w:rsid w:val="1CC756A3"/>
    <w:rsid w:val="1E3A20A1"/>
    <w:rsid w:val="1E6001FA"/>
    <w:rsid w:val="1E661E92"/>
    <w:rsid w:val="1F1110CD"/>
    <w:rsid w:val="1F29313E"/>
    <w:rsid w:val="1F3C504F"/>
    <w:rsid w:val="206D0D91"/>
    <w:rsid w:val="207C44EF"/>
    <w:rsid w:val="20F610F2"/>
    <w:rsid w:val="21290A74"/>
    <w:rsid w:val="21296EA9"/>
    <w:rsid w:val="214116B9"/>
    <w:rsid w:val="21A165A1"/>
    <w:rsid w:val="21EE6C71"/>
    <w:rsid w:val="21FA0C98"/>
    <w:rsid w:val="22041210"/>
    <w:rsid w:val="22436B67"/>
    <w:rsid w:val="225956DD"/>
    <w:rsid w:val="23570633"/>
    <w:rsid w:val="23585F9C"/>
    <w:rsid w:val="24054E6A"/>
    <w:rsid w:val="246028A4"/>
    <w:rsid w:val="249F4454"/>
    <w:rsid w:val="24FE2C12"/>
    <w:rsid w:val="25091D49"/>
    <w:rsid w:val="253A2A82"/>
    <w:rsid w:val="256408D9"/>
    <w:rsid w:val="256572F9"/>
    <w:rsid w:val="257A6B9C"/>
    <w:rsid w:val="25F1106C"/>
    <w:rsid w:val="26D877ED"/>
    <w:rsid w:val="27DB5E8C"/>
    <w:rsid w:val="286A3C5E"/>
    <w:rsid w:val="28C97A37"/>
    <w:rsid w:val="29021A30"/>
    <w:rsid w:val="29245018"/>
    <w:rsid w:val="29346929"/>
    <w:rsid w:val="296925D5"/>
    <w:rsid w:val="298354E3"/>
    <w:rsid w:val="29D12E52"/>
    <w:rsid w:val="2A095E91"/>
    <w:rsid w:val="2A520936"/>
    <w:rsid w:val="2AC33528"/>
    <w:rsid w:val="2AF06E3F"/>
    <w:rsid w:val="2B363600"/>
    <w:rsid w:val="2B56443D"/>
    <w:rsid w:val="2BD668D9"/>
    <w:rsid w:val="2BE04B82"/>
    <w:rsid w:val="2C804075"/>
    <w:rsid w:val="2C9D156B"/>
    <w:rsid w:val="2D1C434A"/>
    <w:rsid w:val="2D5F147A"/>
    <w:rsid w:val="2E8A6AD4"/>
    <w:rsid w:val="2EAD1491"/>
    <w:rsid w:val="2ED8398B"/>
    <w:rsid w:val="2EFC3C22"/>
    <w:rsid w:val="2F996353"/>
    <w:rsid w:val="2FCA40C2"/>
    <w:rsid w:val="309174D4"/>
    <w:rsid w:val="30B81C61"/>
    <w:rsid w:val="30C872DF"/>
    <w:rsid w:val="31C155F7"/>
    <w:rsid w:val="31E77B1E"/>
    <w:rsid w:val="32E535B8"/>
    <w:rsid w:val="32F408BA"/>
    <w:rsid w:val="32FD542A"/>
    <w:rsid w:val="332E0FEF"/>
    <w:rsid w:val="33416DEF"/>
    <w:rsid w:val="33550F73"/>
    <w:rsid w:val="3356600E"/>
    <w:rsid w:val="33B831B7"/>
    <w:rsid w:val="3452379B"/>
    <w:rsid w:val="34617F14"/>
    <w:rsid w:val="34F3736A"/>
    <w:rsid w:val="35035406"/>
    <w:rsid w:val="350C1FCD"/>
    <w:rsid w:val="35326FBE"/>
    <w:rsid w:val="357C3D63"/>
    <w:rsid w:val="35C53AB0"/>
    <w:rsid w:val="36BF166E"/>
    <w:rsid w:val="36D87D7F"/>
    <w:rsid w:val="37311F62"/>
    <w:rsid w:val="37775B23"/>
    <w:rsid w:val="37E05739"/>
    <w:rsid w:val="380D42D6"/>
    <w:rsid w:val="381237D5"/>
    <w:rsid w:val="38301FBE"/>
    <w:rsid w:val="383C5382"/>
    <w:rsid w:val="387E2E33"/>
    <w:rsid w:val="38C86C23"/>
    <w:rsid w:val="392E475A"/>
    <w:rsid w:val="39B94B29"/>
    <w:rsid w:val="39E03582"/>
    <w:rsid w:val="39E056D7"/>
    <w:rsid w:val="3A137727"/>
    <w:rsid w:val="3B0A4895"/>
    <w:rsid w:val="3B0D47A0"/>
    <w:rsid w:val="3B8346FF"/>
    <w:rsid w:val="3C203572"/>
    <w:rsid w:val="3C2B6A87"/>
    <w:rsid w:val="3CDC7B19"/>
    <w:rsid w:val="3CE0422D"/>
    <w:rsid w:val="3D6B4158"/>
    <w:rsid w:val="3DED47EA"/>
    <w:rsid w:val="3E5B242C"/>
    <w:rsid w:val="3E6E328A"/>
    <w:rsid w:val="3EDB674F"/>
    <w:rsid w:val="3F1354E5"/>
    <w:rsid w:val="3FC55EBD"/>
    <w:rsid w:val="41897957"/>
    <w:rsid w:val="42750845"/>
    <w:rsid w:val="42864B49"/>
    <w:rsid w:val="434D7C41"/>
    <w:rsid w:val="43527A6E"/>
    <w:rsid w:val="436B08AF"/>
    <w:rsid w:val="43961649"/>
    <w:rsid w:val="439D3D6B"/>
    <w:rsid w:val="44237B3A"/>
    <w:rsid w:val="44754970"/>
    <w:rsid w:val="448154EC"/>
    <w:rsid w:val="44FD7D9E"/>
    <w:rsid w:val="45433394"/>
    <w:rsid w:val="45AB5657"/>
    <w:rsid w:val="46486437"/>
    <w:rsid w:val="465449BD"/>
    <w:rsid w:val="46A82CA4"/>
    <w:rsid w:val="46AF73A9"/>
    <w:rsid w:val="46CF0EB5"/>
    <w:rsid w:val="46D1196B"/>
    <w:rsid w:val="46E9458C"/>
    <w:rsid w:val="472C01AD"/>
    <w:rsid w:val="475A36EC"/>
    <w:rsid w:val="47A8458F"/>
    <w:rsid w:val="47F34BE8"/>
    <w:rsid w:val="486343DA"/>
    <w:rsid w:val="489C0081"/>
    <w:rsid w:val="492306AC"/>
    <w:rsid w:val="492A4E07"/>
    <w:rsid w:val="49DE676A"/>
    <w:rsid w:val="4A4559E2"/>
    <w:rsid w:val="4B9479E5"/>
    <w:rsid w:val="4BC4251A"/>
    <w:rsid w:val="4C7518A2"/>
    <w:rsid w:val="4CFF36E5"/>
    <w:rsid w:val="4DB61BDC"/>
    <w:rsid w:val="4DB72107"/>
    <w:rsid w:val="4DC600A0"/>
    <w:rsid w:val="4DC91F4B"/>
    <w:rsid w:val="4E023B4D"/>
    <w:rsid w:val="4E26158E"/>
    <w:rsid w:val="4E4D52A4"/>
    <w:rsid w:val="4E9B064B"/>
    <w:rsid w:val="4F657268"/>
    <w:rsid w:val="4F9271F8"/>
    <w:rsid w:val="500A1206"/>
    <w:rsid w:val="50533C48"/>
    <w:rsid w:val="50827E48"/>
    <w:rsid w:val="50AF60FD"/>
    <w:rsid w:val="52177AD2"/>
    <w:rsid w:val="52505D82"/>
    <w:rsid w:val="52C97435"/>
    <w:rsid w:val="52D25E1A"/>
    <w:rsid w:val="52EB6B7C"/>
    <w:rsid w:val="531C1DDA"/>
    <w:rsid w:val="53897E2F"/>
    <w:rsid w:val="53C00F86"/>
    <w:rsid w:val="54470EEF"/>
    <w:rsid w:val="546E5D79"/>
    <w:rsid w:val="553952B3"/>
    <w:rsid w:val="55564DEE"/>
    <w:rsid w:val="55870ED1"/>
    <w:rsid w:val="55C57AED"/>
    <w:rsid w:val="55F72D09"/>
    <w:rsid w:val="56F217BD"/>
    <w:rsid w:val="573D79F5"/>
    <w:rsid w:val="574F7B55"/>
    <w:rsid w:val="57A87777"/>
    <w:rsid w:val="57E95852"/>
    <w:rsid w:val="57F1341C"/>
    <w:rsid w:val="580A1B47"/>
    <w:rsid w:val="581608DC"/>
    <w:rsid w:val="58370E4A"/>
    <w:rsid w:val="58517CD3"/>
    <w:rsid w:val="58A15DA2"/>
    <w:rsid w:val="59EF15EB"/>
    <w:rsid w:val="5A265807"/>
    <w:rsid w:val="5A2E42A2"/>
    <w:rsid w:val="5ABB436B"/>
    <w:rsid w:val="5ABB503A"/>
    <w:rsid w:val="5AD07ABB"/>
    <w:rsid w:val="5AD32829"/>
    <w:rsid w:val="5B4542BA"/>
    <w:rsid w:val="5B491DD0"/>
    <w:rsid w:val="5BE976FD"/>
    <w:rsid w:val="5C8228E1"/>
    <w:rsid w:val="5C830C3F"/>
    <w:rsid w:val="5C9F426F"/>
    <w:rsid w:val="5C9F66EF"/>
    <w:rsid w:val="5D3A34A4"/>
    <w:rsid w:val="5D675411"/>
    <w:rsid w:val="5DA23DC8"/>
    <w:rsid w:val="5E79518D"/>
    <w:rsid w:val="5E84198F"/>
    <w:rsid w:val="5EA24526"/>
    <w:rsid w:val="5F832F91"/>
    <w:rsid w:val="5FB04243"/>
    <w:rsid w:val="5FC67405"/>
    <w:rsid w:val="60372FD1"/>
    <w:rsid w:val="60E43A07"/>
    <w:rsid w:val="60F464A9"/>
    <w:rsid w:val="612D455F"/>
    <w:rsid w:val="613D1728"/>
    <w:rsid w:val="61965E85"/>
    <w:rsid w:val="6217232F"/>
    <w:rsid w:val="625F5C03"/>
    <w:rsid w:val="62827B45"/>
    <w:rsid w:val="62A2773E"/>
    <w:rsid w:val="63361238"/>
    <w:rsid w:val="63E62623"/>
    <w:rsid w:val="63E82C41"/>
    <w:rsid w:val="640A5AC1"/>
    <w:rsid w:val="64581D02"/>
    <w:rsid w:val="645B25C4"/>
    <w:rsid w:val="651965D4"/>
    <w:rsid w:val="651C384F"/>
    <w:rsid w:val="66725AC7"/>
    <w:rsid w:val="66931D58"/>
    <w:rsid w:val="672C7F7A"/>
    <w:rsid w:val="677D1410"/>
    <w:rsid w:val="67800D8F"/>
    <w:rsid w:val="67C44D99"/>
    <w:rsid w:val="68450E02"/>
    <w:rsid w:val="68A97DF9"/>
    <w:rsid w:val="69CB610D"/>
    <w:rsid w:val="6AA73EBE"/>
    <w:rsid w:val="6ABA33C9"/>
    <w:rsid w:val="6BBF52ED"/>
    <w:rsid w:val="6BFB3C96"/>
    <w:rsid w:val="6C0259D0"/>
    <w:rsid w:val="6C34410B"/>
    <w:rsid w:val="6D087F3E"/>
    <w:rsid w:val="6D150AC6"/>
    <w:rsid w:val="6D216992"/>
    <w:rsid w:val="6DA46EC9"/>
    <w:rsid w:val="6DD54088"/>
    <w:rsid w:val="6F065D08"/>
    <w:rsid w:val="6F523AF1"/>
    <w:rsid w:val="702E373B"/>
    <w:rsid w:val="70A16F4F"/>
    <w:rsid w:val="70E77C25"/>
    <w:rsid w:val="71D77861"/>
    <w:rsid w:val="71FF6C6A"/>
    <w:rsid w:val="7222502E"/>
    <w:rsid w:val="723E6DDD"/>
    <w:rsid w:val="72E60C82"/>
    <w:rsid w:val="733F182A"/>
    <w:rsid w:val="739F595D"/>
    <w:rsid w:val="74423A81"/>
    <w:rsid w:val="74512813"/>
    <w:rsid w:val="74861722"/>
    <w:rsid w:val="74C0374F"/>
    <w:rsid w:val="74E72663"/>
    <w:rsid w:val="75634C31"/>
    <w:rsid w:val="75AB5D34"/>
    <w:rsid w:val="75CE5076"/>
    <w:rsid w:val="75D561AD"/>
    <w:rsid w:val="762859FC"/>
    <w:rsid w:val="77051F41"/>
    <w:rsid w:val="771F6772"/>
    <w:rsid w:val="77BA76EE"/>
    <w:rsid w:val="77D071C1"/>
    <w:rsid w:val="780F7F29"/>
    <w:rsid w:val="78784DAB"/>
    <w:rsid w:val="78924A17"/>
    <w:rsid w:val="789B2C22"/>
    <w:rsid w:val="792E000D"/>
    <w:rsid w:val="7A4D4D7E"/>
    <w:rsid w:val="7A5E3573"/>
    <w:rsid w:val="7AA50B34"/>
    <w:rsid w:val="7AAA7B12"/>
    <w:rsid w:val="7AEF5389"/>
    <w:rsid w:val="7B892BA6"/>
    <w:rsid w:val="7BFF7A7D"/>
    <w:rsid w:val="7BFF7FEC"/>
    <w:rsid w:val="7C3553B9"/>
    <w:rsid w:val="7C440AF1"/>
    <w:rsid w:val="7C8541A3"/>
    <w:rsid w:val="7CE62CAB"/>
    <w:rsid w:val="7CFF203F"/>
    <w:rsid w:val="7D123EC3"/>
    <w:rsid w:val="7D1636D7"/>
    <w:rsid w:val="7D6A4D53"/>
    <w:rsid w:val="7E212570"/>
    <w:rsid w:val="7E2571BB"/>
    <w:rsid w:val="7E4C7375"/>
    <w:rsid w:val="7E5B01AF"/>
    <w:rsid w:val="7E9C57EE"/>
    <w:rsid w:val="7EAE0F2F"/>
    <w:rsid w:val="7F41278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240" w:after="0"/>
      <w:outlineLvl w:val="0"/>
    </w:pPr>
    <w:rPr>
      <w:rFonts w:ascii="Calibri Light" w:eastAsia="宋体" w:hAnsi="Calibri Light" w:cs="Times New Roman"/>
      <w:color w:val="2E75B5"/>
      <w:sz w:val="32"/>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qFormat/>
    <w:rPr>
      <w:rFonts w:ascii="Calibri Light" w:eastAsia="宋体" w:hAnsi="Calibri Light" w:cs="Times New Roman"/>
      <w:color w:val="2E75B5"/>
      <w:kern w:val="2"/>
      <w:sz w:val="32"/>
      <w:szCs w:val="32"/>
    </w:rPr>
  </w:style>
  <w:style w:type="paragraph" w:styleId="CommentText">
    <w:name w:val="annotation text"/>
    <w:basedOn w:val="Normal"/>
    <w:qFormat/>
    <w:pPr>
      <w:jc w:val="left"/>
    </w:pPr>
  </w:style>
  <w:style w:type="paragraph" w:styleId="BodyTextIndent">
    <w:name w:val="Body Text Indent"/>
    <w:basedOn w:val="Normal"/>
    <w:qFormat/>
    <w:pPr>
      <w:spacing w:after="120"/>
      <w:ind w:left="420" w:leftChars="200"/>
    </w:pPr>
  </w:style>
  <w:style w:type="paragraph" w:styleId="TOC3">
    <w:name w:val="toc 3"/>
    <w:basedOn w:val="Normal"/>
    <w:next w:val="Normal"/>
    <w:uiPriority w:val="39"/>
    <w:unhideWhenUsed/>
    <w:qFormat/>
    <w:pPr>
      <w:widowControl/>
      <w:spacing w:after="100"/>
      <w:ind w:left="440"/>
      <w:jc w:val="left"/>
    </w:pPr>
    <w:rPr>
      <w:rFonts w:ascii="Calibri" w:eastAsia="宋体" w:hAnsi="Calibri"/>
      <w:kern w:val="0"/>
      <w:sz w:val="22"/>
      <w:szCs w:val="22"/>
    </w:rPr>
  </w:style>
  <w:style w:type="paragraph" w:styleId="Footer">
    <w:name w:val="footer"/>
    <w:basedOn w:val="Normal"/>
    <w:link w:val="a"/>
    <w:uiPriority w:val="99"/>
    <w:qFormat/>
    <w:pPr>
      <w:tabs>
        <w:tab w:val="center" w:pos="4153"/>
        <w:tab w:val="right" w:pos="8306"/>
      </w:tabs>
      <w:snapToGrid w:val="0"/>
      <w:jc w:val="left"/>
    </w:pPr>
    <w:rPr>
      <w:sz w:val="18"/>
    </w:rPr>
  </w:style>
  <w:style w:type="character" w:customStyle="1" w:styleId="a">
    <w:name w:val="页脚 字符"/>
    <w:basedOn w:val="DefaultParagraphFont"/>
    <w:link w:val="Footer"/>
    <w:uiPriority w:val="99"/>
    <w:qFormat/>
    <w:rPr>
      <w:kern w:val="2"/>
      <w:sz w:val="18"/>
      <w:szCs w:val="24"/>
    </w:rPr>
  </w:style>
  <w:style w:type="paragraph" w:styleId="Header">
    <w:name w:val="header"/>
    <w:basedOn w:val="Normal"/>
    <w:link w:val="a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a0">
    <w:name w:val="页眉 字符"/>
    <w:basedOn w:val="DefaultParagraphFont"/>
    <w:link w:val="Header"/>
    <w:uiPriority w:val="99"/>
    <w:qFormat/>
    <w:rPr>
      <w:kern w:val="2"/>
      <w:sz w:val="18"/>
      <w:szCs w:val="24"/>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szCs w:val="18"/>
    </w:rPr>
  </w:style>
  <w:style w:type="paragraph" w:styleId="TOC2">
    <w:name w:val="toc 2"/>
    <w:basedOn w:val="Normal"/>
    <w:next w:val="Normal"/>
    <w:uiPriority w:val="39"/>
    <w:qFormat/>
    <w:pPr>
      <w:ind w:left="420" w:leftChars="200"/>
    </w:pPr>
  </w:style>
  <w:style w:type="paragraph" w:styleId="NormalWeb">
    <w:name w:val="Normal (Web)"/>
    <w:basedOn w:val="Normal"/>
    <w:qFormat/>
    <w:rPr>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u w:val="single"/>
    </w:rPr>
  </w:style>
  <w:style w:type="paragraph" w:customStyle="1" w:styleId="WPSOffice1">
    <w:name w:val="WPSOffice手动目录 1"/>
    <w:qFormat/>
    <w:pPr>
      <w:spacing w:after="160" w:line="259" w:lineRule="auto"/>
    </w:pPr>
    <w:rPr>
      <w:rFonts w:ascii="Times New Roman" w:eastAsia="宋体" w:hAnsi="Times New Roman" w:cs="Times New Roman"/>
      <w:lang w:val="en-US" w:eastAsia="zh-CN" w:bidi="ar-SA"/>
    </w:rPr>
  </w:style>
  <w:style w:type="paragraph" w:customStyle="1" w:styleId="WPSOffice2">
    <w:name w:val="WPSOffice手动目录 2"/>
    <w:qFormat/>
    <w:pPr>
      <w:spacing w:after="160" w:line="259" w:lineRule="auto"/>
      <w:ind w:left="200" w:leftChars="200"/>
    </w:pPr>
    <w:rPr>
      <w:rFonts w:ascii="Times New Roman" w:eastAsia="宋体" w:hAnsi="Times New Roman" w:cs="Times New Roman"/>
      <w:lang w:val="en-US" w:eastAsia="zh-CN" w:bidi="ar-SA"/>
    </w:rPr>
  </w:style>
  <w:style w:type="paragraph" w:customStyle="1" w:styleId="TOCHeading">
    <w:name w:val="TOC Heading"/>
    <w:basedOn w:val="Heading1"/>
    <w:next w:val="Normal"/>
    <w:uiPriority w:val="39"/>
    <w:unhideWhenUsed/>
    <w:qFormat/>
    <w:pPr>
      <w:widowControl/>
      <w:jc w:val="left"/>
      <w:outlineLvl w:val="9"/>
    </w:pPr>
    <w:rPr>
      <w:kern w:val="0"/>
    </w:rPr>
  </w:style>
  <w:style w:type="character" w:customStyle="1" w:styleId="emsimilar">
    <w:name w:val="em_similar"/>
    <w:basedOn w:val="em"/>
    <w:qFormat/>
    <w:rPr>
      <w:color w:val="FF0000"/>
    </w:rPr>
  </w:style>
  <w:style w:type="character" w:customStyle="1" w:styleId="em">
    <w:name w:val="em"/>
    <w:basedOn w:val="DefaultParagraphFont"/>
    <w:qFormat/>
  </w:style>
  <w:style w:type="paragraph" w:customStyle="1" w:styleId="21">
    <w:name w:val="正文首行缩进 21"/>
    <w:basedOn w:val="BodyTextIndent"/>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13004707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157279200</TotalTime>
  <Pages>5</Pages>
  <Words>2231</Words>
  <Characters>12722</Characters>
  <Application>Microsoft Office Word</Application>
  <DocSecurity>0</DocSecurity>
  <Lines>106</Lines>
  <Paragraphs>29</Paragraphs>
  <ScaleCrop>false</ScaleCrop>
  <Company/>
  <LinksUpToDate>false</LinksUpToDate>
  <CharactersWithSpaces>14924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李天禹</dc:creator>
  <cp:lastModifiedBy>ABEEL</cp:lastModifiedBy>
  <cp:revision>14</cp:revision>
  <cp:lastPrinted>2021-04-25T08:39:00Z</cp:lastPrinted>
  <dcterms:created xsi:type="dcterms:W3CDTF">2021-02-21T10:21:00Z</dcterms:created>
  <dcterms:modified xsi:type="dcterms:W3CDTF">2024-02-02T17:00:57Z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07FEC487BDC041DAB7D1926381145E20_13</vt:lpwstr>
  </property>
  <property fmtid="{D5CDD505-2E9C-101B-9397-08002B2CF9AE}" pid="3" name="KSOProductBuildVer">
    <vt:lpwstr>2052-12.1.0.16120</vt:lpwstr>
  </property>
</Properties>
</file>