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  <w:bookmarkStart w:id="0" w:name="_GoBack"/>
      <w:bookmarkEnd w:id="0"/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  <w:r>
        <w:rPr>
          <w:rFonts w:ascii="微软雅黑" w:eastAsia="微软雅黑" w:hAnsi="微软雅黑" w:cs="微软雅黑"/>
          <w:b/>
          <w:bCs/>
          <w:color w:val="2D54A0"/>
          <w:spacing w:val="9"/>
          <w:sz w:val="59"/>
          <w:szCs w:val="59"/>
        </w:rPr>
        <w:t>2024年硅胶管行业趋势报告</w:t>
      </w: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/>
          <w:b/>
          <w:bCs/>
          <w:color w:val="2D54A0"/>
          <w:spacing w:val="8"/>
          <w:sz w:val="59"/>
          <w:szCs w:val="59"/>
        </w:rPr>
      </w:pPr>
    </w:p>
    <w:p>
      <w:pPr>
        <w:spacing w:before="254" w:line="360" w:lineRule="auto"/>
        <w:ind w:left="273"/>
        <w:jc w:val="center"/>
        <w:outlineLvl w:val="0"/>
        <w:rPr>
          <w:rFonts w:ascii="微软雅黑" w:eastAsia="微软雅黑" w:hAnsi="微软雅黑" w:cs="微软雅黑" w:hint="default"/>
          <w:b/>
          <w:bCs/>
          <w:color w:val="2D54A0"/>
          <w:spacing w:val="8"/>
          <w:sz w:val="44"/>
          <w:szCs w:val="44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微软雅黑" w:eastAsia="微软雅黑" w:hAnsi="微软雅黑" w:cs="微软雅黑" w:hint="eastAsia"/>
          <w:b/>
          <w:bCs/>
          <w:color w:val="2D54A0"/>
          <w:spacing w:val="8"/>
          <w:sz w:val="44"/>
          <w:szCs w:val="44"/>
          <w:lang w:val="en-US" w:eastAsia="zh-CN"/>
        </w:rPr>
        <w:t>《2024年最新评估分析》</w:t>
      </w:r>
    </w:p>
    <w:p>
      <w:pPr>
        <w:spacing w:line="360" w:lineRule="auto"/>
        <w:jc w:val="center"/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</w:rPr>
      </w:pPr>
      <w:r>
        <w:rPr>
          <w:rFonts w:ascii="微软雅黑" w:eastAsia="微软雅黑" w:hAnsi="微软雅黑" w:cs="微软雅黑" w:hint="eastAsia"/>
          <w:b/>
          <w:bCs w:val="0"/>
          <w:color w:val="2E54A1" w:themeColor="accent1" w:themeShade="BF"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0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一、制度运行与优化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(一)、制度执行与监督</w:t>
        </w:r>
        <w:r>
          <w:tab/>
        </w:r>
        <w:r>
          <w:fldChar w:fldCharType="begin"/>
        </w:r>
        <w:r>
          <w:instrText xml:space="preserve"> PAGEREF _Toc1908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64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(二)、制度优化与更新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二、制度建设与管理</w:t>
        </w:r>
        <w:r>
          <w:tab/>
        </w:r>
        <w:r>
          <w:fldChar w:fldCharType="begin"/>
        </w:r>
        <w:r>
          <w:instrText xml:space="preserve"> PAGEREF _Toc20245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_Toc16861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_Toc7075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1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三、硅胶管行业人力资源管理策略</w:t>
        </w:r>
        <w:r>
          <w:tab/>
        </w:r>
        <w:r>
          <w:fldChar w:fldCharType="begin"/>
        </w:r>
        <w:r>
          <w:instrText xml:space="preserve"> PAGEREF _Toc14310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(一)、硅胶管行业人力资源管理原则</w:t>
        </w:r>
        <w:r>
          <w:tab/>
        </w:r>
        <w:r>
          <w:fldChar w:fldCharType="begin"/>
        </w:r>
        <w:r>
          <w:instrText xml:space="preserve"> PAGEREF _Toc419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(二)、硅胶管行业劳动关系管理</w:t>
        </w:r>
        <w:r>
          <w:tab/>
        </w:r>
        <w:r>
          <w:fldChar w:fldCharType="begin"/>
        </w:r>
        <w:r>
          <w:instrText xml:space="preserve"> PAGEREF _Toc2058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(三)、硅胶管行业人员配置方案</w:t>
        </w:r>
        <w:r>
          <w:tab/>
        </w:r>
        <w:r>
          <w:fldChar w:fldCharType="begin"/>
        </w:r>
        <w:r>
          <w:instrText xml:space="preserve"> PAGEREF _Toc19565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(四)、硅胶管行业员工招聘方案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(五)、硅胶管行业绩效和薪酬管理方案</w:t>
        </w:r>
        <w:r>
          <w:tab/>
        </w:r>
        <w:r>
          <w:fldChar w:fldCharType="begin"/>
        </w:r>
        <w:r>
          <w:instrText xml:space="preserve"> PAGEREF _Toc788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(六)、硅胶管行业员工福利管理方案</w:t>
        </w:r>
        <w:r>
          <w:tab/>
        </w:r>
        <w:r>
          <w:fldChar w:fldCharType="begin"/>
        </w:r>
        <w:r>
          <w:instrText xml:space="preserve"> PAGEREF _Toc2839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3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四、硅胶管行业项目管理与实施</w:t>
        </w:r>
        <w:r>
          <w:tab/>
        </w:r>
        <w:r>
          <w:fldChar w:fldCharType="begin"/>
        </w:r>
        <w:r>
          <w:instrText xml:space="preserve"> PAGEREF _Toc16230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_Toc11552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_Toc13548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2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_Toc6092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9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五、质量与技术管理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_Toc3970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_Toc23077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5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六、硅胶管行业运营管理及商业模式分析</w:t>
        </w:r>
        <w:r>
          <w:tab/>
        </w:r>
        <w:r>
          <w:fldChar w:fldCharType="begin"/>
        </w:r>
        <w:r>
          <w:instrText xml:space="preserve"> PAGEREF _Toc23115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(一)、硅胶管行业数字化发展方案</w:t>
        </w:r>
        <w:r>
          <w:tab/>
        </w:r>
        <w:r>
          <w:fldChar w:fldCharType="begin"/>
        </w:r>
        <w:r>
          <w:instrText xml:space="preserve"> PAGEREF _Toc21783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(二)、硅胶管行业新型运营方式</w:t>
        </w:r>
        <w:r>
          <w:tab/>
        </w:r>
        <w:r>
          <w:fldChar w:fldCharType="begin"/>
        </w:r>
        <w:r>
          <w:instrText xml:space="preserve"> PAGEREF _Toc24741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(三)、硅胶管行业风险管理</w:t>
        </w:r>
        <w:r>
          <w:tab/>
        </w:r>
        <w:r>
          <w:fldChar w:fldCharType="begin"/>
        </w:r>
        <w:r>
          <w:instrText xml:space="preserve"> PAGEREF _Toc16666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七、项目实施与进度安排</w:t>
        </w:r>
        <w:r>
          <w:tab/>
        </w:r>
        <w:r>
          <w:fldChar w:fldCharType="begin"/>
        </w:r>
        <w:r>
          <w:instrText xml:space="preserve"> PAGEREF _Toc29074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(一)、项目计划与时间节点</w:t>
        </w:r>
        <w:r>
          <w:tab/>
        </w:r>
        <w:r>
          <w:fldChar w:fldCharType="begin"/>
        </w:r>
        <w:r>
          <w:instrText xml:space="preserve"> PAGEREF _Toc6415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(二)、项目进度安排</w:t>
        </w:r>
        <w:r>
          <w:tab/>
        </w:r>
        <w:r>
          <w:fldChar w:fldCharType="begin"/>
        </w:r>
        <w:r>
          <w:instrText xml:space="preserve"> PAGEREF _Toc11417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(三)、风险管理与对策</w:t>
        </w:r>
        <w:r>
          <w:tab/>
        </w:r>
        <w:r>
          <w:fldChar w:fldCharType="begin"/>
        </w:r>
        <w:r>
          <w:instrText xml:space="preserve"> PAGEREF _Toc30188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0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八、可持续发展与绿色经营</w:t>
        </w:r>
        <w:r>
          <w:tab/>
        </w:r>
        <w:r>
          <w:fldChar w:fldCharType="begin"/>
        </w:r>
        <w:r>
          <w:instrText xml:space="preserve"> PAGEREF _Toc26704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396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(一)、可持续发展战略与目标</w:t>
        </w:r>
        <w:r>
          <w:tab/>
        </w:r>
        <w:r>
          <w:fldChar w:fldCharType="begin"/>
        </w:r>
        <w:r>
          <w:instrText xml:space="preserve"> PAGEREF _Toc22396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(二)、环保政策与实践</w:t>
        </w:r>
        <w:r>
          <w:tab/>
        </w:r>
        <w:r>
          <w:fldChar w:fldCharType="begin"/>
        </w:r>
        <w:r>
          <w:instrText xml:space="preserve"> PAGEREF _Toc25248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(三)、资源利用与循环经济</w:t>
        </w:r>
        <w:r>
          <w:tab/>
        </w:r>
        <w:r>
          <w:fldChar w:fldCharType="begin"/>
        </w:r>
        <w:r>
          <w:instrText xml:space="preserve"> PAGEREF _Toc29733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(四)、碳中和与生态足迹</w:t>
        </w:r>
        <w:r>
          <w:tab/>
        </w:r>
        <w:r>
          <w:fldChar w:fldCharType="begin"/>
        </w:r>
        <w:r>
          <w:instrText xml:space="preserve"> PAGEREF _Toc12278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4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九、项目技术流程</w:t>
        </w:r>
        <w:r>
          <w:tab/>
        </w:r>
        <w:r>
          <w:fldChar w:fldCharType="begin"/>
        </w:r>
        <w:r>
          <w:instrText xml:space="preserve"> PAGEREF _Toc20440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(一)、技术方案选择</w:t>
        </w:r>
        <w:r>
          <w:tab/>
        </w:r>
        <w:r>
          <w:fldChar w:fldCharType="begin"/>
        </w:r>
        <w:r>
          <w:instrText xml:space="preserve"> PAGEREF _Toc18660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(二)、设备选型方案</w:t>
        </w:r>
        <w:r>
          <w:tab/>
        </w:r>
        <w:r>
          <w:fldChar w:fldCharType="begin"/>
        </w:r>
        <w:r>
          <w:instrText xml:space="preserve"> PAGEREF _Toc7067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(三)、技术流程与工艺设计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2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十、公司文化与社会责任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3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(一)、公司文化建设</w:t>
        </w:r>
        <w:r>
          <w:tab/>
        </w:r>
        <w:r>
          <w:fldChar w:fldCharType="begin"/>
        </w:r>
        <w:r>
          <w:instrText xml:space="preserve"> PAGEREF _Toc22630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0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_Toc27800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4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十一、硅胶管行业质量管理方案</w:t>
        </w:r>
        <w:r>
          <w:tab/>
        </w:r>
        <w:r>
          <w:fldChar w:fldCharType="begin"/>
        </w:r>
        <w:r>
          <w:instrText xml:space="preserve"> PAGEREF _Toc19414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(一)、硅胶管行业质量管理要求</w:t>
        </w:r>
        <w:r>
          <w:tab/>
        </w:r>
        <w:r>
          <w:fldChar w:fldCharType="begin"/>
        </w:r>
        <w:r>
          <w:instrText xml:space="preserve"> PAGEREF _Toc13583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1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(二)、硅胶管行业服务质量管理方案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(三)、硅胶管行业质量成本管理方案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30" w:history="1">
        <w:r>
          <w:rPr>
            <w:rFonts w:ascii="微软雅黑" w:eastAsia="微软雅黑" w:hAnsi="微软雅黑" w:cs="微软雅黑" w:hint="eastAsia"/>
            <w:color w:val="001CAC" w:themeColor="hyperlink" w:themeShade="BF"/>
            <w:szCs w:val="32"/>
            <w:lang w:eastAsia="zh-CN"/>
          </w:rPr>
          <w:t>十二、硅胶管行业投资管理策略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(一)、硅胶管行业投资估算主要内容</w:t>
        </w:r>
        <w:r>
          <w:tab/>
        </w:r>
        <w:r>
          <w:fldChar w:fldCharType="begin"/>
        </w:r>
        <w:r>
          <w:instrText xml:space="preserve"> PAGEREF _Toc1727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8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(二)、硅胶管行业设备购置投资费用管理</w:t>
        </w:r>
        <w:r>
          <w:tab/>
        </w:r>
        <w:r>
          <w:fldChar w:fldCharType="begin"/>
        </w:r>
        <w:r>
          <w:instrText xml:space="preserve"> PAGEREF _Toc14058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3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(三)、硅胶管行业装修施工投资费用管理</w:t>
        </w:r>
        <w:r>
          <w:tab/>
        </w:r>
        <w:r>
          <w:fldChar w:fldCharType="begin"/>
        </w:r>
        <w:r>
          <w:instrText xml:space="preserve"> PAGEREF _Toc27153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宋体" w:eastAsia="宋体" w:hAnsi="宋体" w:cs="宋体" w:hint="eastAsia"/>
            <w:bCs w:val="0"/>
            <w:szCs w:val="28"/>
            <w:lang w:eastAsia="zh-CN"/>
          </w:rPr>
          <w:t>(四)、硅胶管行业流动资金管理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r>
        <w:fldChar w:fldCharType="end"/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https://d.book118.com/778140062030006030</w:t>
        </w:r>
      </w:hyperlink>
    </w:p>
    <w:p/>
    <w:sectPr>
      <w:headerReference w:type="default" r:id="rId9"/>
      <w:footerReference w:type="default" r:id="rId10"/>
      <w:type w:val="nextPage"/>
      <w:pgSz w:w="11906" w:h="16838"/>
      <w:pgMar w:top="1440" w:right="1800" w:bottom="1440" w:left="1800" w:header="851" w:footer="992" w:gutter="0"/>
      <w:pgNumType w:start="3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82775B3"/>
    <w:rsid w:val="02623C3C"/>
    <w:rsid w:val="03734037"/>
    <w:rsid w:val="13614867"/>
    <w:rsid w:val="3A005367"/>
    <w:rsid w:val="3DAC44EE"/>
    <w:rsid w:val="453746B4"/>
    <w:rsid w:val="482775B3"/>
    <w:rsid w:val="49C53810"/>
    <w:rsid w:val="4E155AC7"/>
    <w:rsid w:val="50930768"/>
    <w:rsid w:val="62A91464"/>
    <w:rsid w:val="692E1C42"/>
  </w:rsids>
  <w:docVars>
    <w:docVar w:name="commondata" w:val="eyJoZGlkIjoiYjEzZTI3MzIxYzUxM2E3Y2YyMDVhZDRkMWU5YjExZ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 w:qFormat="1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autoRedefine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autoRedefine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character" w:styleId="PageNumber">
    <w:name w:val="page number"/>
    <w:basedOn w:val="DefaultParagraphFont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778140062030006030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小海豹</cp:lastModifiedBy>
  <cp:revision>1</cp:revision>
  <dcterms:created xsi:type="dcterms:W3CDTF">2023-12-10T12:06:00Z</dcterms:created>
  <dcterms:modified xsi:type="dcterms:W3CDTF">2024-01-17T07:01:46Z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1E39AA5D4B7F4B19B7D16FD992F8235D_13</vt:lpwstr>
  </property>
  <property fmtid="{D5CDD505-2E9C-101B-9397-08002B2CF9AE}" pid="3" name="KSOProductBuildVer">
    <vt:lpwstr>2052-12.1.0.16120</vt:lpwstr>
  </property>
</Properties>
</file>