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
        <w:jc w:val="center"/>
      </w:pPr>
      <w:r>
        <w:rPr>
          <w:rFonts w:hint="eastAsia"/>
        </w:rPr>
        <w:t>第1章 序言</w:t>
      </w:r>
    </w:p>
    <w:p>
      <w:pPr>
        <w:pStyle w:val="Heading2"/>
      </w:pPr>
      <w:r>
        <w:rPr>
          <w:rFonts w:hint="eastAsia"/>
        </w:rPr>
        <w:t>1.1上转换发光概述</w:t>
      </w:r>
    </w:p>
    <w:p>
      <w:pPr>
        <w:spacing w:line="360" w:lineRule="auto"/>
        <w:ind w:firstLine="480" w:firstLineChars="200"/>
        <w:rPr>
          <w:rFonts w:ascii="Times New Roman" w:hAnsi="Times New Roman" w:eastAsiaTheme="majorEastAsia" w:cs="Times New Roman"/>
          <w:sz w:val="24"/>
          <w:szCs w:val="24"/>
        </w:rPr>
      </w:pPr>
      <w:r>
        <w:rPr>
          <w:rFonts w:ascii="Times New Roman" w:hAnsi="Times New Roman" w:eastAsiaTheme="majorEastAsia" w:cs="Times New Roman"/>
          <w:sz w:val="24"/>
          <w:szCs w:val="24"/>
        </w:rPr>
        <w:t>众所周知，稀土元素掺</w:t>
      </w:r>
    </w:p>
    <w:p>
      <w:pPr>
        <w:spacing w:line="360" w:lineRule="auto"/>
        <w:ind w:firstLine="480" w:firstLineChars="200"/>
        <w:rPr>
          <w:rFonts w:ascii="Times New Roman" w:hAnsi="Times New Roman" w:eastAsiaTheme="majorEastAsia" w:cs="Times New Roman"/>
          <w:sz w:val="24"/>
          <w:szCs w:val="24"/>
        </w:rPr>
      </w:pPr>
      <w:r>
        <w:rPr>
          <w:rFonts w:ascii="Times New Roman" w:hAnsi="Times New Roman" w:eastAsiaTheme="majorEastAsia" w:cs="Times New Roman"/>
          <w:sz w:val="24"/>
          <w:szCs w:val="24"/>
        </w:rPr>
        <w:t>杂的氟化物</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氧化物</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硫氧化物等材料不仅表现出下转换发光</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Stokes类型</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，而且表现出高效率的上转换发光</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反Stokes类型</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_Ref447370371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_Ref447370374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[2]</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_Ref447370377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_Ref447370378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_Ref447370380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[5]</w:t>
      </w:r>
      <w:r>
        <w:rPr>
          <w:rFonts w:ascii="Times New Roman" w:hAnsi="Times New Roman" w:eastAsiaTheme="majorEastAsia" w:cs="Times New Roman"/>
          <w:sz w:val="24"/>
          <w:szCs w:val="24"/>
        </w:rPr>
        <w:fldChar w:fldCharType="end"/>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上转换发光涉及到非线性光学过程，其特征为通过中间长寿命的能级状态连续吸收两个或更多的泵浦光子，</w:t>
      </w:r>
      <w:r>
        <w:rPr>
          <w:rFonts w:ascii="Times New Roman" w:hAnsi="Times New Roman" w:eastAsiaTheme="majorEastAsia" w:cs="Times New Roman" w:hint="eastAsia"/>
          <w:sz w:val="24"/>
          <w:szCs w:val="24"/>
        </w:rPr>
        <w:t>发射出</w:t>
      </w:r>
      <w:r>
        <w:rPr>
          <w:rFonts w:ascii="Times New Roman" w:hAnsi="Times New Roman" w:eastAsiaTheme="majorEastAsia" w:cs="Times New Roman"/>
          <w:sz w:val="24"/>
          <w:szCs w:val="24"/>
        </w:rPr>
        <w:t>一个波长更短的光子的输出辐射。自1960年开始，人们便开始</w:t>
      </w:r>
      <w:r>
        <w:rPr>
          <w:rFonts w:ascii="Times New Roman" w:hAnsi="Times New Roman" w:eastAsiaTheme="majorEastAsia" w:cs="Times New Roman" w:hint="eastAsia"/>
          <w:sz w:val="24"/>
          <w:szCs w:val="24"/>
        </w:rPr>
        <w:t>了围绕</w:t>
      </w:r>
      <w:r>
        <w:rPr>
          <w:rFonts w:ascii="Times New Roman" w:hAnsi="Times New Roman" w:eastAsiaTheme="majorEastAsia" w:cs="Times New Roman"/>
          <w:sz w:val="24"/>
          <w:szCs w:val="24"/>
        </w:rPr>
        <w:t>上述现象的研究</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_Ref447370394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。但最初只是针对一些</w:t>
      </w:r>
      <w:r>
        <w:rPr>
          <w:rFonts w:ascii="Times New Roman" w:hAnsi="Times New Roman" w:eastAsiaTheme="majorEastAsia" w:cs="Times New Roman" w:hint="eastAsia"/>
          <w:sz w:val="24"/>
          <w:szCs w:val="24"/>
        </w:rPr>
        <w:t>特定</w:t>
      </w:r>
      <w:r>
        <w:rPr>
          <w:rFonts w:ascii="Times New Roman" w:hAnsi="Times New Roman" w:eastAsiaTheme="majorEastAsia" w:cs="Times New Roman"/>
          <w:sz w:val="24"/>
          <w:szCs w:val="24"/>
        </w:rPr>
        <w:t>光学设备，例如红外量子计数探测器</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_Ref447370401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_Ref447370403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_Ref447370404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，温度传感器</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_Ref447370410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_Ref447370412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[11]</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_Ref447370414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[12]</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，和固态激光器</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_Ref447370421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_Ref447370423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_Ref447370425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_Ref447370427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[16]</w:t>
      </w:r>
      <w:r>
        <w:rPr>
          <w:rFonts w:ascii="Times New Roman" w:hAnsi="Times New Roman" w:eastAsiaTheme="majorEastAsia" w:cs="Times New Roman"/>
          <w:sz w:val="24"/>
          <w:szCs w:val="24"/>
        </w:rPr>
        <w:fldChar w:fldCharType="end"/>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在之后的30多年间，有关上转换发光的利用主要集中在大体积的玻璃或者晶体材料上</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_Ref447370436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_Ref447370437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_Ref447370440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_Ref447370441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[20]</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_Ref447370442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[21]</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_Ref447370444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[22]</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。直到90年代末期，纳米科学和纳米技术经历了快速的</w:t>
      </w:r>
      <w:r>
        <w:rPr>
          <w:rFonts w:ascii="Times New Roman" w:hAnsi="Times New Roman" w:eastAsiaTheme="majorEastAsia" w:cs="Times New Roman"/>
          <w:sz w:val="24"/>
          <w:szCs w:val="24"/>
        </w:rPr>
        <w:t>开展</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_Ref447370450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[23]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_Ref447370455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[24]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_Ref447370456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[25]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_Ref447370458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[26]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_Ref447370459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[27]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_Ref447370461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[28]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_Ref447370462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[29]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_Ref447370465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[30]</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。由于上转换纳米粒子</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UCNP</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的尺寸较小</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这个尺寸很小可以让许多生物寄主例如细胞质，细胞核等通过</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和独特的光学特性，例如高化学稳定性，低细胞毒素特性，高信号噪音比，使得UCNPs在分析化验和生物图像的上的应用或得了相当大的认可</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_Ref447370482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[31]</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_Ref447370483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[32]</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_Ref447370485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[33]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_Ref447370488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[34]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_Ref447370492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[35]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p>
    <w:p>
      <w:pPr>
        <w:spacing w:line="360" w:lineRule="auto"/>
        <w:ind w:firstLine="480" w:firstLineChars="200"/>
        <w:rPr>
          <w:rFonts w:ascii="Times New Roman" w:hAnsi="Times New Roman" w:eastAsiaTheme="majorEastAsia" w:cs="Times New Roman"/>
          <w:sz w:val="24"/>
          <w:szCs w:val="24"/>
        </w:rPr>
      </w:pPr>
      <w:r>
        <w:rPr>
          <w:rFonts w:ascii="Times New Roman" w:hAnsi="Times New Roman" w:eastAsiaTheme="majorEastAsia" w:cs="Times New Roman"/>
          <w:sz w:val="24"/>
          <w:szCs w:val="24"/>
        </w:rPr>
        <w:t>最近关于UCNPs在生物和其他方面的进步已经产生了相当大的反响</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_Ref447370501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[36]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_Ref447370503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[37]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_Ref447370505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[38]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_Ref447370506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[39]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_Ref447370508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[40]</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_Ref447370509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[41]</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_Ref447370510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[42]</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_Ref447370512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[43]</w:t>
      </w:r>
      <w:r>
        <w:rPr>
          <w:rFonts w:ascii="Times New Roman" w:hAnsi="Times New Roman" w:eastAsiaTheme="majorEastAsia" w:cs="Times New Roman"/>
          <w:sz w:val="24"/>
          <w:szCs w:val="24"/>
        </w:rPr>
        <w:fldChar w:fldCharType="end"/>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从90年代末期开始，UCNPs经历了一次重要的</w:t>
      </w:r>
      <w:r>
        <w:rPr>
          <w:rFonts w:ascii="Times New Roman" w:hAnsi="Times New Roman" w:eastAsiaTheme="majorEastAsia" w:cs="Times New Roman"/>
          <w:sz w:val="24"/>
          <w:szCs w:val="24"/>
        </w:rPr>
        <w:t>开展</w:t>
      </w:r>
      <w:r>
        <w:rPr>
          <w:rFonts w:ascii="Times New Roman" w:hAnsi="Times New Roman" w:eastAsiaTheme="majorEastAsia" w:cs="Times New Roman"/>
          <w:sz w:val="24"/>
          <w:szCs w:val="24"/>
        </w:rPr>
        <w:t>，它在纳米科学领域已经成为了一个非常</w:t>
      </w:r>
      <w:r>
        <w:rPr>
          <w:rFonts w:ascii="Times New Roman" w:hAnsi="Times New Roman" w:eastAsiaTheme="majorEastAsia" w:cs="Times New Roman"/>
          <w:sz w:val="24"/>
          <w:szCs w:val="24"/>
        </w:rPr>
        <w:t>活泼</w:t>
      </w:r>
      <w:r>
        <w:rPr>
          <w:rFonts w:ascii="Times New Roman" w:hAnsi="Times New Roman" w:eastAsiaTheme="majorEastAsia" w:cs="Times New Roman"/>
          <w:sz w:val="24"/>
          <w:szCs w:val="24"/>
        </w:rPr>
        <w:t>的研究方向。在很多的研究机构里，对于它的研究正经历着快速的</w:t>
      </w:r>
      <w:r>
        <w:rPr>
          <w:rFonts w:ascii="Times New Roman" w:hAnsi="Times New Roman" w:eastAsiaTheme="majorEastAsia" w:cs="Times New Roman"/>
          <w:sz w:val="24"/>
          <w:szCs w:val="24"/>
        </w:rPr>
        <w:t>开展</w:t>
      </w:r>
      <w:r>
        <w:rPr>
          <w:rFonts w:ascii="Times New Roman" w:hAnsi="Times New Roman" w:eastAsiaTheme="majorEastAsia" w:cs="Times New Roman"/>
          <w:sz w:val="24"/>
          <w:szCs w:val="24"/>
        </w:rPr>
        <w:t>。在过去的20多年里关于UCNPs大量的学术论文的发表可以清晰的证明这一点。而在后期，学术论文的发表数量是以指数形式在增长。然而，UCNPs的低上转换效率仍是其迅猛</w:t>
      </w:r>
      <w:r>
        <w:rPr>
          <w:rFonts w:ascii="Times New Roman" w:hAnsi="Times New Roman" w:eastAsiaTheme="majorEastAsia" w:cs="Times New Roman"/>
          <w:sz w:val="24"/>
          <w:szCs w:val="24"/>
        </w:rPr>
        <w:t>开展</w:t>
      </w:r>
      <w:r>
        <w:rPr>
          <w:rFonts w:ascii="Times New Roman" w:hAnsi="Times New Roman" w:eastAsiaTheme="majorEastAsia" w:cs="Times New Roman"/>
          <w:sz w:val="24"/>
          <w:szCs w:val="24"/>
        </w:rPr>
        <w:t>的最大障碍。</w:t>
      </w:r>
      <w:r>
        <w:rPr>
          <w:rFonts w:ascii="Times New Roman" w:hAnsi="Times New Roman" w:eastAsiaTheme="majorEastAsia" w:cs="Times New Roman" w:hint="eastAsia"/>
          <w:sz w:val="24"/>
          <w:szCs w:val="24"/>
        </w:rPr>
        <w:t>人们</w:t>
      </w:r>
      <w:r>
        <w:rPr>
          <w:rFonts w:ascii="Times New Roman" w:hAnsi="Times New Roman" w:eastAsiaTheme="majorEastAsia" w:cs="Times New Roman"/>
          <w:sz w:val="24"/>
          <w:szCs w:val="24"/>
        </w:rPr>
        <w:t>仍然需要去寻找将上转换光学性质最优化的</w:t>
      </w:r>
      <w:r>
        <w:rPr>
          <w:rFonts w:ascii="Times New Roman" w:hAnsi="Times New Roman" w:eastAsiaTheme="majorEastAsia" w:cs="Times New Roman"/>
          <w:sz w:val="24"/>
          <w:szCs w:val="24"/>
        </w:rPr>
        <w:t>改良</w:t>
      </w:r>
      <w:r>
        <w:rPr>
          <w:rFonts w:ascii="Times New Roman" w:hAnsi="Times New Roman" w:eastAsiaTheme="majorEastAsia" w:cs="Times New Roman"/>
          <w:sz w:val="24"/>
          <w:szCs w:val="24"/>
        </w:rPr>
        <w:t>方法。</w:t>
      </w:r>
    </w:p>
    <w:p>
      <w:pPr>
        <w:spacing w:line="360" w:lineRule="auto"/>
        <w:ind w:firstLine="480" w:firstLineChars="200"/>
        <w:rPr>
          <w:rFonts w:ascii="Times New Roman" w:hAnsi="Times New Roman" w:eastAsiaTheme="majorEastAsia" w:cs="Times New Roman"/>
          <w:sz w:val="24"/>
          <w:szCs w:val="24"/>
        </w:rPr>
        <w:sectPr>
          <w:pgSz w:w="11906" w:h="16838"/>
          <w:pgMar w:top="1162" w:right="1270" w:bottom="1162" w:left="1230" w:header="851" w:footer="992" w:gutter="0"/>
          <w:cols w:num="1" w:space="425"/>
          <w:docGrid w:type="lines" w:linePitch="312" w:charSpace="0"/>
        </w:sectPr>
      </w:pPr>
      <w:r>
        <w:rPr>
          <w:rFonts w:ascii="Times New Roman" w:hAnsi="Times New Roman" w:eastAsiaTheme="majorEastAsia" w:cs="Times New Roman"/>
          <w:sz w:val="24"/>
          <w:szCs w:val="24"/>
        </w:rPr>
        <w:t>广泛的研究证实，在基底材料中掺杂镧系</w:t>
      </w:r>
      <w:r>
        <w:rPr>
          <w:rFonts w:ascii="Times New Roman" w:hAnsi="Times New Roman" w:eastAsiaTheme="majorEastAsia" w:cs="Times New Roman" w:hint="eastAsia"/>
          <w:sz w:val="24"/>
          <w:szCs w:val="24"/>
        </w:rPr>
        <w:t>离子</w:t>
      </w:r>
      <w:r>
        <w:rPr>
          <w:rFonts w:ascii="Times New Roman" w:hAnsi="Times New Roman" w:eastAsiaTheme="majorEastAsia" w:cs="Times New Roman"/>
          <w:sz w:val="24"/>
          <w:szCs w:val="24"/>
        </w:rPr>
        <w:t>可实现良好的上转换发光特性。镧系离子具有4f</w:t>
      </w:r>
      <w:r>
        <w:rPr>
          <w:rFonts w:ascii="Times New Roman" w:hAnsi="Times New Roman" w:eastAsiaTheme="majorEastAsia" w:cs="Times New Roman"/>
          <w:sz w:val="24"/>
          <w:szCs w:val="24"/>
          <w:vertAlign w:val="superscript"/>
        </w:rPr>
        <w:t>n</w:t>
      </w:r>
      <w:r>
        <w:rPr>
          <w:rFonts w:ascii="Times New Roman" w:hAnsi="Times New Roman" w:eastAsiaTheme="majorEastAsia" w:cs="Times New Roman"/>
          <w:sz w:val="24"/>
          <w:szCs w:val="24"/>
        </w:rPr>
        <w:t>5s</w:t>
      </w:r>
      <w:r>
        <w:rPr>
          <w:rFonts w:ascii="Times New Roman" w:hAnsi="Times New Roman" w:eastAsiaTheme="majorEastAsia" w:cs="Times New Roman"/>
          <w:sz w:val="24"/>
          <w:szCs w:val="24"/>
          <w:vertAlign w:val="superscript"/>
        </w:rPr>
        <w:t>2</w:t>
      </w:r>
      <w:r>
        <w:rPr>
          <w:rFonts w:ascii="Times New Roman" w:hAnsi="Times New Roman" w:eastAsiaTheme="majorEastAsia" w:cs="Times New Roman"/>
          <w:sz w:val="24"/>
          <w:szCs w:val="24"/>
        </w:rPr>
        <w:t>5p</w:t>
      </w:r>
      <w:r>
        <w:rPr>
          <w:rFonts w:ascii="Times New Roman" w:hAnsi="Times New Roman" w:eastAsiaTheme="majorEastAsia" w:cs="Times New Roman"/>
          <w:sz w:val="24"/>
          <w:szCs w:val="24"/>
          <w:vertAlign w:val="superscript"/>
        </w:rPr>
        <w:t>6</w:t>
      </w:r>
      <w:r>
        <w:rPr>
          <w:rFonts w:ascii="Times New Roman" w:hAnsi="Times New Roman" w:eastAsiaTheme="majorEastAsia" w:cs="Times New Roman"/>
          <w:sz w:val="24"/>
          <w:szCs w:val="24"/>
        </w:rPr>
        <w:t>的电子结构</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n=0-14</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局部</w:t>
      </w:r>
      <w:r>
        <w:rPr>
          <w:rFonts w:ascii="Times New Roman" w:hAnsi="Times New Roman" w:eastAsiaTheme="majorEastAsia" w:cs="Times New Roman"/>
          <w:sz w:val="24"/>
          <w:szCs w:val="24"/>
        </w:rPr>
        <w:t>填满的4f壳层使其光学和磁</w:t>
      </w:r>
      <w:r>
        <w:rPr>
          <w:rFonts w:ascii="Times New Roman" w:hAnsi="Times New Roman" w:eastAsiaTheme="majorEastAsia" w:cs="Times New Roman" w:hint="eastAsia"/>
          <w:sz w:val="24"/>
          <w:szCs w:val="24"/>
        </w:rPr>
        <w:t>学</w:t>
      </w:r>
      <w:r>
        <w:rPr>
          <w:rFonts w:ascii="Times New Roman" w:hAnsi="Times New Roman" w:eastAsiaTheme="majorEastAsia" w:cs="Times New Roman"/>
          <w:sz w:val="24"/>
          <w:szCs w:val="24"/>
        </w:rPr>
        <w:t>特性很独特。对于14个可能轨道中的n个电子，存在n分之14个可能的结构，所有的结构都具有不同的能量。这些产生了在近红外</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NIR</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，可见</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VIS</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，紫外</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UV</w:t>
      </w:r>
      <w:r>
        <w:rPr>
          <w:rFonts w:ascii="Times New Roman" w:hAnsi="Times New Roman" w:eastAsiaTheme="majorEastAsia" w:cs="Times New Roman"/>
          <w:sz w:val="24"/>
          <w:szCs w:val="24"/>
        </w:rPr>
        <w:t>〕</w:t>
      </w:r>
    </w:p>
    <w:p>
      <w:pPr>
        <w:spacing w:line="360" w:lineRule="auto"/>
        <w:ind w:firstLine="480" w:firstLineChars="200"/>
        <w:rPr>
          <w:rFonts w:ascii="Times New Roman" w:hAnsi="Times New Roman" w:eastAsiaTheme="majorEastAsia" w:cs="Times New Roman"/>
          <w:sz w:val="24"/>
          <w:szCs w:val="24"/>
        </w:rPr>
      </w:pPr>
      <w:r>
        <w:rPr>
          <w:rFonts w:ascii="Times New Roman" w:hAnsi="Times New Roman" w:eastAsiaTheme="majorEastAsia" w:cs="Times New Roman"/>
          <w:sz w:val="24"/>
          <w:szCs w:val="24"/>
        </w:rPr>
        <w:t>光谱范围内的丰富的能级结构。因为外层的5s，5p壳层屏蔽了4f壳层，电子的跃迁独立于周围的基底材料。三价稀土离子可以被掺杂在不同的基底材料中，基底材料根据不同的应用可从氟化物到氧化物中选取。在不同的4f态间的跃迁受到奇偶禁止，而且吸收谱线狭窄。镧系离子因具有多样的吸收和发射波长，独立于基底材料和低的振动能量损失成为了理想的光谱转换材料。</w:t>
      </w:r>
    </w:p>
    <w:p>
      <w:pPr>
        <w:spacing w:line="360" w:lineRule="auto"/>
        <w:ind w:firstLine="420"/>
        <w:rPr>
          <w:rFonts w:ascii="Times New Roman" w:hAnsi="Times New Roman" w:eastAsiaTheme="majorEastAsia" w:cs="Times New Roman"/>
          <w:sz w:val="24"/>
          <w:szCs w:val="24"/>
        </w:rPr>
      </w:pPr>
      <w:r>
        <w:rPr>
          <w:rFonts w:ascii="Times New Roman" w:hAnsi="Times New Roman" w:eastAsiaTheme="majorEastAsia" w:cs="Times New Roman"/>
          <w:sz w:val="24"/>
          <w:szCs w:val="24"/>
        </w:rPr>
        <w:t>镧系元素能被掺杂在多样的基底固体材料中，例如晶体</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玻璃纤维</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玻璃陶瓷，使它们产生所需的下转换和上转换光学现象。对于上转换过程，基底材料应具有低声子能，可减少能级间的多声子弛豫。低声子基底材料有氟化物，氯化物，碘化物和溴化物</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_Ref447370526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[44]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，高声子能基底通常是氧化物，例如硅酸盐，硼酸盐或者是磷酸盐</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_Ref447370532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[45]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。虽然能级结构可以独立于基底材料，然而声子能对无辐射跃迁的影响</w:t>
      </w:r>
      <w:r>
        <w:rPr>
          <w:rFonts w:ascii="Times New Roman" w:hAnsi="Times New Roman" w:eastAsiaTheme="majorEastAsia" w:cs="Times New Roman"/>
          <w:sz w:val="24"/>
          <w:szCs w:val="24"/>
        </w:rPr>
        <w:t>那么</w:t>
      </w:r>
      <w:r>
        <w:rPr>
          <w:rFonts w:ascii="Times New Roman" w:hAnsi="Times New Roman" w:eastAsiaTheme="majorEastAsia" w:cs="Times New Roman"/>
          <w:sz w:val="24"/>
          <w:szCs w:val="24"/>
        </w:rPr>
        <w:t>是不可</w:t>
      </w:r>
      <w:r>
        <w:rPr>
          <w:rFonts w:ascii="Times New Roman" w:hAnsi="Times New Roman" w:eastAsiaTheme="majorEastAsia" w:cs="Times New Roman"/>
          <w:sz w:val="24"/>
          <w:szCs w:val="24"/>
        </w:rPr>
        <w:t>防止</w:t>
      </w:r>
      <w:r>
        <w:rPr>
          <w:rFonts w:ascii="Times New Roman" w:hAnsi="Times New Roman" w:eastAsiaTheme="majorEastAsia" w:cs="Times New Roman"/>
          <w:sz w:val="24"/>
          <w:szCs w:val="24"/>
        </w:rPr>
        <w:t>的。</w:t>
      </w:r>
    </w:p>
    <w:p>
      <w:pPr>
        <w:spacing w:line="360" w:lineRule="auto"/>
        <w:ind w:firstLine="480" w:firstLineChars="200"/>
        <w:rPr>
          <w:rFonts w:ascii="Times New Roman" w:hAnsi="Times New Roman" w:eastAsiaTheme="majorEastAsia" w:cs="Times New Roman"/>
          <w:sz w:val="24"/>
          <w:szCs w:val="24"/>
        </w:rPr>
      </w:pPr>
      <w:r>
        <w:rPr>
          <w:rFonts w:ascii="Times New Roman" w:hAnsi="Times New Roman" w:eastAsiaTheme="majorEastAsia" w:cs="Times New Roman"/>
          <w:sz w:val="24"/>
          <w:szCs w:val="24"/>
        </w:rPr>
        <w:t>一般情况下，上转换是一个非常复杂的非线性光学过程，其特征为通过中间长寿命的能级连续吸收两个或更多的泵浦光子，伴随着一个波长更短的光子的输出辐射。随着技术的</w:t>
      </w:r>
      <w:r>
        <w:rPr>
          <w:rFonts w:ascii="Times New Roman" w:hAnsi="Times New Roman" w:eastAsiaTheme="majorEastAsia" w:cs="Times New Roman"/>
          <w:sz w:val="24"/>
          <w:szCs w:val="24"/>
        </w:rPr>
        <w:t>开展</w:t>
      </w:r>
      <w:r>
        <w:rPr>
          <w:rFonts w:ascii="Times New Roman" w:hAnsi="Times New Roman" w:eastAsiaTheme="majorEastAsia" w:cs="Times New Roman"/>
          <w:sz w:val="24"/>
          <w:szCs w:val="24"/>
        </w:rPr>
        <w:t>，有很多的方法去通过控制晶相和粒径大小来合成不同类型的</w:t>
      </w:r>
      <w:r>
        <w:rPr>
          <w:rFonts w:ascii="Times New Roman" w:hAnsi="Times New Roman" w:eastAsiaTheme="majorEastAsia" w:cs="Times New Roman" w:hint="eastAsia"/>
          <w:sz w:val="24"/>
          <w:szCs w:val="24"/>
        </w:rPr>
        <w:t>上转换</w:t>
      </w:r>
      <w:r>
        <w:rPr>
          <w:rFonts w:ascii="Times New Roman" w:hAnsi="Times New Roman" w:eastAsiaTheme="majorEastAsia" w:cs="Times New Roman"/>
          <w:sz w:val="24"/>
          <w:szCs w:val="24"/>
        </w:rPr>
        <w:t>发光粒子，包括共沉淀法</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_Ref447370540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[46]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_Ref447370542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[47]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_Ref447370543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[48]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_Ref447370545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[49]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_Ref447370546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[50]</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_Ref447370547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[51]</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_Ref447370549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[52]</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_Ref447370550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[53]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_Ref447370552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[54]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，热分解法</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_Ref447370563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[56]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_Ref447370565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[57]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_Ref447370568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[58]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_Ref447370569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[59]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，水热合成法</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_Ref447370374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[2]</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_Ref447370578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[60]</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_Ref447370582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[61]</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_Ref447370583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[62]</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_Ref447370585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[63]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_Ref447370586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[64]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_Ref447370588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[65]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_Ref447370589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[66]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_Ref447370591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[67]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_Ref447370595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[68]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，溶剂凝胶法</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_Ref447370733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[69]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_Ref447370735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[70]</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_Ref447370737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[71]</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_Ref447370738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[72]</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，燃烧合成法</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_Ref447370747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[73]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，这些方法已经在很多的文献中被报导</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_Ref447370394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_Ref447370485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[33]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_Ref447370768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[74]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_Ref447370769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[75]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_Ref447370770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[76]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_Ref447370771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[77]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_Ref447370772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[78]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_Ref447370775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[79]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。此外</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高温固相法也是合成高发光效率上转换发光材料的有效方法</w:t>
      </w:r>
      <w:r>
        <w:rPr>
          <w:rFonts w:ascii="Times New Roman" w:hAnsi="Times New Roman" w:eastAsiaTheme="majorEastAsia" w:cs="Times New Roman" w:hint="eastAsia"/>
          <w:sz w:val="24"/>
          <w:szCs w:val="24"/>
        </w:rPr>
        <w:t>。因为该方法工艺简单，产物结晶性好，发光效率高，因此被广泛应用于激光显示、防伪材料、上转换白光等材料的制备</w:t>
      </w:r>
      <w:r>
        <w:rPr>
          <w:rFonts w:ascii="Times New Roman" w:hAnsi="Times New Roman" w:eastAsiaTheme="majorEastAsia" w:cs="Times New Roman"/>
          <w:sz w:val="24"/>
          <w:szCs w:val="24"/>
          <w:highlight w:val="green"/>
        </w:rPr>
        <w:fldChar w:fldCharType="begin"/>
      </w:r>
      <w:r>
        <w:rPr>
          <w:rFonts w:ascii="Times New Roman" w:hAnsi="Times New Roman" w:eastAsiaTheme="majorEastAsia" w:cs="Times New Roman" w:hint="eastAsia"/>
          <w:sz w:val="24"/>
          <w:szCs w:val="24"/>
          <w:highlight w:val="green"/>
        </w:rPr>
        <w:instrText>REF _Ref447373878 \r \h</w:instrText>
      </w:r>
      <w:r>
        <w:rPr>
          <w:rFonts w:ascii="Times New Roman" w:hAnsi="Times New Roman" w:eastAsiaTheme="majorEastAsia" w:cs="Times New Roman"/>
          <w:sz w:val="24"/>
          <w:szCs w:val="24"/>
          <w:highlight w:val="green"/>
        </w:rPr>
        <w:instrText xml:space="preserve">  \* MERGEFORMAT </w:instrText>
      </w:r>
      <w:r>
        <w:rPr>
          <w:rFonts w:ascii="Times New Roman" w:hAnsi="Times New Roman" w:eastAsiaTheme="majorEastAsia" w:cs="Times New Roman"/>
          <w:sz w:val="24"/>
          <w:szCs w:val="24"/>
          <w:highlight w:val="green"/>
        </w:rPr>
        <w:fldChar w:fldCharType="separate"/>
      </w:r>
      <w:r>
        <w:rPr>
          <w:rFonts w:ascii="Times New Roman" w:hAnsi="Times New Roman" w:eastAsiaTheme="majorEastAsia" w:cs="Times New Roman"/>
          <w:sz w:val="24"/>
          <w:szCs w:val="24"/>
          <w:highlight w:val="green"/>
        </w:rPr>
        <w:t>[80]</w:t>
      </w:r>
      <w:r>
        <w:rPr>
          <w:rFonts w:ascii="Times New Roman" w:hAnsi="Times New Roman" w:eastAsiaTheme="majorEastAsia" w:cs="Times New Roman"/>
          <w:sz w:val="24"/>
          <w:szCs w:val="24"/>
          <w:highlight w:val="green"/>
        </w:rPr>
        <w:fldChar w:fldCharType="end"/>
      </w:r>
      <w:r>
        <w:rPr>
          <w:rFonts w:ascii="Times New Roman" w:hAnsi="Times New Roman" w:eastAsiaTheme="majorEastAsia" w:cs="Times New Roman"/>
          <w:sz w:val="24"/>
          <w:szCs w:val="24"/>
          <w:highlight w:val="green"/>
        </w:rPr>
        <w:fldChar w:fldCharType="begin"/>
      </w:r>
      <w:r>
        <w:rPr>
          <w:rFonts w:ascii="Times New Roman" w:hAnsi="Times New Roman" w:eastAsiaTheme="majorEastAsia" w:cs="Times New Roman"/>
          <w:sz w:val="24"/>
          <w:szCs w:val="24"/>
          <w:highlight w:val="green"/>
        </w:rPr>
        <w:instrText xml:space="preserve"> REF _Ref447373880 \r \h  \* MERGEFORMAT </w:instrText>
      </w:r>
      <w:r>
        <w:rPr>
          <w:rFonts w:ascii="Times New Roman" w:hAnsi="Times New Roman" w:eastAsiaTheme="majorEastAsia" w:cs="Times New Roman"/>
          <w:sz w:val="24"/>
          <w:szCs w:val="24"/>
          <w:highlight w:val="green"/>
        </w:rPr>
        <w:fldChar w:fldCharType="separate"/>
      </w:r>
      <w:r>
        <w:rPr>
          <w:rFonts w:ascii="Times New Roman" w:hAnsi="Times New Roman" w:eastAsiaTheme="majorEastAsia" w:cs="Times New Roman"/>
          <w:sz w:val="24"/>
          <w:szCs w:val="24"/>
          <w:highlight w:val="green"/>
        </w:rPr>
        <w:t>[81]</w:t>
      </w:r>
      <w:r>
        <w:rPr>
          <w:rFonts w:ascii="Times New Roman" w:hAnsi="Times New Roman" w:eastAsiaTheme="majorEastAsia" w:cs="Times New Roman"/>
          <w:sz w:val="24"/>
          <w:szCs w:val="24"/>
          <w:highlight w:val="green"/>
        </w:rPr>
        <w:fldChar w:fldCharType="end"/>
      </w:r>
      <w:r>
        <w:rPr>
          <w:rFonts w:ascii="Times New Roman" w:hAnsi="Times New Roman" w:eastAsiaTheme="majorEastAsia" w:cs="Times New Roman"/>
          <w:sz w:val="24"/>
          <w:szCs w:val="24"/>
          <w:highlight w:val="green"/>
        </w:rPr>
        <w:fldChar w:fldCharType="begin"/>
      </w:r>
      <w:r>
        <w:rPr>
          <w:rFonts w:ascii="Times New Roman" w:hAnsi="Times New Roman" w:eastAsiaTheme="majorEastAsia" w:cs="Times New Roman"/>
          <w:sz w:val="24"/>
          <w:szCs w:val="24"/>
          <w:highlight w:val="green"/>
        </w:rPr>
        <w:instrText xml:space="preserve"> REF _Ref447373881 \r \h  \* MERGEFORMAT </w:instrText>
      </w:r>
      <w:r>
        <w:rPr>
          <w:rFonts w:ascii="Times New Roman" w:hAnsi="Times New Roman" w:eastAsiaTheme="majorEastAsia" w:cs="Times New Roman"/>
          <w:sz w:val="24"/>
          <w:szCs w:val="24"/>
          <w:highlight w:val="green"/>
        </w:rPr>
        <w:fldChar w:fldCharType="separate"/>
      </w:r>
      <w:r>
        <w:rPr>
          <w:rFonts w:ascii="Times New Roman" w:hAnsi="Times New Roman" w:eastAsiaTheme="majorEastAsia" w:cs="Times New Roman"/>
          <w:sz w:val="24"/>
          <w:szCs w:val="24"/>
          <w:highlight w:val="green"/>
        </w:rPr>
        <w:t>[82]</w:t>
      </w:r>
      <w:r>
        <w:rPr>
          <w:rFonts w:ascii="Times New Roman" w:hAnsi="Times New Roman" w:eastAsiaTheme="majorEastAsia" w:cs="Times New Roman"/>
          <w:sz w:val="24"/>
          <w:szCs w:val="24"/>
          <w:highlight w:val="green"/>
        </w:rPr>
        <w:fldChar w:fldCharType="end"/>
      </w:r>
      <w:r>
        <w:rPr>
          <w:rFonts w:ascii="Times New Roman" w:hAnsi="Times New Roman" w:eastAsiaTheme="majorEastAsia" w:cs="Times New Roman"/>
          <w:sz w:val="24"/>
          <w:szCs w:val="24"/>
          <w:highlight w:val="green"/>
        </w:rPr>
        <w:fldChar w:fldCharType="begin"/>
      </w:r>
      <w:r>
        <w:rPr>
          <w:rFonts w:ascii="Times New Roman" w:hAnsi="Times New Roman" w:eastAsiaTheme="majorEastAsia" w:cs="Times New Roman"/>
          <w:sz w:val="24"/>
          <w:szCs w:val="24"/>
          <w:highlight w:val="green"/>
        </w:rPr>
        <w:instrText xml:space="preserve"> REF _Ref447373883 \r \h  \* MERGEFORMAT </w:instrText>
      </w:r>
      <w:r>
        <w:rPr>
          <w:rFonts w:ascii="Times New Roman" w:hAnsi="Times New Roman" w:eastAsiaTheme="majorEastAsia" w:cs="Times New Roman"/>
          <w:sz w:val="24"/>
          <w:szCs w:val="24"/>
          <w:highlight w:val="green"/>
        </w:rPr>
        <w:fldChar w:fldCharType="separate"/>
      </w:r>
      <w:r>
        <w:rPr>
          <w:rFonts w:ascii="Times New Roman" w:hAnsi="Times New Roman" w:eastAsiaTheme="majorEastAsia" w:cs="Times New Roman"/>
          <w:sz w:val="24"/>
          <w:szCs w:val="24"/>
          <w:highlight w:val="green"/>
        </w:rPr>
        <w:t>[83]</w:t>
      </w:r>
      <w:r>
        <w:rPr>
          <w:rFonts w:ascii="Times New Roman" w:hAnsi="Times New Roman" w:eastAsiaTheme="majorEastAsia" w:cs="Times New Roman"/>
          <w:sz w:val="24"/>
          <w:szCs w:val="24"/>
          <w:highlight w:val="green"/>
        </w:rPr>
        <w:fldChar w:fldCharType="end"/>
      </w:r>
      <w:r>
        <w:rPr>
          <w:rFonts w:ascii="Times New Roman" w:hAnsi="Times New Roman" w:eastAsiaTheme="majorEastAsia" w:cs="Times New Roman" w:hint="eastAsia"/>
          <w:sz w:val="24"/>
          <w:szCs w:val="24"/>
        </w:rPr>
        <w:t>。与</w:t>
      </w:r>
      <w:r>
        <w:rPr>
          <w:rFonts w:ascii="Times New Roman" w:hAnsi="Times New Roman" w:eastAsiaTheme="majorEastAsia" w:cs="Times New Roman"/>
          <w:sz w:val="24"/>
          <w:szCs w:val="24"/>
        </w:rPr>
        <w:t>传统意义上</w:t>
      </w:r>
      <w:r>
        <w:rPr>
          <w:rFonts w:ascii="Times New Roman" w:hAnsi="Times New Roman" w:eastAsiaTheme="majorEastAsia" w:cs="Times New Roman" w:hint="eastAsia"/>
          <w:sz w:val="24"/>
          <w:szCs w:val="24"/>
        </w:rPr>
        <w:t>以</w:t>
      </w:r>
      <w:r>
        <w:rPr>
          <w:rFonts w:ascii="Times New Roman" w:hAnsi="Times New Roman" w:eastAsiaTheme="majorEastAsia" w:cs="Times New Roman"/>
          <w:sz w:val="24"/>
          <w:szCs w:val="24"/>
        </w:rPr>
        <w:t>下转换发光现象为主的荧光有机染料和QDs，基于UCNPs的光学探测器的优势可概况为尖发射带宽，可调发射，高耐光性和低背景自发荧光。</w:t>
      </w:r>
    </w:p>
    <w:p>
      <w:pPr>
        <w:pStyle w:val="Heading2"/>
      </w:pPr>
      <w:r>
        <w:rPr>
          <w:rFonts w:hint="eastAsia"/>
        </w:rPr>
        <w:t>1.</w:t>
      </w:r>
      <w:r>
        <w:t>2</w:t>
      </w:r>
      <w:r>
        <w:t>上转换的发光机制</w:t>
      </w:r>
    </w:p>
    <w:p>
      <w:pPr>
        <w:pStyle w:val="Heading3"/>
        <w:rPr>
          <w:caps/>
        </w:rPr>
      </w:pPr>
      <w:r>
        <w:rPr>
          <w:rFonts w:hint="eastAsia"/>
        </w:rPr>
        <w:t>1.</w:t>
      </w:r>
      <w:r>
        <w:t>2.1 激发态吸收ESA</w:t>
      </w:r>
    </w:p>
    <w:p>
      <w:pPr>
        <w:spacing w:line="360" w:lineRule="auto"/>
        <w:ind w:firstLine="420"/>
        <w:rPr>
          <w:rFonts w:ascii="Times New Roman" w:hAnsi="Times New Roman" w:eastAsiaTheme="majorEastAsia" w:cs="Times New Roman"/>
          <w:sz w:val="24"/>
          <w:szCs w:val="24"/>
        </w:rPr>
        <w:sectPr>
          <w:type w:val="nextPage"/>
          <w:pgSz w:w="11906" w:h="16838"/>
          <w:pgMar w:top="1162" w:right="1270" w:bottom="1162" w:left="1230" w:header="851" w:footer="992" w:gutter="0"/>
          <w:pgNumType w:start="2"/>
          <w:cols w:num="1" w:space="425"/>
          <w:titlePg w:val="0"/>
          <w:docGrid w:type="lines" w:linePitch="312" w:charSpace="0"/>
        </w:sectPr>
      </w:pPr>
      <w:r>
        <w:rPr>
          <w:rFonts w:ascii="Times New Roman" w:hAnsi="Times New Roman" w:eastAsiaTheme="majorEastAsia" w:cs="Times New Roman"/>
          <w:sz w:val="24"/>
          <w:szCs w:val="24"/>
        </w:rPr>
        <w:t>激发态吸收是一个上转换过程，其特征是一个单一离子连续吸收至少两个光子。</w:t>
      </w:r>
      <w:r>
        <w:rPr>
          <w:rFonts w:ascii="Times New Roman" w:hAnsi="Times New Roman" w:eastAsiaTheme="majorEastAsia" w:cs="Times New Roman"/>
          <w:sz w:val="24"/>
          <w:szCs w:val="24"/>
          <w:highlight w:val="yellow"/>
        </w:rPr>
        <w:t>图1a</w:t>
      </w:r>
      <w:r>
        <w:rPr>
          <w:rFonts w:ascii="Times New Roman" w:hAnsi="Times New Roman" w:eastAsiaTheme="majorEastAsia" w:cs="Times New Roman"/>
          <w:sz w:val="24"/>
          <w:szCs w:val="24"/>
        </w:rPr>
        <w:t>给出了此电子跃迁的能级图。离子</w:t>
      </w:r>
      <w:r>
        <w:rPr>
          <w:rFonts w:ascii="Times New Roman" w:hAnsi="Times New Roman" w:eastAsiaTheme="majorEastAsia" w:cs="Times New Roman" w:hint="eastAsia"/>
          <w:sz w:val="24"/>
          <w:szCs w:val="24"/>
        </w:rPr>
        <w:t>中</w:t>
      </w:r>
      <w:r>
        <w:rPr>
          <w:rFonts w:ascii="Times New Roman" w:hAnsi="Times New Roman" w:eastAsiaTheme="majorEastAsia" w:cs="Times New Roman"/>
          <w:sz w:val="24"/>
          <w:szCs w:val="24"/>
        </w:rPr>
        <w:t>的电子最初在电子组态的基态G。如果共振条件被满足，会发生单光子吸收，伴随着基态电子跃迁到第一亚稳激发态E1。这个跃迁过程涉及到基态吸收GSA。亚稳激发态E1的长寿命允许吸收第二个泵浦光子，如果共振条件被满足，激发电子可跃迁到更高的激发态E2。这个过程涉及到激发态跃迁ESA。激发电子返回到G态的辐射弛豫导致发射出一个比吸收的光子具有更高能量光子。如果G与E1。E1与E2的能级差具有相等的间隔，每一个电子跃迁的共振条件是相同的，所以可利用单频的激发光源实现激发。</w:t>
      </w:r>
      <w:r>
        <w:rPr>
          <w:rFonts w:ascii="Times New Roman" w:hAnsi="Times New Roman" w:eastAsiaTheme="majorEastAsia" w:cs="Times New Roman" w:hint="eastAsia"/>
          <w:sz w:val="24"/>
          <w:szCs w:val="24"/>
        </w:rPr>
        <w:t>一般来说，在</w:t>
      </w:r>
      <w:r>
        <w:rPr>
          <w:rFonts w:ascii="Times New Roman" w:hAnsi="Times New Roman" w:eastAsiaTheme="majorEastAsia" w:cs="Times New Roman"/>
          <w:sz w:val="24"/>
          <w:szCs w:val="24"/>
        </w:rPr>
        <w:t>UCNP系统中掺杂离子浓度</w:t>
      </w:r>
      <w:r>
        <w:rPr>
          <w:rFonts w:ascii="Times New Roman" w:hAnsi="Times New Roman" w:eastAsiaTheme="majorEastAsia" w:cs="Times New Roman" w:hint="eastAsia"/>
          <w:sz w:val="24"/>
          <w:szCs w:val="24"/>
        </w:rPr>
        <w:t>相对较低</w:t>
      </w:r>
      <w:r>
        <w:rPr>
          <w:rFonts w:ascii="Times New Roman" w:hAnsi="Times New Roman" w:eastAsiaTheme="majorEastAsia" w:cs="Times New Roman"/>
          <w:sz w:val="24"/>
          <w:szCs w:val="24"/>
        </w:rPr>
        <w:t>和吸收截面</w:t>
      </w:r>
      <w:r>
        <w:rPr>
          <w:rFonts w:ascii="Times New Roman" w:hAnsi="Times New Roman" w:eastAsiaTheme="majorEastAsia" w:cs="Times New Roman" w:hint="eastAsia"/>
          <w:sz w:val="24"/>
          <w:szCs w:val="24"/>
        </w:rPr>
        <w:t>较小</w:t>
      </w:r>
    </w:p>
    <w:p>
      <w:pPr>
        <w:spacing w:line="360" w:lineRule="auto"/>
        <w:ind w:firstLine="420"/>
        <w:rPr>
          <w:rFonts w:ascii="Times New Roman" w:hAnsi="Times New Roman" w:eastAsiaTheme="majorEastAsia" w:cs="Times New Roman"/>
          <w:sz w:val="24"/>
          <w:szCs w:val="24"/>
        </w:rPr>
      </w:pPr>
      <w:r>
        <w:rPr>
          <w:rFonts w:ascii="Times New Roman" w:hAnsi="Times New Roman" w:eastAsiaTheme="majorEastAsia" w:cs="Times New Roman"/>
          <w:sz w:val="24"/>
          <w:szCs w:val="24"/>
        </w:rPr>
        <w:t>，使ESA在不同的上转换机制中效率</w:t>
      </w:r>
      <w:r>
        <w:rPr>
          <w:rFonts w:ascii="Times New Roman" w:hAnsi="Times New Roman" w:eastAsiaTheme="majorEastAsia" w:cs="Times New Roman" w:hint="eastAsia"/>
          <w:sz w:val="24"/>
          <w:szCs w:val="24"/>
        </w:rPr>
        <w:t>都</w:t>
      </w:r>
      <w:r>
        <w:rPr>
          <w:rFonts w:ascii="Times New Roman" w:hAnsi="Times New Roman" w:eastAsiaTheme="majorEastAsia" w:cs="Times New Roman" w:hint="eastAsia"/>
          <w:sz w:val="24"/>
          <w:szCs w:val="24"/>
        </w:rPr>
        <w:t>比拟</w:t>
      </w:r>
      <w:r>
        <w:rPr>
          <w:rFonts w:ascii="Times New Roman" w:hAnsi="Times New Roman" w:eastAsiaTheme="majorEastAsia" w:cs="Times New Roman"/>
          <w:sz w:val="24"/>
          <w:szCs w:val="24"/>
        </w:rPr>
        <w:t>低</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_Ref447372104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_Ref447372110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[91]</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。然而，一些数据已经</w:t>
      </w:r>
      <w:r>
        <w:rPr>
          <w:rFonts w:ascii="Times New Roman" w:hAnsi="Times New Roman" w:eastAsiaTheme="majorEastAsia" w:cs="Times New Roman" w:hint="eastAsia"/>
          <w:sz w:val="24"/>
          <w:szCs w:val="24"/>
        </w:rPr>
        <w:t>证实</w:t>
      </w:r>
      <w:r>
        <w:rPr>
          <w:rFonts w:ascii="Times New Roman" w:hAnsi="Times New Roman" w:eastAsiaTheme="majorEastAsia" w:cs="Times New Roman"/>
          <w:sz w:val="24"/>
          <w:szCs w:val="24"/>
        </w:rPr>
        <w:t>，根据ESA开发的UC材料的发光产率，例如三价Er掺杂的LiYF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的UCNPs</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量子产率约1.2%</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，可</w:t>
      </w:r>
      <w:r>
        <w:rPr>
          <w:rFonts w:ascii="Times New Roman" w:hAnsi="Times New Roman" w:eastAsiaTheme="majorEastAsia" w:cs="Times New Roman" w:hint="eastAsia"/>
          <w:sz w:val="24"/>
          <w:szCs w:val="24"/>
        </w:rPr>
        <w:t>以与那些依托高效</w:t>
      </w:r>
      <w:r>
        <w:rPr>
          <w:rFonts w:ascii="Times New Roman" w:hAnsi="Times New Roman" w:eastAsiaTheme="majorEastAsia" w:cs="Times New Roman"/>
          <w:sz w:val="24"/>
          <w:szCs w:val="24"/>
        </w:rPr>
        <w:t>ETU机制的三价Yb/Er</w:t>
      </w:r>
      <w:r>
        <w:rPr>
          <w:rFonts w:ascii="Times New Roman" w:hAnsi="Times New Roman" w:eastAsiaTheme="majorEastAsia" w:cs="Times New Roman" w:hint="eastAsia"/>
          <w:sz w:val="24"/>
          <w:szCs w:val="24"/>
        </w:rPr>
        <w:t>共</w:t>
      </w:r>
      <w:r>
        <w:rPr>
          <w:rFonts w:ascii="Times New Roman" w:hAnsi="Times New Roman" w:eastAsiaTheme="majorEastAsia" w:cs="Times New Roman"/>
          <w:sz w:val="24"/>
          <w:szCs w:val="24"/>
        </w:rPr>
        <w:t>掺杂材料的发光</w:t>
      </w:r>
      <w:r>
        <w:rPr>
          <w:rFonts w:ascii="Times New Roman" w:hAnsi="Times New Roman" w:eastAsiaTheme="majorEastAsia" w:cs="Times New Roman" w:hint="eastAsia"/>
          <w:sz w:val="24"/>
          <w:szCs w:val="24"/>
        </w:rPr>
        <w:t>效率相当</w:t>
      </w:r>
      <w:r>
        <w:rPr>
          <w:rFonts w:ascii="Times New Roman" w:hAnsi="Times New Roman" w:eastAsiaTheme="majorEastAsia" w:cs="Times New Roman"/>
          <w:sz w:val="24"/>
          <w:szCs w:val="24"/>
        </w:rPr>
        <w:t>。</w:t>
      </w:r>
    </w:p>
    <w:p>
      <w:pPr>
        <w:pStyle w:val="NoSpacing"/>
        <w:jc w:val="center"/>
      </w:pPr>
      <w:r>
        <w:rPr>
          <w:rFonts w:hint="eastAsia"/>
        </w:rPr>
        <w:t>图1. 典型的能量传递过程示意图</w:t>
      </w:r>
      <w:r>
        <w:rPr>
          <w:rFonts w:hint="eastAsia"/>
        </w:rPr>
        <w:t>〔</w:t>
      </w:r>
      <w:r>
        <w:rPr>
          <w:rFonts w:hint="eastAsia"/>
        </w:rPr>
        <w:t>a</w:t>
      </w:r>
      <w:r>
        <w:rPr>
          <w:rFonts w:hint="eastAsia"/>
        </w:rPr>
        <w:t>〕</w:t>
      </w:r>
      <w:r>
        <w:rPr>
          <w:rFonts w:hint="eastAsia"/>
        </w:rPr>
        <w:t>激发态吸收，</w:t>
      </w:r>
      <w:r>
        <w:rPr>
          <w:rFonts w:hint="eastAsia"/>
        </w:rPr>
        <w:t>〔</w:t>
      </w:r>
      <w:r>
        <w:t>b</w:t>
      </w:r>
      <w:r>
        <w:rPr>
          <w:rFonts w:hint="eastAsia"/>
        </w:rPr>
        <w:t>〕</w:t>
      </w:r>
      <w:r>
        <w:rPr>
          <w:rFonts w:hint="eastAsia"/>
        </w:rPr>
        <w:t>能量传递上转换，</w:t>
      </w:r>
      <w:r>
        <w:rPr>
          <w:rFonts w:hint="eastAsia"/>
        </w:rPr>
        <w:t>〔</w:t>
      </w:r>
      <w:r>
        <w:rPr>
          <w:rFonts w:hint="eastAsia"/>
        </w:rPr>
        <w:t>c</w:t>
      </w:r>
      <w:r>
        <w:rPr>
          <w:rFonts w:hint="eastAsia"/>
        </w:rPr>
        <w:t>〕</w:t>
      </w:r>
      <w:r>
        <w:rPr>
          <w:rFonts w:hint="eastAsia"/>
        </w:rPr>
        <w:t>合作上转换，</w:t>
      </w:r>
      <w:r>
        <w:rPr>
          <w:rFonts w:hint="eastAsia"/>
        </w:rPr>
        <w:t>〔</w:t>
      </w:r>
      <w:r>
        <w:rPr>
          <w:rFonts w:hint="eastAsia"/>
        </w:rPr>
        <w:t>d</w:t>
      </w:r>
      <w:r>
        <w:rPr>
          <w:rFonts w:hint="eastAsia"/>
        </w:rPr>
        <w:t>〕</w:t>
      </w:r>
      <w:r>
        <w:rPr>
          <w:rFonts w:hint="eastAsia"/>
        </w:rPr>
        <w:t>光子雪崩，</w:t>
      </w:r>
      <w:r>
        <w:rPr>
          <w:rFonts w:hint="eastAsia"/>
        </w:rPr>
        <w:t>〔</w:t>
      </w:r>
      <w:r>
        <w:rPr>
          <w:rFonts w:hint="eastAsia"/>
        </w:rPr>
        <w:t>e</w:t>
      </w:r>
      <w:r>
        <w:rPr>
          <w:rFonts w:hint="eastAsia"/>
        </w:rPr>
        <w:t>〕</w:t>
      </w:r>
      <w:r>
        <w:rPr>
          <w:rFonts w:hint="eastAsia"/>
        </w:rPr>
        <w:t>能量迁移上转换。</w:t>
      </w:r>
    </w:p>
    <w:p>
      <w:pPr>
        <w:pStyle w:val="Heading3"/>
        <w:rPr>
          <w:caps/>
        </w:rPr>
      </w:pPr>
      <w:r>
        <w:rPr>
          <w:rFonts w:hint="eastAsia"/>
        </w:rPr>
        <w:t>1.</w:t>
      </w:r>
      <w:r>
        <w:t>2.2 能量传递上转换ETU</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通过ETU机制实现的上转换发射和ESA过程具有相同的</w:t>
      </w:r>
      <w:r>
        <w:rPr>
          <w:rFonts w:ascii="Times New Roman" w:hAnsi="Times New Roman" w:eastAsiaTheme="majorEastAsia" w:cs="Times New Roman"/>
          <w:sz w:val="24"/>
          <w:szCs w:val="24"/>
        </w:rPr>
        <w:t>根本</w:t>
      </w:r>
      <w:r>
        <w:rPr>
          <w:rFonts w:ascii="Times New Roman" w:hAnsi="Times New Roman" w:eastAsiaTheme="majorEastAsia" w:cs="Times New Roman"/>
          <w:sz w:val="24"/>
          <w:szCs w:val="24"/>
        </w:rPr>
        <w:t>原理。两个谐振激发光子的连续吸收使最高的亚稳激发态E2的占有数增</w:t>
      </w:r>
      <w:r>
        <w:rPr>
          <w:rFonts w:ascii="Times New Roman" w:hAnsi="Times New Roman" w:eastAsiaTheme="majorEastAsia" w:cs="Times New Roman"/>
          <w:sz w:val="24"/>
          <w:szCs w:val="24"/>
        </w:rPr>
        <w:t>加。ESA机制与ETU机制的本质不同是在于两个邻近离子间存在着非辐射能级传递过程，</w:t>
      </w:r>
      <w:r>
        <w:rPr>
          <w:rFonts w:ascii="Times New Roman" w:hAnsi="Times New Roman" w:eastAsiaTheme="majorEastAsia" w:cs="Times New Roman" w:hint="eastAsia"/>
          <w:sz w:val="24"/>
          <w:szCs w:val="24"/>
        </w:rPr>
        <w:t>见</w:t>
      </w:r>
      <w:r>
        <w:rPr>
          <w:rFonts w:ascii="Times New Roman" w:hAnsi="Times New Roman" w:eastAsiaTheme="majorEastAsia" w:cs="Times New Roman"/>
          <w:sz w:val="24"/>
          <w:szCs w:val="24"/>
        </w:rPr>
        <w:t>图1b。最初在基态电子组态，两个邻近离子根据GSA机制，能被激发到第一亚稳激发态E1。</w:t>
      </w:r>
      <w:r>
        <w:rPr>
          <w:rFonts w:ascii="Times New Roman" w:hAnsi="Times New Roman" w:eastAsiaTheme="majorEastAsia" w:cs="Times New Roman" w:hint="eastAsia"/>
          <w:sz w:val="24"/>
          <w:szCs w:val="24"/>
        </w:rPr>
        <w:t>被激发并实现发光</w:t>
      </w:r>
      <w:r>
        <w:rPr>
          <w:rFonts w:ascii="Times New Roman" w:hAnsi="Times New Roman" w:eastAsiaTheme="majorEastAsia" w:cs="Times New Roman"/>
          <w:sz w:val="24"/>
          <w:szCs w:val="24"/>
        </w:rPr>
        <w:t>离子也称为激发剂，吸收来自邻近离子又称为敏化剂的非辐射能量传递，被进一步激发到更高的亚稳激发态E2，而敏化剂离子回落到G态。这种非辐射能量传递过程以两种方式出现。如果敏化剂的基态和E1态的能量差和激发剂的E1和E2态的能量差相匹配时，能量传递就能在敏化剂经辐射跃迁回落到G态之前发生。如果两者的能量稍微</w:t>
      </w:r>
      <w:r>
        <w:rPr>
          <w:rFonts w:ascii="Times New Roman" w:hAnsi="Times New Roman" w:eastAsiaTheme="majorEastAsia" w:cs="Times New Roman" w:hint="eastAsia"/>
          <w:sz w:val="24"/>
          <w:szCs w:val="24"/>
        </w:rPr>
        <w:t>有</w:t>
      </w:r>
      <w:r>
        <w:rPr>
          <w:rFonts w:ascii="Times New Roman" w:hAnsi="Times New Roman" w:eastAsiaTheme="majorEastAsia" w:cs="Times New Roman"/>
          <w:sz w:val="24"/>
          <w:szCs w:val="24"/>
        </w:rPr>
        <w:t>一点不匹配，为满足共振吸收条件能量传递就</w:t>
      </w:r>
      <w:r>
        <w:rPr>
          <w:rFonts w:ascii="Times New Roman" w:hAnsi="Times New Roman" w:eastAsiaTheme="majorEastAsia" w:cs="Times New Roman" w:hint="eastAsia"/>
          <w:sz w:val="24"/>
          <w:szCs w:val="24"/>
        </w:rPr>
        <w:t>必须通过</w:t>
      </w:r>
      <w:r>
        <w:rPr>
          <w:rFonts w:ascii="Times New Roman" w:hAnsi="Times New Roman" w:eastAsiaTheme="majorEastAsia" w:cs="Times New Roman"/>
          <w:sz w:val="24"/>
          <w:szCs w:val="24"/>
        </w:rPr>
        <w:t>声子辅助</w:t>
      </w:r>
      <w:r>
        <w:rPr>
          <w:rFonts w:ascii="Times New Roman" w:hAnsi="Times New Roman" w:eastAsiaTheme="majorEastAsia" w:cs="Times New Roman" w:hint="eastAsia"/>
          <w:sz w:val="24"/>
          <w:szCs w:val="24"/>
        </w:rPr>
        <w:t>来完成</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hint="eastAsia"/>
          <w:sz w:val="24"/>
          <w:szCs w:val="24"/>
        </w:rPr>
        <w:instrText>REF _Ref447372104 \r \h</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非辐射的能量传递是通过偶极-偶极相互作用实现的；只要存在双电子系统间的库仑重叠，能量传递就能发生。因此，与距离相关的离子对电场的重叠显著影响了ETU机制的效率。上转换的发光效率比由ESA机制产生的效率要高出两个数量级，其主要由ETU过程实现。ETU不仅是上转换发光中最高效的过程，它也是可以设计不同的材料并能广泛实现的过程。</w:t>
      </w:r>
    </w:p>
    <w:p>
      <w:pPr>
        <w:pStyle w:val="Heading3"/>
        <w:rPr>
          <w:caps/>
        </w:rPr>
      </w:pPr>
      <w:r>
        <w:rPr>
          <w:rFonts w:hint="eastAsia"/>
        </w:rPr>
        <w:t>1.</w:t>
      </w:r>
      <w:r>
        <w:t>2.3 合作上转换CUC</w:t>
      </w:r>
    </w:p>
    <w:p>
      <w:pPr>
        <w:spacing w:line="360" w:lineRule="auto"/>
        <w:ind w:firstLine="420"/>
        <w:rPr>
          <w:rFonts w:ascii="Times New Roman" w:hAnsi="Times New Roman" w:eastAsiaTheme="majorEastAsia" w:cs="Times New Roman"/>
          <w:caps/>
          <w:sz w:val="24"/>
          <w:szCs w:val="24"/>
        </w:rPr>
        <w:sectPr>
          <w:type w:val="nextPage"/>
          <w:pgSz w:w="11906" w:h="16838"/>
          <w:pgMar w:top="1162" w:right="1270" w:bottom="1162" w:left="1230" w:header="851" w:footer="992" w:gutter="0"/>
          <w:pgNumType w:start="3"/>
          <w:cols w:num="1" w:space="425"/>
          <w:titlePg w:val="0"/>
          <w:docGrid w:type="lines" w:linePitch="312" w:charSpace="0"/>
        </w:sectPr>
      </w:pPr>
      <w:r>
        <w:rPr>
          <w:rFonts w:ascii="Times New Roman" w:hAnsi="Times New Roman" w:eastAsiaTheme="majorEastAsia" w:cs="Times New Roman"/>
          <w:sz w:val="24"/>
          <w:szCs w:val="24"/>
        </w:rPr>
        <w:t>CUC过程因二级电子跃迁而著名。ETU和ESA过程都是一个中心跃迁，主要涉及两个离子间的能量传递。然而，CUC过程可以在UC材料中一对离子和第三个单离子间发生。</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图1c</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但这种跃迁过程很少能发生，CUC过程可在米到厘米尺寸的样品中实现，例如三价Yb掺杂的玻璃</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_Ref447372138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[92]</w:t>
      </w:r>
      <w:r>
        <w:rPr>
          <w:rFonts w:ascii="Times New Roman" w:hAnsi="Times New Roman" w:eastAsiaTheme="majorEastAsia" w:cs="Times New Roman"/>
          <w:sz w:val="24"/>
          <w:szCs w:val="24"/>
        </w:rPr>
        <w:fldChar w:fldCharType="end"/>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最近，当掺杂离子浓度接近75%，在纳米粒子中，高效率的CUC已经被观测到</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_Ref447372148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。因为CUC过程相对</w:t>
      </w:r>
      <w:r>
        <w:rPr>
          <w:rFonts w:ascii="Times New Roman" w:hAnsi="Times New Roman" w:eastAsiaTheme="majorEastAsia" w:cs="Times New Roman" w:hint="eastAsia"/>
          <w:sz w:val="24"/>
          <w:szCs w:val="24"/>
        </w:rPr>
        <w:t>较</w:t>
      </w:r>
      <w:r>
        <w:rPr>
          <w:rFonts w:ascii="Times New Roman" w:hAnsi="Times New Roman" w:eastAsiaTheme="majorEastAsia" w:cs="Times New Roman"/>
          <w:sz w:val="24"/>
          <w:szCs w:val="24"/>
        </w:rPr>
        <w:t>低的效率，应用CUC过程的材料还没有被应用到生物分析中</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_Ref447372160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_Ref447372161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p>
    <w:p>
      <w:pPr>
        <w:pStyle w:val="Heading3"/>
        <w:rPr>
          <w:caps/>
        </w:rPr>
      </w:pPr>
      <w:r>
        <w:rPr>
          <w:rFonts w:hint="eastAsia"/>
        </w:rPr>
        <w:t>1.</w:t>
      </w:r>
      <w:r>
        <w:t>2.4 光子雪崩效应</w:t>
      </w:r>
      <w:r>
        <w:rPr>
          <w:rFonts w:ascii="Times New Roman" w:hAnsi="Times New Roman" w:eastAsiaTheme="majorEastAsia" w:cs="Times New Roman"/>
          <w:szCs w:val="24"/>
        </w:rPr>
        <w:t>PA</w:t>
      </w:r>
    </w:p>
    <w:p>
      <w:pPr>
        <w:spacing w:line="360" w:lineRule="auto"/>
        <w:ind w:firstLine="420"/>
        <w:rPr>
          <w:rFonts w:ascii="Times New Roman" w:hAnsi="Times New Roman" w:eastAsiaTheme="majorEastAsia" w:cs="Times New Roman"/>
          <w:sz w:val="24"/>
          <w:szCs w:val="24"/>
        </w:rPr>
      </w:pPr>
      <w:r>
        <w:rPr>
          <w:rFonts w:ascii="Times New Roman" w:hAnsi="Times New Roman" w:eastAsiaTheme="majorEastAsia" w:cs="Times New Roman"/>
          <w:sz w:val="24"/>
          <w:szCs w:val="24"/>
        </w:rPr>
        <w:t>PA过程是目前为止最复杂的UC过程。它同时涉及ESA和ETU过程，去实现能够产生UC发射的激发态的离子占有数。PA过程显著特点是</w:t>
      </w:r>
      <w:r>
        <w:rPr>
          <w:rFonts w:ascii="Times New Roman" w:hAnsi="Times New Roman" w:eastAsiaTheme="majorEastAsia" w:cs="Times New Roman" w:hint="eastAsia"/>
          <w:sz w:val="24"/>
          <w:szCs w:val="24"/>
        </w:rPr>
        <w:t>以下</w:t>
      </w:r>
      <w:r>
        <w:rPr>
          <w:rFonts w:ascii="Times New Roman" w:hAnsi="Times New Roman" w:eastAsiaTheme="majorEastAsia" w:cs="Times New Roman"/>
          <w:sz w:val="24"/>
          <w:szCs w:val="24"/>
        </w:rPr>
        <w:t>三个非线性行为：传递，发射，生成时间。后者依靠于泵浦光子功率强度</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。为了准确有力的描述这一个复杂的机制，</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图1d</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采用</w:t>
      </w:r>
      <w:r>
        <w:rPr>
          <w:rFonts w:ascii="Times New Roman" w:hAnsi="Times New Roman" w:eastAsiaTheme="majorEastAsia" w:cs="Times New Roman" w:hint="eastAsia"/>
          <w:sz w:val="24"/>
          <w:szCs w:val="24"/>
        </w:rPr>
        <w:t>了</w:t>
      </w:r>
      <w:r>
        <w:rPr>
          <w:rFonts w:ascii="Times New Roman" w:hAnsi="Times New Roman" w:eastAsiaTheme="majorEastAsia" w:cs="Times New Roman"/>
          <w:sz w:val="24"/>
          <w:szCs w:val="24"/>
        </w:rPr>
        <w:t>一个具有四个不同能级的系统。基态是G，E1、E2、E3分别是其第一、第二、第三激发态，E3是此系统最高的激发态。PA过程开始于</w:t>
      </w:r>
      <w:r>
        <w:rPr>
          <w:rFonts w:ascii="Times New Roman" w:hAnsi="Times New Roman" w:eastAsiaTheme="majorEastAsia" w:cs="Times New Roman" w:hint="eastAsia"/>
          <w:sz w:val="24"/>
          <w:szCs w:val="24"/>
        </w:rPr>
        <w:t>比拟</w:t>
      </w:r>
      <w:r>
        <w:rPr>
          <w:rFonts w:ascii="Times New Roman" w:hAnsi="Times New Roman" w:eastAsiaTheme="majorEastAsia" w:cs="Times New Roman"/>
          <w:sz w:val="24"/>
          <w:szCs w:val="24"/>
        </w:rPr>
        <w:t>弱的非谐振GSA，导致一个电子从基态跃迁到第二亚稳激发态。之后弛豫回落到第一亚稳激发态，</w:t>
      </w:r>
      <w:r>
        <w:rPr>
          <w:rFonts w:ascii="Times New Roman" w:hAnsi="Times New Roman" w:eastAsiaTheme="majorEastAsia" w:cs="Times New Roman" w:hint="eastAsia"/>
          <w:sz w:val="24"/>
          <w:szCs w:val="24"/>
        </w:rPr>
        <w:t>实现了</w:t>
      </w:r>
      <w:r>
        <w:rPr>
          <w:rFonts w:ascii="Times New Roman" w:hAnsi="Times New Roman" w:eastAsiaTheme="majorEastAsia" w:cs="Times New Roman"/>
          <w:sz w:val="24"/>
          <w:szCs w:val="24"/>
        </w:rPr>
        <w:t>离子从基态跃迁到E1态，也导致了邻近离子通过离子对弛豫能量传递过程从基态跃迁到E1态</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入射激发辐射的能量与E1到E3的电子跃迁能相互匹配，因此处于E1能级的电子吸收此能量跃迁至E3态。来自E3态到E1态的非辐射弛豫导致了离子对的弛豫能量传递，又使处于同一离子，或邻近离子，或两者都有的G态的两个离子跃迁到E1态。入射辐射的ESA使处于E1态的离子再跃迁到E3态。这个过程反复重复，导致了处于高激发态E3的离子数</w:t>
      </w:r>
      <w:r>
        <w:rPr>
          <w:rFonts w:ascii="Times New Roman" w:hAnsi="Times New Roman" w:eastAsiaTheme="majorEastAsia" w:cs="Times New Roman" w:hint="eastAsia"/>
          <w:sz w:val="24"/>
          <w:szCs w:val="24"/>
        </w:rPr>
        <w:t>以</w:t>
      </w:r>
      <w:r>
        <w:rPr>
          <w:rFonts w:ascii="Times New Roman" w:hAnsi="Times New Roman" w:eastAsiaTheme="majorEastAsia" w:cs="Times New Roman"/>
          <w:sz w:val="24"/>
          <w:szCs w:val="24"/>
        </w:rPr>
        <w:t>指数形式增加。从E3态到G态的辐射弛豫导致了UC发射。此过程与非谐振的GSA过程紧密相关，</w:t>
      </w:r>
      <w:r>
        <w:rPr>
          <w:rFonts w:ascii="Times New Roman" w:hAnsi="Times New Roman" w:eastAsiaTheme="majorEastAsia" w:cs="Times New Roman" w:hint="eastAsia"/>
          <w:sz w:val="24"/>
          <w:szCs w:val="24"/>
        </w:rPr>
        <w:t>并且</w:t>
      </w:r>
      <w:r>
        <w:rPr>
          <w:rFonts w:ascii="Times New Roman" w:hAnsi="Times New Roman" w:eastAsiaTheme="majorEastAsia" w:cs="Times New Roman"/>
          <w:sz w:val="24"/>
          <w:szCs w:val="24"/>
        </w:rPr>
        <w:t>受限于材料的发射输出。具有PA机制的系统经常表现出</w:t>
      </w:r>
      <w:r>
        <w:rPr>
          <w:rFonts w:ascii="Times New Roman" w:hAnsi="Times New Roman" w:eastAsiaTheme="majorEastAsia" w:cs="Times New Roman" w:hint="eastAsia"/>
          <w:sz w:val="24"/>
          <w:szCs w:val="24"/>
        </w:rPr>
        <w:t>较长</w:t>
      </w:r>
      <w:r>
        <w:rPr>
          <w:rFonts w:ascii="Times New Roman" w:hAnsi="Times New Roman" w:eastAsiaTheme="majorEastAsia" w:cs="Times New Roman"/>
          <w:sz w:val="24"/>
          <w:szCs w:val="24"/>
        </w:rPr>
        <w:t>的</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时间，和对泵浦功率的依赖性，只有</w:t>
      </w:r>
      <w:r>
        <w:rPr>
          <w:rFonts w:ascii="Times New Roman" w:hAnsi="Times New Roman" w:eastAsiaTheme="majorEastAsia" w:cs="Times New Roman"/>
          <w:sz w:val="24"/>
          <w:szCs w:val="24"/>
        </w:rPr>
        <w:t>到达</w:t>
      </w:r>
      <w:r>
        <w:rPr>
          <w:rFonts w:ascii="Times New Roman" w:hAnsi="Times New Roman" w:eastAsiaTheme="majorEastAsia" w:cs="Times New Roman"/>
          <w:sz w:val="24"/>
          <w:szCs w:val="24"/>
        </w:rPr>
        <w:t>足够的基态到激发态的粒子数反转才能</w:t>
      </w:r>
      <w:r>
        <w:rPr>
          <w:rFonts w:ascii="Times New Roman" w:hAnsi="Times New Roman" w:eastAsiaTheme="majorEastAsia" w:cs="Times New Roman" w:hint="eastAsia"/>
          <w:sz w:val="24"/>
          <w:szCs w:val="24"/>
        </w:rPr>
        <w:t>时</w:t>
      </w:r>
      <w:r>
        <w:rPr>
          <w:rFonts w:ascii="Times New Roman" w:hAnsi="Times New Roman" w:eastAsiaTheme="majorEastAsia" w:cs="Times New Roman"/>
          <w:sz w:val="24"/>
          <w:szCs w:val="24"/>
        </w:rPr>
        <w:t>ESA的</w:t>
      </w:r>
      <w:r>
        <w:rPr>
          <w:rFonts w:ascii="Times New Roman" w:hAnsi="Times New Roman" w:eastAsiaTheme="majorEastAsia" w:cs="Times New Roman"/>
          <w:sz w:val="24"/>
          <w:szCs w:val="24"/>
        </w:rPr>
        <w:t>屡次</w:t>
      </w:r>
      <w:r>
        <w:rPr>
          <w:rFonts w:ascii="Times New Roman" w:hAnsi="Times New Roman" w:eastAsiaTheme="majorEastAsia" w:cs="Times New Roman"/>
          <w:sz w:val="24"/>
          <w:szCs w:val="24"/>
        </w:rPr>
        <w:t>循环和交叉弛豫同时发生</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_Ref447372110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[91]</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_Ref447372161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p>
    <w:p>
      <w:pPr>
        <w:pStyle w:val="Heading2"/>
        <w:rPr>
          <w:caps/>
        </w:rPr>
      </w:pPr>
      <w:r>
        <w:rPr>
          <w:rFonts w:hint="eastAsia"/>
        </w:rPr>
        <w:t>1.</w:t>
      </w:r>
      <w:r>
        <w:t xml:space="preserve">3 </w:t>
      </w:r>
      <w:r>
        <w:rPr>
          <w:rFonts w:hint="eastAsia"/>
        </w:rPr>
        <w:t>上转换发光材料</w:t>
      </w:r>
      <w:r>
        <w:t>的组成成分</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hint="eastAsia"/>
          <w:sz w:val="24"/>
          <w:szCs w:val="24"/>
        </w:rPr>
        <w:t>上转换发光材料</w:t>
      </w:r>
      <w:r>
        <w:rPr>
          <w:rFonts w:ascii="Times New Roman" w:hAnsi="Times New Roman" w:eastAsiaTheme="majorEastAsia" w:cs="Times New Roman"/>
          <w:sz w:val="24"/>
          <w:szCs w:val="24"/>
        </w:rPr>
        <w:t>由一个无机晶状体基质晶格构成。一般情况下，三价镧系掺杂离子以低浓度被植入到对光学透明的基质材料中，它主要起支架的作用去恰当地将发光掺杂离子放在一个三维空间中。</w:t>
      </w:r>
      <w:r>
        <w:rPr>
          <w:rFonts w:ascii="Times New Roman" w:hAnsi="Times New Roman" w:eastAsiaTheme="majorEastAsia" w:cs="Times New Roman" w:hint="eastAsia"/>
          <w:sz w:val="24"/>
          <w:szCs w:val="24"/>
        </w:rPr>
        <w:t>对于以</w:t>
      </w:r>
      <w:r>
        <w:rPr>
          <w:rFonts w:ascii="Times New Roman" w:hAnsi="Times New Roman" w:eastAsiaTheme="majorEastAsia" w:cs="Times New Roman"/>
          <w:sz w:val="24"/>
          <w:szCs w:val="24"/>
        </w:rPr>
        <w:t>ETU机制</w:t>
      </w:r>
      <w:r>
        <w:rPr>
          <w:rFonts w:ascii="Times New Roman" w:hAnsi="Times New Roman" w:eastAsiaTheme="majorEastAsia" w:cs="Times New Roman" w:hint="eastAsia"/>
          <w:sz w:val="24"/>
          <w:szCs w:val="24"/>
        </w:rPr>
        <w:t>实现</w:t>
      </w:r>
      <w:r>
        <w:rPr>
          <w:rFonts w:ascii="Times New Roman" w:hAnsi="Times New Roman" w:eastAsiaTheme="majorEastAsia" w:cs="Times New Roman"/>
          <w:sz w:val="24"/>
          <w:szCs w:val="24"/>
        </w:rPr>
        <w:t>的敏化发光</w:t>
      </w:r>
      <w:r>
        <w:rPr>
          <w:rFonts w:ascii="Times New Roman" w:hAnsi="Times New Roman" w:eastAsiaTheme="majorEastAsia" w:cs="Times New Roman" w:hint="eastAsia"/>
          <w:sz w:val="24"/>
          <w:szCs w:val="24"/>
        </w:rPr>
        <w:t>过程</w:t>
      </w:r>
      <w:r>
        <w:rPr>
          <w:rFonts w:ascii="Times New Roman" w:hAnsi="Times New Roman" w:eastAsiaTheme="majorEastAsia" w:cs="Times New Roman"/>
          <w:sz w:val="24"/>
          <w:szCs w:val="24"/>
        </w:rPr>
        <w:t>，掺杂离子的空间分布和离子对离子的距离都</w:t>
      </w:r>
      <w:r>
        <w:rPr>
          <w:rFonts w:ascii="Times New Roman" w:hAnsi="Times New Roman" w:eastAsiaTheme="majorEastAsia" w:cs="Times New Roman" w:hint="eastAsia"/>
          <w:sz w:val="24"/>
          <w:szCs w:val="24"/>
        </w:rPr>
        <w:t>显著</w:t>
      </w:r>
      <w:r>
        <w:rPr>
          <w:rFonts w:ascii="Times New Roman" w:hAnsi="Times New Roman" w:eastAsiaTheme="majorEastAsia" w:cs="Times New Roman"/>
          <w:sz w:val="24"/>
          <w:szCs w:val="24"/>
        </w:rPr>
        <w:t>地影响着UC过程</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_Ref447372110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[91]</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。许多镧系掺杂的基质材料在NIR激发下</w:t>
      </w:r>
      <w:r>
        <w:rPr>
          <w:rFonts w:ascii="Times New Roman" w:hAnsi="Times New Roman" w:eastAsiaTheme="majorEastAsia" w:cs="Times New Roman" w:hint="eastAsia"/>
          <w:sz w:val="24"/>
          <w:szCs w:val="24"/>
        </w:rPr>
        <w:t>都观察</w:t>
      </w:r>
      <w:r>
        <w:rPr>
          <w:rFonts w:ascii="Times New Roman" w:hAnsi="Times New Roman" w:eastAsiaTheme="majorEastAsia" w:cs="Times New Roman"/>
          <w:sz w:val="24"/>
          <w:szCs w:val="24"/>
        </w:rPr>
        <w:t>到了UC发射过程，但想得到发射可控的有效率的UC发光还需要谨慎地考虑基质材料的选择，掺杂离子和掺杂浓度的选择。</w:t>
      </w:r>
    </w:p>
    <w:p>
      <w:pPr>
        <w:pStyle w:val="Heading3"/>
        <w:rPr>
          <w:caps/>
        </w:rPr>
      </w:pPr>
      <w:r>
        <w:rPr>
          <w:rFonts w:hint="eastAsia"/>
        </w:rPr>
        <w:t>1.</w:t>
      </w:r>
      <w:r>
        <w:t>3.1 基质材料的考量</w:t>
      </w:r>
      <w:bookmarkStart w:id="0" w:name="_GoBack"/>
      <w:bookmarkEnd w:id="0"/>
    </w:p>
    <w:p>
      <w:pPr>
        <w:spacing w:line="360" w:lineRule="auto"/>
        <w:ind w:firstLine="420"/>
        <w:rPr>
          <w:rFonts w:ascii="Times New Roman" w:hAnsi="Times New Roman" w:eastAsiaTheme="majorEastAsia" w:cs="Times New Roman"/>
          <w:caps/>
          <w:sz w:val="24"/>
          <w:szCs w:val="24"/>
        </w:rPr>
        <w:sectPr>
          <w:type w:val="nextPage"/>
          <w:pgSz w:w="11906" w:h="16838"/>
          <w:pgMar w:top="1162" w:right="1270" w:bottom="1162" w:left="1230" w:header="851" w:footer="992" w:gutter="0"/>
          <w:pgNumType w:start="4"/>
          <w:cols w:num="1" w:space="425"/>
          <w:titlePg w:val="0"/>
          <w:docGrid w:type="lines" w:linePitch="312" w:charSpace="0"/>
        </w:sectPr>
      </w:pPr>
      <w:r>
        <w:rPr>
          <w:rFonts w:ascii="Times New Roman" w:hAnsi="Times New Roman" w:eastAsiaTheme="majorEastAsia" w:cs="Times New Roman"/>
          <w:sz w:val="24"/>
          <w:szCs w:val="24"/>
        </w:rPr>
        <w:t>基质材料的三维晶格结构就决定了掺杂离子的空间位置</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_Ref447372236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。基质材料的阴离子环境影响着掺杂阳离子的结晶场强，因此要回避Laporte禁止和f-f跃迁</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r>
        <w:rPr>
          <w:rFonts w:ascii="Times New Roman" w:hAnsi="Times New Roman" w:eastAsiaTheme="majorEastAsia" w:cs="Times New Roman" w:hint="eastAsia"/>
          <w:sz w:val="24"/>
          <w:szCs w:val="24"/>
        </w:rPr>
        <w:t>要获得</w:t>
      </w:r>
      <w:r>
        <w:rPr>
          <w:rFonts w:ascii="Times New Roman" w:hAnsi="Times New Roman" w:eastAsiaTheme="majorEastAsia" w:cs="Times New Roman"/>
          <w:sz w:val="24"/>
          <w:szCs w:val="24"/>
        </w:rPr>
        <w:t>最大的发光效率</w:t>
      </w:r>
      <w:r>
        <w:rPr>
          <w:rFonts w:ascii="Times New Roman" w:hAnsi="Times New Roman" w:eastAsiaTheme="majorEastAsia" w:cs="Times New Roman" w:hint="eastAsia"/>
          <w:sz w:val="24"/>
          <w:szCs w:val="24"/>
        </w:rPr>
        <w:t>，除了要实现</w:t>
      </w:r>
      <w:r>
        <w:rPr>
          <w:rFonts w:ascii="Times New Roman" w:hAnsi="Times New Roman" w:eastAsiaTheme="majorEastAsia" w:cs="Times New Roman"/>
          <w:sz w:val="24"/>
          <w:szCs w:val="24"/>
        </w:rPr>
        <w:t>掺杂</w:t>
      </w:r>
      <w:r>
        <w:rPr>
          <w:rFonts w:ascii="Times New Roman" w:hAnsi="Times New Roman" w:eastAsiaTheme="majorEastAsia" w:cs="Times New Roman" w:hint="eastAsia"/>
          <w:sz w:val="24"/>
          <w:szCs w:val="24"/>
        </w:rPr>
        <w:t>离子的</w:t>
      </w:r>
      <w:r>
        <w:rPr>
          <w:rFonts w:ascii="Times New Roman" w:hAnsi="Times New Roman" w:eastAsiaTheme="majorEastAsia" w:cs="Times New Roman"/>
          <w:sz w:val="24"/>
          <w:szCs w:val="24"/>
        </w:rPr>
        <w:t>均匀分布</w:t>
      </w:r>
      <w:r>
        <w:rPr>
          <w:rFonts w:ascii="Times New Roman" w:hAnsi="Times New Roman" w:eastAsiaTheme="majorEastAsia" w:cs="Times New Roman" w:hint="eastAsia"/>
          <w:sz w:val="24"/>
          <w:szCs w:val="24"/>
        </w:rPr>
        <w:t>外</w:t>
      </w:r>
      <w:r>
        <w:rPr>
          <w:rFonts w:ascii="Times New Roman" w:hAnsi="Times New Roman" w:eastAsiaTheme="majorEastAsia" w:cs="Times New Roman"/>
          <w:sz w:val="24"/>
          <w:szCs w:val="24"/>
        </w:rPr>
        <w:t>，</w:t>
      </w:r>
      <w:r>
        <w:rPr>
          <w:rFonts w:ascii="Times New Roman" w:hAnsi="Times New Roman" w:eastAsiaTheme="majorEastAsia" w:cs="Times New Roman" w:hint="eastAsia"/>
          <w:sz w:val="24"/>
          <w:szCs w:val="24"/>
        </w:rPr>
        <w:t>尽量</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回避三价镧系掺杂离子的非辐射电子衰变路径</w:t>
      </w:r>
      <w:r>
        <w:rPr>
          <w:rFonts w:ascii="Times New Roman" w:hAnsi="Times New Roman" w:eastAsiaTheme="majorEastAsia" w:cs="Times New Roman" w:hint="eastAsia"/>
          <w:sz w:val="24"/>
          <w:szCs w:val="24"/>
        </w:rPr>
        <w:t>的出现和效率也是必须考虑的</w:t>
      </w:r>
      <w:r>
        <w:rPr>
          <w:rFonts w:ascii="Times New Roman" w:hAnsi="Times New Roman" w:eastAsiaTheme="majorEastAsia" w:cs="Times New Roman"/>
          <w:sz w:val="24"/>
          <w:szCs w:val="24"/>
        </w:rPr>
        <w:t>。因此，在合理设计发光纳米晶方面，要满足一组标准，包括低的晶格光子能，晶格与掺杂离子的紧密匹配和好的化学稳定性。</w:t>
      </w:r>
    </w:p>
    <w:p>
      <w:pPr>
        <w:spacing w:line="360" w:lineRule="auto"/>
        <w:ind w:firstLine="420"/>
        <w:rPr>
          <w:rFonts w:ascii="Times New Roman" w:hAnsi="Times New Roman" w:eastAsiaTheme="majorEastAsia" w:cs="Times New Roman"/>
          <w:sz w:val="24"/>
          <w:szCs w:val="24"/>
        </w:rPr>
      </w:pPr>
      <w:r>
        <w:rPr>
          <w:rFonts w:ascii="Times New Roman" w:hAnsi="Times New Roman" w:eastAsiaTheme="majorEastAsia" w:cs="Times New Roman"/>
          <w:sz w:val="24"/>
          <w:szCs w:val="24"/>
        </w:rPr>
        <w:t>无论</w:t>
      </w:r>
      <w:r>
        <w:rPr>
          <w:rFonts w:ascii="Times New Roman" w:hAnsi="Times New Roman" w:eastAsiaTheme="majorEastAsia" w:cs="Times New Roman" w:hint="eastAsia"/>
          <w:sz w:val="24"/>
          <w:szCs w:val="24"/>
        </w:rPr>
        <w:t>哪</w:t>
      </w:r>
      <w:r>
        <w:rPr>
          <w:rFonts w:ascii="Times New Roman" w:hAnsi="Times New Roman" w:eastAsiaTheme="majorEastAsia" w:cs="Times New Roman"/>
          <w:sz w:val="24"/>
          <w:szCs w:val="24"/>
        </w:rPr>
        <w:t>个UC过程，</w:t>
      </w:r>
      <w:r>
        <w:rPr>
          <w:rFonts w:ascii="Times New Roman" w:hAnsi="Times New Roman" w:eastAsiaTheme="majorEastAsia" w:cs="Times New Roman" w:hint="eastAsia"/>
          <w:sz w:val="24"/>
          <w:szCs w:val="24"/>
        </w:rPr>
        <w:t>激发态能级的高</w:t>
      </w:r>
      <w:r>
        <w:rPr>
          <w:rFonts w:ascii="Times New Roman" w:hAnsi="Times New Roman" w:eastAsiaTheme="majorEastAsia" w:cs="Times New Roman"/>
          <w:sz w:val="24"/>
          <w:szCs w:val="24"/>
        </w:rPr>
        <w:t>粒子数</w:t>
      </w:r>
      <w:r>
        <w:rPr>
          <w:rFonts w:ascii="Times New Roman" w:hAnsi="Times New Roman" w:eastAsiaTheme="majorEastAsia" w:cs="Times New Roman" w:hint="eastAsia"/>
          <w:sz w:val="24"/>
          <w:szCs w:val="24"/>
        </w:rPr>
        <w:t>布居</w:t>
      </w:r>
      <w:r>
        <w:rPr>
          <w:rFonts w:ascii="Times New Roman" w:hAnsi="Times New Roman" w:eastAsiaTheme="majorEastAsia" w:cs="Times New Roman"/>
          <w:sz w:val="24"/>
          <w:szCs w:val="24"/>
        </w:rPr>
        <w:t>，</w:t>
      </w:r>
      <w:r>
        <w:rPr>
          <w:rFonts w:ascii="Times New Roman" w:hAnsi="Times New Roman" w:eastAsiaTheme="majorEastAsia" w:cs="Times New Roman" w:hint="eastAsia"/>
          <w:sz w:val="24"/>
          <w:szCs w:val="24"/>
        </w:rPr>
        <w:t>拥有</w:t>
      </w:r>
      <w:r>
        <w:rPr>
          <w:rFonts w:ascii="Times New Roman" w:hAnsi="Times New Roman" w:eastAsiaTheme="majorEastAsia" w:cs="Times New Roman"/>
          <w:sz w:val="24"/>
          <w:szCs w:val="24"/>
        </w:rPr>
        <w:t>典型的长寿命亚稳激发态都是</w:t>
      </w:r>
      <w:r>
        <w:rPr>
          <w:rFonts w:ascii="Times New Roman" w:hAnsi="Times New Roman" w:eastAsiaTheme="majorEastAsia" w:cs="Times New Roman"/>
          <w:sz w:val="24"/>
          <w:szCs w:val="24"/>
        </w:rPr>
        <w:t>根本</w:t>
      </w:r>
      <w:r>
        <w:rPr>
          <w:rFonts w:ascii="Times New Roman" w:hAnsi="Times New Roman" w:eastAsiaTheme="majorEastAsia" w:cs="Times New Roman"/>
          <w:sz w:val="24"/>
          <w:szCs w:val="24"/>
        </w:rPr>
        <w:t>条件，并且</w:t>
      </w:r>
      <w:r>
        <w:rPr>
          <w:rFonts w:ascii="Times New Roman" w:hAnsi="Times New Roman" w:eastAsiaTheme="majorEastAsia" w:cs="Times New Roman" w:hint="eastAsia"/>
          <w:sz w:val="24"/>
          <w:szCs w:val="24"/>
        </w:rPr>
        <w:t>要尽量</w:t>
      </w:r>
      <w:r>
        <w:rPr>
          <w:rFonts w:ascii="Times New Roman" w:hAnsi="Times New Roman" w:eastAsiaTheme="majorEastAsia" w:cs="Times New Roman"/>
          <w:sz w:val="24"/>
          <w:szCs w:val="24"/>
        </w:rPr>
        <w:t>有效地减少不产生UC过程的激发态数量</w:t>
      </w:r>
      <w:r>
        <w:rPr>
          <w:rFonts w:ascii="Times New Roman" w:hAnsi="Times New Roman" w:eastAsiaTheme="majorEastAsia" w:cs="Times New Roman" w:hint="eastAsia"/>
          <w:sz w:val="24"/>
          <w:szCs w:val="24"/>
        </w:rPr>
        <w:t>，</w:t>
      </w:r>
      <w:r>
        <w:rPr>
          <w:rFonts w:ascii="Times New Roman" w:hAnsi="Times New Roman" w:eastAsiaTheme="majorEastAsia" w:cs="Times New Roman" w:hint="eastAsia"/>
          <w:sz w:val="24"/>
          <w:szCs w:val="24"/>
        </w:rPr>
        <w:t>防止</w:t>
      </w:r>
      <w:r>
        <w:rPr>
          <w:rFonts w:ascii="Times New Roman" w:hAnsi="Times New Roman" w:eastAsiaTheme="majorEastAsia" w:cs="Times New Roman" w:hint="eastAsia"/>
          <w:sz w:val="24"/>
          <w:szCs w:val="24"/>
        </w:rPr>
        <w:t>发光猝灭</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hint="eastAsia"/>
          <w:sz w:val="24"/>
          <w:szCs w:val="24"/>
        </w:rPr>
        <w:instrText>REF _Ref447372258 \r \h</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。三价镧系离子与基质中的杂质，或者和紧密接近的其他的三价镧系离子间的交叉弛豫能提供</w:t>
      </w:r>
      <w:r>
        <w:rPr>
          <w:rFonts w:ascii="Times New Roman" w:hAnsi="Times New Roman" w:eastAsiaTheme="majorEastAsia" w:cs="Times New Roman" w:hint="eastAsia"/>
          <w:sz w:val="24"/>
          <w:szCs w:val="24"/>
        </w:rPr>
        <w:t>很多</w:t>
      </w:r>
      <w:r>
        <w:rPr>
          <w:rFonts w:ascii="Times New Roman" w:hAnsi="Times New Roman" w:eastAsiaTheme="majorEastAsia" w:cs="Times New Roman"/>
          <w:sz w:val="24"/>
          <w:szCs w:val="24"/>
        </w:rPr>
        <w:t>非辐射的弛豫路径。由非辐射弛豫诱导的光子猝灭是UC系统中主要的非辐射弛豫过程之一。多光子能够在基态与激发态之间的缺口处“架设一座桥</w:t>
      </w:r>
      <w:r>
        <w:rPr>
          <w:rFonts w:ascii="Times New Roman" w:hAnsi="Times New Roman" w:eastAsiaTheme="majorEastAsia" w:cs="Times New Roman"/>
          <w:sz w:val="24"/>
          <w:szCs w:val="24"/>
        </w:rPr>
        <w:t>〞</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通过非辐射能量传递过程有效地使激发态电子返回到基态。根据能隙规</w:t>
      </w:r>
      <w:r>
        <w:rPr>
          <w:rFonts w:ascii="Times New Roman" w:hAnsi="Times New Roman" w:eastAsiaTheme="majorEastAsia" w:cs="Times New Roman"/>
          <w:sz w:val="24"/>
          <w:szCs w:val="24"/>
        </w:rPr>
        <w:t>那么</w:t>
      </w:r>
      <w:r>
        <w:rPr>
          <w:rFonts w:ascii="Times New Roman" w:hAnsi="Times New Roman" w:eastAsiaTheme="majorEastAsia" w:cs="Times New Roman"/>
          <w:sz w:val="24"/>
          <w:szCs w:val="24"/>
          <w:highlight w:val="yellow"/>
        </w:rPr>
        <w:t>〔</w:t>
      </w:r>
      <w:r>
        <w:rPr>
          <w:rFonts w:ascii="Times New Roman" w:hAnsi="Times New Roman" w:eastAsiaTheme="majorEastAsia" w:cs="Times New Roman"/>
          <w:sz w:val="24"/>
          <w:szCs w:val="24"/>
          <w:highlight w:val="yellow"/>
        </w:rPr>
        <w:t>方程1</w:t>
      </w:r>
      <w:r>
        <w:rPr>
          <w:rFonts w:ascii="Times New Roman" w:hAnsi="Times New Roman" w:eastAsiaTheme="majorEastAsia" w:cs="Times New Roman"/>
          <w:sz w:val="24"/>
          <w:szCs w:val="24"/>
          <w:highlight w:val="yellow"/>
        </w:rPr>
        <w:t>〕</w:t>
      </w:r>
      <w:r>
        <w:rPr>
          <w:rFonts w:ascii="Times New Roman" w:hAnsi="Times New Roman" w:eastAsiaTheme="majorEastAsia" w:cs="Times New Roman"/>
          <w:sz w:val="24"/>
          <w:szCs w:val="24"/>
          <w:highlight w:val="yellow"/>
        </w:rPr>
        <w:t>，</w:t>
      </w:r>
      <w:r>
        <w:rPr>
          <w:rFonts w:ascii="Times New Roman" w:hAnsi="Times New Roman" w:eastAsiaTheme="majorEastAsia" w:cs="Times New Roman"/>
          <w:sz w:val="24"/>
          <w:szCs w:val="24"/>
        </w:rPr>
        <w:t>如果一个掺杂离子的能级间的能隙大于6个声子能量</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辐射跃迁将占主导。如果一个掺杂离子的能级间的能隙小于6个声子能量</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非辐射跃迁将占主导</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_Ref447372258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。因此，基质晶格应表现出低声子能去最大化材料的发光量子产率</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。在这个方面，卤化物</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Br，Cl，或者I</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是理想材料</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_Ref447372104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。虽然这些材料有低声子能，但它们的吸湿性和化学不稳定性限制了它们在</w:t>
      </w:r>
      <w:r>
        <w:rPr>
          <w:rFonts w:ascii="Times New Roman" w:hAnsi="Times New Roman" w:eastAsiaTheme="majorEastAsia" w:cs="Times New Roman" w:hint="eastAsia"/>
          <w:sz w:val="24"/>
          <w:szCs w:val="24"/>
        </w:rPr>
        <w:t>很多</w:t>
      </w:r>
      <w:r>
        <w:rPr>
          <w:rFonts w:ascii="Times New Roman" w:hAnsi="Times New Roman" w:eastAsiaTheme="majorEastAsia" w:cs="Times New Roman"/>
          <w:sz w:val="24"/>
          <w:szCs w:val="24"/>
        </w:rPr>
        <w:t>方面的应用。金属氧化物作为基质材料具有优良的化学稳定性，但它们通常表现出高声子能，和低的发光量子产率。最普遍使用的金属氧化物是Y</w:t>
      </w:r>
      <w:r>
        <w:rPr>
          <w:rFonts w:ascii="Times New Roman" w:hAnsi="Times New Roman" w:eastAsiaTheme="majorEastAsia" w:cs="Times New Roman"/>
          <w:sz w:val="24"/>
          <w:szCs w:val="24"/>
          <w:vertAlign w:val="subscript"/>
        </w:rPr>
        <w:t>2</w:t>
      </w:r>
      <w:r>
        <w:rPr>
          <w:rFonts w:ascii="Times New Roman" w:hAnsi="Times New Roman" w:eastAsiaTheme="majorEastAsia" w:cs="Times New Roman"/>
          <w:sz w:val="24"/>
          <w:szCs w:val="24"/>
        </w:rPr>
        <w:t>O</w:t>
      </w:r>
      <w:r>
        <w:rPr>
          <w:rFonts w:ascii="Times New Roman" w:hAnsi="Times New Roman" w:eastAsiaTheme="majorEastAsia" w:cs="Times New Roman"/>
          <w:sz w:val="24"/>
          <w:szCs w:val="24"/>
          <w:vertAlign w:val="subscript"/>
        </w:rPr>
        <w:t>3</w:t>
      </w:r>
      <w:r>
        <w:rPr>
          <w:rFonts w:ascii="Times New Roman" w:hAnsi="Times New Roman" w:eastAsiaTheme="majorEastAsia" w:cs="Times New Roman"/>
          <w:sz w:val="24"/>
          <w:szCs w:val="24"/>
        </w:rPr>
        <w:t>和Y</w:t>
      </w:r>
      <w:r>
        <w:rPr>
          <w:rFonts w:ascii="Times New Roman" w:hAnsi="Times New Roman" w:eastAsiaTheme="majorEastAsia" w:cs="Times New Roman"/>
          <w:sz w:val="24"/>
          <w:szCs w:val="24"/>
          <w:vertAlign w:val="subscript"/>
        </w:rPr>
        <w:t>2</w:t>
      </w:r>
      <w:r>
        <w:rPr>
          <w:rFonts w:ascii="Times New Roman" w:hAnsi="Times New Roman" w:eastAsiaTheme="majorEastAsia" w:cs="Times New Roman"/>
          <w:sz w:val="24"/>
          <w:szCs w:val="24"/>
        </w:rPr>
        <w:t>O</w:t>
      </w:r>
      <w:r>
        <w:rPr>
          <w:rFonts w:ascii="Times New Roman" w:hAnsi="Times New Roman" w:eastAsiaTheme="majorEastAsia" w:cs="Times New Roman"/>
          <w:sz w:val="24"/>
          <w:szCs w:val="24"/>
          <w:vertAlign w:val="subscript"/>
        </w:rPr>
        <w:t>2</w:t>
      </w:r>
      <w:r>
        <w:rPr>
          <w:rFonts w:ascii="Times New Roman" w:hAnsi="Times New Roman" w:eastAsiaTheme="majorEastAsia" w:cs="Times New Roman"/>
          <w:sz w:val="24"/>
          <w:szCs w:val="24"/>
        </w:rPr>
        <w:t>S，在商业应用上可掺杂三价Yb和Er</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_Ref447372308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。氟化物作为基质晶格如NaYF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和NaF</w:t>
      </w:r>
      <w:r>
        <w:rPr>
          <w:rFonts w:ascii="Times New Roman" w:hAnsi="Times New Roman" w:eastAsiaTheme="majorEastAsia" w:cs="Times New Roman"/>
          <w:sz w:val="24"/>
          <w:szCs w:val="24"/>
          <w:vertAlign w:val="subscript"/>
        </w:rPr>
        <w:t>3</w:t>
      </w:r>
      <w:r>
        <w:rPr>
          <w:rFonts w:ascii="Times New Roman" w:hAnsi="Times New Roman" w:eastAsiaTheme="majorEastAsia" w:cs="Times New Roman"/>
          <w:sz w:val="24"/>
          <w:szCs w:val="24"/>
        </w:rPr>
        <w:t>具有化学稳定性，也需要亲水性和足够低的声子能去确保高的发光效率</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_Ref447372104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。通常使用的基质材料的声子能</w:t>
      </w:r>
      <w:r>
        <w:rPr>
          <w:rFonts w:ascii="Times New Roman" w:hAnsi="Times New Roman" w:eastAsiaTheme="majorEastAsia" w:cs="Times New Roman"/>
          <w:sz w:val="24"/>
          <w:szCs w:val="24"/>
          <w:highlight w:val="yellow"/>
        </w:rPr>
        <w:t>见表1</w:t>
      </w:r>
      <w:r>
        <w:rPr>
          <w:rFonts w:ascii="Times New Roman" w:hAnsi="Times New Roman" w:eastAsiaTheme="majorEastAsia" w:cs="Times New Roman"/>
          <w:sz w:val="24"/>
          <w:szCs w:val="24"/>
        </w:rPr>
        <w:t>.</w:t>
      </w:r>
    </w:p>
    <w:p>
      <w:pPr>
        <w:spacing w:line="360" w:lineRule="auto"/>
        <w:jc w:val="center"/>
        <w:rPr>
          <w:rFonts w:ascii="Times New Roman" w:hAnsi="Times New Roman" w:eastAsiaTheme="majorEastAsia" w:cs="Times New Roman"/>
          <w:sz w:val="24"/>
          <w:szCs w:val="24"/>
        </w:rPr>
      </w:pPr>
      <w:r>
        <w:rPr>
          <w:rFonts w:ascii="Times New Roman" w:hAnsi="Times New Roman" w:eastAsiaTheme="majorEastAsia" w:cs="Times New Roman" w:hint="eastAsia"/>
          <w:sz w:val="24"/>
          <w:szCs w:val="24"/>
        </w:rPr>
        <w:t>表1 通常的纳米晶基质晶格材料的声子能量</w:t>
      </w:r>
    </w:p>
    <w:tbl>
      <w:tblPr>
        <w:tblStyle w:val="TableGrid0"/>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840"/>
        <w:gridCol w:w="2841"/>
        <w:gridCol w:w="2841"/>
      </w:tblGrid>
      <w:tr>
        <w:tblPrEx>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840" w:type="dxa"/>
          </w:tcPr>
          <w:p>
            <w:pPr>
              <w:spacing w:line="360" w:lineRule="auto"/>
              <w:rPr>
                <w:rFonts w:ascii="Times New Roman" w:hAnsi="Times New Roman" w:eastAsiaTheme="majorEastAsia" w:cs="Times New Roman"/>
                <w:sz w:val="24"/>
                <w:szCs w:val="24"/>
              </w:rPr>
            </w:pPr>
            <w:r>
              <w:rPr>
                <w:rFonts w:ascii="Times New Roman" w:hAnsi="Times New Roman" w:eastAsiaTheme="majorEastAsia" w:cs="Times New Roman" w:hint="eastAsia"/>
                <w:sz w:val="24"/>
                <w:szCs w:val="24"/>
              </w:rPr>
              <w:t>材料</w:t>
            </w:r>
          </w:p>
        </w:tc>
        <w:tc>
          <w:tcPr>
            <w:tcW w:w="2841" w:type="dxa"/>
          </w:tcPr>
          <w:p>
            <w:pPr>
              <w:spacing w:line="360" w:lineRule="auto"/>
              <w:rPr>
                <w:rFonts w:ascii="Times New Roman" w:hAnsi="Times New Roman" w:eastAsiaTheme="majorEastAsia" w:cs="Times New Roman"/>
                <w:sz w:val="24"/>
                <w:szCs w:val="24"/>
              </w:rPr>
            </w:pPr>
            <w:r>
              <w:rPr>
                <w:rFonts w:ascii="Times New Roman" w:hAnsi="Times New Roman" w:eastAsiaTheme="majorEastAsia" w:cs="Times New Roman" w:hint="eastAsia"/>
                <w:sz w:val="24"/>
                <w:szCs w:val="24"/>
              </w:rPr>
              <w:t>最高声子能量</w:t>
            </w:r>
            <w:r>
              <w:rPr>
                <w:rFonts w:ascii="Times New Roman" w:hAnsi="Times New Roman" w:eastAsiaTheme="majorEastAsia" w:cs="Times New Roman" w:hint="eastAsia"/>
                <w:sz w:val="24"/>
                <w:szCs w:val="24"/>
              </w:rPr>
              <w:t>〔</w:t>
            </w:r>
            <w:r>
              <w:rPr>
                <w:rFonts w:ascii="Times New Roman" w:hAnsi="Times New Roman" w:eastAsiaTheme="majorEastAsia" w:cs="Times New Roman" w:hint="eastAsia"/>
                <w:sz w:val="24"/>
                <w:szCs w:val="24"/>
              </w:rPr>
              <w:t>cm</w:t>
            </w:r>
            <w:r>
              <w:rPr>
                <w:rFonts w:ascii="Times New Roman" w:hAnsi="Times New Roman" w:eastAsiaTheme="majorEastAsia" w:cs="Times New Roman" w:hint="eastAsia"/>
                <w:sz w:val="24"/>
                <w:szCs w:val="24"/>
                <w:vertAlign w:val="superscript"/>
              </w:rPr>
              <w:t>-1</w:t>
            </w:r>
            <w:r>
              <w:rPr>
                <w:rFonts w:ascii="Times New Roman" w:hAnsi="Times New Roman" w:eastAsiaTheme="majorEastAsia" w:cs="Times New Roman" w:hint="eastAsia"/>
                <w:sz w:val="24"/>
                <w:szCs w:val="24"/>
              </w:rPr>
              <w:t>〕</w:t>
            </w:r>
          </w:p>
        </w:tc>
        <w:tc>
          <w:tcPr>
            <w:tcW w:w="2841" w:type="dxa"/>
          </w:tcPr>
          <w:p>
            <w:pPr>
              <w:spacing w:line="360" w:lineRule="auto"/>
              <w:rPr>
                <w:rFonts w:ascii="Times New Roman" w:hAnsi="Times New Roman" w:eastAsiaTheme="majorEastAsia" w:cs="Times New Roman"/>
                <w:sz w:val="24"/>
                <w:szCs w:val="24"/>
              </w:rPr>
            </w:pPr>
            <w:r>
              <w:rPr>
                <w:rFonts w:ascii="Times New Roman" w:hAnsi="Times New Roman" w:eastAsiaTheme="majorEastAsia" w:cs="Times New Roman" w:hint="eastAsia"/>
                <w:sz w:val="24"/>
                <w:szCs w:val="24"/>
              </w:rPr>
              <w:t>参考文献</w:t>
            </w:r>
          </w:p>
        </w:tc>
      </w:tr>
      <w:tr>
        <w:tblPrEx>
          <w:tblW w:w="8522" w:type="dxa"/>
          <w:tblInd w:w="0" w:type="dxa"/>
          <w:tblLayout w:type="fixed"/>
          <w:tblCellMar>
            <w:top w:w="0" w:type="dxa"/>
            <w:left w:w="108" w:type="dxa"/>
            <w:bottom w:w="0" w:type="dxa"/>
            <w:right w:w="108" w:type="dxa"/>
          </w:tblCellMar>
        </w:tblPrEx>
        <w:tc>
          <w:tcPr>
            <w:tcW w:w="2840" w:type="dxa"/>
          </w:tcPr>
          <w:p>
            <w:pPr>
              <w:spacing w:line="360" w:lineRule="auto"/>
              <w:rPr>
                <w:rFonts w:ascii="Times New Roman" w:hAnsi="Times New Roman" w:eastAsiaTheme="majorEastAsia" w:cs="Times New Roman"/>
                <w:sz w:val="24"/>
                <w:szCs w:val="24"/>
              </w:rPr>
            </w:pPr>
            <w:r>
              <w:rPr>
                <w:rFonts w:ascii="Times New Roman" w:hAnsi="Times New Roman" w:eastAsiaTheme="majorEastAsia" w:cs="Times New Roman" w:hint="eastAsia"/>
                <w:sz w:val="24"/>
                <w:szCs w:val="24"/>
              </w:rPr>
              <w:t>磷酸盐玻璃</w:t>
            </w:r>
          </w:p>
        </w:tc>
        <w:tc>
          <w:tcPr>
            <w:tcW w:w="2841" w:type="dxa"/>
          </w:tcPr>
          <w:p>
            <w:pPr>
              <w:spacing w:line="360" w:lineRule="auto"/>
              <w:rPr>
                <w:rFonts w:ascii="Times New Roman" w:hAnsi="Times New Roman" w:eastAsiaTheme="majorEastAsia" w:cs="Times New Roman"/>
                <w:sz w:val="24"/>
                <w:szCs w:val="24"/>
              </w:rPr>
            </w:pPr>
          </w:p>
        </w:tc>
        <w:tc>
          <w:tcPr>
            <w:tcW w:w="2841" w:type="dxa"/>
          </w:tcPr>
          <w:p>
            <w:pPr>
              <w:spacing w:line="360" w:lineRule="auto"/>
              <w:rPr>
                <w:rFonts w:ascii="Times New Roman" w:hAnsi="Times New Roman" w:eastAsiaTheme="majorEastAsia" w:cs="Times New Roman"/>
                <w:sz w:val="24"/>
                <w:szCs w:val="24"/>
              </w:rPr>
            </w:pPr>
          </w:p>
        </w:tc>
      </w:tr>
      <w:tr>
        <w:tblPrEx>
          <w:tblW w:w="8522" w:type="dxa"/>
          <w:tblInd w:w="0" w:type="dxa"/>
          <w:tblLayout w:type="fixed"/>
          <w:tblCellMar>
            <w:top w:w="0" w:type="dxa"/>
            <w:left w:w="108" w:type="dxa"/>
            <w:bottom w:w="0" w:type="dxa"/>
            <w:right w:w="108" w:type="dxa"/>
          </w:tblCellMar>
        </w:tblPrEx>
        <w:tc>
          <w:tcPr>
            <w:tcW w:w="2840" w:type="dxa"/>
          </w:tcPr>
          <w:p>
            <w:pPr>
              <w:spacing w:line="360" w:lineRule="auto"/>
              <w:rPr>
                <w:rFonts w:ascii="Times New Roman" w:hAnsi="Times New Roman" w:eastAsiaTheme="majorEastAsia" w:cs="Times New Roman"/>
                <w:sz w:val="24"/>
                <w:szCs w:val="24"/>
              </w:rPr>
            </w:pPr>
            <w:r>
              <w:rPr>
                <w:rFonts w:ascii="Times New Roman" w:hAnsi="Times New Roman" w:eastAsiaTheme="majorEastAsia" w:cs="Times New Roman" w:hint="eastAsia"/>
                <w:sz w:val="24"/>
                <w:szCs w:val="24"/>
              </w:rPr>
              <w:t>硅酸盐玻璃</w:t>
            </w:r>
          </w:p>
        </w:tc>
        <w:tc>
          <w:tcPr>
            <w:tcW w:w="2841" w:type="dxa"/>
          </w:tcPr>
          <w:p>
            <w:pPr>
              <w:spacing w:line="360" w:lineRule="auto"/>
              <w:rPr>
                <w:rFonts w:ascii="Times New Roman" w:hAnsi="Times New Roman" w:eastAsiaTheme="majorEastAsia" w:cs="Times New Roman"/>
                <w:sz w:val="24"/>
                <w:szCs w:val="24"/>
              </w:rPr>
            </w:pPr>
          </w:p>
        </w:tc>
        <w:tc>
          <w:tcPr>
            <w:tcW w:w="2841" w:type="dxa"/>
          </w:tcPr>
          <w:p>
            <w:pPr>
              <w:spacing w:line="360" w:lineRule="auto"/>
              <w:rPr>
                <w:rFonts w:ascii="Times New Roman" w:hAnsi="Times New Roman" w:eastAsiaTheme="majorEastAsia" w:cs="Times New Roman"/>
                <w:sz w:val="24"/>
                <w:szCs w:val="24"/>
              </w:rPr>
            </w:pPr>
          </w:p>
        </w:tc>
      </w:tr>
      <w:tr>
        <w:tblPrEx>
          <w:tblW w:w="8522" w:type="dxa"/>
          <w:tblInd w:w="0" w:type="dxa"/>
          <w:tblLayout w:type="fixed"/>
          <w:tblCellMar>
            <w:top w:w="0" w:type="dxa"/>
            <w:left w:w="108" w:type="dxa"/>
            <w:bottom w:w="0" w:type="dxa"/>
            <w:right w:w="108" w:type="dxa"/>
          </w:tblCellMar>
        </w:tblPrEx>
        <w:tc>
          <w:tcPr>
            <w:tcW w:w="2840" w:type="dxa"/>
          </w:tcPr>
          <w:p>
            <w:pPr>
              <w:spacing w:line="360" w:lineRule="auto"/>
              <w:rPr>
                <w:rFonts w:ascii="Times New Roman" w:hAnsi="Times New Roman" w:eastAsiaTheme="majorEastAsia" w:cs="Times New Roman"/>
                <w:sz w:val="24"/>
                <w:szCs w:val="24"/>
              </w:rPr>
            </w:pPr>
          </w:p>
        </w:tc>
        <w:tc>
          <w:tcPr>
            <w:tcW w:w="2841" w:type="dxa"/>
          </w:tcPr>
          <w:p>
            <w:pPr>
              <w:spacing w:line="360" w:lineRule="auto"/>
              <w:rPr>
                <w:rFonts w:ascii="Times New Roman" w:hAnsi="Times New Roman" w:eastAsiaTheme="majorEastAsia" w:cs="Times New Roman"/>
                <w:sz w:val="24"/>
                <w:szCs w:val="24"/>
              </w:rPr>
            </w:pPr>
          </w:p>
        </w:tc>
        <w:tc>
          <w:tcPr>
            <w:tcW w:w="2841" w:type="dxa"/>
          </w:tcPr>
          <w:p>
            <w:pPr>
              <w:spacing w:line="360" w:lineRule="auto"/>
              <w:rPr>
                <w:rFonts w:ascii="Times New Roman" w:hAnsi="Times New Roman" w:eastAsiaTheme="majorEastAsia" w:cs="Times New Roman"/>
                <w:sz w:val="24"/>
                <w:szCs w:val="24"/>
              </w:rPr>
            </w:pPr>
          </w:p>
        </w:tc>
      </w:tr>
      <w:tr>
        <w:tblPrEx>
          <w:tblW w:w="8522" w:type="dxa"/>
          <w:tblInd w:w="0" w:type="dxa"/>
          <w:tblLayout w:type="fixed"/>
          <w:tblCellMar>
            <w:top w:w="0" w:type="dxa"/>
            <w:left w:w="108" w:type="dxa"/>
            <w:bottom w:w="0" w:type="dxa"/>
            <w:right w:w="108" w:type="dxa"/>
          </w:tblCellMar>
        </w:tblPrEx>
        <w:tc>
          <w:tcPr>
            <w:tcW w:w="2840" w:type="dxa"/>
          </w:tcPr>
          <w:p>
            <w:pPr>
              <w:spacing w:line="360" w:lineRule="auto"/>
              <w:rPr>
                <w:rFonts w:ascii="Times New Roman" w:hAnsi="Times New Roman" w:eastAsiaTheme="majorEastAsia" w:cs="Times New Roman"/>
                <w:sz w:val="24"/>
                <w:szCs w:val="24"/>
              </w:rPr>
            </w:pPr>
          </w:p>
        </w:tc>
        <w:tc>
          <w:tcPr>
            <w:tcW w:w="2841" w:type="dxa"/>
          </w:tcPr>
          <w:p>
            <w:pPr>
              <w:spacing w:line="360" w:lineRule="auto"/>
              <w:rPr>
                <w:rFonts w:ascii="Times New Roman" w:hAnsi="Times New Roman" w:eastAsiaTheme="majorEastAsia" w:cs="Times New Roman"/>
                <w:sz w:val="24"/>
                <w:szCs w:val="24"/>
              </w:rPr>
            </w:pPr>
          </w:p>
        </w:tc>
        <w:tc>
          <w:tcPr>
            <w:tcW w:w="2841" w:type="dxa"/>
          </w:tcPr>
          <w:p>
            <w:pPr>
              <w:spacing w:line="360" w:lineRule="auto"/>
              <w:rPr>
                <w:rFonts w:ascii="Times New Roman" w:hAnsi="Times New Roman" w:eastAsiaTheme="majorEastAsia" w:cs="Times New Roman"/>
                <w:sz w:val="24"/>
                <w:szCs w:val="24"/>
              </w:rPr>
            </w:pPr>
          </w:p>
        </w:tc>
      </w:tr>
      <w:tr>
        <w:tblPrEx>
          <w:tblW w:w="8522" w:type="dxa"/>
          <w:tblInd w:w="0" w:type="dxa"/>
          <w:tblLayout w:type="fixed"/>
          <w:tblCellMar>
            <w:top w:w="0" w:type="dxa"/>
            <w:left w:w="108" w:type="dxa"/>
            <w:bottom w:w="0" w:type="dxa"/>
            <w:right w:w="108" w:type="dxa"/>
          </w:tblCellMar>
        </w:tblPrEx>
        <w:tc>
          <w:tcPr>
            <w:tcW w:w="2840" w:type="dxa"/>
          </w:tcPr>
          <w:p>
            <w:pPr>
              <w:spacing w:line="360" w:lineRule="auto"/>
              <w:rPr>
                <w:rFonts w:ascii="Times New Roman" w:hAnsi="Times New Roman" w:eastAsiaTheme="majorEastAsia" w:cs="Times New Roman"/>
                <w:sz w:val="24"/>
                <w:szCs w:val="24"/>
              </w:rPr>
            </w:pPr>
          </w:p>
        </w:tc>
        <w:tc>
          <w:tcPr>
            <w:tcW w:w="2841" w:type="dxa"/>
          </w:tcPr>
          <w:p>
            <w:pPr>
              <w:spacing w:line="360" w:lineRule="auto"/>
              <w:rPr>
                <w:rFonts w:ascii="Times New Roman" w:hAnsi="Times New Roman" w:eastAsiaTheme="majorEastAsia" w:cs="Times New Roman"/>
                <w:sz w:val="24"/>
                <w:szCs w:val="24"/>
              </w:rPr>
            </w:pPr>
          </w:p>
        </w:tc>
        <w:tc>
          <w:tcPr>
            <w:tcW w:w="2841" w:type="dxa"/>
          </w:tcPr>
          <w:p>
            <w:pPr>
              <w:spacing w:line="360" w:lineRule="auto"/>
              <w:rPr>
                <w:rFonts w:ascii="Times New Roman" w:hAnsi="Times New Roman" w:eastAsiaTheme="majorEastAsia" w:cs="Times New Roman"/>
                <w:sz w:val="24"/>
                <w:szCs w:val="24"/>
              </w:rPr>
            </w:pPr>
          </w:p>
        </w:tc>
      </w:tr>
      <w:tr>
        <w:tblPrEx>
          <w:tblW w:w="8522" w:type="dxa"/>
          <w:tblInd w:w="0" w:type="dxa"/>
          <w:tblLayout w:type="fixed"/>
          <w:tblCellMar>
            <w:top w:w="0" w:type="dxa"/>
            <w:left w:w="108" w:type="dxa"/>
            <w:bottom w:w="0" w:type="dxa"/>
            <w:right w:w="108" w:type="dxa"/>
          </w:tblCellMar>
        </w:tblPrEx>
        <w:tc>
          <w:tcPr>
            <w:tcW w:w="2840" w:type="dxa"/>
          </w:tcPr>
          <w:p>
            <w:pPr>
              <w:spacing w:line="360" w:lineRule="auto"/>
              <w:rPr>
                <w:rFonts w:ascii="Times New Roman" w:hAnsi="Times New Roman" w:eastAsiaTheme="majorEastAsia" w:cs="Times New Roman"/>
                <w:sz w:val="24"/>
                <w:szCs w:val="24"/>
              </w:rPr>
            </w:pPr>
          </w:p>
        </w:tc>
        <w:tc>
          <w:tcPr>
            <w:tcW w:w="2841" w:type="dxa"/>
          </w:tcPr>
          <w:p>
            <w:pPr>
              <w:spacing w:line="360" w:lineRule="auto"/>
              <w:rPr>
                <w:rFonts w:ascii="Times New Roman" w:hAnsi="Times New Roman" w:eastAsiaTheme="majorEastAsia" w:cs="Times New Roman"/>
                <w:sz w:val="24"/>
                <w:szCs w:val="24"/>
              </w:rPr>
            </w:pPr>
          </w:p>
        </w:tc>
        <w:tc>
          <w:tcPr>
            <w:tcW w:w="2841" w:type="dxa"/>
          </w:tcPr>
          <w:p>
            <w:pPr>
              <w:spacing w:line="360" w:lineRule="auto"/>
              <w:rPr>
                <w:rFonts w:ascii="Times New Roman" w:hAnsi="Times New Roman" w:eastAsiaTheme="majorEastAsia" w:cs="Times New Roman"/>
                <w:sz w:val="24"/>
                <w:szCs w:val="24"/>
              </w:rPr>
            </w:pPr>
          </w:p>
        </w:tc>
      </w:tr>
      <w:tr>
        <w:tblPrEx>
          <w:tblW w:w="8522" w:type="dxa"/>
          <w:tblInd w:w="0" w:type="dxa"/>
          <w:tblLayout w:type="fixed"/>
          <w:tblCellMar>
            <w:top w:w="0" w:type="dxa"/>
            <w:left w:w="108" w:type="dxa"/>
            <w:bottom w:w="0" w:type="dxa"/>
            <w:right w:w="108" w:type="dxa"/>
          </w:tblCellMar>
        </w:tblPrEx>
        <w:tc>
          <w:tcPr>
            <w:tcW w:w="2840" w:type="dxa"/>
          </w:tcPr>
          <w:p>
            <w:pPr>
              <w:spacing w:line="360" w:lineRule="auto"/>
              <w:rPr>
                <w:rFonts w:ascii="Times New Roman" w:hAnsi="Times New Roman" w:eastAsiaTheme="majorEastAsia" w:cs="Times New Roman"/>
                <w:sz w:val="24"/>
                <w:szCs w:val="24"/>
              </w:rPr>
            </w:pPr>
          </w:p>
        </w:tc>
        <w:tc>
          <w:tcPr>
            <w:tcW w:w="2841" w:type="dxa"/>
          </w:tcPr>
          <w:p>
            <w:pPr>
              <w:spacing w:line="360" w:lineRule="auto"/>
              <w:rPr>
                <w:rFonts w:ascii="Times New Roman" w:hAnsi="Times New Roman" w:eastAsiaTheme="majorEastAsia" w:cs="Times New Roman"/>
                <w:sz w:val="24"/>
                <w:szCs w:val="24"/>
              </w:rPr>
            </w:pPr>
          </w:p>
        </w:tc>
        <w:tc>
          <w:tcPr>
            <w:tcW w:w="2841" w:type="dxa"/>
          </w:tcPr>
          <w:p>
            <w:pPr>
              <w:spacing w:line="360" w:lineRule="auto"/>
              <w:rPr>
                <w:rFonts w:ascii="Times New Roman" w:hAnsi="Times New Roman" w:eastAsiaTheme="majorEastAsia" w:cs="Times New Roman"/>
                <w:sz w:val="24"/>
                <w:szCs w:val="24"/>
              </w:rPr>
            </w:pPr>
          </w:p>
        </w:tc>
      </w:tr>
    </w:tbl>
    <w:p>
      <w:pPr>
        <w:spacing w:line="360" w:lineRule="auto"/>
        <w:ind w:firstLine="420"/>
        <w:rPr>
          <w:rFonts w:ascii="Times New Roman" w:hAnsi="Times New Roman" w:eastAsiaTheme="majorEastAsia" w:cs="Times New Roman"/>
          <w:caps/>
          <w:sz w:val="24"/>
          <w:szCs w:val="24"/>
        </w:rPr>
        <w:sectPr>
          <w:type w:val="nextPage"/>
          <w:pgSz w:w="11906" w:h="16838"/>
          <w:pgMar w:top="1162" w:right="1270" w:bottom="1162" w:left="1230" w:header="851" w:footer="992" w:gutter="0"/>
          <w:pgNumType w:start="5"/>
          <w:cols w:num="1" w:space="425"/>
          <w:titlePg w:val="0"/>
          <w:docGrid w:type="lines" w:linePitch="312" w:charSpace="0"/>
        </w:sectPr>
      </w:pPr>
      <w:r>
        <w:rPr>
          <w:rFonts w:ascii="Times New Roman" w:hAnsi="Times New Roman" w:eastAsiaTheme="majorEastAsia" w:cs="Times New Roman"/>
          <w:sz w:val="24"/>
          <w:szCs w:val="24"/>
        </w:rPr>
        <w:t>基质晶格声子能的降低能够通过最小化晶格缺陷来实现。理想</w:t>
      </w:r>
      <w:r>
        <w:rPr>
          <w:rFonts w:ascii="Times New Roman" w:hAnsi="Times New Roman" w:eastAsiaTheme="majorEastAsia" w:cs="Times New Roman" w:hint="eastAsia"/>
          <w:sz w:val="24"/>
          <w:szCs w:val="24"/>
        </w:rPr>
        <w:t>状态下</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，基质晶格的间距必须与材料中使用的掺杂离子的晶格间距严密地匹配</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_Ref447372104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r>
        <w:rPr>
          <w:rFonts w:ascii="Times New Roman" w:hAnsi="Times New Roman" w:eastAsiaTheme="majorEastAsia" w:cs="Times New Roman" w:hint="eastAsia"/>
          <w:sz w:val="24"/>
          <w:szCs w:val="24"/>
        </w:rPr>
        <w:t>因为</w:t>
      </w:r>
      <w:r>
        <w:rPr>
          <w:rFonts w:ascii="Times New Roman" w:hAnsi="Times New Roman" w:eastAsiaTheme="majorEastAsia" w:cs="Times New Roman"/>
          <w:sz w:val="24"/>
          <w:szCs w:val="24"/>
        </w:rPr>
        <w:t>三价镧系</w:t>
      </w:r>
      <w:r>
        <w:rPr>
          <w:rFonts w:ascii="Times New Roman" w:hAnsi="Times New Roman" w:eastAsiaTheme="majorEastAsia" w:cs="Times New Roman" w:hint="eastAsia"/>
          <w:sz w:val="24"/>
          <w:szCs w:val="24"/>
        </w:rPr>
        <w:t>离子晶格</w:t>
      </w:r>
      <w:r>
        <w:rPr>
          <w:rFonts w:ascii="Times New Roman" w:hAnsi="Times New Roman" w:eastAsiaTheme="majorEastAsia" w:cs="Times New Roman"/>
          <w:sz w:val="24"/>
          <w:szCs w:val="24"/>
        </w:rPr>
        <w:t>间距与离子半径近似地相同，</w:t>
      </w:r>
      <w:r>
        <w:rPr>
          <w:rFonts w:ascii="Times New Roman" w:hAnsi="Times New Roman" w:eastAsiaTheme="majorEastAsia" w:cs="Times New Roman" w:hint="eastAsia"/>
          <w:sz w:val="24"/>
          <w:szCs w:val="24"/>
        </w:rPr>
        <w:t>所以</w:t>
      </w:r>
      <w:r>
        <w:rPr>
          <w:rFonts w:ascii="Times New Roman" w:hAnsi="Times New Roman" w:eastAsiaTheme="majorEastAsia" w:cs="Times New Roman"/>
          <w:sz w:val="24"/>
          <w:szCs w:val="24"/>
        </w:rPr>
        <w:t>这些化合物的无机盐充当了完美的基质材料</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碱土金属离子如二价Ca，Sr，和Ba，和过渡金属像四价的Zr和Ti，都与镧系离子</w:t>
      </w:r>
      <w:r>
        <w:rPr>
          <w:rFonts w:ascii="Times New Roman" w:hAnsi="Times New Roman" w:eastAsiaTheme="majorEastAsia" w:cs="Times New Roman" w:hint="eastAsia"/>
          <w:sz w:val="24"/>
          <w:szCs w:val="24"/>
        </w:rPr>
        <w:t>间距相近</w:t>
      </w:r>
      <w:r>
        <w:rPr>
          <w:rFonts w:ascii="Times New Roman" w:hAnsi="Times New Roman" w:eastAsiaTheme="majorEastAsia" w:cs="Times New Roman"/>
          <w:sz w:val="24"/>
          <w:szCs w:val="24"/>
        </w:rPr>
        <w:t>，包含这些离子的无机材料也通常被用做基质材料</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。然而，在化学系统中需要保持电中性，所以组成这些材料的镧系掺杂晶体总是要与以晶格空位的形式出现的晶体缺陷的构成相一致，这些经常导致光学性质的妥协</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。基于阳离子的基质材料像Ca，Na，Y，它们与镧系离子的金属半径匹配地很好，能够抵抗住晶格缺陷与晶格压力</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。因此，Na和Ca的氟化物是制备高质量UC材料的最流行选择。到目前为止，利用Tm，Er，Ho作为发光中心</w:t>
      </w:r>
      <w:r>
        <w:rPr>
          <w:rFonts w:ascii="Times New Roman" w:hAnsi="Times New Roman" w:eastAsiaTheme="majorEastAsia" w:cs="Times New Roman" w:hint="eastAsia"/>
          <w:sz w:val="24"/>
          <w:szCs w:val="24"/>
        </w:rPr>
        <w:t>时，</w:t>
      </w:r>
      <w:r>
        <w:rPr>
          <w:rFonts w:ascii="Times New Roman" w:hAnsi="Times New Roman" w:eastAsiaTheme="majorEastAsia" w:cs="Times New Roman"/>
          <w:sz w:val="24"/>
          <w:szCs w:val="24"/>
        </w:rPr>
        <w:t>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是使用最普遍的基质材料。</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镧系掺杂</w:t>
      </w:r>
      <w:r>
        <w:rPr>
          <w:rFonts w:ascii="Times New Roman" w:hAnsi="Times New Roman" w:eastAsiaTheme="majorEastAsia" w:cs="Times New Roman" w:hint="eastAsia"/>
          <w:sz w:val="24"/>
          <w:szCs w:val="24"/>
        </w:rPr>
        <w:t>上转换发光材料</w:t>
      </w:r>
      <w:r>
        <w:rPr>
          <w:rFonts w:ascii="Times New Roman" w:hAnsi="Times New Roman" w:eastAsiaTheme="majorEastAsia" w:cs="Times New Roman"/>
          <w:sz w:val="24"/>
          <w:szCs w:val="24"/>
        </w:rPr>
        <w:t>的UC过程和光学特性也受到基质的大小和基质晶相的影响。例如，NaYF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hint="eastAsia"/>
          <w:sz w:val="24"/>
          <w:szCs w:val="24"/>
        </w:rPr>
        <w:t>通常</w:t>
      </w:r>
      <w:r>
        <w:rPr>
          <w:rFonts w:ascii="Times New Roman" w:hAnsi="Times New Roman" w:eastAsiaTheme="majorEastAsia" w:cs="Times New Roman"/>
          <w:sz w:val="24"/>
          <w:szCs w:val="24"/>
        </w:rPr>
        <w:t>以两个晶相中</w:t>
      </w:r>
      <w:r>
        <w:rPr>
          <w:rFonts w:ascii="Times New Roman" w:hAnsi="Times New Roman" w:eastAsiaTheme="majorEastAsia" w:cs="Times New Roman" w:hint="eastAsia"/>
          <w:sz w:val="24"/>
          <w:szCs w:val="24"/>
        </w:rPr>
        <w:t>的</w:t>
      </w:r>
      <w:r>
        <w:rPr>
          <w:rFonts w:ascii="Times New Roman" w:hAnsi="Times New Roman" w:eastAsiaTheme="majorEastAsia" w:cs="Times New Roman"/>
          <w:sz w:val="24"/>
          <w:szCs w:val="24"/>
        </w:rPr>
        <w:t>一个形式存在；要么是立方相，要么是六方相。共同掺杂Yb和Er的粒子，具有六方相时的UC效率比具有立方相时的效率高一个数量级</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_Ref447372382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[100]</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。具有六边形相的材料所表现出的发光效率的提高可以通过对粒子中掺杂</w:t>
      </w:r>
      <w:r>
        <w:rPr>
          <w:rFonts w:ascii="Times New Roman" w:hAnsi="Times New Roman" w:eastAsiaTheme="majorEastAsia" w:cs="Times New Roman" w:hint="eastAsia"/>
          <w:sz w:val="24"/>
          <w:szCs w:val="24"/>
        </w:rPr>
        <w:t>离子</w:t>
      </w:r>
      <w:r>
        <w:rPr>
          <w:rFonts w:ascii="Times New Roman" w:hAnsi="Times New Roman" w:eastAsiaTheme="majorEastAsia" w:cs="Times New Roman"/>
          <w:sz w:val="24"/>
          <w:szCs w:val="24"/>
        </w:rPr>
        <w:t>所处的环境的研究得到合理的解释。六方相的晶体具有较低的对称性，因此在晶格矩阵中的掺杂</w:t>
      </w:r>
      <w:r>
        <w:rPr>
          <w:rFonts w:ascii="Times New Roman" w:hAnsi="Times New Roman" w:eastAsiaTheme="majorEastAsia" w:cs="Times New Roman" w:hint="eastAsia"/>
          <w:sz w:val="24"/>
          <w:szCs w:val="24"/>
        </w:rPr>
        <w:t>离子</w:t>
      </w:r>
      <w:r>
        <w:rPr>
          <w:rFonts w:ascii="Times New Roman" w:hAnsi="Times New Roman" w:eastAsiaTheme="majorEastAsia" w:cs="Times New Roman"/>
          <w:sz w:val="24"/>
          <w:szCs w:val="24"/>
        </w:rPr>
        <w:t>周围表现出较低的对称晶体场</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_Ref447372382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[100]</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_Ref447372393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[101]</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。这些不对称性通过优化4f能级间的电子耦合程度，增加了Laporte禁止的4f-4f电子跃迁的几率。另外，减少晶格中一个阳离子的离子半径，从而减少晶胞的体积也能导致UC效率</w:t>
      </w:r>
      <w:r>
        <w:rPr>
          <w:rFonts w:ascii="Times New Roman" w:hAnsi="Times New Roman" w:eastAsiaTheme="majorEastAsia" w:cs="Times New Roman" w:hint="eastAsia"/>
          <w:sz w:val="24"/>
          <w:szCs w:val="24"/>
        </w:rPr>
        <w:t>的</w:t>
      </w:r>
      <w:r>
        <w:rPr>
          <w:rFonts w:ascii="Times New Roman" w:hAnsi="Times New Roman" w:eastAsiaTheme="majorEastAsia" w:cs="Times New Roman"/>
          <w:sz w:val="24"/>
          <w:szCs w:val="24"/>
        </w:rPr>
        <w:t>增加。晶胞体积的减少增加了在掺杂离子周围的晶体场强，有效地促进了4f-4f电子跃迁</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_Ref447372400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[102]</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。当分别使用NaYF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和NaLaF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作为基质材料时，两者都掺杂了Yb和Er，前者的发光效率是后者的两倍</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。然而，当粒子中的不对称性增加时，也</w:t>
      </w:r>
      <w:r>
        <w:rPr>
          <w:rFonts w:ascii="Times New Roman" w:hAnsi="Times New Roman" w:eastAsiaTheme="majorEastAsia" w:cs="Times New Roman" w:hint="eastAsia"/>
          <w:sz w:val="24"/>
          <w:szCs w:val="24"/>
        </w:rPr>
        <w:t>会</w:t>
      </w:r>
      <w:r>
        <w:rPr>
          <w:rFonts w:ascii="Times New Roman" w:hAnsi="Times New Roman" w:eastAsiaTheme="majorEastAsia" w:cs="Times New Roman"/>
          <w:sz w:val="24"/>
          <w:szCs w:val="24"/>
        </w:rPr>
        <w:t>导致声子能</w:t>
      </w:r>
      <w:r>
        <w:rPr>
          <w:rFonts w:ascii="Times New Roman" w:hAnsi="Times New Roman" w:eastAsiaTheme="majorEastAsia" w:cs="Times New Roman" w:hint="eastAsia"/>
          <w:sz w:val="24"/>
          <w:szCs w:val="24"/>
        </w:rPr>
        <w:t>的</w:t>
      </w:r>
      <w:r>
        <w:rPr>
          <w:rFonts w:ascii="Times New Roman" w:hAnsi="Times New Roman" w:eastAsiaTheme="majorEastAsia" w:cs="Times New Roman"/>
          <w:sz w:val="24"/>
          <w:szCs w:val="24"/>
        </w:rPr>
        <w:t>增加。高效率的UC材料需要谨慎地对基质晶格进行选择和调整，还需要调整掺杂离子的浓度。</w:t>
      </w:r>
    </w:p>
    <w:p>
      <w:pPr>
        <w:pStyle w:val="Heading3"/>
        <w:rPr>
          <w:caps/>
        </w:rPr>
      </w:pPr>
      <w:r>
        <w:rPr>
          <w:rFonts w:hint="eastAsia"/>
        </w:rPr>
        <w:t>1.</w:t>
      </w:r>
      <w:r>
        <w:t>3.2 激活剂</w:t>
      </w:r>
    </w:p>
    <w:p>
      <w:pPr>
        <w:spacing w:line="360" w:lineRule="auto"/>
        <w:ind w:firstLine="420"/>
        <w:rPr>
          <w:rFonts w:ascii="Times New Roman" w:hAnsi="Times New Roman" w:eastAsiaTheme="majorEastAsia" w:cs="Times New Roman"/>
          <w:caps/>
          <w:sz w:val="24"/>
          <w:szCs w:val="24"/>
        </w:rPr>
        <w:sectPr>
          <w:type w:val="nextPage"/>
          <w:pgSz w:w="11906" w:h="16838"/>
          <w:pgMar w:top="1162" w:right="1270" w:bottom="1162" w:left="1230" w:header="851" w:footer="992" w:gutter="0"/>
          <w:pgNumType w:start="6"/>
          <w:cols w:num="1" w:space="425"/>
          <w:titlePg w:val="0"/>
          <w:docGrid w:type="lines" w:linePitch="312" w:charSpace="0"/>
        </w:sectPr>
      </w:pPr>
      <w:r>
        <w:rPr>
          <w:rFonts w:ascii="Times New Roman" w:hAnsi="Times New Roman" w:eastAsiaTheme="majorEastAsia" w:cs="Times New Roman"/>
          <w:sz w:val="24"/>
          <w:szCs w:val="24"/>
        </w:rPr>
        <w:t>既然无机晶体基质材料并没有参与UC过程，就需要</w:t>
      </w:r>
      <w:r>
        <w:rPr>
          <w:rFonts w:ascii="Times New Roman" w:hAnsi="Times New Roman" w:eastAsiaTheme="majorEastAsia" w:cs="Times New Roman" w:hint="eastAsia"/>
          <w:sz w:val="24"/>
          <w:szCs w:val="24"/>
        </w:rPr>
        <w:t>依靠</w:t>
      </w:r>
      <w:r>
        <w:rPr>
          <w:rFonts w:ascii="Times New Roman" w:hAnsi="Times New Roman" w:eastAsiaTheme="majorEastAsia" w:cs="Times New Roman"/>
          <w:sz w:val="24"/>
          <w:szCs w:val="24"/>
        </w:rPr>
        <w:t>称为激活剂的发光中心。许多三价镧系离子理论上</w:t>
      </w:r>
      <w:r>
        <w:rPr>
          <w:rFonts w:ascii="Times New Roman" w:hAnsi="Times New Roman" w:eastAsiaTheme="majorEastAsia" w:cs="Times New Roman" w:hint="eastAsia"/>
          <w:sz w:val="24"/>
          <w:szCs w:val="24"/>
        </w:rPr>
        <w:t>都</w:t>
      </w:r>
      <w:r>
        <w:rPr>
          <w:rFonts w:ascii="Times New Roman" w:hAnsi="Times New Roman" w:eastAsiaTheme="majorEastAsia" w:cs="Times New Roman"/>
          <w:sz w:val="24"/>
          <w:szCs w:val="24"/>
        </w:rPr>
        <w:t>能够产生UC发射</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因为它们具有多于一个的4f能级</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除去La，Ce，Yb和Lu</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r>
        <w:rPr>
          <w:rFonts w:ascii="Times New Roman" w:hAnsi="Times New Roman" w:eastAsiaTheme="majorEastAsia" w:cs="Times New Roman" w:hint="eastAsia"/>
          <w:sz w:val="24"/>
          <w:szCs w:val="24"/>
        </w:rPr>
        <w:t>有关</w:t>
      </w:r>
      <w:r>
        <w:rPr>
          <w:rFonts w:ascii="Times New Roman" w:hAnsi="Times New Roman" w:eastAsiaTheme="majorEastAsia" w:cs="Times New Roman"/>
          <w:sz w:val="24"/>
          <w:szCs w:val="24"/>
        </w:rPr>
        <w:t>镧系离子电子能级的综述最近已经</w:t>
      </w:r>
      <w:r>
        <w:rPr>
          <w:rFonts w:ascii="Times New Roman" w:hAnsi="Times New Roman" w:eastAsiaTheme="majorEastAsia" w:cs="Times New Roman" w:hint="eastAsia"/>
          <w:sz w:val="24"/>
          <w:szCs w:val="24"/>
        </w:rPr>
        <w:t>发表</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hint="eastAsia"/>
          <w:sz w:val="24"/>
          <w:szCs w:val="24"/>
        </w:rPr>
        <w:instrText>REF _Ref447372429 \r \h</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。在UC材料中使用最多的是Ho，Tm和Er。这些镧系离子提供了长寿命的亚稳激发态</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长达0.1s，归因于低的f-f跃迁几率</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，和多重的以梯形排列的等间距中间亚稳态能级</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_Ref447372236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_Ref447372104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_Ref447372258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_Ref447372308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_Ref447372459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。这些可</w:t>
      </w:r>
      <w:r>
        <w:rPr>
          <w:rFonts w:ascii="Times New Roman" w:hAnsi="Times New Roman" w:eastAsiaTheme="majorEastAsia" w:cs="Times New Roman" w:hint="eastAsia"/>
          <w:sz w:val="24"/>
          <w:szCs w:val="24"/>
        </w:rPr>
        <w:t>由</w:t>
      </w:r>
      <w:r>
        <w:rPr>
          <w:rFonts w:ascii="Times New Roman" w:hAnsi="Times New Roman" w:eastAsiaTheme="majorEastAsia" w:cs="Times New Roman"/>
          <w:sz w:val="24"/>
          <w:szCs w:val="24"/>
        </w:rPr>
        <w:t>图2证明，利用三价Er离子的能级，由</w:t>
      </w:r>
      <w:r>
        <w:rPr>
          <w:rFonts w:ascii="Times New Roman" w:hAnsi="Times New Roman" w:eastAsiaTheme="majorEastAsia" w:cs="Times New Roman" w:hint="eastAsia"/>
          <w:sz w:val="24"/>
          <w:szCs w:val="24"/>
        </w:rPr>
        <w:t>约为</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996nm的IR光子激发会发生至少四个不同的电子跃迁。这四个用虚线表示的激发跃迁具有相似的能级间隙。在相对低的激发强度下，可使用单色激发源，这些等间距的能级可以吸收多重</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至少2个</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光子的相匹配的能量</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_Ref447372470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。通过声子协助和非辐射弛豫产生绿光和红光的路径，在Er掺杂的UCNPs是最普遍的</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。其他的三价镧系离子，</w:t>
      </w:r>
      <w:r>
        <w:rPr>
          <w:rFonts w:ascii="Times New Roman" w:hAnsi="Times New Roman" w:eastAsiaTheme="majorEastAsia" w:cs="Times New Roman" w:hint="eastAsia"/>
          <w:sz w:val="24"/>
          <w:szCs w:val="24"/>
        </w:rPr>
        <w:t>如</w:t>
      </w:r>
      <w:r>
        <w:rPr>
          <w:rFonts w:ascii="Times New Roman" w:hAnsi="Times New Roman" w:eastAsiaTheme="majorEastAsia" w:cs="Times New Roman"/>
          <w:sz w:val="24"/>
          <w:szCs w:val="24"/>
        </w:rPr>
        <w:t>Tb</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Pr</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Dy，</w:t>
      </w:r>
      <w:r>
        <w:rPr>
          <w:rFonts w:ascii="Times New Roman" w:hAnsi="Times New Roman" w:eastAsiaTheme="majorEastAsia" w:cs="Times New Roman" w:hint="eastAsia"/>
          <w:sz w:val="24"/>
          <w:szCs w:val="24"/>
        </w:rPr>
        <w:t>作为激活剂的U</w:t>
      </w:r>
      <w:r>
        <w:rPr>
          <w:rFonts w:ascii="Times New Roman" w:hAnsi="Times New Roman" w:eastAsiaTheme="majorEastAsia" w:cs="Times New Roman"/>
          <w:sz w:val="24"/>
          <w:szCs w:val="24"/>
        </w:rPr>
        <w:t>C材料</w:t>
      </w:r>
      <w:r>
        <w:rPr>
          <w:rFonts w:ascii="Times New Roman" w:hAnsi="Times New Roman" w:eastAsiaTheme="majorEastAsia" w:cs="Times New Roman" w:hint="eastAsia"/>
          <w:sz w:val="24"/>
          <w:szCs w:val="24"/>
        </w:rPr>
        <w:t>研究也已</w:t>
      </w:r>
      <w:r>
        <w:rPr>
          <w:rFonts w:ascii="Times New Roman" w:hAnsi="Times New Roman" w:eastAsiaTheme="majorEastAsia" w:cs="Times New Roman"/>
          <w:sz w:val="24"/>
          <w:szCs w:val="24"/>
        </w:rPr>
        <w:t>报道</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_Ref447372236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p>
    <w:p>
      <w:pPr>
        <w:spacing w:line="360" w:lineRule="auto"/>
        <w:ind w:firstLine="420"/>
        <w:rPr>
          <w:rFonts w:ascii="Times New Roman" w:hAnsi="Times New Roman" w:eastAsiaTheme="majorEastAsia" w:cs="Times New Roman"/>
          <w:sz w:val="24"/>
          <w:szCs w:val="24"/>
        </w:rPr>
      </w:pPr>
      <w:r>
        <w:rPr>
          <w:rFonts w:ascii="Times New Roman" w:hAnsi="Times New Roman" w:eastAsiaTheme="majorEastAsia" w:cs="Times New Roman"/>
          <w:sz w:val="24"/>
          <w:szCs w:val="24"/>
        </w:rPr>
        <w:t>一个UC系统的UC过程</w:t>
      </w:r>
      <w:r>
        <w:rPr>
          <w:rFonts w:ascii="Times New Roman" w:hAnsi="Times New Roman" w:eastAsiaTheme="majorEastAsia" w:cs="Times New Roman" w:hint="eastAsia"/>
          <w:sz w:val="24"/>
          <w:szCs w:val="24"/>
        </w:rPr>
        <w:t>呈</w:t>
      </w:r>
      <w:r>
        <w:rPr>
          <w:rFonts w:ascii="Times New Roman" w:hAnsi="Times New Roman" w:eastAsiaTheme="majorEastAsia" w:cs="Times New Roman"/>
          <w:sz w:val="24"/>
          <w:szCs w:val="24"/>
        </w:rPr>
        <w:t>现</w:t>
      </w:r>
      <w:r>
        <w:rPr>
          <w:rFonts w:ascii="Times New Roman" w:hAnsi="Times New Roman" w:eastAsiaTheme="majorEastAsia" w:cs="Times New Roman" w:hint="eastAsia"/>
          <w:sz w:val="24"/>
          <w:szCs w:val="24"/>
        </w:rPr>
        <w:t>的</w:t>
      </w:r>
      <w:r>
        <w:rPr>
          <w:rFonts w:ascii="Times New Roman" w:hAnsi="Times New Roman" w:eastAsiaTheme="majorEastAsia" w:cs="Times New Roman"/>
          <w:sz w:val="24"/>
          <w:szCs w:val="24"/>
        </w:rPr>
        <w:t>发光强度和效率正比于处于中间态的发射能级的激活离子的粒</w:t>
      </w:r>
      <w:r>
        <w:rPr>
          <w:rFonts w:ascii="Times New Roman" w:hAnsi="Times New Roman" w:eastAsiaTheme="majorEastAsia" w:cs="Times New Roman" w:hint="eastAsia"/>
          <w:sz w:val="24"/>
          <w:szCs w:val="24"/>
        </w:rPr>
        <w:t>子布居</w:t>
      </w:r>
      <w:r>
        <w:rPr>
          <w:rFonts w:ascii="Times New Roman" w:hAnsi="Times New Roman" w:eastAsiaTheme="majorEastAsia" w:cs="Times New Roman"/>
          <w:sz w:val="24"/>
          <w:szCs w:val="24"/>
        </w:rPr>
        <w:t>数</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。影响这一相对布局的重要因素是无辐射多声子弛豫发生的几率。对于三价镧系离子，多声子弛豫比率常数可由下面的</w:t>
      </w:r>
      <w:r>
        <w:rPr>
          <w:rFonts w:ascii="Times New Roman" w:hAnsi="Times New Roman" w:eastAsiaTheme="majorEastAsia" w:cs="Times New Roman"/>
          <w:sz w:val="24"/>
          <w:szCs w:val="24"/>
          <w:highlight w:val="yellow"/>
        </w:rPr>
        <w:t>公式</w:t>
      </w:r>
      <w:r>
        <w:rPr>
          <w:rFonts w:ascii="Times New Roman" w:hAnsi="Times New Roman" w:eastAsiaTheme="majorEastAsia" w:cs="Times New Roman"/>
          <w:sz w:val="24"/>
          <w:szCs w:val="24"/>
          <w:highlight w:val="yellow"/>
        </w:rPr>
        <w:t>〔</w:t>
      </w:r>
      <w:r>
        <w:rPr>
          <w:rFonts w:ascii="Times New Roman" w:hAnsi="Times New Roman" w:eastAsiaTheme="majorEastAsia" w:cs="Times New Roman"/>
          <w:sz w:val="24"/>
          <w:szCs w:val="24"/>
          <w:highlight w:val="yellow"/>
        </w:rPr>
        <w:t>1</w:t>
      </w:r>
      <w:r>
        <w:rPr>
          <w:rFonts w:ascii="Times New Roman" w:hAnsi="Times New Roman" w:eastAsiaTheme="majorEastAsia" w:cs="Times New Roman"/>
          <w:sz w:val="24"/>
          <w:szCs w:val="24"/>
          <w:highlight w:val="yellow"/>
        </w:rPr>
        <w:t>〕</w:t>
      </w:r>
      <w:r>
        <w:rPr>
          <w:rFonts w:ascii="Times New Roman" w:hAnsi="Times New Roman" w:eastAsiaTheme="majorEastAsia" w:cs="Times New Roman"/>
          <w:sz w:val="24"/>
          <w:szCs w:val="24"/>
        </w:rPr>
        <w:t>表示。</w:t>
      </w:r>
    </w:p>
    <w:p>
      <w:pPr>
        <w:spacing w:line="360" w:lineRule="auto"/>
        <w:jc w:val="center"/>
        <w:rPr>
          <w:rFonts w:ascii="Times New Roman" w:hAnsi="Times New Roman" w:eastAsiaTheme="majorEastAsia" w:cs="Times New Roman"/>
          <w:caps/>
          <w:sz w:val="24"/>
          <w:szCs w:val="24"/>
        </w:rPr>
      </w:pPr>
      <w:r>
        <w:rPr>
          <w:rFonts w:ascii="Times New Roman" w:hAnsi="Times New Roman" w:eastAsiaTheme="majorEastAsia" w:cs="Times New Roman" w:hint="eastAsia"/>
          <w:caps/>
          <w:sz w:val="24"/>
          <w:szCs w:val="24"/>
        </w:rPr>
        <w:t xml:space="preserve">                (1)</w:t>
      </w:r>
    </w:p>
    <w:p>
      <w:pPr>
        <w:pStyle w:val="HTMLPreformatted"/>
        <w:shd w:val="clear" w:color="auto" w:fill="FFFFFF"/>
        <w:spacing w:after="150" w:line="360" w:lineRule="auto"/>
        <w:rPr>
          <w:rFonts w:ascii="Times New Roman" w:hAnsi="Times New Roman" w:eastAsiaTheme="majorEastAsia" w:cs="Times New Roman"/>
          <w:caps/>
        </w:rPr>
      </w:pPr>
      <w:r>
        <w:rPr>
          <w:rFonts w:ascii="Times New Roman" w:hAnsi="Times New Roman" w:eastAsiaTheme="majorEastAsia" w:cs="Times New Roman"/>
        </w:rPr>
        <w:t>其中，ΔE表示的是一个能级与其邻近的能量低的能级间的间隙。β是一个常数与基质材料有关，</w:t>
      </w:r>
      <w:r>
        <w:rPr>
          <w:rFonts w:ascii="Cambria Math" w:hAnsi="Cambria Math" w:cs="Cambria Math"/>
          <w:sz w:val="21"/>
          <w:szCs w:val="21"/>
        </w:rPr>
        <w:t>ℏ</w:t>
      </w:r>
      <w:r>
        <w:rPr>
          <w:rFonts w:ascii="Cambria Math" w:hAnsi="Cambria Math" w:cs="Cambria Math" w:hint="eastAsia"/>
          <w:sz w:val="21"/>
          <w:szCs w:val="21"/>
        </w:rPr>
        <w:t>ω</w:t>
      </w:r>
      <w:r>
        <w:rPr>
          <w:rFonts w:ascii="Cambria Math" w:hAnsi="Cambria Math" w:cs="Cambria Math" w:hint="eastAsia"/>
          <w:sz w:val="21"/>
          <w:szCs w:val="21"/>
          <w:vertAlign w:val="subscript"/>
        </w:rPr>
        <w:t>max</w:t>
      </w:r>
      <w:r>
        <w:rPr>
          <w:rFonts w:ascii="Times New Roman" w:hAnsi="Times New Roman" w:eastAsiaTheme="majorEastAsia" w:cs="Times New Roman" w:hint="eastAsia"/>
        </w:rPr>
        <w:t>代表</w:t>
      </w:r>
      <w:r>
        <w:rPr>
          <w:rFonts w:ascii="Times New Roman" w:hAnsi="Times New Roman" w:eastAsiaTheme="majorEastAsia" w:cs="Times New Roman"/>
        </w:rPr>
        <w:t>基质晶格的最大振动模式。这个关系式表示的是能级间隙定律</w:t>
      </w:r>
      <w:r>
        <w:rPr>
          <w:rFonts w:ascii="Times New Roman" w:hAnsi="Times New Roman" w:eastAsiaTheme="majorEastAsia" w:cs="Times New Roman"/>
        </w:rPr>
        <w:fldChar w:fldCharType="begin"/>
      </w:r>
      <w:r>
        <w:rPr>
          <w:rFonts w:ascii="Times New Roman" w:hAnsi="Times New Roman" w:eastAsiaTheme="majorEastAsia" w:cs="Times New Roman"/>
        </w:rPr>
        <w:instrText xml:space="preserve"> REF _Ref447372095 \r \h </w:instrText>
      </w:r>
      <w:r>
        <w:rPr>
          <w:rFonts w:ascii="Times New Roman" w:hAnsi="Times New Roman" w:eastAsiaTheme="majorEastAsia" w:cs="Times New Roman"/>
        </w:rPr>
        <w:fldChar w:fldCharType="separate"/>
      </w:r>
      <w:r>
        <w:rPr>
          <w:rFonts w:ascii="Times New Roman" w:hAnsi="Times New Roman" w:eastAsiaTheme="majorEastAsia" w:cs="Times New Roman"/>
        </w:rPr>
        <w:t>[84]</w:t>
      </w:r>
      <w:r>
        <w:rPr>
          <w:rFonts w:ascii="Times New Roman" w:hAnsi="Times New Roman" w:eastAsiaTheme="majorEastAsia" w:cs="Times New Roman"/>
        </w:rPr>
        <w:fldChar w:fldCharType="end"/>
      </w:r>
      <w:r>
        <w:rPr>
          <w:rFonts w:ascii="Times New Roman" w:hAnsi="Times New Roman" w:eastAsiaTheme="majorEastAsia" w:cs="Times New Roman"/>
        </w:rPr>
        <w:fldChar w:fldCharType="begin"/>
      </w:r>
      <w:r>
        <w:rPr>
          <w:rFonts w:ascii="Times New Roman" w:hAnsi="Times New Roman" w:eastAsiaTheme="majorEastAsia" w:cs="Times New Roman"/>
        </w:rPr>
        <w:instrText xml:space="preserve"> REF _Ref447372177 \r \h </w:instrText>
      </w:r>
      <w:r>
        <w:rPr>
          <w:rFonts w:ascii="Times New Roman" w:hAnsi="Times New Roman" w:eastAsiaTheme="majorEastAsia" w:cs="Times New Roman"/>
        </w:rPr>
        <w:fldChar w:fldCharType="separate"/>
      </w:r>
      <w:r>
        <w:rPr>
          <w:rFonts w:ascii="Times New Roman" w:hAnsi="Times New Roman" w:eastAsiaTheme="majorEastAsia" w:cs="Times New Roman"/>
        </w:rPr>
        <w:t>[86]</w:t>
      </w:r>
      <w:r>
        <w:rPr>
          <w:rFonts w:ascii="Times New Roman" w:hAnsi="Times New Roman" w:eastAsiaTheme="majorEastAsia" w:cs="Times New Roman"/>
        </w:rPr>
        <w:fldChar w:fldCharType="end"/>
      </w:r>
      <w:r>
        <w:rPr>
          <w:rFonts w:ascii="Times New Roman" w:hAnsi="Times New Roman" w:eastAsiaTheme="majorEastAsia" w:cs="Times New Roman"/>
        </w:rPr>
        <w:fldChar w:fldCharType="begin"/>
      </w:r>
      <w:r>
        <w:rPr>
          <w:rFonts w:ascii="Times New Roman" w:hAnsi="Times New Roman" w:eastAsiaTheme="majorEastAsia" w:cs="Times New Roman"/>
        </w:rPr>
        <w:instrText xml:space="preserve"> REF _Ref447372258 \r \h </w:instrText>
      </w:r>
      <w:r>
        <w:rPr>
          <w:rFonts w:ascii="Times New Roman" w:hAnsi="Times New Roman" w:eastAsiaTheme="majorEastAsia" w:cs="Times New Roman"/>
        </w:rPr>
        <w:fldChar w:fldCharType="separate"/>
      </w:r>
      <w:r>
        <w:rPr>
          <w:rFonts w:ascii="Times New Roman" w:hAnsi="Times New Roman" w:eastAsiaTheme="majorEastAsia" w:cs="Times New Roman"/>
        </w:rPr>
        <w:t>[96]</w:t>
      </w:r>
      <w:r>
        <w:rPr>
          <w:rFonts w:ascii="Times New Roman" w:hAnsi="Times New Roman" w:eastAsiaTheme="majorEastAsia" w:cs="Times New Roman"/>
        </w:rPr>
        <w:fldChar w:fldCharType="end"/>
      </w:r>
      <w:r>
        <w:rPr>
          <w:rFonts w:ascii="Times New Roman" w:hAnsi="Times New Roman" w:eastAsiaTheme="majorEastAsia" w:cs="Times New Roman"/>
        </w:rPr>
        <w:t>。这个定律表示多声子弛豫几率随着激活剂的能级间隙的增加而以指数形式减小。依照这个定律，</w:t>
      </w:r>
      <w:r>
        <w:rPr>
          <w:rFonts w:ascii="Times New Roman" w:hAnsi="Times New Roman" w:eastAsiaTheme="majorEastAsia" w:cs="Times New Roman"/>
        </w:rPr>
        <w:t>假设</w:t>
      </w:r>
      <w:r>
        <w:rPr>
          <w:rFonts w:ascii="Times New Roman" w:hAnsi="Times New Roman" w:eastAsiaTheme="majorEastAsia" w:cs="Times New Roman"/>
        </w:rPr>
        <w:t>能级间隙较大，无辐射跃迁是低几率事件</w:t>
      </w:r>
      <w:r>
        <w:rPr>
          <w:rFonts w:ascii="Times New Roman" w:hAnsi="Times New Roman" w:eastAsiaTheme="majorEastAsia" w:cs="Times New Roman"/>
        </w:rPr>
        <w:fldChar w:fldCharType="begin"/>
      </w:r>
      <w:r>
        <w:rPr>
          <w:rFonts w:ascii="Times New Roman" w:hAnsi="Times New Roman" w:eastAsiaTheme="majorEastAsia" w:cs="Times New Roman"/>
        </w:rPr>
        <w:instrText xml:space="preserve"> REF _Ref447372095 \r \h </w:instrText>
      </w:r>
      <w:r>
        <w:rPr>
          <w:rFonts w:ascii="Times New Roman" w:hAnsi="Times New Roman" w:eastAsiaTheme="majorEastAsia" w:cs="Times New Roman"/>
        </w:rPr>
        <w:fldChar w:fldCharType="separate"/>
      </w:r>
      <w:r>
        <w:rPr>
          <w:rFonts w:ascii="Times New Roman" w:hAnsi="Times New Roman" w:eastAsiaTheme="majorEastAsia" w:cs="Times New Roman"/>
        </w:rPr>
        <w:t>[84]</w:t>
      </w:r>
      <w:r>
        <w:rPr>
          <w:rFonts w:ascii="Times New Roman" w:hAnsi="Times New Roman" w:eastAsiaTheme="majorEastAsia" w:cs="Times New Roman"/>
        </w:rPr>
        <w:fldChar w:fldCharType="end"/>
      </w:r>
      <w:r>
        <w:rPr>
          <w:rFonts w:ascii="Times New Roman" w:hAnsi="Times New Roman" w:eastAsiaTheme="majorEastAsia" w:cs="Times New Roman"/>
        </w:rPr>
        <w:fldChar w:fldCharType="begin"/>
      </w:r>
      <w:r>
        <w:rPr>
          <w:rFonts w:ascii="Times New Roman" w:hAnsi="Times New Roman" w:eastAsiaTheme="majorEastAsia" w:cs="Times New Roman"/>
        </w:rPr>
        <w:instrText xml:space="preserve"> REF _Ref447372098 \r \h </w:instrText>
      </w:r>
      <w:r>
        <w:rPr>
          <w:rFonts w:ascii="Times New Roman" w:hAnsi="Times New Roman" w:eastAsiaTheme="majorEastAsia" w:cs="Times New Roman"/>
        </w:rPr>
        <w:fldChar w:fldCharType="separate"/>
      </w:r>
      <w:r>
        <w:rPr>
          <w:rFonts w:ascii="Times New Roman" w:hAnsi="Times New Roman" w:eastAsiaTheme="majorEastAsia" w:cs="Times New Roman"/>
        </w:rPr>
        <w:t>[85]</w:t>
      </w:r>
      <w:r>
        <w:rPr>
          <w:rFonts w:ascii="Times New Roman" w:hAnsi="Times New Roman" w:eastAsiaTheme="majorEastAsia" w:cs="Times New Roman"/>
        </w:rPr>
        <w:fldChar w:fldCharType="end"/>
      </w:r>
      <w:r>
        <w:rPr>
          <w:rFonts w:ascii="Times New Roman" w:hAnsi="Times New Roman" w:eastAsiaTheme="majorEastAsia" w:cs="Times New Roman"/>
        </w:rPr>
        <w:t>。</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原</w:t>
      </w:r>
      <w:r>
        <w:rPr>
          <w:rFonts w:ascii="Times New Roman" w:hAnsi="Times New Roman" w:eastAsiaTheme="majorEastAsia" w:cs="Times New Roman"/>
          <w:sz w:val="24"/>
          <w:szCs w:val="24"/>
        </w:rPr>
        <w:t>那么</w:t>
      </w:r>
      <w:r>
        <w:rPr>
          <w:rFonts w:ascii="Times New Roman" w:hAnsi="Times New Roman" w:eastAsiaTheme="majorEastAsia" w:cs="Times New Roman"/>
          <w:sz w:val="24"/>
          <w:szCs w:val="24"/>
        </w:rPr>
        <w:t>上，UC效率可以仅通过增加粒子中的掺杂离子的浓度而得到</w:t>
      </w:r>
      <w:r>
        <w:rPr>
          <w:rFonts w:ascii="Times New Roman" w:hAnsi="Times New Roman" w:eastAsiaTheme="majorEastAsia" w:cs="Times New Roman"/>
          <w:sz w:val="24"/>
          <w:szCs w:val="24"/>
        </w:rPr>
        <w:t>改良</w:t>
      </w:r>
      <w:r>
        <w:rPr>
          <w:rFonts w:ascii="Times New Roman" w:hAnsi="Times New Roman" w:eastAsiaTheme="majorEastAsia" w:cs="Times New Roman"/>
          <w:sz w:val="24"/>
          <w:szCs w:val="24"/>
        </w:rPr>
        <w:t>。然而，在基质晶格中掺杂离子的</w:t>
      </w:r>
      <w:r>
        <w:rPr>
          <w:rFonts w:ascii="Times New Roman" w:hAnsi="Times New Roman" w:eastAsiaTheme="majorEastAsia" w:cs="Times New Roman" w:hint="eastAsia"/>
          <w:sz w:val="24"/>
          <w:szCs w:val="24"/>
        </w:rPr>
        <w:t>间距</w:t>
      </w:r>
      <w:r>
        <w:rPr>
          <w:rFonts w:ascii="Times New Roman" w:hAnsi="Times New Roman" w:eastAsiaTheme="majorEastAsia" w:cs="Times New Roman"/>
          <w:sz w:val="24"/>
          <w:szCs w:val="24"/>
        </w:rPr>
        <w:t>假设</w:t>
      </w:r>
      <w:r>
        <w:rPr>
          <w:rFonts w:ascii="Times New Roman" w:hAnsi="Times New Roman" w:eastAsiaTheme="majorEastAsia" w:cs="Times New Roman"/>
          <w:sz w:val="24"/>
          <w:szCs w:val="24"/>
        </w:rPr>
        <w:t>减少，会导致交叉弛豫的无辐射钝化作用</w:t>
      </w:r>
      <w:r>
        <w:rPr>
          <w:rFonts w:ascii="Times New Roman" w:hAnsi="Times New Roman" w:eastAsiaTheme="majorEastAsia" w:cs="Times New Roman" w:hint="eastAsia"/>
          <w:sz w:val="24"/>
          <w:szCs w:val="24"/>
        </w:rPr>
        <w:t>，从</w:t>
      </w:r>
      <w:r>
        <w:rPr>
          <w:rFonts w:ascii="Times New Roman" w:hAnsi="Times New Roman" w:eastAsiaTheme="majorEastAsia" w:cs="Times New Roman"/>
          <w:sz w:val="24"/>
          <w:szCs w:val="24"/>
        </w:rPr>
        <w:t>而增加几率</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。在UCNPs中Er的掺杂离子浓度上限不会超过3%</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Tm是0.5%</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_Ref447372236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_Ref447372104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_Ref447372572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[90]</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_Ref447372308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[97]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_Ref447372582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_Ref447372583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_Ref447372584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如此低的掺杂浓度，对于单掺杂的材料其UC效率对实际应用来说是不够的。为了去修正这点，UC材料经常是与一个敏化剂共同掺杂，敏化剂离子在相应的激发波长下会强烈地吸收能量，从而高效地传递这些能量给激活剂而产生UC发射。</w:t>
      </w:r>
    </w:p>
    <w:p>
      <w:pPr>
        <w:pStyle w:val="Heading3"/>
        <w:rPr>
          <w:caps/>
        </w:rPr>
      </w:pPr>
      <w:r>
        <w:rPr>
          <w:rFonts w:hint="eastAsia"/>
        </w:rPr>
        <w:t>1.</w:t>
      </w:r>
      <w:r>
        <w:t>3.3 敏化剂</w:t>
      </w:r>
    </w:p>
    <w:p>
      <w:pPr>
        <w:spacing w:line="360" w:lineRule="auto"/>
        <w:ind w:firstLine="420"/>
        <w:rPr>
          <w:rFonts w:ascii="Times New Roman" w:hAnsi="Times New Roman" w:eastAsiaTheme="majorEastAsia" w:cs="Times New Roman"/>
          <w:caps/>
          <w:sz w:val="24"/>
          <w:szCs w:val="24"/>
        </w:rPr>
        <w:sectPr>
          <w:type w:val="nextPage"/>
          <w:pgSz w:w="11906" w:h="16838"/>
          <w:pgMar w:top="1162" w:right="1270" w:bottom="1162" w:left="1230" w:header="851" w:footer="992" w:gutter="0"/>
          <w:pgNumType w:start="7"/>
          <w:cols w:num="1" w:space="425"/>
          <w:titlePg w:val="0"/>
          <w:docGrid w:type="lines" w:linePitch="312" w:charSpace="0"/>
        </w:sectPr>
      </w:pPr>
      <w:r>
        <w:rPr>
          <w:rFonts w:ascii="Times New Roman" w:hAnsi="Times New Roman" w:eastAsiaTheme="majorEastAsia" w:cs="Times New Roman"/>
          <w:sz w:val="24"/>
          <w:szCs w:val="24"/>
        </w:rPr>
        <w:t>单掺杂上转换发光材料总UC效率一般情况下是很低的</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。为了提高UC过程的效率，最重要的参数是掺杂离子的吸收截面和晶体材料的掺杂离子间距</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。既然大多数镧系离子在NIR范围内都具有很小的吸收截面，他们就不能产生高效的UC发射。然而</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利用ETU机制，UC过程的效率能够被大大的加强。</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_Ref447372236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_Ref447372104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称为敏化剂的离子具有一个大的吸收截面，并且能高效地将吸收的能量传递给邻近的激活离子</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消除激活离子的低吸收率问题</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。利用三价Er，Tm，Ho，或Pr作为激活离子，镧系的三价Yb离子是使用最普遍的敏化离子</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。参</w:t>
      </w:r>
      <w:r>
        <w:rPr>
          <w:rFonts w:ascii="Times New Roman" w:hAnsi="Times New Roman" w:eastAsiaTheme="majorEastAsia" w:cs="Times New Roman"/>
          <w:sz w:val="24"/>
          <w:szCs w:val="24"/>
          <w:highlight w:val="yellow"/>
        </w:rPr>
        <w:t>阅图2</w:t>
      </w:r>
      <w:r>
        <w:rPr>
          <w:rFonts w:ascii="Times New Roman" w:hAnsi="Times New Roman" w:eastAsiaTheme="majorEastAsia" w:cs="Times New Roman"/>
          <w:sz w:val="24"/>
          <w:szCs w:val="24"/>
        </w:rPr>
        <w:t>，能看到Yb仅包含一个4f激发态</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。其基态与激发态的电子跃迁能与980nm的辐射相匹配。此跃迁的吸收带比其它镧系离子具有更大的吸收截面</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。跃迁的能隙与大多数激活离子的f-f电子跃迁相重叠，</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图2</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准许有效的共振能量传递</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_Ref447372098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。在UCNPs掺杂三价Tm中，Yb是唯一被用作敏化剂的。在此系统中，Yb传递四个激发光子的能量到一个单Tm离子中去产生高能量的蓝光范围的UC发射。</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图2</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对于Yb和Tm，Yb和Er的离子耦合，当基质材料为六</w:t>
      </w:r>
      <w:r>
        <w:rPr>
          <w:rFonts w:ascii="Times New Roman" w:hAnsi="Times New Roman" w:eastAsiaTheme="majorEastAsia" w:cs="Times New Roman" w:hint="eastAsia"/>
          <w:sz w:val="24"/>
          <w:szCs w:val="24"/>
        </w:rPr>
        <w:t>方</w:t>
      </w:r>
      <w:r>
        <w:rPr>
          <w:rFonts w:ascii="Times New Roman" w:hAnsi="Times New Roman" w:eastAsiaTheme="majorEastAsia" w:cs="Times New Roman"/>
          <w:sz w:val="24"/>
          <w:szCs w:val="24"/>
        </w:rPr>
        <w:t>相的NaYF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，UC过程的效率</w:t>
      </w:r>
      <w:r>
        <w:rPr>
          <w:rFonts w:ascii="Times New Roman" w:hAnsi="Times New Roman" w:eastAsiaTheme="majorEastAsia" w:cs="Times New Roman"/>
          <w:sz w:val="24"/>
          <w:szCs w:val="24"/>
        </w:rPr>
        <w:t>到达</w:t>
      </w:r>
      <w:r>
        <w:rPr>
          <w:rFonts w:ascii="Times New Roman" w:hAnsi="Times New Roman" w:eastAsiaTheme="majorEastAsia" w:cs="Times New Roman"/>
          <w:sz w:val="24"/>
          <w:szCs w:val="24"/>
        </w:rPr>
        <w:t>最大</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。为了加强UC效率，作为敏化剂的Yb离子以更高的体积摩尔浓度掺入基质晶格中</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18-20mol%</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，为了</w:t>
      </w:r>
      <w:r>
        <w:rPr>
          <w:rFonts w:ascii="Times New Roman" w:hAnsi="Times New Roman" w:eastAsiaTheme="majorEastAsia" w:cs="Times New Roman"/>
          <w:sz w:val="24"/>
          <w:szCs w:val="24"/>
        </w:rPr>
        <w:t>防止</w:t>
      </w:r>
      <w:r>
        <w:rPr>
          <w:rFonts w:ascii="Times New Roman" w:hAnsi="Times New Roman" w:eastAsiaTheme="majorEastAsia" w:cs="Times New Roman"/>
          <w:sz w:val="24"/>
          <w:szCs w:val="24"/>
        </w:rPr>
        <w:t>不利的交叉弛豫，激活离子通常保持很低的浓度，在3mol%以下</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尽管通常由Yb作为敏化剂的系统表现出很好的UC效率，但因为其所</w:t>
      </w:r>
      <w:r>
        <w:rPr>
          <w:rFonts w:ascii="Times New Roman" w:hAnsi="Times New Roman" w:eastAsiaTheme="majorEastAsia" w:cs="Times New Roman" w:hint="eastAsia"/>
          <w:sz w:val="24"/>
          <w:szCs w:val="24"/>
        </w:rPr>
        <w:t>具有</w:t>
      </w:r>
      <w:r>
        <w:rPr>
          <w:rFonts w:ascii="Times New Roman" w:hAnsi="Times New Roman" w:eastAsiaTheme="majorEastAsia" w:cs="Times New Roman"/>
          <w:sz w:val="24"/>
          <w:szCs w:val="24"/>
        </w:rPr>
        <w:t>的980nm激发辐射与水分子的吸收带相重合，使这些系统在生物方面的应用是有限的。因此，当激发穿过生物样品时，可观测到激发辐射的衰减并伴随着生物样品过热的现象，最终导致细胞死亡和组织损伤</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_Ref447372700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。为回避这些限制，扩展UCNPs在生物分析方面的应用，最近，三价Nd被研究作为替代的敏化剂，在794nm激发下，其在所谓“生物窗</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的范围内，可以出现光子UC过程。实验显示，Nd的掺杂浓度大于2mol%以上，对激活离子不利的交叉弛豫就占主导地位。因此，Nd浓度小于2mol%的UC系统难以获得强吸收和发光。</w:t>
      </w:r>
    </w:p>
    <w:p>
      <w:pPr>
        <w:pStyle w:val="Heading2"/>
        <w:rPr>
          <w:caps/>
        </w:rPr>
      </w:pPr>
      <w:r>
        <w:rPr>
          <w:rFonts w:hint="eastAsia"/>
        </w:rPr>
        <w:t>1.</w:t>
      </w:r>
      <w:r>
        <w:t>4、UC材料的合成方法</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制备UC材料面临的最主要的挑战是其单分散粒子制备的再生性。从生物应用方面，这些材料应该表现出狭窄的尺寸分布，相纯性，在水溶液中的高可溶性。UCNPs的成核和生长过程是基于结晶化的。相关的成核-生长机制已经被LaMer广泛的研究了，因此经常被称为LaMer机制</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_Ref447372715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[113]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_Ref447372716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[114]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。以粒子生长为</w:t>
      </w:r>
      <w:r>
        <w:rPr>
          <w:rFonts w:ascii="Times New Roman" w:hAnsi="Times New Roman" w:eastAsiaTheme="majorEastAsia" w:cs="Times New Roman"/>
          <w:sz w:val="24"/>
          <w:szCs w:val="24"/>
        </w:rPr>
        <w:t>根底</w:t>
      </w:r>
      <w:r>
        <w:rPr>
          <w:rFonts w:ascii="Times New Roman" w:hAnsi="Times New Roman" w:eastAsiaTheme="majorEastAsia" w:cs="Times New Roman"/>
          <w:sz w:val="24"/>
          <w:szCs w:val="24"/>
        </w:rPr>
        <w:t>的热力学和</w:t>
      </w:r>
      <w:r>
        <w:rPr>
          <w:rFonts w:ascii="Times New Roman" w:hAnsi="Times New Roman" w:eastAsiaTheme="majorEastAsia" w:cs="Times New Roman" w:hint="eastAsia"/>
          <w:sz w:val="24"/>
          <w:szCs w:val="24"/>
        </w:rPr>
        <w:t>动力</w:t>
      </w:r>
      <w:r>
        <w:rPr>
          <w:rFonts w:ascii="Times New Roman" w:hAnsi="Times New Roman" w:eastAsiaTheme="majorEastAsia" w:cs="Times New Roman"/>
          <w:sz w:val="24"/>
          <w:szCs w:val="24"/>
        </w:rPr>
        <w:t>学的解释最近已出版</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_Ref447372723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[115]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。既然UCNps主要变化在基质晶格的成分上，他们可根据此参数进行分类。关于UCNPs一般综述</w:t>
      </w:r>
      <w:r>
        <w:rPr>
          <w:rFonts w:ascii="Times New Roman" w:hAnsi="Times New Roman" w:eastAsiaTheme="majorEastAsia" w:cs="Times New Roman"/>
          <w:sz w:val="24"/>
          <w:szCs w:val="24"/>
          <w:highlight w:val="yellow"/>
        </w:rPr>
        <w:t>见表3</w:t>
      </w:r>
      <w:r>
        <w:rPr>
          <w:rFonts w:ascii="Times New Roman" w:hAnsi="Times New Roman" w:eastAsiaTheme="majorEastAsia" w:cs="Times New Roman"/>
          <w:sz w:val="24"/>
          <w:szCs w:val="24"/>
        </w:rPr>
        <w:t>.</w:t>
      </w:r>
    </w:p>
    <w:p>
      <w:pPr>
        <w:spacing w:line="360" w:lineRule="auto"/>
        <w:ind w:firstLine="420"/>
        <w:rPr>
          <w:rFonts w:ascii="Times New Roman" w:hAnsi="Times New Roman" w:eastAsiaTheme="majorEastAsia" w:cs="Times New Roman"/>
          <w:caps/>
          <w:sz w:val="24"/>
          <w:szCs w:val="24"/>
        </w:rPr>
        <w:sectPr>
          <w:type w:val="nextPage"/>
          <w:pgSz w:w="11906" w:h="16838"/>
          <w:pgMar w:top="1162" w:right="1270" w:bottom="1162" w:left="1230" w:header="851" w:footer="992" w:gutter="0"/>
          <w:pgNumType w:start="8"/>
          <w:cols w:num="1" w:space="425"/>
          <w:titlePg w:val="0"/>
          <w:docGrid w:type="lines" w:linePitch="312" w:charSpace="0"/>
        </w:sectPr>
      </w:pPr>
      <w:r>
        <w:rPr>
          <w:rFonts w:ascii="Times New Roman" w:hAnsi="Times New Roman" w:eastAsiaTheme="majorEastAsia" w:cs="Times New Roman"/>
          <w:sz w:val="24"/>
          <w:szCs w:val="24"/>
        </w:rPr>
        <w:t>大多数的报道是利用有机溶剂去制备UC材料。得到结晶粒子之后必须经历大量的</w:t>
      </w:r>
      <w:r>
        <w:rPr>
          <w:rFonts w:ascii="Times New Roman" w:hAnsi="Times New Roman" w:eastAsiaTheme="majorEastAsia" w:cs="Times New Roman"/>
          <w:sz w:val="24"/>
          <w:szCs w:val="24"/>
        </w:rPr>
        <w:t>外表</w:t>
      </w:r>
      <w:r>
        <w:rPr>
          <w:rFonts w:ascii="Times New Roman" w:hAnsi="Times New Roman" w:eastAsiaTheme="majorEastAsia" w:cs="Times New Roman"/>
          <w:sz w:val="24"/>
          <w:szCs w:val="24"/>
        </w:rPr>
        <w:t>修饰使其能溶于水。从应用的角度，仅有胶质稳定的NPs能够使用在水溶液的环境中。制备掺杂镧系离子的UCNPs最广泛使用的方法是热分解法，水热法，高温络合沉淀法。其他的制备方法</w:t>
      </w:r>
      <w:r>
        <w:rPr>
          <w:rFonts w:ascii="Times New Roman" w:hAnsi="Times New Roman" w:eastAsiaTheme="majorEastAsia" w:cs="Times New Roman"/>
          <w:sz w:val="24"/>
          <w:szCs w:val="24"/>
          <w:highlight w:val="yellow"/>
        </w:rPr>
        <w:t>见表3</w:t>
      </w:r>
      <w:r>
        <w:rPr>
          <w:rFonts w:ascii="Times New Roman" w:hAnsi="Times New Roman" w:eastAsiaTheme="majorEastAsia" w:cs="Times New Roman" w:hint="eastAsia"/>
          <w:sz w:val="24"/>
          <w:szCs w:val="24"/>
          <w:highlight w:val="yellow"/>
        </w:rPr>
        <w:t>。</w:t>
      </w:r>
      <w:r>
        <w:rPr>
          <w:rFonts w:ascii="Times New Roman" w:hAnsi="Times New Roman" w:eastAsiaTheme="majorEastAsia" w:cs="Times New Roman"/>
          <w:sz w:val="24"/>
          <w:szCs w:val="24"/>
        </w:rPr>
        <w:t>而对于上转换显示</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激光防伪</w:t>
      </w:r>
      <w:r>
        <w:rPr>
          <w:rFonts w:ascii="Times New Roman" w:hAnsi="Times New Roman" w:eastAsiaTheme="majorEastAsia" w:cs="Times New Roman" w:hint="eastAsia"/>
          <w:sz w:val="24"/>
          <w:szCs w:val="24"/>
        </w:rPr>
        <w:t>等应用，高温固相法也是使用最为频繁的UC材料制备方法。</w:t>
      </w:r>
    </w:p>
    <w:p>
      <w:pPr>
        <w:pStyle w:val="Heading3"/>
        <w:rPr>
          <w:caps/>
        </w:rPr>
      </w:pPr>
      <w:r>
        <w:rPr>
          <w:rFonts w:hint="eastAsia"/>
        </w:rPr>
        <w:t>1.</w:t>
      </w:r>
      <w:r>
        <w:t>4.1 热分解法</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热分解法是制备UCNPs最常用的方法，它几乎是制备碱性镧系四氟化物的唯一方法，例如 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_Ref447372584 \r \h  \* MERGEFORMAT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_Ref447372749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[117]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，NaGF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_Ref447372778 \r \h  \* MERGEFORMAT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[112]</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_Ref447372784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[118]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，NaLuF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_Ref447372799 \r \h  \* MERGEFORMAT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[119]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，LiYF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_Ref447372429 \r \h  \* MERGEFORMAT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，KGdF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_Ref447372832 \r \h  \* MERGEFORMAT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[120]</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。这种方法也可以去制备基于其他基质晶格，镧系离子掺杂的发光纳米颗粒，包括GaF</w:t>
      </w:r>
      <w:r>
        <w:rPr>
          <w:rFonts w:ascii="Times New Roman" w:hAnsi="Times New Roman" w:eastAsiaTheme="majorEastAsia" w:cs="Times New Roman"/>
          <w:sz w:val="24"/>
          <w:szCs w:val="24"/>
          <w:vertAlign w:val="subscript"/>
        </w:rPr>
        <w:t>2</w:t>
      </w:r>
      <w:r>
        <w:rPr>
          <w:rFonts w:ascii="Times New Roman" w:hAnsi="Times New Roman" w:eastAsiaTheme="majorEastAsia" w:cs="Times New Roman"/>
          <w:caps/>
          <w:sz w:val="24"/>
          <w:szCs w:val="24"/>
        </w:rPr>
        <w:fldChar w:fldCharType="begin"/>
      </w:r>
      <w:r>
        <w:rPr>
          <w:rFonts w:ascii="Times New Roman" w:hAnsi="Times New Roman" w:eastAsiaTheme="majorEastAsia" w:cs="Times New Roman"/>
          <w:sz w:val="24"/>
          <w:szCs w:val="24"/>
        </w:rPr>
        <w:instrText xml:space="preserve"> QUOTE </w:instrText>
      </w:r>
      <w:r>
        <w:rPr>
          <w:rFonts w:ascii="Times New Roman" w:hAnsi="Times New Roman" w:eastAsiaTheme="majorEastAsia" w:cs="Times New Roman"/>
          <w:sz w:val="24"/>
          <w:szCs w:val="24"/>
        </w:rPr>
        <w:drawing>
          <wp:inline distT="0" distB="0" distL="0" distR="0">
            <wp:extent cx="338455" cy="152400"/>
            <wp:effectExtent l="0" t="0" r="444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xmlns:r="http://schemas.openxmlformats.org/officeDocument/2006/relationships" r:embed="rId6">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338455"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separate"/>
      </w:r>
      <w:r>
        <w:rPr>
          <w:rFonts w:ascii="Times New Roman" w:hAnsi="Times New Roman" w:eastAsiaTheme="majorEastAsia" w:cs="Times New Roman"/>
          <w:sz w:val="24"/>
          <w:szCs w:val="24"/>
        </w:rPr>
        <w:drawing>
          <wp:inline distT="0" distB="0" distL="0" distR="0">
            <wp:extent cx="338455" cy="152400"/>
            <wp:effectExtent l="0" t="0" r="444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xmlns:r="http://schemas.openxmlformats.org/officeDocument/2006/relationships" r:embed="rId6">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338455"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end"/>
      </w:r>
      <w:r>
        <w:rPr>
          <w:rFonts w:ascii="Times New Roman" w:hAnsi="Times New Roman" w:eastAsiaTheme="majorEastAsia" w:cs="Times New Roman"/>
          <w:caps/>
          <w:sz w:val="24"/>
          <w:szCs w:val="24"/>
        </w:rPr>
        <w:fldChar w:fldCharType="begin"/>
      </w:r>
      <w:r>
        <w:rPr>
          <w:rFonts w:ascii="Times New Roman" w:hAnsi="Times New Roman" w:eastAsiaTheme="majorEastAsia" w:cs="Times New Roman"/>
          <w:caps/>
          <w:sz w:val="24"/>
          <w:szCs w:val="24"/>
        </w:rPr>
        <w:instrText xml:space="preserve"> REF _Ref447372844 \r \h </w:instrText>
      </w:r>
      <w:r>
        <w:rPr>
          <w:rFonts w:ascii="Times New Roman" w:hAnsi="Times New Roman" w:eastAsiaTheme="majorEastAsia" w:cs="Times New Roman"/>
          <w:caps/>
          <w:sz w:val="24"/>
          <w:szCs w:val="24"/>
        </w:rPr>
        <w:fldChar w:fldCharType="separate"/>
      </w:r>
      <w:r>
        <w:rPr>
          <w:rFonts w:ascii="Times New Roman" w:hAnsi="Times New Roman" w:eastAsiaTheme="majorEastAsia" w:cs="Times New Roman"/>
          <w:caps/>
          <w:sz w:val="24"/>
          <w:szCs w:val="24"/>
        </w:rPr>
        <w:t>[121]</w:t>
      </w:r>
      <w:r>
        <w:rPr>
          <w:rFonts w:ascii="Times New Roman" w:hAnsi="Times New Roman" w:eastAsiaTheme="majorEastAsia" w:cs="Times New Roman"/>
          <w:caps/>
          <w:sz w:val="24"/>
          <w:szCs w:val="24"/>
        </w:rPr>
        <w:fldChar w:fldCharType="end"/>
      </w:r>
      <w:r>
        <w:rPr>
          <w:rFonts w:ascii="Times New Roman" w:hAnsi="Times New Roman" w:eastAsiaTheme="majorEastAsia" w:cs="Times New Roman"/>
          <w:sz w:val="24"/>
          <w:szCs w:val="24"/>
        </w:rPr>
        <w:t>和BaYF</w:t>
      </w:r>
      <w:r>
        <w:rPr>
          <w:rFonts w:ascii="Times New Roman" w:hAnsi="Times New Roman" w:eastAsiaTheme="majorEastAsia" w:cs="Times New Roman"/>
          <w:sz w:val="24"/>
          <w:szCs w:val="24"/>
          <w:vertAlign w:val="subscript"/>
        </w:rPr>
        <w:t>5</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_Ref447372851 \r \h  \* MERGEFORMAT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[122]</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。这种方法在相对短的</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时间</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0.5-10h</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内可很好的控制</w:t>
      </w:r>
      <w:r>
        <w:rPr>
          <w:rFonts w:ascii="Times New Roman" w:hAnsi="Times New Roman" w:eastAsiaTheme="majorEastAsia" w:cs="Times New Roman" w:hint="eastAsia"/>
          <w:sz w:val="24"/>
          <w:szCs w:val="24"/>
        </w:rPr>
        <w:t>粒子</w:t>
      </w:r>
      <w:r>
        <w:rPr>
          <w:rFonts w:ascii="Times New Roman" w:hAnsi="Times New Roman" w:eastAsiaTheme="majorEastAsia" w:cs="Times New Roman"/>
          <w:sz w:val="24"/>
          <w:szCs w:val="24"/>
        </w:rPr>
        <w:t>尺寸，产生高质量、单分散性的材料</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_Ref447372236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_Ref447372584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r>
        <w:rPr>
          <w:rFonts w:ascii="Times New Roman" w:hAnsi="Times New Roman" w:eastAsiaTheme="majorEastAsia" w:cs="Times New Roman" w:hint="eastAsia"/>
          <w:sz w:val="24"/>
          <w:szCs w:val="24"/>
        </w:rPr>
        <w:t>该</w:t>
      </w:r>
      <w:r>
        <w:rPr>
          <w:rFonts w:ascii="Times New Roman" w:hAnsi="Times New Roman" w:eastAsiaTheme="majorEastAsia" w:cs="Times New Roman"/>
          <w:sz w:val="24"/>
          <w:szCs w:val="24"/>
        </w:rPr>
        <w:t>方法利用有机金属的热解，通常是金属/稀土三氟醋酸盐</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_Ref447372584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。稀土三氟醋酸盐作为前驱体，它通常是由相应的稀土氧化物与三氯乙酸</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得到的。</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比拟</w:t>
      </w:r>
      <w:r>
        <w:rPr>
          <w:rFonts w:ascii="Times New Roman" w:hAnsi="Times New Roman" w:eastAsiaTheme="majorEastAsia" w:cs="Times New Roman"/>
          <w:sz w:val="24"/>
          <w:szCs w:val="24"/>
        </w:rPr>
        <w:t>典型的方法，将具有高沸点的</w:t>
      </w:r>
      <w:r>
        <w:rPr>
          <w:rFonts w:ascii="Times New Roman" w:hAnsi="Times New Roman" w:eastAsiaTheme="majorEastAsia" w:cs="Times New Roman"/>
          <w:sz w:val="24"/>
          <w:szCs w:val="24"/>
        </w:rPr>
        <w:t>外表</w:t>
      </w:r>
      <w:r>
        <w:rPr>
          <w:rFonts w:ascii="Times New Roman" w:hAnsi="Times New Roman" w:eastAsiaTheme="majorEastAsia" w:cs="Times New Roman"/>
          <w:sz w:val="24"/>
          <w:szCs w:val="24"/>
        </w:rPr>
        <w:t>配体的水溶液例如1-十八烯先制备好，之后被加热到比有机金属的前躯体的分解温度略微高的温度。将所需要的金属/镧系-三氟乙酸注入到热配体溶液中。</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物因热分解被快速地释放，引起了一个迅速的成核过程</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_Ref447372723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[115]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物的分解由</w:t>
      </w:r>
      <w:r>
        <w:rPr>
          <w:rFonts w:ascii="Times New Roman" w:hAnsi="Times New Roman" w:eastAsiaTheme="majorEastAsia" w:cs="Times New Roman"/>
          <w:sz w:val="24"/>
          <w:szCs w:val="24"/>
        </w:rPr>
        <w:t>外表</w:t>
      </w:r>
      <w:r>
        <w:rPr>
          <w:rFonts w:ascii="Times New Roman" w:hAnsi="Times New Roman" w:eastAsiaTheme="majorEastAsia" w:cs="Times New Roman"/>
          <w:sz w:val="24"/>
          <w:szCs w:val="24"/>
        </w:rPr>
        <w:t>配体辅助进行，一般情况下是OA或OM。这些配体包含极性头基，在</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过程中，与生长粒子相配合；也包含长烃尾部，能够扩展到本体溶液中去提供所需的水溶性</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_Ref447372095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_Ref447372104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外表</w:t>
      </w:r>
      <w:r>
        <w:rPr>
          <w:rFonts w:ascii="Times New Roman" w:hAnsi="Times New Roman" w:eastAsiaTheme="majorEastAsia" w:cs="Times New Roman"/>
          <w:sz w:val="24"/>
          <w:szCs w:val="24"/>
        </w:rPr>
        <w:t>配体也能通过阻碍晶格的扩大来控制粒子的生长，并且可通过排斥相互作用高效地阻止团聚，稳定溶液中粒子的生长。昂贵的敏感金属前躯体的使用，和</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过程中产生的有毒的挥发性物质，都需要</w:t>
      </w:r>
      <w:r>
        <w:rPr>
          <w:rFonts w:ascii="Times New Roman" w:hAnsi="Times New Roman" w:eastAsiaTheme="majorEastAsia" w:cs="Times New Roman" w:hint="eastAsia"/>
          <w:sz w:val="24"/>
          <w:szCs w:val="24"/>
        </w:rPr>
        <w:t>使</w:t>
      </w:r>
      <w:r>
        <w:rPr>
          <w:rFonts w:ascii="Times New Roman" w:hAnsi="Times New Roman" w:eastAsiaTheme="majorEastAsia" w:cs="Times New Roman"/>
          <w:sz w:val="24"/>
          <w:szCs w:val="24"/>
        </w:rPr>
        <w:t>用惰性气体在</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过程中持续的净化</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_Ref447372931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[123]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。粒子沉淀通过使用极性有机溶剂实现，之后是离心</w:t>
      </w:r>
      <w:r>
        <w:rPr>
          <w:rFonts w:ascii="Times New Roman" w:hAnsi="Times New Roman" w:eastAsiaTheme="majorEastAsia" w:cs="Times New Roman"/>
          <w:sz w:val="24"/>
          <w:szCs w:val="24"/>
        </w:rPr>
        <w:t>别离</w:t>
      </w:r>
      <w:r>
        <w:rPr>
          <w:rFonts w:ascii="Times New Roman" w:hAnsi="Times New Roman" w:eastAsiaTheme="majorEastAsia" w:cs="Times New Roman"/>
          <w:sz w:val="24"/>
          <w:szCs w:val="24"/>
        </w:rPr>
        <w:t>和洗涤，可得到单分散的碱性镧系四氟化物的UCNPs，</w:t>
      </w:r>
      <w:r>
        <w:rPr>
          <w:rFonts w:ascii="Times New Roman" w:hAnsi="Times New Roman" w:eastAsiaTheme="majorEastAsia" w:cs="Times New Roman" w:hint="eastAsia"/>
          <w:sz w:val="24"/>
          <w:szCs w:val="24"/>
        </w:rPr>
        <w:t>它</w:t>
      </w:r>
      <w:r>
        <w:rPr>
          <w:rFonts w:ascii="Times New Roman" w:hAnsi="Times New Roman" w:eastAsiaTheme="majorEastAsia" w:cs="Times New Roman"/>
          <w:sz w:val="24"/>
          <w:szCs w:val="24"/>
        </w:rPr>
        <w:t>可表现出有机溶液的水溶性和长时间的胶质稳定性</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_Ref447372584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p>
    <w:p>
      <w:pPr>
        <w:spacing w:line="360" w:lineRule="auto"/>
        <w:ind w:firstLine="480" w:firstLineChars="20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第一篇报道热分解法制备 NaREF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RE为Pr到Lu，Y</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纳米材料，共同掺杂三价Yb，Er和Yb，Tm是在2006年</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_Ref447372953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[124]</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。一步法合成过程被报道可制备高质量的立方相</w:t>
      </w:r>
      <w:r>
        <w:rPr>
          <w:rFonts w:ascii="Times New Roman" w:hAnsi="Times New Roman" w:eastAsiaTheme="majorEastAsia" w:cs="Times New Roman"/>
          <w:sz w:val="24"/>
          <w:szCs w:val="24"/>
          <w:highlight w:val="yellow"/>
        </w:rPr>
        <w:t>〔</w:t>
      </w:r>
      <w:r>
        <w:rPr>
          <w:rFonts w:ascii="Times New Roman" w:hAnsi="Times New Roman" w:eastAsiaTheme="majorEastAsia" w:cs="Times New Roman"/>
          <w:sz w:val="24"/>
          <w:szCs w:val="24"/>
          <w:highlight w:val="yellow"/>
        </w:rPr>
        <w:t>图6</w:t>
      </w:r>
      <w:r>
        <w:rPr>
          <w:rFonts w:ascii="Times New Roman" w:hAnsi="Times New Roman" w:eastAsiaTheme="majorEastAsia" w:cs="Times New Roman"/>
          <w:sz w:val="24"/>
          <w:szCs w:val="24"/>
          <w:highlight w:val="yellow"/>
        </w:rPr>
        <w:t>〕</w:t>
      </w:r>
      <w:r>
        <w:rPr>
          <w:rFonts w:ascii="Times New Roman" w:hAnsi="Times New Roman" w:eastAsiaTheme="majorEastAsia" w:cs="Times New Roman"/>
          <w:sz w:val="24"/>
          <w:szCs w:val="24"/>
          <w:highlight w:val="yellow"/>
        </w:rPr>
        <w:t>和六</w:t>
      </w:r>
      <w:r>
        <w:rPr>
          <w:rFonts w:ascii="Times New Roman" w:hAnsi="Times New Roman" w:eastAsiaTheme="majorEastAsia" w:cs="Times New Roman" w:hint="eastAsia"/>
          <w:sz w:val="24"/>
          <w:szCs w:val="24"/>
          <w:highlight w:val="yellow"/>
        </w:rPr>
        <w:t>方</w:t>
      </w:r>
      <w:r>
        <w:rPr>
          <w:rFonts w:ascii="Times New Roman" w:hAnsi="Times New Roman" w:eastAsiaTheme="majorEastAsia" w:cs="Times New Roman"/>
          <w:sz w:val="24"/>
          <w:szCs w:val="24"/>
          <w:highlight w:val="yellow"/>
        </w:rPr>
        <w:t>相</w:t>
      </w:r>
      <w:r>
        <w:rPr>
          <w:rFonts w:ascii="Times New Roman" w:hAnsi="Times New Roman" w:eastAsiaTheme="majorEastAsia" w:cs="Times New Roman"/>
          <w:sz w:val="24"/>
          <w:szCs w:val="24"/>
          <w:highlight w:val="yellow"/>
        </w:rPr>
        <w:t>〔</w:t>
      </w:r>
      <w:r>
        <w:rPr>
          <w:rFonts w:ascii="Times New Roman" w:hAnsi="Times New Roman" w:eastAsiaTheme="majorEastAsia" w:cs="Times New Roman"/>
          <w:sz w:val="24"/>
          <w:szCs w:val="24"/>
          <w:highlight w:val="yellow"/>
        </w:rPr>
        <w:t>图7</w:t>
      </w:r>
      <w:r>
        <w:rPr>
          <w:rFonts w:ascii="Times New Roman" w:hAnsi="Times New Roman" w:eastAsiaTheme="majorEastAsia" w:cs="Times New Roman"/>
          <w:sz w:val="24"/>
          <w:szCs w:val="24"/>
          <w:highlight w:val="yellow"/>
        </w:rPr>
        <w:t>〕</w:t>
      </w:r>
      <w:r>
        <w:rPr>
          <w:rFonts w:ascii="Times New Roman" w:hAnsi="Times New Roman" w:eastAsiaTheme="majorEastAsia" w:cs="Times New Roman"/>
          <w:sz w:val="24"/>
          <w:szCs w:val="24"/>
          <w:highlight w:val="yellow"/>
        </w:rPr>
        <w:t>的</w:t>
      </w:r>
      <w:r>
        <w:rPr>
          <w:rFonts w:ascii="Times New Roman" w:hAnsi="Times New Roman" w:eastAsiaTheme="majorEastAsia" w:cs="Times New Roman"/>
          <w:sz w:val="24"/>
          <w:szCs w:val="24"/>
        </w:rPr>
        <w:t xml:space="preserve"> NaREF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。图7c可看到六</w:t>
      </w:r>
      <w:r>
        <w:rPr>
          <w:rFonts w:ascii="Times New Roman" w:hAnsi="Times New Roman" w:eastAsiaTheme="majorEastAsia" w:cs="Times New Roman" w:hint="eastAsia"/>
          <w:sz w:val="24"/>
          <w:szCs w:val="24"/>
        </w:rPr>
        <w:t>方</w:t>
      </w:r>
      <w:r>
        <w:rPr>
          <w:rFonts w:ascii="Times New Roman" w:hAnsi="Times New Roman" w:eastAsiaTheme="majorEastAsia" w:cs="Times New Roman"/>
          <w:sz w:val="24"/>
          <w:szCs w:val="24"/>
        </w:rPr>
        <w:t>相的例子的特点。立方和六方相的 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上转换纳米材料的生长动力学遵循LaMer机制</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_Ref447372584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_Ref447372931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[123]</w:t>
      </w:r>
      <w:r>
        <w:rPr>
          <w:rFonts w:ascii="Times New Roman" w:hAnsi="Times New Roman" w:eastAsiaTheme="majorEastAsia" w:cs="Times New Roman"/>
          <w:sz w:val="24"/>
          <w:szCs w:val="24"/>
        </w:rPr>
        <w:fldChar w:fldCharType="end"/>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生长可从四个不同的阶段考虑：</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i</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延迟成核</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ii</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单体</w:t>
      </w:r>
      <w:r>
        <w:rPr>
          <w:rFonts w:ascii="Times New Roman" w:hAnsi="Times New Roman" w:eastAsiaTheme="majorEastAsia" w:cs="Times New Roman"/>
          <w:sz w:val="24"/>
          <w:szCs w:val="24"/>
        </w:rPr>
        <w:t>供给</w:t>
      </w:r>
      <w:r>
        <w:rPr>
          <w:rFonts w:ascii="Times New Roman" w:hAnsi="Times New Roman" w:eastAsiaTheme="majorEastAsia" w:cs="Times New Roman"/>
          <w:sz w:val="24"/>
          <w:szCs w:val="24"/>
        </w:rPr>
        <w:t>的粒子生长</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iii</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粒子分解导致尺寸减小，</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iv</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最后的材料聚合。通过简单的改变</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参数例如温度，</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物的浓度，</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时间，可以制备出高质量的，单分散的直径为5nm</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具有狭窄尺寸分布的UCNPs</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_Ref447372931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[123]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p>
    <w:p>
      <w:pPr>
        <w:spacing w:line="360" w:lineRule="auto"/>
        <w:ind w:firstLine="420"/>
        <w:rPr>
          <w:rFonts w:ascii="Times New Roman" w:hAnsi="Times New Roman" w:eastAsiaTheme="majorEastAsia" w:cs="Times New Roman"/>
          <w:caps/>
          <w:sz w:val="24"/>
          <w:szCs w:val="24"/>
        </w:rPr>
        <w:sectPr>
          <w:type w:val="nextPage"/>
          <w:pgSz w:w="11906" w:h="16838"/>
          <w:pgMar w:top="1162" w:right="1270" w:bottom="1162" w:left="1230" w:header="851" w:footer="992" w:gutter="0"/>
          <w:pgNumType w:start="9"/>
          <w:cols w:num="1" w:space="425"/>
          <w:titlePg w:val="0"/>
          <w:docGrid w:type="lines" w:linePitch="312" w:charSpace="0"/>
        </w:sectPr>
      </w:pPr>
      <w:r>
        <w:rPr>
          <w:rFonts w:ascii="Times New Roman" w:hAnsi="Times New Roman" w:eastAsiaTheme="majorEastAsia" w:cs="Times New Roman"/>
          <w:sz w:val="24"/>
          <w:szCs w:val="24"/>
        </w:rPr>
        <w:t>通过受限的或者强化的奥斯瓦尔德成熟过程，利用镧系掺杂的立方体NaYF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caps/>
          <w:sz w:val="24"/>
          <w:szCs w:val="24"/>
        </w:rPr>
        <w:fldChar w:fldCharType="begin"/>
      </w:r>
      <w:r>
        <w:rPr>
          <w:rFonts w:ascii="Times New Roman" w:hAnsi="Times New Roman" w:eastAsiaTheme="majorEastAsia" w:cs="Times New Roman"/>
          <w:sz w:val="24"/>
          <w:szCs w:val="24"/>
        </w:rPr>
        <w:instrText xml:space="preserve"> QUOTE </w:instrText>
      </w:r>
      <w:r>
        <w:rPr>
          <w:rFonts w:ascii="Times New Roman" w:hAnsi="Times New Roman" w:eastAsiaTheme="majorEastAsia" w:cs="Times New Roman"/>
          <w:sz w:val="24"/>
          <w:szCs w:val="24"/>
        </w:rPr>
        <w:drawing>
          <wp:inline distT="0" distB="0" distL="0" distR="0">
            <wp:extent cx="419100" cy="1524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separate"/>
      </w:r>
      <w:r>
        <w:rPr>
          <w:rFonts w:ascii="Times New Roman" w:hAnsi="Times New Roman" w:eastAsiaTheme="majorEastAsia" w:cs="Times New Roman"/>
          <w:sz w:val="24"/>
          <w:szCs w:val="24"/>
        </w:rPr>
        <w:drawing>
          <wp:inline distT="0" distB="0" distL="0" distR="0">
            <wp:extent cx="419100" cy="1524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end"/>
      </w:r>
      <w:r>
        <w:rPr>
          <w:rFonts w:ascii="Times New Roman" w:hAnsi="Times New Roman" w:eastAsiaTheme="majorEastAsia" w:cs="Times New Roman"/>
          <w:sz w:val="24"/>
          <w:szCs w:val="24"/>
        </w:rPr>
        <w:t>UCNPs作为前躯体去制备尺寸可控的单分散六方相NaYF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caps/>
          <w:sz w:val="24"/>
          <w:szCs w:val="24"/>
        </w:rPr>
        <w:fldChar w:fldCharType="begin"/>
      </w:r>
      <w:r>
        <w:rPr>
          <w:rFonts w:ascii="Times New Roman" w:hAnsi="Times New Roman" w:eastAsiaTheme="majorEastAsia" w:cs="Times New Roman"/>
          <w:sz w:val="24"/>
          <w:szCs w:val="24"/>
        </w:rPr>
        <w:instrText xml:space="preserve"> QUOTE </w:instrText>
      </w:r>
      <w:r>
        <w:rPr>
          <w:rFonts w:ascii="Times New Roman" w:hAnsi="Times New Roman" w:eastAsiaTheme="majorEastAsia" w:cs="Times New Roman"/>
          <w:sz w:val="24"/>
          <w:szCs w:val="24"/>
        </w:rPr>
        <w:drawing>
          <wp:inline distT="0" distB="0" distL="0" distR="0">
            <wp:extent cx="419100" cy="1524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separate"/>
      </w:r>
      <w:r>
        <w:rPr>
          <w:rFonts w:ascii="Times New Roman" w:hAnsi="Times New Roman" w:eastAsiaTheme="majorEastAsia" w:cs="Times New Roman"/>
          <w:sz w:val="24"/>
          <w:szCs w:val="24"/>
        </w:rPr>
        <w:drawing>
          <wp:inline distT="0" distB="0" distL="0" distR="0">
            <wp:extent cx="419100" cy="1524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end"/>
      </w:r>
      <w:r>
        <w:rPr>
          <w:rFonts w:ascii="Times New Roman" w:hAnsi="Times New Roman" w:eastAsiaTheme="majorEastAsia" w:cs="Times New Roman"/>
          <w:sz w:val="24"/>
          <w:szCs w:val="24"/>
        </w:rPr>
        <w:t>，可实现相传递</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_Ref447372931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[123]</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。热分解技术之后也被用作提纯生成纯的六方相NaYF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caps/>
          <w:sz w:val="24"/>
          <w:szCs w:val="24"/>
        </w:rPr>
        <w:fldChar w:fldCharType="begin"/>
      </w:r>
      <w:r>
        <w:rPr>
          <w:rFonts w:ascii="Times New Roman" w:hAnsi="Times New Roman" w:eastAsiaTheme="majorEastAsia" w:cs="Times New Roman"/>
          <w:sz w:val="24"/>
          <w:szCs w:val="24"/>
        </w:rPr>
        <w:instrText xml:space="preserve"> QUOTE </w:instrText>
      </w:r>
      <w:r>
        <w:rPr>
          <w:rFonts w:ascii="Times New Roman" w:hAnsi="Times New Roman" w:eastAsiaTheme="majorEastAsia" w:cs="Times New Roman"/>
          <w:sz w:val="24"/>
          <w:szCs w:val="24"/>
        </w:rPr>
        <w:drawing>
          <wp:inline distT="0" distB="0" distL="0" distR="0">
            <wp:extent cx="419100" cy="1524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separate"/>
      </w:r>
      <w:r>
        <w:rPr>
          <w:rFonts w:ascii="Times New Roman" w:hAnsi="Times New Roman" w:eastAsiaTheme="majorEastAsia" w:cs="Times New Roman"/>
          <w:sz w:val="24"/>
          <w:szCs w:val="24"/>
        </w:rPr>
        <w:drawing>
          <wp:inline distT="0" distB="0" distL="0" distR="0">
            <wp:extent cx="419100" cy="1524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end"/>
      </w:r>
      <w:r>
        <w:rPr>
          <w:rFonts w:ascii="Times New Roman" w:hAnsi="Times New Roman" w:eastAsiaTheme="majorEastAsia" w:cs="Times New Roman"/>
          <w:sz w:val="24"/>
          <w:szCs w:val="24"/>
        </w:rPr>
        <w:t>材料。在330</w:t>
      </w:r>
      <w:r>
        <w:rPr>
          <w:rFonts w:ascii="宋体" w:eastAsia="宋体" w:hAnsi="宋体" w:cs="宋体" w:hint="eastAsia"/>
          <w:sz w:val="24"/>
          <w:szCs w:val="24"/>
        </w:rPr>
        <w:t>℃</w:t>
      </w:r>
      <w:r>
        <w:rPr>
          <w:rFonts w:ascii="Times New Roman" w:hAnsi="Times New Roman" w:eastAsiaTheme="majorEastAsia" w:cs="Times New Roman"/>
          <w:sz w:val="24"/>
          <w:szCs w:val="24"/>
        </w:rPr>
        <w:t>纯OM下，可得到仅是由镧系掺杂的立方体NaYF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hint="eastAsia"/>
          <w:sz w:val="24"/>
          <w:szCs w:val="24"/>
        </w:rPr>
        <w:t>的</w:t>
      </w:r>
      <w:r>
        <w:rPr>
          <w:rFonts w:ascii="Times New Roman" w:hAnsi="Times New Roman" w:eastAsiaTheme="majorEastAsia" w:cs="Times New Roman"/>
          <w:caps/>
          <w:sz w:val="24"/>
          <w:szCs w:val="24"/>
        </w:rPr>
        <w:fldChar w:fldCharType="begin"/>
      </w:r>
      <w:r>
        <w:rPr>
          <w:rFonts w:ascii="Times New Roman" w:hAnsi="Times New Roman" w:eastAsiaTheme="majorEastAsia" w:cs="Times New Roman"/>
          <w:sz w:val="24"/>
          <w:szCs w:val="24"/>
        </w:rPr>
        <w:instrText xml:space="preserve"> QUOTE </w:instrText>
      </w:r>
      <w:r>
        <w:rPr>
          <w:rFonts w:ascii="Times New Roman" w:hAnsi="Times New Roman" w:eastAsiaTheme="majorEastAsia" w:cs="Times New Roman"/>
          <w:sz w:val="24"/>
          <w:szCs w:val="24"/>
        </w:rPr>
        <w:drawing>
          <wp:inline distT="0" distB="0" distL="0" distR="0">
            <wp:extent cx="419100" cy="1524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separate"/>
      </w:r>
      <w:r>
        <w:rPr>
          <w:rFonts w:ascii="Times New Roman" w:hAnsi="Times New Roman" w:eastAsiaTheme="majorEastAsia" w:cs="Times New Roman"/>
          <w:sz w:val="24"/>
          <w:szCs w:val="24"/>
        </w:rPr>
        <w:drawing>
          <wp:inline distT="0" distB="0" distL="0" distR="0">
            <wp:extent cx="419100" cy="1524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end"/>
      </w:r>
      <w:r>
        <w:rPr>
          <w:rFonts w:ascii="Times New Roman" w:hAnsi="Times New Roman" w:eastAsiaTheme="majorEastAsia" w:cs="Times New Roman"/>
          <w:sz w:val="24"/>
          <w:szCs w:val="24"/>
        </w:rPr>
        <w:t>UCNPs，其形状和大小统一而且尺寸分布狭小</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±0.7nm</w:t>
      </w:r>
      <w:r>
        <w:rPr>
          <w:rFonts w:ascii="Times New Roman" w:hAnsi="Times New Roman" w:eastAsiaTheme="majorEastAsia" w:cs="Times New Roman"/>
          <w:caps/>
          <w:sz w:val="24"/>
          <w:szCs w:val="24"/>
        </w:rPr>
        <w:fldChar w:fldCharType="begin"/>
      </w:r>
      <w:r>
        <w:rPr>
          <w:rFonts w:ascii="Times New Roman" w:hAnsi="Times New Roman" w:eastAsiaTheme="majorEastAsia" w:cs="Times New Roman"/>
          <w:sz w:val="24"/>
          <w:szCs w:val="24"/>
        </w:rPr>
        <w:instrText xml:space="preserve"> QUOTE </w:instrText>
      </w:r>
      <w:r>
        <w:rPr>
          <w:rFonts w:ascii="Times New Roman" w:hAnsi="Times New Roman" w:eastAsiaTheme="majorEastAsia" w:cs="Times New Roman"/>
          <w:sz w:val="24"/>
          <w:szCs w:val="24"/>
        </w:rPr>
        <w:drawing>
          <wp:inline distT="0" distB="0" distL="0" distR="0">
            <wp:extent cx="552450" cy="1524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xmlns:r="http://schemas.openxmlformats.org/officeDocument/2006/relationships" r:embed="rId8">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55245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separate"/>
      </w:r>
      <w:r>
        <w:rPr>
          <w:rFonts w:ascii="Times New Roman" w:hAnsi="Times New Roman" w:eastAsiaTheme="majorEastAsia" w:cs="Times New Roman"/>
          <w:sz w:val="24"/>
          <w:szCs w:val="24"/>
        </w:rPr>
        <w:drawing>
          <wp:inline distT="0" distB="0" distL="0" distR="0">
            <wp:extent cx="552450" cy="1524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xmlns:r="http://schemas.openxmlformats.org/officeDocument/2006/relationships" r:embed="rId8">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55245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end"/>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修正的热分解合成过程也已经被提出，其利用了PEG独特的可溶性质。代替了传统的OA或OM包覆配体，用聚乙烯亚胺</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PEI</w:t>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包覆配体，使UCNPs很容易的分散到水介质中。然而，此合成方法需要高的</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温度，在制备中使用有机溶剂也不能</w:t>
      </w:r>
      <w:r>
        <w:rPr>
          <w:rFonts w:ascii="Times New Roman" w:hAnsi="Times New Roman" w:eastAsiaTheme="majorEastAsia" w:cs="Times New Roman"/>
          <w:sz w:val="24"/>
          <w:szCs w:val="24"/>
        </w:rPr>
        <w:t>防止</w:t>
      </w:r>
      <w:r>
        <w:rPr>
          <w:rFonts w:ascii="Times New Roman" w:hAnsi="Times New Roman" w:eastAsiaTheme="majorEastAsia" w:cs="Times New Roman"/>
          <w:sz w:val="24"/>
          <w:szCs w:val="24"/>
        </w:rPr>
        <w:t>，仅能产生立方体相的NaYF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caps/>
          <w:sz w:val="24"/>
          <w:szCs w:val="24"/>
        </w:rPr>
        <w:fldChar w:fldCharType="begin"/>
      </w:r>
      <w:r>
        <w:rPr>
          <w:rFonts w:ascii="Times New Roman" w:hAnsi="Times New Roman" w:eastAsiaTheme="majorEastAsia" w:cs="Times New Roman"/>
          <w:sz w:val="24"/>
          <w:szCs w:val="24"/>
        </w:rPr>
        <w:instrText xml:space="preserve"> QUOTE </w:instrText>
      </w:r>
      <w:r>
        <w:rPr>
          <w:rFonts w:ascii="Times New Roman" w:hAnsi="Times New Roman" w:eastAsiaTheme="majorEastAsia" w:cs="Times New Roman"/>
          <w:sz w:val="24"/>
          <w:szCs w:val="24"/>
        </w:rPr>
        <w:drawing>
          <wp:inline distT="0" distB="0" distL="0" distR="0">
            <wp:extent cx="419100" cy="1524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separate"/>
      </w:r>
      <w:r>
        <w:rPr>
          <w:rFonts w:ascii="Times New Roman" w:hAnsi="Times New Roman" w:eastAsiaTheme="majorEastAsia" w:cs="Times New Roman"/>
          <w:sz w:val="24"/>
          <w:szCs w:val="24"/>
        </w:rPr>
        <w:drawing>
          <wp:inline distT="0" distB="0" distL="0" distR="0">
            <wp:extent cx="419100" cy="1524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end"/>
      </w:r>
      <w:r>
        <w:rPr>
          <w:rFonts w:ascii="Times New Roman" w:hAnsi="Times New Roman" w:eastAsiaTheme="majorEastAsia" w:cs="Times New Roman"/>
          <w:sz w:val="24"/>
          <w:szCs w:val="24"/>
        </w:rPr>
        <w:t>材料</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通常情况下，热分解合成法对于制备纯的六</w:t>
      </w:r>
      <w:r>
        <w:rPr>
          <w:rFonts w:ascii="Times New Roman" w:hAnsi="Times New Roman" w:eastAsiaTheme="majorEastAsia" w:cs="Times New Roman" w:hint="eastAsia"/>
          <w:sz w:val="24"/>
          <w:szCs w:val="24"/>
        </w:rPr>
        <w:t>方</w:t>
      </w:r>
      <w:r>
        <w:rPr>
          <w:rFonts w:ascii="Times New Roman" w:hAnsi="Times New Roman" w:eastAsiaTheme="majorEastAsia" w:cs="Times New Roman"/>
          <w:sz w:val="24"/>
          <w:szCs w:val="24"/>
        </w:rPr>
        <w:t>相镧系掺杂NaYF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caps/>
          <w:sz w:val="24"/>
          <w:szCs w:val="24"/>
        </w:rPr>
        <w:fldChar w:fldCharType="begin"/>
      </w:r>
      <w:r>
        <w:rPr>
          <w:rFonts w:ascii="Times New Roman" w:hAnsi="Times New Roman" w:eastAsiaTheme="majorEastAsia" w:cs="Times New Roman"/>
          <w:sz w:val="24"/>
          <w:szCs w:val="24"/>
        </w:rPr>
        <w:instrText xml:space="preserve"> QUOTE </w:instrText>
      </w:r>
      <w:r>
        <w:rPr>
          <w:rFonts w:ascii="Times New Roman" w:hAnsi="Times New Roman" w:eastAsiaTheme="majorEastAsia" w:cs="Times New Roman"/>
          <w:sz w:val="24"/>
          <w:szCs w:val="24"/>
        </w:rPr>
        <w:drawing>
          <wp:inline distT="0" distB="0" distL="0" distR="0">
            <wp:extent cx="419100" cy="1524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separate"/>
      </w:r>
      <w:r>
        <w:rPr>
          <w:rFonts w:ascii="Times New Roman" w:hAnsi="Times New Roman" w:eastAsiaTheme="majorEastAsia" w:cs="Times New Roman"/>
          <w:sz w:val="24"/>
          <w:szCs w:val="24"/>
        </w:rPr>
        <w:drawing>
          <wp:inline distT="0" distB="0" distL="0" distR="0">
            <wp:extent cx="419100" cy="1524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end"/>
      </w:r>
      <w:r>
        <w:rPr>
          <w:rFonts w:ascii="Times New Roman" w:hAnsi="Times New Roman" w:eastAsiaTheme="majorEastAsia" w:cs="Times New Roman"/>
          <w:sz w:val="24"/>
          <w:szCs w:val="24"/>
        </w:rPr>
        <w:t>的UCNPs得到的粒子半径是15-40nm。最近，组合筛选方法已经可以调整</w:t>
      </w:r>
      <w:r>
        <w:rPr>
          <w:rFonts w:ascii="Times New Roman" w:hAnsi="Times New Roman" w:eastAsiaTheme="majorEastAsia" w:cs="Times New Roman"/>
          <w:sz w:val="24"/>
          <w:szCs w:val="24"/>
        </w:rPr>
        <w:t>适宜</w:t>
      </w:r>
      <w:r>
        <w:rPr>
          <w:rFonts w:ascii="Times New Roman" w:hAnsi="Times New Roman" w:eastAsiaTheme="majorEastAsia" w:cs="Times New Roman"/>
          <w:sz w:val="24"/>
          <w:szCs w:val="24"/>
        </w:rPr>
        <w:t>的</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条件制备尺寸小于10nm的镧系掺杂的六方相NaYF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_Ref447372583 \r \h  \* MERGEFORMAT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[106]</w:t>
      </w:r>
      <w:r>
        <w:rPr>
          <w:rFonts w:ascii="Times New Roman" w:hAnsi="Times New Roman" w:eastAsiaTheme="majorEastAsia" w:cs="Times New Roman"/>
          <w:sz w:val="24"/>
          <w:szCs w:val="24"/>
        </w:rPr>
        <w:fldChar w:fldCharType="end"/>
      </w:r>
      <w:r>
        <w:rPr>
          <w:rFonts w:ascii="Times New Roman" w:hAnsi="Times New Roman" w:eastAsiaTheme="majorEastAsia" w:cs="Times New Roman"/>
          <w:caps/>
          <w:sz w:val="24"/>
          <w:szCs w:val="24"/>
        </w:rPr>
        <w:fldChar w:fldCharType="begin"/>
      </w:r>
      <w:r>
        <w:rPr>
          <w:rFonts w:ascii="Times New Roman" w:hAnsi="Times New Roman" w:eastAsiaTheme="majorEastAsia" w:cs="Times New Roman"/>
          <w:sz w:val="24"/>
          <w:szCs w:val="24"/>
        </w:rPr>
        <w:instrText xml:space="preserve"> QUOTE </w:instrText>
      </w:r>
      <w:r>
        <w:rPr>
          <w:rFonts w:ascii="Times New Roman" w:hAnsi="Times New Roman" w:eastAsiaTheme="majorEastAsia" w:cs="Times New Roman"/>
          <w:sz w:val="24"/>
          <w:szCs w:val="24"/>
        </w:rPr>
        <w:drawing>
          <wp:inline distT="0" distB="0" distL="0" distR="0">
            <wp:extent cx="419100" cy="1524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separate"/>
      </w:r>
      <w:r>
        <w:rPr>
          <w:rFonts w:ascii="Times New Roman" w:hAnsi="Times New Roman" w:eastAsiaTheme="majorEastAsia" w:cs="Times New Roman"/>
          <w:sz w:val="24"/>
          <w:szCs w:val="24"/>
        </w:rPr>
        <w:drawing>
          <wp:inline distT="0" distB="0" distL="0" distR="0">
            <wp:extent cx="419100" cy="1524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xmlns:r="http://schemas.openxmlformats.org/officeDocument/2006/relationships" r:embed="rId7">
                      <a:clrChange>
                        <a:clrFrom>
                          <a:srgbClr val="FFFFFF"/>
                        </a:clrFrom>
                        <a:clrTo>
                          <a:srgbClr val="FFFFFF">
                            <a:alpha val="0"/>
                          </a:srgbClr>
                        </a:clrTo>
                      </a:clrChange>
                      <a:extLst>
                        <a:ext xmlns:a="http://schemas.openxmlformats.org/drawingml/2006/main" uri="{28A0092B-C50C-407E-A947-70E740481C1C}">
                          <a14:useLocalDpi xmlns:a14="http://schemas.microsoft.com/office/drawing/2010/main" val="0"/>
                        </a:ext>
                      </a:extLst>
                    </a:blip>
                    <a:stretch>
                      <a:fillRect/>
                    </a:stretch>
                  </pic:blipFill>
                  <pic:spPr>
                    <a:xfrm>
                      <a:off x="0" y="0"/>
                      <a:ext cx="419100" cy="152400"/>
                    </a:xfrm>
                    <a:prstGeom prst="rect">
                      <a:avLst/>
                    </a:prstGeom>
                    <a:noFill/>
                    <a:ln>
                      <a:noFill/>
                    </a:ln>
                  </pic:spPr>
                </pic:pic>
              </a:graphicData>
            </a:graphic>
          </wp:inline>
        </w:drawing>
      </w:r>
      <w:r>
        <w:rPr>
          <w:rFonts w:ascii="Times New Roman" w:hAnsi="Times New Roman" w:eastAsiaTheme="majorEastAsia" w:cs="Times New Roman"/>
          <w:caps/>
          <w:sz w:val="24"/>
          <w:szCs w:val="24"/>
        </w:rPr>
        <w:fldChar w:fldCharType="end"/>
      </w:r>
      <w:r>
        <w:rPr>
          <w:rFonts w:ascii="Times New Roman" w:hAnsi="Times New Roman" w:eastAsiaTheme="majorEastAsia" w:cs="Times New Roman"/>
          <w:sz w:val="24"/>
          <w:szCs w:val="24"/>
        </w:rPr>
        <w:t>。</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热分解方法需要严格的控制高</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温度，昂贵的对气体敏感的前躯体，有机溶剂和惰性气体的环境。在这些材料应用于生物方面之前，非极性的包覆配体在溶剂中的胶体稳定性需要在合成之后进一步</w:t>
      </w:r>
      <w:r>
        <w:rPr>
          <w:rFonts w:ascii="Times New Roman" w:hAnsi="Times New Roman" w:eastAsiaTheme="majorEastAsia" w:cs="Times New Roman"/>
          <w:sz w:val="24"/>
          <w:szCs w:val="24"/>
        </w:rPr>
        <w:t>外表</w:t>
      </w:r>
      <w:r>
        <w:rPr>
          <w:rFonts w:ascii="Times New Roman" w:hAnsi="Times New Roman" w:eastAsiaTheme="majorEastAsia" w:cs="Times New Roman"/>
          <w:sz w:val="24"/>
          <w:szCs w:val="24"/>
        </w:rPr>
        <w:t>修正。</w:t>
      </w:r>
    </w:p>
    <w:p>
      <w:pPr>
        <w:pStyle w:val="Heading3"/>
        <w:rPr>
          <w:caps/>
        </w:rPr>
      </w:pPr>
      <w:r>
        <w:rPr>
          <w:rFonts w:hint="eastAsia"/>
        </w:rPr>
        <w:t>1.</w:t>
      </w:r>
      <w:r>
        <w:t>4.2 水热法</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另外一种可产生单分散镧系掺杂NaYF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的UCNPs的方法是水热合成方法</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_Ref447372104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。水热法通常可以在比热分解法更低的温度下实现</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容器经常是一个厚壁钢化结构，密封的，保护性的附着钛去防止容器的内腔被溶剂腐蚀。</w:t>
      </w:r>
      <w:r>
        <w:rPr>
          <w:rFonts w:ascii="Times New Roman" w:hAnsi="Times New Roman" w:eastAsiaTheme="majorEastAsia" w:cs="Times New Roman" w:hint="eastAsia"/>
          <w:sz w:val="24"/>
          <w:szCs w:val="24"/>
        </w:rPr>
        <w:t>这种</w:t>
      </w:r>
      <w:r>
        <w:rPr>
          <w:rFonts w:ascii="Times New Roman" w:hAnsi="Times New Roman" w:eastAsiaTheme="majorEastAsia" w:cs="Times New Roman"/>
          <w:sz w:val="24"/>
          <w:szCs w:val="24"/>
        </w:rPr>
        <w:t>方法的粒子生长过程是不可见的</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_Ref447372236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[88]</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p>
    <w:p>
      <w:pPr>
        <w:spacing w:line="360" w:lineRule="auto"/>
        <w:ind w:firstLine="420"/>
        <w:jc w:val="left"/>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水热技术采用的压强和温度都在溶剂的临界点之上</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_Ref447372177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_Ref447372104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[89]</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。在溶剂的次临界点或超临界点实现</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的前提</w:t>
      </w:r>
      <w:r>
        <w:rPr>
          <w:rFonts w:ascii="Times New Roman" w:hAnsi="Times New Roman" w:eastAsiaTheme="majorEastAsia" w:cs="Times New Roman" w:hint="eastAsia"/>
          <w:sz w:val="24"/>
          <w:szCs w:val="24"/>
        </w:rPr>
        <w:t>，</w:t>
      </w:r>
      <w:r>
        <w:rPr>
          <w:rFonts w:ascii="Times New Roman" w:hAnsi="Times New Roman" w:eastAsiaTheme="majorEastAsia" w:cs="Times New Roman"/>
          <w:sz w:val="24"/>
          <w:szCs w:val="24"/>
        </w:rPr>
        <w:t>是增加固体材料在</w:t>
      </w:r>
      <w:r>
        <w:rPr>
          <w:rFonts w:ascii="Times New Roman" w:hAnsi="Times New Roman" w:eastAsiaTheme="majorEastAsia" w:cs="Times New Roman"/>
          <w:sz w:val="24"/>
          <w:szCs w:val="24"/>
        </w:rPr>
        <w:t>反响</w:t>
      </w:r>
      <w:r>
        <w:rPr>
          <w:rFonts w:ascii="Times New Roman" w:hAnsi="Times New Roman" w:eastAsiaTheme="majorEastAsia" w:cs="Times New Roman"/>
          <w:sz w:val="24"/>
          <w:szCs w:val="24"/>
        </w:rPr>
        <w:t>容器中的可溶性。采用水热的思路制备LaPO</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：Yb</w:t>
      </w:r>
      <w:r>
        <w:rPr>
          <w:rFonts w:ascii="Times New Roman" w:hAnsi="Times New Roman" w:eastAsiaTheme="majorEastAsia" w:cs="Times New Roman"/>
          <w:sz w:val="24"/>
          <w:szCs w:val="24"/>
          <w:vertAlign w:val="superscript"/>
        </w:rPr>
        <w:t>3+</w:t>
      </w:r>
      <w:r>
        <w:rPr>
          <w:rFonts w:ascii="Times New Roman" w:hAnsi="Times New Roman" w:eastAsiaTheme="majorEastAsia" w:cs="Times New Roman"/>
          <w:sz w:val="24"/>
          <w:szCs w:val="24"/>
        </w:rPr>
        <w:t>，Er</w:t>
      </w:r>
      <w:r>
        <w:rPr>
          <w:rFonts w:ascii="Times New Roman" w:hAnsi="Times New Roman" w:eastAsiaTheme="majorEastAsia" w:cs="Times New Roman"/>
          <w:sz w:val="24"/>
          <w:szCs w:val="24"/>
          <w:vertAlign w:val="superscript"/>
        </w:rPr>
        <w:t>3+</w:t>
      </w:r>
      <w:r>
        <w:rPr>
          <w:rFonts w:ascii="Times New Roman" w:hAnsi="Times New Roman" w:eastAsiaTheme="majorEastAsia" w:cs="Times New Roman"/>
          <w:sz w:val="24"/>
          <w:szCs w:val="24"/>
        </w:rPr>
        <w:t>纳米粒子和核/壳UCNPs已经成为产生各向异性粒子的一种方法。利用水热和溶剂热在蒸馏水，乙酸，乙醇溶剂中制备β-NaYF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 Yb</w:t>
      </w:r>
      <w:r>
        <w:rPr>
          <w:rFonts w:ascii="Times New Roman" w:hAnsi="Times New Roman" w:eastAsiaTheme="majorEastAsia" w:cs="Times New Roman"/>
          <w:sz w:val="24"/>
          <w:szCs w:val="24"/>
          <w:vertAlign w:val="superscript"/>
        </w:rPr>
        <w:t>3+</w:t>
      </w:r>
      <w:r>
        <w:rPr>
          <w:rFonts w:ascii="Times New Roman" w:hAnsi="Times New Roman" w:eastAsiaTheme="majorEastAsia" w:cs="Times New Roman"/>
          <w:sz w:val="24"/>
          <w:szCs w:val="24"/>
        </w:rPr>
        <w:t>，Er</w:t>
      </w:r>
      <w:r>
        <w:rPr>
          <w:rFonts w:ascii="Times New Roman" w:hAnsi="Times New Roman" w:eastAsiaTheme="majorEastAsia" w:cs="Times New Roman"/>
          <w:sz w:val="24"/>
          <w:szCs w:val="24"/>
          <w:vertAlign w:val="superscript"/>
        </w:rPr>
        <w:t>3+</w:t>
      </w:r>
      <w:r>
        <w:rPr>
          <w:rFonts w:ascii="Times New Roman" w:hAnsi="Times New Roman" w:eastAsiaTheme="majorEastAsia" w:cs="Times New Roman"/>
          <w:sz w:val="24"/>
          <w:szCs w:val="24"/>
        </w:rPr>
        <w:t>被Li广泛地研究，使用CTAB和EDTA去调整晶体结构和纳米粒子尺寸</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_Ref447373105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[125]</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。尽管β-NaYF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的UCNPs能够用水热法制备，但得到的粒子的尺寸和形态不太容易被控制。利用CTAB分别在乙酸和乙醇条件下合成的产物</w:t>
      </w:r>
      <w:r>
        <w:rPr>
          <w:rFonts w:ascii="Times New Roman" w:hAnsi="Times New Roman" w:eastAsiaTheme="majorEastAsia" w:cs="Times New Roman" w:hint="eastAsia"/>
          <w:sz w:val="24"/>
          <w:szCs w:val="24"/>
        </w:rPr>
        <w:t>主要以</w:t>
      </w:r>
      <w:r>
        <w:rPr>
          <w:rFonts w:ascii="Times New Roman" w:hAnsi="Times New Roman" w:eastAsiaTheme="majorEastAsia" w:cs="Times New Roman"/>
          <w:sz w:val="24"/>
          <w:szCs w:val="24"/>
        </w:rPr>
        <w:t>纳米棒晶体结构为主。在EDTA的作用下，当乙酸作为溶剂时，产生了大致在20-30nm的球形纳米粒子，而在乙醇作为溶剂时产生大致50nm的均匀纳米粒子。已经发现控制Ln</w:t>
      </w:r>
      <w:r>
        <w:rPr>
          <w:rFonts w:ascii="Times New Roman" w:hAnsi="Times New Roman" w:eastAsiaTheme="majorEastAsia" w:cs="Times New Roman"/>
          <w:sz w:val="24"/>
          <w:szCs w:val="24"/>
          <w:vertAlign w:val="superscript"/>
        </w:rPr>
        <w:t>3+</w:t>
      </w:r>
      <w:r>
        <w:rPr>
          <w:rFonts w:ascii="Times New Roman" w:hAnsi="Times New Roman" w:eastAsiaTheme="majorEastAsia" w:cs="Times New Roman"/>
          <w:sz w:val="24"/>
          <w:szCs w:val="24"/>
        </w:rPr>
        <w:t>的释放量不仅可以影响粒子的形貌，还能去调整制备的NaYF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纳米荧光粉的尺度。低的EDTA/ Ln</w:t>
      </w:r>
      <w:r>
        <w:rPr>
          <w:rFonts w:ascii="Times New Roman" w:hAnsi="Times New Roman" w:eastAsiaTheme="majorEastAsia" w:cs="Times New Roman"/>
          <w:sz w:val="24"/>
          <w:szCs w:val="24"/>
          <w:vertAlign w:val="superscript"/>
        </w:rPr>
        <w:t>3+</w:t>
      </w:r>
      <w:r>
        <w:rPr>
          <w:rFonts w:ascii="Times New Roman" w:hAnsi="Times New Roman" w:eastAsiaTheme="majorEastAsia" w:cs="Times New Roman"/>
          <w:sz w:val="24"/>
          <w:szCs w:val="24"/>
        </w:rPr>
        <w:t>比可促进较大粒子的形成；增加这个比率可促进更小纳米晶的产生</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_Ref447373113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[116]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。Li的团队已使用水热法去合成YBO</w:t>
      </w:r>
      <w:r>
        <w:rPr>
          <w:rFonts w:ascii="Times New Roman" w:hAnsi="Times New Roman" w:eastAsiaTheme="majorEastAsia" w:cs="Times New Roman"/>
          <w:sz w:val="24"/>
          <w:szCs w:val="24"/>
          <w:vertAlign w:val="subscript"/>
        </w:rPr>
        <w:t>3</w:t>
      </w:r>
      <w:r>
        <w:rPr>
          <w:rFonts w:ascii="Times New Roman" w:hAnsi="Times New Roman" w:eastAsiaTheme="majorEastAsia" w:cs="Times New Roman"/>
          <w:sz w:val="24"/>
          <w:szCs w:val="24"/>
        </w:rPr>
        <w:t>:Eu</w:t>
      </w:r>
      <w:r>
        <w:rPr>
          <w:rFonts w:ascii="Times New Roman" w:hAnsi="Times New Roman" w:eastAsiaTheme="majorEastAsia" w:cs="Times New Roman"/>
          <w:sz w:val="24"/>
          <w:szCs w:val="24"/>
          <w:vertAlign w:val="superscript"/>
        </w:rPr>
        <w:t>3+</w:t>
      </w:r>
      <w:r>
        <w:rPr>
          <w:rFonts w:ascii="Times New Roman" w:hAnsi="Times New Roman" w:eastAsiaTheme="majorEastAsia" w:cs="Times New Roman"/>
          <w:sz w:val="24"/>
          <w:szCs w:val="24"/>
        </w:rPr>
        <w:t>和YBO</w:t>
      </w:r>
      <w:r>
        <w:rPr>
          <w:rFonts w:ascii="Times New Roman" w:hAnsi="Times New Roman" w:eastAsiaTheme="majorEastAsia" w:cs="Times New Roman"/>
          <w:sz w:val="24"/>
          <w:szCs w:val="24"/>
          <w:vertAlign w:val="subscript"/>
        </w:rPr>
        <w:t>3</w:t>
      </w:r>
      <w:r>
        <w:rPr>
          <w:rFonts w:ascii="Times New Roman" w:hAnsi="Times New Roman" w:eastAsiaTheme="majorEastAsia" w:cs="Times New Roman"/>
          <w:sz w:val="24"/>
          <w:szCs w:val="24"/>
        </w:rPr>
        <w:t>:Tb</w:t>
      </w:r>
      <w:r>
        <w:rPr>
          <w:rFonts w:ascii="Times New Roman" w:hAnsi="Times New Roman" w:eastAsiaTheme="majorEastAsia" w:cs="Times New Roman"/>
          <w:sz w:val="24"/>
          <w:szCs w:val="24"/>
          <w:vertAlign w:val="superscript"/>
        </w:rPr>
        <w:t>3+</w:t>
      </w:r>
      <w:r>
        <w:rPr>
          <w:rFonts w:ascii="Times New Roman" w:hAnsi="Times New Roman" w:eastAsiaTheme="majorEastAsia" w:cs="Times New Roman"/>
          <w:sz w:val="24"/>
          <w:szCs w:val="24"/>
        </w:rPr>
        <w:t>纳米晶</w:t>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_Ref447373123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[126]</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fldChar w:fldCharType="begin"/>
      </w:r>
      <w:r>
        <w:rPr>
          <w:rFonts w:ascii="Times New Roman" w:hAnsi="Times New Roman" w:eastAsiaTheme="majorEastAsia" w:cs="Times New Roman"/>
          <w:sz w:val="24"/>
          <w:szCs w:val="24"/>
        </w:rPr>
        <w:instrText xml:space="preserve"> REF _Ref447373124 \r \h </w:instrText>
      </w:r>
      <w:r>
        <w:rPr>
          <w:rFonts w:ascii="Times New Roman" w:hAnsi="Times New Roman" w:eastAsiaTheme="majorEastAsia" w:cs="Times New Roman"/>
          <w:sz w:val="24"/>
          <w:szCs w:val="24"/>
        </w:rPr>
        <w:fldChar w:fldCharType="separate"/>
      </w:r>
      <w:r>
        <w:rPr>
          <w:rFonts w:ascii="Times New Roman" w:hAnsi="Times New Roman" w:eastAsiaTheme="majorEastAsia" w:cs="Times New Roman"/>
          <w:sz w:val="24"/>
          <w:szCs w:val="24"/>
        </w:rPr>
        <w:t>[127]</w:t>
      </w:r>
      <w:r>
        <w:rPr>
          <w:rFonts w:ascii="Times New Roman" w:hAnsi="Times New Roman" w:eastAsiaTheme="majorEastAsia" w:cs="Times New Roman"/>
          <w:sz w:val="24"/>
          <w:szCs w:val="24"/>
        </w:rPr>
        <w:fldChar w:fldCharType="end"/>
      </w:r>
      <w:r>
        <w:rPr>
          <w:rFonts w:ascii="Times New Roman" w:hAnsi="Times New Roman" w:eastAsiaTheme="majorEastAsia" w:cs="Times New Roman"/>
          <w:sz w:val="24"/>
          <w:szCs w:val="24"/>
        </w:rPr>
        <w:t>。</w:t>
      </w:r>
    </w:p>
    <w:p>
      <w:pPr>
        <w:spacing w:line="360" w:lineRule="auto"/>
        <w:ind w:firstLine="420"/>
        <w:rPr>
          <w:rFonts w:ascii="Times New Roman" w:hAnsi="Times New Roman" w:eastAsiaTheme="majorEastAsia" w:cs="Times New Roman"/>
          <w:caps/>
          <w:sz w:val="24"/>
          <w:szCs w:val="24"/>
        </w:rPr>
      </w:pPr>
      <w:r>
        <w:rPr>
          <w:rFonts w:ascii="Times New Roman" w:hAnsi="Times New Roman" w:eastAsiaTheme="majorEastAsia" w:cs="Times New Roman"/>
          <w:sz w:val="24"/>
          <w:szCs w:val="24"/>
        </w:rPr>
        <w:t>制备水溶性的NaYF</w:t>
      </w:r>
      <w:r>
        <w:rPr>
          <w:rFonts w:ascii="Times New Roman" w:hAnsi="Times New Roman" w:eastAsiaTheme="majorEastAsia" w:cs="Times New Roman"/>
          <w:sz w:val="24"/>
          <w:szCs w:val="24"/>
          <w:vertAlign w:val="subscript"/>
        </w:rPr>
        <w:t>4</w:t>
      </w:r>
      <w:r>
        <w:rPr>
          <w:rFonts w:ascii="Times New Roman" w:hAnsi="Times New Roman" w:eastAsiaTheme="majorEastAsia" w:cs="Times New Roman"/>
          <w:sz w:val="24"/>
          <w:szCs w:val="24"/>
        </w:rPr>
        <w:t>：Yb</w:t>
      </w:r>
      <w:r>
        <w:rPr>
          <w:rFonts w:ascii="Times New Roman" w:hAnsi="Times New Roman" w:eastAsiaTheme="majorEastAsia" w:cs="Times New Roman"/>
          <w:sz w:val="24"/>
          <w:szCs w:val="24"/>
          <w:vertAlign w:val="superscript"/>
        </w:rPr>
        <w:t>3+</w:t>
      </w:r>
      <w:r>
        <w:rPr>
          <w:rFonts w:ascii="Times New Roman" w:hAnsi="Times New Roman" w:eastAsiaTheme="majorEastAsia" w:cs="Times New Roman"/>
          <w:sz w:val="24"/>
          <w:szCs w:val="24"/>
        </w:rPr>
        <w:t>，Er</w:t>
      </w:r>
      <w:r>
        <w:rPr>
          <w:rFonts w:ascii="Times New Roman" w:hAnsi="Times New Roman" w:eastAsiaTheme="majorEastAsia" w:cs="Times New Roman"/>
          <w:sz w:val="24"/>
          <w:szCs w:val="24"/>
          <w:vertAlign w:val="superscript"/>
        </w:rPr>
        <w:t>3+</w:t>
      </w:r>
      <w:r>
        <w:rPr>
          <w:rFonts w:ascii="Times New Roman" w:hAnsi="Times New Roman" w:eastAsiaTheme="majorEastAsia" w:cs="Times New Roman"/>
          <w:caps/>
          <w:sz w:val="24"/>
          <w:szCs w:val="24"/>
        </w:rPr>
        <w:br/>
      </w:r>
      <w:r>
        <w:rPr>
          <w:rFonts w:ascii="Times New Roman" w:hAnsi="Times New Roman" w:eastAsiaTheme="majorEastAsia" w:cs="Times New Roman"/>
          <w:caps/>
          <w:sz w:val="24"/>
          <w:szCs w:val="24"/>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rPr>
          <w:t>https://d.book118.com/785023300233011102</w:t>
        </w:r>
      </w:hyperlink>
    </w:p>
    <w:p>
      <w:pPr>
        <w:spacing w:line="360" w:lineRule="auto"/>
        <w:ind w:firstLine="420"/>
        <w:rPr>
          <w:rFonts w:ascii="Times New Roman" w:hAnsi="Times New Roman" w:eastAsiaTheme="majorEastAsia" w:cs="Times New Roman"/>
          <w:caps/>
          <w:sz w:val="24"/>
          <w:szCs w:val="24"/>
        </w:rPr>
      </w:pPr>
    </w:p>
    <w:sectPr>
      <w:type w:val="nextPage"/>
      <w:pgSz w:w="11906" w:h="16838"/>
      <w:pgMar w:top="1162" w:right="1270" w:bottom="1162" w:left="123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modern"/>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TrebuchetMS">
    <w:altName w:val="宋体"/>
    <w:panose1 w:val="00000000000000000000"/>
    <w:charset w:val="86"/>
    <w:family w:val="auto"/>
    <w:pitch w:val="default"/>
    <w:sig w:usb0="00000000" w:usb1="00000000" w:usb2="00000010" w:usb3="00000000" w:csb0="00040000" w:csb1="00000000"/>
  </w:font>
  <w:font w:name="MAFCD K+ Adv O T 863180fb+ 20">
    <w:altName w:val="宋体"/>
    <w:panose1 w:val="00000000000000000000"/>
    <w:charset w:val="86"/>
    <w:family w:val="swiss"/>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63E5E67"/>
    <w:multiLevelType w:val="multilevel"/>
    <w:tmpl w:val="563E5E67"/>
    <w:lvl w:ilvl="0" w:tentative="1">
      <w:start w:val="1"/>
      <w:numFmt w:val="decimal"/>
      <w:lvlText w:val="[%1]"/>
      <w:lvlJc w:val="left"/>
      <w:pPr>
        <w:ind w:left="420" w:hanging="420"/>
      </w:pPr>
      <w:rPr>
        <w:rFonts w:hint="eastAsia"/>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859"/>
    <w:rsid w:val="0001178B"/>
    <w:rsid w:val="00027E50"/>
    <w:rsid w:val="00052233"/>
    <w:rsid w:val="00054342"/>
    <w:rsid w:val="0006340A"/>
    <w:rsid w:val="0006766B"/>
    <w:rsid w:val="00070DB5"/>
    <w:rsid w:val="0009075E"/>
    <w:rsid w:val="000A3763"/>
    <w:rsid w:val="000B1691"/>
    <w:rsid w:val="000D25F5"/>
    <w:rsid w:val="000E1E71"/>
    <w:rsid w:val="000E7ADA"/>
    <w:rsid w:val="001229CF"/>
    <w:rsid w:val="00133C00"/>
    <w:rsid w:val="00142885"/>
    <w:rsid w:val="00142D10"/>
    <w:rsid w:val="00152F79"/>
    <w:rsid w:val="0017219D"/>
    <w:rsid w:val="00177EBC"/>
    <w:rsid w:val="00185ACA"/>
    <w:rsid w:val="00187D13"/>
    <w:rsid w:val="00191E09"/>
    <w:rsid w:val="00193C25"/>
    <w:rsid w:val="001973D3"/>
    <w:rsid w:val="001A454B"/>
    <w:rsid w:val="001C405A"/>
    <w:rsid w:val="001D0A34"/>
    <w:rsid w:val="00215593"/>
    <w:rsid w:val="00242412"/>
    <w:rsid w:val="00252359"/>
    <w:rsid w:val="002705DC"/>
    <w:rsid w:val="002813AC"/>
    <w:rsid w:val="002B32BB"/>
    <w:rsid w:val="002B5AB9"/>
    <w:rsid w:val="002D5C76"/>
    <w:rsid w:val="002D6F18"/>
    <w:rsid w:val="002E5A90"/>
    <w:rsid w:val="002F0BFD"/>
    <w:rsid w:val="002F2C03"/>
    <w:rsid w:val="00312572"/>
    <w:rsid w:val="003309E9"/>
    <w:rsid w:val="0033268A"/>
    <w:rsid w:val="003338DE"/>
    <w:rsid w:val="003372F6"/>
    <w:rsid w:val="00341834"/>
    <w:rsid w:val="00342F3E"/>
    <w:rsid w:val="00354735"/>
    <w:rsid w:val="0035727C"/>
    <w:rsid w:val="003740DB"/>
    <w:rsid w:val="00390D54"/>
    <w:rsid w:val="003B2A49"/>
    <w:rsid w:val="003D5927"/>
    <w:rsid w:val="003D7C3E"/>
    <w:rsid w:val="004005A1"/>
    <w:rsid w:val="004135DE"/>
    <w:rsid w:val="0046770E"/>
    <w:rsid w:val="0047179D"/>
    <w:rsid w:val="00485386"/>
    <w:rsid w:val="004B1986"/>
    <w:rsid w:val="004B2F34"/>
    <w:rsid w:val="004B6A81"/>
    <w:rsid w:val="004D0DD5"/>
    <w:rsid w:val="004D379E"/>
    <w:rsid w:val="004E6795"/>
    <w:rsid w:val="004F574B"/>
    <w:rsid w:val="005004FE"/>
    <w:rsid w:val="005052BE"/>
    <w:rsid w:val="005356AC"/>
    <w:rsid w:val="00536DE6"/>
    <w:rsid w:val="00541C09"/>
    <w:rsid w:val="005537E3"/>
    <w:rsid w:val="005546E8"/>
    <w:rsid w:val="00566DC4"/>
    <w:rsid w:val="005745DE"/>
    <w:rsid w:val="00577219"/>
    <w:rsid w:val="005A4441"/>
    <w:rsid w:val="005A6D0E"/>
    <w:rsid w:val="005B74F2"/>
    <w:rsid w:val="005C2CBC"/>
    <w:rsid w:val="005D059A"/>
    <w:rsid w:val="005E3D66"/>
    <w:rsid w:val="005E5183"/>
    <w:rsid w:val="005E7F55"/>
    <w:rsid w:val="00614E9F"/>
    <w:rsid w:val="006378D3"/>
    <w:rsid w:val="00667998"/>
    <w:rsid w:val="00671BE3"/>
    <w:rsid w:val="00673955"/>
    <w:rsid w:val="006963FB"/>
    <w:rsid w:val="006B62A7"/>
    <w:rsid w:val="006C430D"/>
    <w:rsid w:val="006C678C"/>
    <w:rsid w:val="006E4289"/>
    <w:rsid w:val="006F1BFA"/>
    <w:rsid w:val="006F2FA3"/>
    <w:rsid w:val="00705A63"/>
    <w:rsid w:val="0070799D"/>
    <w:rsid w:val="00717C26"/>
    <w:rsid w:val="00731183"/>
    <w:rsid w:val="00747E95"/>
    <w:rsid w:val="0075149C"/>
    <w:rsid w:val="007527E3"/>
    <w:rsid w:val="00755145"/>
    <w:rsid w:val="00764ABB"/>
    <w:rsid w:val="00782001"/>
    <w:rsid w:val="00783250"/>
    <w:rsid w:val="007834B4"/>
    <w:rsid w:val="00785459"/>
    <w:rsid w:val="0079324C"/>
    <w:rsid w:val="007943D2"/>
    <w:rsid w:val="007A23F7"/>
    <w:rsid w:val="007B2013"/>
    <w:rsid w:val="007B7B2E"/>
    <w:rsid w:val="007C0581"/>
    <w:rsid w:val="007C6039"/>
    <w:rsid w:val="007D3690"/>
    <w:rsid w:val="007D4EFA"/>
    <w:rsid w:val="007E1752"/>
    <w:rsid w:val="007E3713"/>
    <w:rsid w:val="007F0865"/>
    <w:rsid w:val="007F0875"/>
    <w:rsid w:val="007F2540"/>
    <w:rsid w:val="008006FA"/>
    <w:rsid w:val="0080550E"/>
    <w:rsid w:val="008305A3"/>
    <w:rsid w:val="008305DA"/>
    <w:rsid w:val="00841561"/>
    <w:rsid w:val="0085605D"/>
    <w:rsid w:val="0089554F"/>
    <w:rsid w:val="00897FFA"/>
    <w:rsid w:val="008A2020"/>
    <w:rsid w:val="008C096E"/>
    <w:rsid w:val="008D2946"/>
    <w:rsid w:val="008F5994"/>
    <w:rsid w:val="008F6145"/>
    <w:rsid w:val="00910D9C"/>
    <w:rsid w:val="00921130"/>
    <w:rsid w:val="009218DE"/>
    <w:rsid w:val="00933740"/>
    <w:rsid w:val="0096586E"/>
    <w:rsid w:val="0099086F"/>
    <w:rsid w:val="009A760B"/>
    <w:rsid w:val="009B3CBA"/>
    <w:rsid w:val="009C47A4"/>
    <w:rsid w:val="009D2831"/>
    <w:rsid w:val="009D7B40"/>
    <w:rsid w:val="00A12189"/>
    <w:rsid w:val="00A14AF5"/>
    <w:rsid w:val="00A26898"/>
    <w:rsid w:val="00A31C06"/>
    <w:rsid w:val="00A42876"/>
    <w:rsid w:val="00A61B0A"/>
    <w:rsid w:val="00A65103"/>
    <w:rsid w:val="00A663E4"/>
    <w:rsid w:val="00A7482B"/>
    <w:rsid w:val="00A75753"/>
    <w:rsid w:val="00A8274F"/>
    <w:rsid w:val="00A91669"/>
    <w:rsid w:val="00AC35F5"/>
    <w:rsid w:val="00AC5721"/>
    <w:rsid w:val="00AD0D18"/>
    <w:rsid w:val="00B01F0B"/>
    <w:rsid w:val="00B04FA9"/>
    <w:rsid w:val="00B07B6E"/>
    <w:rsid w:val="00B22AA8"/>
    <w:rsid w:val="00B247FE"/>
    <w:rsid w:val="00B25B26"/>
    <w:rsid w:val="00B37ACD"/>
    <w:rsid w:val="00B520B5"/>
    <w:rsid w:val="00B727CC"/>
    <w:rsid w:val="00B74BAD"/>
    <w:rsid w:val="00B94056"/>
    <w:rsid w:val="00BA1EA1"/>
    <w:rsid w:val="00BB09E2"/>
    <w:rsid w:val="00BC7FB1"/>
    <w:rsid w:val="00BD0437"/>
    <w:rsid w:val="00BD333C"/>
    <w:rsid w:val="00BE2CA5"/>
    <w:rsid w:val="00BF2773"/>
    <w:rsid w:val="00BF36FB"/>
    <w:rsid w:val="00C05FC3"/>
    <w:rsid w:val="00C17FDC"/>
    <w:rsid w:val="00C412C5"/>
    <w:rsid w:val="00C41C01"/>
    <w:rsid w:val="00C43864"/>
    <w:rsid w:val="00C50732"/>
    <w:rsid w:val="00C56299"/>
    <w:rsid w:val="00C60144"/>
    <w:rsid w:val="00C60481"/>
    <w:rsid w:val="00C70082"/>
    <w:rsid w:val="00C743D9"/>
    <w:rsid w:val="00CA0473"/>
    <w:rsid w:val="00CA3930"/>
    <w:rsid w:val="00CB1519"/>
    <w:rsid w:val="00CD6D58"/>
    <w:rsid w:val="00CF668E"/>
    <w:rsid w:val="00D1523E"/>
    <w:rsid w:val="00D22B66"/>
    <w:rsid w:val="00D23213"/>
    <w:rsid w:val="00D27D03"/>
    <w:rsid w:val="00D45511"/>
    <w:rsid w:val="00D529D6"/>
    <w:rsid w:val="00D6302C"/>
    <w:rsid w:val="00D67859"/>
    <w:rsid w:val="00D70F46"/>
    <w:rsid w:val="00D85A1A"/>
    <w:rsid w:val="00D96932"/>
    <w:rsid w:val="00DA4A20"/>
    <w:rsid w:val="00DB139B"/>
    <w:rsid w:val="00DB2DA6"/>
    <w:rsid w:val="00DC1169"/>
    <w:rsid w:val="00E10958"/>
    <w:rsid w:val="00E11D6F"/>
    <w:rsid w:val="00E13E88"/>
    <w:rsid w:val="00E25088"/>
    <w:rsid w:val="00E265E7"/>
    <w:rsid w:val="00E26761"/>
    <w:rsid w:val="00E35E18"/>
    <w:rsid w:val="00E40D7F"/>
    <w:rsid w:val="00E657C1"/>
    <w:rsid w:val="00E77FFD"/>
    <w:rsid w:val="00E82743"/>
    <w:rsid w:val="00E92B9C"/>
    <w:rsid w:val="00ED2B84"/>
    <w:rsid w:val="00EF4586"/>
    <w:rsid w:val="00EF6D02"/>
    <w:rsid w:val="00F14F47"/>
    <w:rsid w:val="00F363B0"/>
    <w:rsid w:val="00F50029"/>
    <w:rsid w:val="00F53005"/>
    <w:rsid w:val="00F54ABB"/>
    <w:rsid w:val="00F62AAC"/>
    <w:rsid w:val="00F638B3"/>
    <w:rsid w:val="00F705E0"/>
    <w:rsid w:val="00F70D71"/>
    <w:rsid w:val="00FA24CE"/>
    <w:rsid w:val="00FC167C"/>
    <w:rsid w:val="00FD4D76"/>
    <w:rsid w:val="00FD7514"/>
    <w:rsid w:val="00FF0905"/>
    <w:rsid w:val="00FF7327"/>
    <w:rsid w:val="51093EFF"/>
    <w:rsid w:val="6D5E0683"/>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semiHidden="0"/>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semiHidden="0" w:qFormat="1"/>
    <w:lsdException w:name="HTML Sample"/>
    <w:lsdException w:name="HTML Typewriter"/>
    <w:lsdException w:name="HTML Variable"/>
    <w:lsdException w:name="Normal Table" w:semiHidden="0"/>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Char"/>
    <w:uiPriority w:val="9"/>
    <w:qFormat/>
    <w:pPr>
      <w:keepNext/>
      <w:keepLines/>
      <w:spacing w:before="340" w:after="330" w:line="578" w:lineRule="auto"/>
      <w:outlineLvl w:val="0"/>
    </w:pPr>
    <w:rPr>
      <w:rFonts w:eastAsia="黑体"/>
      <w:b/>
      <w:bCs/>
      <w:kern w:val="44"/>
      <w:sz w:val="30"/>
      <w:szCs w:val="44"/>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eastAsia="黑体" w:asciiTheme="majorHAnsi" w:hAnsiTheme="majorHAnsi" w:cstheme="majorBidi"/>
      <w:b/>
      <w:bCs/>
      <w:sz w:val="28"/>
      <w:szCs w:val="32"/>
    </w:rPr>
  </w:style>
  <w:style w:type="paragraph" w:styleId="Heading3">
    <w:name w:val="heading 3"/>
    <w:basedOn w:val="Normal"/>
    <w:next w:val="Normal"/>
    <w:link w:val="3Char"/>
    <w:uiPriority w:val="9"/>
    <w:unhideWhenUsed/>
    <w:qFormat/>
    <w:pPr>
      <w:keepNext/>
      <w:keepLines/>
      <w:spacing w:before="260" w:after="260" w:line="416" w:lineRule="auto"/>
      <w:outlineLvl w:val="2"/>
    </w:pPr>
    <w:rPr>
      <w:rFonts w:eastAsia="黑体"/>
      <w:b/>
      <w:bCs/>
      <w:sz w:val="24"/>
      <w:szCs w:val="32"/>
    </w:rPr>
  </w:style>
  <w:style w:type="character" w:default="1" w:styleId="DefaultParagraphFont">
    <w:name w:val="Default Paragraph Font"/>
    <w:uiPriority w:val="1"/>
    <w:unhideWhenUsed/>
  </w:style>
  <w:style w:type="table" w:default="1" w:styleId="TableNormal">
    <w:name w:val="Normal Table"/>
    <w:uiPriority w:val="99"/>
    <w:unhideWhenUsed/>
    <w:tblPr>
      <w:tblCellMar>
        <w:top w:w="0" w:type="dxa"/>
        <w:left w:w="108" w:type="dxa"/>
        <w:bottom w:w="0" w:type="dxa"/>
        <w:right w:w="108" w:type="dxa"/>
      </w:tblCellMar>
    </w:tblPr>
  </w:style>
  <w:style w:type="paragraph" w:styleId="BalloonText">
    <w:name w:val="Balloon Text"/>
    <w:basedOn w:val="Normal"/>
    <w:link w:val="Char"/>
    <w:uiPriority w:val="99"/>
    <w:unhideWhenUsed/>
    <w:rPr>
      <w:sz w:val="18"/>
      <w:szCs w:val="18"/>
    </w:rPr>
  </w:style>
  <w:style w:type="paragraph" w:styleId="Footer">
    <w:name w:val="footer"/>
    <w:basedOn w:val="Normal"/>
    <w:link w:val="Char1"/>
    <w:uiPriority w:val="99"/>
    <w:unhideWhenUsed/>
    <w:pPr>
      <w:tabs>
        <w:tab w:val="center" w:pos="4153"/>
        <w:tab w:val="right" w:pos="8306"/>
      </w:tabs>
      <w:snapToGrid w:val="0"/>
      <w:jc w:val="left"/>
    </w:pPr>
    <w:rPr>
      <w:sz w:val="18"/>
      <w:szCs w:val="18"/>
    </w:rPr>
  </w:style>
  <w:style w:type="paragraph" w:styleId="Header">
    <w:name w:val="header"/>
    <w:basedOn w:val="Normal"/>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HTMLPreformatted">
    <w:name w:val="HTML Preformatted"/>
    <w:basedOn w:val="Normal"/>
    <w:link w:val="HTML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Title">
    <w:name w:val="Title"/>
    <w:basedOn w:val="Normal"/>
    <w:next w:val="Normal"/>
    <w:link w:val="Char2"/>
    <w:uiPriority w:val="10"/>
    <w:qFormat/>
    <w:pPr>
      <w:spacing w:before="240" w:after="60"/>
      <w:jc w:val="left"/>
      <w:outlineLvl w:val="0"/>
    </w:pPr>
    <w:rPr>
      <w:rFonts w:eastAsia="黑体" w:asciiTheme="majorHAnsi" w:hAnsiTheme="majorHAnsi" w:cstheme="majorBidi"/>
      <w:b/>
      <w:bCs/>
      <w:sz w:val="28"/>
      <w:szCs w:val="32"/>
    </w:rPr>
  </w:style>
  <w:style w:type="character" w:styleId="EndnoteReference">
    <w:name w:val="endnote reference"/>
    <w:basedOn w:val="DefaultParagraphFont"/>
    <w:uiPriority w:val="99"/>
    <w:unhideWhenUsed/>
    <w:rPr>
      <w:vertAlign w:val="superscript"/>
    </w:r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批注框文本 Char"/>
    <w:basedOn w:val="DefaultParagraphFont"/>
    <w:link w:val="BalloonText"/>
    <w:uiPriority w:val="99"/>
    <w:semiHidden/>
    <w:qFormat/>
    <w:rPr>
      <w:sz w:val="18"/>
      <w:szCs w:val="18"/>
    </w:rPr>
  </w:style>
  <w:style w:type="character" w:customStyle="1" w:styleId="PlaceholderText">
    <w:name w:val="Placeholder Text"/>
    <w:basedOn w:val="DefaultParagraphFont"/>
    <w:uiPriority w:val="99"/>
    <w:semiHidden/>
    <w:rPr>
      <w:color w:val="808080"/>
    </w:rPr>
  </w:style>
  <w:style w:type="character" w:customStyle="1" w:styleId="Char0">
    <w:name w:val="页眉 Char"/>
    <w:basedOn w:val="DefaultParagraphFont"/>
    <w:link w:val="Header"/>
    <w:uiPriority w:val="99"/>
    <w:rPr>
      <w:sz w:val="18"/>
      <w:szCs w:val="18"/>
    </w:rPr>
  </w:style>
  <w:style w:type="character" w:customStyle="1" w:styleId="Char1">
    <w:name w:val="页脚 Char"/>
    <w:basedOn w:val="DefaultParagraphFont"/>
    <w:link w:val="Footer"/>
    <w:uiPriority w:val="99"/>
    <w:rPr>
      <w:sz w:val="18"/>
      <w:szCs w:val="18"/>
    </w:rPr>
  </w:style>
  <w:style w:type="paragraph" w:customStyle="1" w:styleId="ListParagraph">
    <w:name w:val="List Paragraph"/>
    <w:basedOn w:val="Normal"/>
    <w:uiPriority w:val="34"/>
    <w:qFormat/>
    <w:pPr>
      <w:ind w:firstLine="420" w:firstLineChars="200"/>
    </w:pPr>
  </w:style>
  <w:style w:type="character" w:customStyle="1" w:styleId="1Char">
    <w:name w:val="标题 1 Char"/>
    <w:basedOn w:val="DefaultParagraphFont"/>
    <w:link w:val="Heading1"/>
    <w:uiPriority w:val="9"/>
    <w:rPr>
      <w:rFonts w:eastAsia="黑体"/>
      <w:b/>
      <w:bCs/>
      <w:kern w:val="44"/>
      <w:sz w:val="30"/>
      <w:szCs w:val="44"/>
    </w:rPr>
  </w:style>
  <w:style w:type="character" w:customStyle="1" w:styleId="2Char">
    <w:name w:val="标题 2 Char"/>
    <w:basedOn w:val="DefaultParagraphFont"/>
    <w:link w:val="Heading2"/>
    <w:uiPriority w:val="9"/>
    <w:rPr>
      <w:rFonts w:eastAsia="黑体" w:asciiTheme="majorHAnsi" w:hAnsiTheme="majorHAnsi" w:cstheme="majorBidi"/>
      <w:b/>
      <w:bCs/>
      <w:sz w:val="28"/>
      <w:szCs w:val="32"/>
    </w:rPr>
  </w:style>
  <w:style w:type="character" w:customStyle="1" w:styleId="Char2">
    <w:name w:val="标题 Char"/>
    <w:basedOn w:val="DefaultParagraphFont"/>
    <w:link w:val="Title"/>
    <w:uiPriority w:val="10"/>
    <w:rPr>
      <w:rFonts w:eastAsia="黑体" w:asciiTheme="majorHAnsi" w:hAnsiTheme="majorHAnsi" w:cstheme="majorBidi"/>
      <w:b/>
      <w:bCs/>
      <w:sz w:val="28"/>
      <w:szCs w:val="32"/>
    </w:rPr>
  </w:style>
  <w:style w:type="character" w:customStyle="1" w:styleId="3Char">
    <w:name w:val="标题 3 Char"/>
    <w:basedOn w:val="DefaultParagraphFont"/>
    <w:link w:val="Heading3"/>
    <w:uiPriority w:val="9"/>
    <w:qFormat/>
    <w:rPr>
      <w:rFonts w:eastAsia="黑体"/>
      <w:b/>
      <w:bCs/>
      <w:sz w:val="24"/>
      <w:szCs w:val="32"/>
    </w:rPr>
  </w:style>
  <w:style w:type="character" w:customStyle="1" w:styleId="HTMLChar">
    <w:name w:val="HTML 预设格式 Char"/>
    <w:basedOn w:val="DefaultParagraphFont"/>
    <w:link w:val="HTMLPreformatted"/>
    <w:uiPriority w:val="99"/>
    <w:qFormat/>
    <w:rPr>
      <w:rFonts w:ascii="宋体" w:eastAsia="宋体" w:hAnsi="宋体" w:cs="宋体"/>
      <w:kern w:val="0"/>
      <w:sz w:val="24"/>
      <w:szCs w:val="24"/>
    </w:rPr>
  </w:style>
  <w:style w:type="paragraph" w:customStyle="1" w:styleId="NoSpacing">
    <w:name w:val="No Spacing"/>
    <w:uiPriority w:val="1"/>
    <w:qFormat/>
    <w:pPr>
      <w:widowControl w:val="0"/>
      <w:jc w:val="both"/>
    </w:pPr>
    <w:rPr>
      <w:rFonts w:asciiTheme="minorHAnsi" w:eastAsiaTheme="minorEastAsia" w:hAnsiTheme="minorHAnsi" w:cstheme="minorBidi"/>
      <w:kern w:val="2"/>
      <w:sz w:val="21"/>
      <w:szCs w:val="22"/>
      <w:lang w:val="en-US" w:eastAsia="zh-CN" w:bidi="ar-SA"/>
    </w:rPr>
  </w:style>
  <w:style w:type="table" w:customStyle="1" w:styleId="TableGrid0">
    <w:name w:val="Table Grid_0"/>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hyperlink" Target="https://d.book118.com/785023300233011102"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CF6A078-0102-4495-B787-4B5BA1F27346}">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6055</Words>
  <Characters>34515</Characters>
  <Application>Microsoft Office Word</Application>
  <DocSecurity>0</DocSecurity>
  <Lines>287</Lines>
  <Paragraphs>80</Paragraphs>
  <ScaleCrop>false</ScaleCrop>
  <Company/>
  <LinksUpToDate>false</LinksUpToDate>
  <CharactersWithSpaces>40490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aaa</dc:creator>
  <cp:lastModifiedBy>cs1092219756</cp:lastModifiedBy>
  <cp:revision>81</cp:revision>
  <dcterms:created xsi:type="dcterms:W3CDTF">2016-01-31T03:26:00Z</dcterms:created>
  <dcterms:modified xsi:type="dcterms:W3CDTF">2016-04-10T09:08:56Z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