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8" w:line="311" w:lineRule="exact"/>
        <w:ind w:left="12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65.0</w:t>
      </w:r>
      <w:r>
        <w:rPr>
          <w:rFonts w:ascii="SimHei" w:eastAsia="SimHei" w:hAnsi="SimHei" w:cs="SimHei"/>
          <w:position w:val="10"/>
          <w:sz w:val="21"/>
          <w:szCs w:val="21"/>
        </w:rPr>
        <w:t>20.20</w:t>
      </w:r>
    </w:p>
    <w:p>
      <w:pPr>
        <w:spacing w:line="186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B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>3</w:t>
      </w:r>
    </w:p>
    <w:p>
      <w:pPr>
        <w:spacing w:before="68" w:line="223" w:lineRule="auto"/>
        <w:ind w:left="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备案号：55155</w:t>
      </w:r>
      <w:r>
        <w:rPr>
          <w:rFonts w:ascii="SimHei" w:eastAsia="SimHei" w:hAnsi="SimHei" w:cs="SimHei"/>
          <w:sz w:val="21"/>
          <w:szCs w:val="21"/>
        </w:rPr>
        <w:t>-2017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6"/>
          <w:sz w:val="48"/>
          <w:szCs w:val="48"/>
        </w:rPr>
        <w:t>青</w:t>
      </w:r>
      <w:r>
        <w:rPr>
          <w:rFonts w:ascii="SimHei" w:eastAsia="SimHei" w:hAnsi="SimHei" w:cs="SimHei"/>
          <w:spacing w:val="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海</w:t>
      </w:r>
      <w:r>
        <w:rPr>
          <w:rFonts w:ascii="SimHei" w:eastAsia="SimHei" w:hAnsi="SimHei" w:cs="SimHei"/>
          <w:spacing w:val="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276" w:line="193" w:lineRule="auto"/>
        <w:ind w:right="161"/>
        <w:jc w:val="right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97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96"/>
          <w:sz w:val="96"/>
          <w:szCs w:val="96"/>
        </w:rPr>
        <w:t>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0"/>
          <w:sz w:val="48"/>
          <w:szCs w:val="48"/>
        </w:rPr>
        <w:t>地</w:t>
      </w:r>
      <w:r>
        <w:rPr>
          <w:rFonts w:ascii="SimHei" w:eastAsia="SimHei" w:hAnsi="SimHei" w:cs="SimHei"/>
          <w:spacing w:val="10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0"/>
          <w:sz w:val="48"/>
          <w:szCs w:val="48"/>
        </w:rPr>
        <w:t>方</w:t>
      </w:r>
      <w:r>
        <w:rPr>
          <w:rFonts w:ascii="SimHei" w:eastAsia="SimHei" w:hAnsi="SimHei" w:cs="SimHei"/>
          <w:spacing w:val="10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0"/>
          <w:sz w:val="48"/>
          <w:szCs w:val="48"/>
        </w:rPr>
        <w:t>标</w:t>
      </w:r>
      <w:r>
        <w:rPr>
          <w:rFonts w:ascii="SimHei" w:eastAsia="SimHei" w:hAnsi="SimHei" w:cs="SimHei"/>
          <w:spacing w:val="10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准</w:t>
      </w:r>
    </w:p>
    <w:p>
      <w:pPr>
        <w:spacing w:before="320" w:line="194" w:lineRule="auto"/>
        <w:ind w:left="2312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1584—2017</w:t>
      </w:r>
    </w:p>
    <w:p>
      <w:pPr>
        <w:sectPr>
          <w:pgSz w:w="11905" w:h="16840"/>
          <w:pgMar w:top="509" w:right="818" w:bottom="0" w:left="1409" w:header="0" w:footer="0" w:gutter="0"/>
          <w:cols w:num="2" w:space="708" w:equalWidth="0">
            <w:col w:w="4408" w:space="100"/>
            <w:col w:w="5169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6" w:line="226" w:lineRule="auto"/>
        <w:ind w:left="170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2"/>
          <w:sz w:val="51"/>
          <w:szCs w:val="51"/>
        </w:rPr>
        <w:t>唐</w:t>
      </w:r>
      <w:r>
        <w:rPr>
          <w:rFonts w:ascii="SimHei" w:eastAsia="SimHei" w:hAnsi="SimHei" w:cs="SimHei"/>
          <w:spacing w:val="8"/>
          <w:sz w:val="51"/>
          <w:szCs w:val="51"/>
        </w:rPr>
        <w:t>菖蒲球茎繁育技术规范</w:t>
      </w:r>
    </w:p>
    <w:p/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09" w:right="818" w:bottom="0" w:left="1409" w:header="0" w:footer="0" w:gutter="0"/>
          <w:pgNumType w:start="2"/>
          <w:cols w:num="1" w:space="708" w:equalWidth="0">
            <w:col w:w="9676" w:space="0"/>
          </w:cols>
        </w:sectPr>
      </w:pPr>
    </w:p>
    <w:p/>
    <w:p/>
    <w:p/>
    <w:p/>
    <w:p/>
    <w:p/>
    <w:p/>
    <w:p/>
    <w:p/>
    <w:p/>
    <w:p>
      <w:pPr>
        <w:spacing w:line="97" w:lineRule="exact"/>
      </w:pPr>
    </w:p>
    <w:p>
      <w:pPr>
        <w:sectPr>
          <w:type w:val="nextPage"/>
          <w:pgSz w:w="11905" w:h="16840"/>
          <w:pgMar w:top="509" w:right="818" w:bottom="0" w:left="1409" w:header="0" w:footer="0" w:gutter="0"/>
          <w:pgNumType w:start="3"/>
          <w:cols w:num="1" w:space="708" w:equalWidth="0">
            <w:col w:w="9676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017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017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09" w:right="818" w:bottom="0" w:left="1409" w:header="0" w:footer="0" w:gutter="0"/>
          <w:pgNumType w:start="4"/>
          <w:cols w:num="2" w:space="708" w:equalWidth="0">
            <w:col w:w="7275" w:space="100"/>
            <w:col w:w="230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63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81"/>
          <w:sz w:val="27"/>
          <w:szCs w:val="27"/>
        </w:rPr>
        <w:t>青</w:t>
      </w:r>
      <w:r>
        <w:rPr>
          <w:rFonts w:ascii="SimHei" w:eastAsia="SimHei" w:hAnsi="SimHei" w:cs="SimHei"/>
          <w:spacing w:val="73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73"/>
          <w:sz w:val="27"/>
          <w:szCs w:val="27"/>
        </w:rPr>
        <w:t xml:space="preserve">       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09" w:right="818" w:bottom="0" w:left="1409" w:header="0" w:footer="0" w:gutter="0"/>
          <w:pgNumType w:start="5"/>
          <w:cols w:num="1" w:space="708" w:equalWidth="0">
            <w:col w:w="9676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4"/>
          <w:footerReference w:type="default" r:id="rId5"/>
          <w:pgSz w:w="11905" w:h="16840"/>
          <w:pgMar w:top="0" w:right="0" w:bottom="0" w:left="0" w:header="0" w:footer="0" w:gutter="0"/>
          <w:pgNumType w:start="6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1584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017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368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本规范按照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1.1一2009给出的规则编写。</w:t>
      </w:r>
    </w:p>
    <w:p>
      <w:pPr>
        <w:spacing w:line="219" w:lineRule="auto"/>
        <w:ind w:left="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</w:t>
      </w:r>
      <w:r>
        <w:rPr>
          <w:rFonts w:ascii="SimSun" w:eastAsia="SimSun" w:hAnsi="SimSun" w:cs="SimSun"/>
          <w:spacing w:val="-3"/>
          <w:sz w:val="21"/>
          <w:szCs w:val="21"/>
        </w:rPr>
        <w:t>范</w:t>
      </w:r>
      <w:r>
        <w:rPr>
          <w:rFonts w:ascii="SimSun" w:eastAsia="SimSun" w:hAnsi="SimSun" w:cs="SimSun"/>
          <w:spacing w:val="-2"/>
          <w:sz w:val="21"/>
          <w:szCs w:val="21"/>
        </w:rPr>
        <w:t>由青海省农牧厅提出并归口。</w:t>
      </w:r>
    </w:p>
    <w:p>
      <w:pPr>
        <w:spacing w:before="62" w:line="274" w:lineRule="auto"/>
        <w:ind w:left="60" w:right="14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</w:t>
      </w:r>
      <w:r>
        <w:rPr>
          <w:rFonts w:ascii="SimSun" w:eastAsia="SimSun" w:hAnsi="SimSun" w:cs="SimSun"/>
          <w:spacing w:val="-1"/>
          <w:sz w:val="21"/>
          <w:szCs w:val="21"/>
        </w:rPr>
        <w:t>起草单位：青海大学高原花卉研究中心、青海省园林植物研究重点实验室。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本规范主要起草人：巨秀婷、唐楠、唐道</w:t>
      </w:r>
      <w:r>
        <w:rPr>
          <w:rFonts w:ascii="SimSun" w:eastAsia="SimSun" w:hAnsi="SimSun" w:cs="SimSun"/>
          <w:spacing w:val="-1"/>
          <w:sz w:val="21"/>
          <w:szCs w:val="21"/>
        </w:rPr>
        <w:t>城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" w:line="219" w:lineRule="auto"/>
        <w:ind w:left="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本规范由青海大学高原花卉研究中心</w:t>
      </w:r>
      <w:r>
        <w:rPr>
          <w:rFonts w:ascii="SimSun" w:eastAsia="SimSun" w:hAnsi="SimSun" w:cs="SimSun"/>
          <w:spacing w:val="-1"/>
          <w:sz w:val="21"/>
          <w:szCs w:val="21"/>
        </w:rPr>
        <w:t>负责解释。</w:t>
      </w:r>
    </w:p>
    <w:p>
      <w:pPr>
        <w:sectPr>
          <w:headerReference w:type="default" r:id="rId6"/>
          <w:footerReference w:type="default" r:id="rId7"/>
          <w:pgSz w:w="11905" w:h="16840"/>
          <w:pgMar w:top="400" w:right="1132" w:bottom="1314" w:left="1785" w:header="0" w:footer="1134" w:gutter="0"/>
          <w:pgNumType w:start="7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8"/>
          <w:footerReference w:type="default" r:id="rId9"/>
          <w:pgSz w:w="11905" w:h="16840"/>
          <w:pgMar w:top="0" w:right="0" w:bottom="0" w:left="0" w:header="0" w:footer="0" w:gutter="0"/>
          <w:pgNumType w:start="8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1584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017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3" w:lineRule="auto"/>
        <w:ind w:left="2923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唐菖蒲球茎繁育技术规</w:t>
      </w:r>
      <w:r>
        <w:rPr>
          <w:rFonts w:ascii="SimHei" w:eastAsia="SimHei" w:hAnsi="SimHei" w:cs="SimHei"/>
          <w:sz w:val="32"/>
          <w:szCs w:val="32"/>
        </w:rPr>
        <w:t>范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74" w:lineRule="auto"/>
        <w:ind w:left="18" w:firstLine="4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本规范规定了唐菖</w:t>
      </w:r>
      <w:r>
        <w:rPr>
          <w:rFonts w:ascii="SimSun" w:eastAsia="SimSun" w:hAnsi="SimSun" w:cs="SimSun"/>
          <w:spacing w:val="-3"/>
          <w:sz w:val="21"/>
          <w:szCs w:val="21"/>
        </w:rPr>
        <w:t>蒲</w:t>
      </w:r>
      <w:r>
        <w:rPr>
          <w:rFonts w:ascii="SimSun" w:eastAsia="SimSun" w:hAnsi="SimSun" w:cs="SimSun"/>
          <w:spacing w:val="-2"/>
          <w:sz w:val="21"/>
          <w:szCs w:val="21"/>
        </w:rPr>
        <w:t>球茎等的术语和定义、适繁区选择、品种、土壤准备、栽培床准备、播种、田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间管</w:t>
      </w:r>
      <w:r>
        <w:rPr>
          <w:rFonts w:ascii="SimSun" w:eastAsia="SimSun" w:hAnsi="SimSun" w:cs="SimSun"/>
          <w:spacing w:val="-3"/>
          <w:sz w:val="21"/>
          <w:szCs w:val="21"/>
        </w:rPr>
        <w:t>理、球茎收获与贮藏等内容。</w:t>
      </w:r>
    </w:p>
    <w:p>
      <w:pPr>
        <w:spacing w:line="219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本规程适用于露地夏季唐菖蒲球</w:t>
      </w:r>
      <w:r>
        <w:rPr>
          <w:rFonts w:ascii="SimSun" w:eastAsia="SimSun" w:hAnsi="SimSun" w:cs="SimSun"/>
          <w:spacing w:val="-1"/>
          <w:sz w:val="21"/>
          <w:szCs w:val="21"/>
        </w:rPr>
        <w:t>茎繁育和品种复壮。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74" w:lineRule="auto"/>
        <w:ind w:right="2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2772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林木种子检验规程</w:t>
      </w:r>
    </w:p>
    <w:p>
      <w:pPr>
        <w:spacing w:before="62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18247</w:t>
      </w:r>
      <w:r>
        <w:rPr>
          <w:rFonts w:ascii="SimSun" w:eastAsia="SimSun" w:hAnsi="SimSun" w:cs="SimSun"/>
          <w:sz w:val="21"/>
          <w:szCs w:val="21"/>
        </w:rPr>
        <w:t>.6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主要花卉产品等级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下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列术语和定义适用于本文件</w:t>
      </w:r>
    </w:p>
    <w:p>
      <w:pPr>
        <w:spacing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5" w:line="222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球</w:t>
      </w:r>
      <w:r>
        <w:rPr>
          <w:rFonts w:ascii="SimHei" w:eastAsia="SimHei" w:hAnsi="SimHei" w:cs="SimHei"/>
          <w:spacing w:val="-2"/>
          <w:sz w:val="21"/>
          <w:szCs w:val="21"/>
        </w:rPr>
        <w:t>茎</w:t>
      </w:r>
    </w:p>
    <w:p>
      <w:pPr>
        <w:spacing w:before="214" w:line="288" w:lineRule="auto"/>
        <w:ind w:left="3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地中茎膨大成球状，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内部实心，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在球茎顶部着生主芽和侧芽。本规范包括作开花用的种球和作繁</w:t>
      </w:r>
      <w:r>
        <w:rPr>
          <w:rFonts w:ascii="SimSun" w:eastAsia="SimSun" w:hAnsi="SimSun" w:cs="SimSun"/>
          <w:spacing w:val="-4"/>
          <w:sz w:val="21"/>
          <w:szCs w:val="21"/>
        </w:rPr>
        <w:t>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用</w:t>
      </w:r>
      <w:r>
        <w:rPr>
          <w:rFonts w:ascii="SimSun" w:eastAsia="SimSun" w:hAnsi="SimSun" w:cs="SimSun"/>
          <w:spacing w:val="-6"/>
          <w:sz w:val="21"/>
          <w:szCs w:val="21"/>
        </w:rPr>
        <w:t>的子球。</w:t>
      </w:r>
    </w:p>
    <w:p>
      <w:pPr>
        <w:spacing w:before="157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生</w:t>
      </w:r>
      <w:r>
        <w:rPr>
          <w:rFonts w:ascii="SimHei" w:eastAsia="SimHei" w:hAnsi="SimHei" w:cs="SimHei"/>
          <w:spacing w:val="-1"/>
          <w:sz w:val="21"/>
          <w:szCs w:val="21"/>
        </w:rPr>
        <w:t>理病害</w:t>
      </w:r>
    </w:p>
    <w:p>
      <w:pPr>
        <w:spacing w:before="215" w:line="499" w:lineRule="exact"/>
        <w:ind w:left="447"/>
        <w:rPr>
          <w:rFonts w:ascii="SimSun" w:eastAsia="SimSun" w:hAnsi="SimSun" w:cs="SimSun"/>
          <w:sz w:val="21"/>
          <w:szCs w:val="21"/>
        </w:rPr>
        <w:sectPr>
          <w:headerReference w:type="default" r:id="rId10"/>
          <w:footerReference w:type="default" r:id="rId11"/>
          <w:pgSz w:w="11905" w:h="16840"/>
          <w:pgMar w:top="400" w:right="1130" w:bottom="1316" w:left="1423" w:header="0" w:footer="1134" w:gutter="0"/>
          <w:pgNumType w:start="9"/>
          <w:cols w:space="708"/>
        </w:sect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由不适宜生态环境引起的非侵染性病害的总称。本规范指叶片干尖和失</w:t>
      </w:r>
      <w:r>
        <w:rPr>
          <w:rFonts w:ascii="SimSun" w:eastAsia="SimSun" w:hAnsi="SimSun" w:cs="SimSun"/>
          <w:position w:val="22"/>
          <w:sz w:val="21"/>
          <w:szCs w:val="21"/>
        </w:rPr>
        <w:t>绿。</w:t>
      </w:r>
    </w:p>
    <w:p>
      <w:pPr>
        <w:spacing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5" w:line="223" w:lineRule="auto"/>
        <w:ind w:left="43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围</w:t>
      </w:r>
      <w:r>
        <w:rPr>
          <w:rFonts w:ascii="SimHei" w:eastAsia="SimHei" w:hAnsi="SimHei" w:cs="SimHei"/>
          <w:spacing w:val="-5"/>
          <w:sz w:val="21"/>
          <w:szCs w:val="21"/>
        </w:rPr>
        <w:t>径</w:t>
      </w:r>
    </w:p>
    <w:p>
      <w:pPr>
        <w:spacing w:before="214" w:line="287" w:lineRule="auto"/>
        <w:ind w:left="3" w:right="1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1"/>
          <w:sz w:val="21"/>
          <w:szCs w:val="21"/>
        </w:rPr>
        <w:t>球茎的周长。随机抽取30粒球茎，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无缝摆放成一条直线，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测量其长度，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换算成单粒球茎的周径，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数精确到0.1</w:t>
      </w:r>
      <w:r>
        <w:rPr>
          <w:rFonts w:ascii="SimSun" w:eastAsia="SimSun" w:hAnsi="SimSun" w:cs="SimSun"/>
          <w:spacing w:val="-1"/>
          <w:sz w:val="21"/>
          <w:szCs w:val="21"/>
        </w:rPr>
        <w:t>cm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158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4" w:line="224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适</w:t>
      </w:r>
      <w:r>
        <w:rPr>
          <w:rFonts w:ascii="SimHei" w:eastAsia="SimHei" w:hAnsi="SimHei" w:cs="SimHei"/>
          <w:spacing w:val="-2"/>
          <w:sz w:val="21"/>
          <w:szCs w:val="21"/>
        </w:rPr>
        <w:t>繁区</w:t>
      </w:r>
    </w:p>
    <w:p>
      <w:pPr>
        <w:spacing w:before="214" w:line="287" w:lineRule="auto"/>
        <w:ind w:left="1" w:right="2" w:firstLine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能为植株生长和球茎发育提供适宜气象要素和土壤环境的地区。在该地区植株生长势强，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球茎生</w:t>
      </w:r>
      <w:r>
        <w:rPr>
          <w:rFonts w:ascii="SimSun" w:eastAsia="SimSun" w:hAnsi="SimSun" w:cs="SimSun"/>
          <w:spacing w:val="-3"/>
          <w:sz w:val="21"/>
          <w:szCs w:val="21"/>
        </w:rPr>
        <w:t>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量大，商品球率高，饱满度好，病</w:t>
      </w:r>
      <w:r>
        <w:rPr>
          <w:rFonts w:ascii="SimSun" w:eastAsia="SimSun" w:hAnsi="SimSun" w:cs="SimSun"/>
          <w:spacing w:val="-1"/>
          <w:sz w:val="21"/>
          <w:szCs w:val="21"/>
        </w:rPr>
        <w:t>害发生频率低。</w:t>
      </w:r>
    </w:p>
    <w:p>
      <w:pPr>
        <w:sectPr>
          <w:headerReference w:type="default" r:id="rId12"/>
          <w:footerReference w:type="default" r:id="rId13"/>
          <w:type w:val="nextPage"/>
          <w:pgSz w:w="11905" w:h="16840"/>
          <w:pgMar w:top="400" w:right="1130" w:bottom="1316" w:left="1423" w:header="0" w:footer="1134" w:gutter="0"/>
          <w:pgNumType w:start="10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512" w:lineRule="exact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position w:val="23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position w:val="23"/>
          <w:sz w:val="21"/>
          <w:szCs w:val="21"/>
        </w:rPr>
        <w:t>63/</w:t>
      </w:r>
      <w:r>
        <w:rPr>
          <w:rFonts w:ascii="SimHei" w:eastAsia="SimHei" w:hAnsi="SimHei" w:cs="SimHei"/>
          <w:position w:val="23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position w:val="2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position w:val="23"/>
          <w:sz w:val="21"/>
          <w:szCs w:val="21"/>
        </w:rPr>
        <w:t>1584</w:t>
      </w:r>
      <w:r>
        <w:rPr>
          <w:rFonts w:ascii="Times New Roman" w:eastAsia="Times New Roman" w:hAnsi="Times New Roman" w:cs="Times New Roman"/>
          <w:spacing w:val="-1"/>
          <w:position w:val="23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position w:val="23"/>
          <w:sz w:val="21"/>
          <w:szCs w:val="21"/>
        </w:rPr>
        <w:t>2</w:t>
      </w:r>
      <w:r>
        <w:rPr>
          <w:rFonts w:ascii="SimHei" w:eastAsia="SimHei" w:hAnsi="SimHei" w:cs="SimHei"/>
          <w:position w:val="23"/>
          <w:sz w:val="21"/>
          <w:szCs w:val="21"/>
        </w:rPr>
        <w:t>017</w:t>
      </w:r>
    </w:p>
    <w:p>
      <w:pPr>
        <w:spacing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适繁区选择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气候条件</w:t>
      </w:r>
    </w:p>
    <w:p>
      <w:pPr>
        <w:spacing w:before="215" w:line="287" w:lineRule="auto"/>
        <w:ind w:left="9" w:right="18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sz w:val="21"/>
          <w:szCs w:val="21"/>
        </w:rPr>
        <w:t>3月上</w:t>
      </w:r>
      <w:r>
        <w:rPr>
          <w:rFonts w:ascii="SimSun" w:eastAsia="SimSun" w:hAnsi="SimSun" w:cs="SimSun"/>
          <w:spacing w:val="10"/>
          <w:sz w:val="21"/>
          <w:szCs w:val="21"/>
        </w:rPr>
        <w:t>旬</w:t>
      </w:r>
      <w:r>
        <w:rPr>
          <w:rFonts w:ascii="SimSun" w:eastAsia="SimSun" w:hAnsi="SimSun" w:cs="SimSun"/>
          <w:spacing w:val="9"/>
          <w:sz w:val="21"/>
          <w:szCs w:val="21"/>
        </w:rPr>
        <w:t>~10中旬的日平均气温10.0℃~23.0℃，无霜期150天~180天；全年降水量300.0毫米~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500.0毫米，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9月下旬~10月中旬总降水量小</w:t>
      </w:r>
      <w:r>
        <w:rPr>
          <w:rFonts w:ascii="SimSun" w:eastAsia="SimSun" w:hAnsi="SimSun" w:cs="SimSun"/>
          <w:sz w:val="21"/>
          <w:szCs w:val="21"/>
        </w:rPr>
        <w:t>于50.0毫米；生长季平均日照百分率超过60.0%。</w:t>
      </w:r>
    </w:p>
    <w:p>
      <w:pPr>
        <w:spacing w:before="126" w:line="468" w:lineRule="exac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4</w:t>
      </w:r>
      <w:r>
        <w:rPr>
          <w:rFonts w:ascii="SimHei" w:eastAsia="SimHei" w:hAnsi="SimHei" w:cs="SimHei"/>
          <w:position w:val="19"/>
          <w:sz w:val="21"/>
          <w:szCs w:val="21"/>
        </w:rPr>
        <w:t>.2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土壤条件</w:t>
      </w:r>
    </w:p>
    <w:p>
      <w:pPr>
        <w:spacing w:before="1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土壤</w:t>
      </w:r>
    </w:p>
    <w:p>
      <w:pPr>
        <w:spacing w:before="214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沙壤土、栗钙土或淡栗钙土、黑钙土；土壤疏松肥沃，土层厚度大</w:t>
      </w:r>
      <w:r>
        <w:rPr>
          <w:rFonts w:ascii="SimSun" w:eastAsia="SimSun" w:hAnsi="SimSun" w:cs="SimSun"/>
          <w:sz w:val="21"/>
          <w:szCs w:val="21"/>
        </w:rPr>
        <w:t>于30.0厘米。</w:t>
      </w:r>
    </w:p>
    <w:p>
      <w:pPr>
        <w:spacing w:before="21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土壤理化性质</w:t>
      </w:r>
    </w:p>
    <w:p>
      <w:pPr>
        <w:spacing w:before="214" w:line="288" w:lineRule="auto"/>
        <w:ind w:left="19" w:right="1" w:firstLine="40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酸</w:t>
      </w:r>
      <w:r>
        <w:rPr>
          <w:rFonts w:ascii="SimSun" w:eastAsia="SimSun" w:hAnsi="SimSun" w:cs="SimSun"/>
          <w:spacing w:val="6"/>
          <w:sz w:val="21"/>
          <w:szCs w:val="21"/>
        </w:rPr>
        <w:t>碱度6.0~8.0，电导率每厘米1.0毫西门子~1.5毫西门子，容重每升0.8千克~1.30千克，总孔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隙度50.0%~60.0%</w:t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p>
      <w:pPr>
        <w:spacing w:before="283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"/>
          <w:sz w:val="21"/>
          <w:szCs w:val="21"/>
        </w:rPr>
        <w:t>5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"/>
          <w:sz w:val="21"/>
          <w:szCs w:val="21"/>
        </w:rPr>
        <w:t>品种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品种选择</w:t>
      </w:r>
    </w:p>
    <w:p>
      <w:pPr>
        <w:spacing w:before="217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选择适宜当地</w:t>
      </w:r>
      <w:r>
        <w:rPr>
          <w:rFonts w:ascii="SimSun" w:eastAsia="SimSun" w:hAnsi="SimSun" w:cs="SimSun"/>
          <w:spacing w:val="-1"/>
          <w:sz w:val="21"/>
          <w:szCs w:val="21"/>
        </w:rPr>
        <w:t>气候、土壤条件和迎合市场需求的品种。参见附录A。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品种搭配</w:t>
      </w:r>
    </w:p>
    <w:p>
      <w:pPr>
        <w:spacing w:before="217" w:line="287" w:lineRule="auto"/>
        <w:ind w:left="6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包括花色、栽培</w:t>
      </w:r>
      <w:r>
        <w:rPr>
          <w:rFonts w:ascii="SimSun" w:eastAsia="SimSun" w:hAnsi="SimSun" w:cs="SimSun"/>
          <w:spacing w:val="-7"/>
          <w:sz w:val="21"/>
          <w:szCs w:val="21"/>
        </w:rPr>
        <w:t>方</w:t>
      </w:r>
      <w:r>
        <w:rPr>
          <w:rFonts w:ascii="SimSun" w:eastAsia="SimSun" w:hAnsi="SimSun" w:cs="SimSun"/>
          <w:spacing w:val="-4"/>
          <w:sz w:val="21"/>
          <w:szCs w:val="21"/>
        </w:rPr>
        <w:t>式和生育期搭配。即不同色系的合理搭配；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切花品种和盆栽品种所占比例的合理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搭配；早花品种、中花品</w:t>
      </w:r>
      <w:r>
        <w:rPr>
          <w:rFonts w:ascii="SimSun" w:eastAsia="SimSun" w:hAnsi="SimSun" w:cs="SimSun"/>
          <w:spacing w:val="-1"/>
          <w:sz w:val="21"/>
          <w:szCs w:val="21"/>
        </w:rPr>
        <w:t>种、晚花品种种植比例的合理搭配。</w:t>
      </w:r>
    </w:p>
    <w:p>
      <w:pPr>
        <w:spacing w:before="284" w:line="222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土壤</w:t>
      </w:r>
      <w:r>
        <w:rPr>
          <w:rFonts w:ascii="SimHei" w:eastAsia="SimHei" w:hAnsi="SimHei" w:cs="SimHei"/>
          <w:sz w:val="21"/>
          <w:szCs w:val="21"/>
        </w:rPr>
        <w:t>准备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22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施</w:t>
      </w:r>
      <w:r>
        <w:rPr>
          <w:rFonts w:ascii="SimHei" w:eastAsia="SimHei" w:hAnsi="SimHei" w:cs="SimHei"/>
          <w:sz w:val="21"/>
          <w:szCs w:val="21"/>
        </w:rPr>
        <w:t>基肥与耕翻</w:t>
      </w:r>
    </w:p>
    <w:p>
      <w:pPr>
        <w:spacing w:before="215" w:line="287" w:lineRule="auto"/>
        <w:ind w:left="7" w:right="15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4"/>
          <w:sz w:val="21"/>
          <w:szCs w:val="21"/>
        </w:rPr>
        <w:t>每公顷施腐</w:t>
      </w:r>
      <w:r>
        <w:rPr>
          <w:rFonts w:ascii="SimSun" w:eastAsia="SimSun" w:hAnsi="SimSun" w:cs="SimSun"/>
          <w:spacing w:val="8"/>
          <w:sz w:val="21"/>
          <w:szCs w:val="21"/>
        </w:rPr>
        <w:t>熟</w:t>
      </w:r>
      <w:r>
        <w:rPr>
          <w:rFonts w:ascii="SimSun" w:eastAsia="SimSun" w:hAnsi="SimSun" w:cs="SimSun"/>
          <w:spacing w:val="7"/>
          <w:sz w:val="21"/>
          <w:szCs w:val="21"/>
        </w:rPr>
        <w:t>猪粪或牛粪(或粪干)60000.0千克~90000.0千克、麦壳或脱脂锯末45000.0千克~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60000.0千克和过磷酸钙1500.0千克。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耕翻2次，耕深20.0厘米~</w:t>
      </w:r>
      <w:r>
        <w:rPr>
          <w:rFonts w:ascii="SimSun" w:eastAsia="SimSun" w:hAnsi="SimSun" w:cs="SimSun"/>
          <w:sz w:val="21"/>
          <w:szCs w:val="21"/>
        </w:rPr>
        <w:t>25.0厘米，耕后耱平。</w:t>
      </w:r>
    </w:p>
    <w:p>
      <w:pPr>
        <w:spacing w:before="128" w:line="222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土壤消毒</w:t>
      </w:r>
    </w:p>
    <w:p>
      <w:pPr>
        <w:spacing w:before="216" w:line="222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药剂消毒</w:t>
      </w:r>
    </w:p>
    <w:p>
      <w:pPr>
        <w:spacing w:before="214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参见附录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218" w:line="223" w:lineRule="auto"/>
        <w:ind w:left="4"/>
        <w:rPr>
          <w:rFonts w:ascii="SimHei" w:eastAsia="SimHei" w:hAnsi="SimHei" w:cs="SimHei"/>
          <w:sz w:val="21"/>
          <w:szCs w:val="21"/>
        </w:rPr>
        <w:sectPr>
          <w:headerReference w:type="default" r:id="rId14"/>
          <w:footerReference w:type="default" r:id="rId15"/>
          <w:pgSz w:w="11905" w:h="16840"/>
          <w:pgMar w:top="400" w:right="1414" w:bottom="1315" w:left="1136" w:header="0" w:footer="1134" w:gutter="0"/>
          <w:pgNumType w:start="11"/>
          <w:cols w:space="708"/>
        </w:sectPr>
      </w:pPr>
      <w:r>
        <w:rPr>
          <w:rFonts w:ascii="SimHei" w:eastAsia="SimHei" w:hAnsi="SimHei" w:cs="SimHei"/>
          <w:spacing w:val="1"/>
          <w:sz w:val="21"/>
          <w:szCs w:val="21"/>
        </w:rPr>
        <w:t>6</w:t>
      </w:r>
      <w:r>
        <w:rPr>
          <w:rFonts w:ascii="SimHei" w:eastAsia="SimHei" w:hAnsi="SimHei" w:cs="SimHei"/>
          <w:sz w:val="21"/>
          <w:szCs w:val="21"/>
        </w:rPr>
        <w:t>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日光浴处理</w:t>
      </w:r>
    </w:p>
    <w:p>
      <w:pPr>
        <w:spacing w:before="215" w:line="287" w:lineRule="auto"/>
        <w:ind w:left="6" w:right="1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夏季阳光充足时，将</w:t>
      </w:r>
      <w:r>
        <w:rPr>
          <w:rFonts w:ascii="SimSun" w:eastAsia="SimSun" w:hAnsi="SimSun" w:cs="SimSun"/>
          <w:spacing w:val="2"/>
          <w:sz w:val="21"/>
          <w:szCs w:val="21"/>
        </w:rPr>
        <w:t>土壤耕翻耙平后，覆盖地膜7天~20天，可有效杀灭土壤中细菌、根结线虫等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有害</w:t>
      </w:r>
      <w:r>
        <w:rPr>
          <w:rFonts w:ascii="SimSun" w:eastAsia="SimSun" w:hAnsi="SimSun" w:cs="SimSun"/>
          <w:spacing w:val="5"/>
          <w:sz w:val="21"/>
          <w:szCs w:val="21"/>
        </w:rPr>
        <w:t>生</w:t>
      </w:r>
      <w:r>
        <w:rPr>
          <w:rFonts w:ascii="SimSun" w:eastAsia="SimSun" w:hAnsi="SimSun" w:cs="SimSun"/>
          <w:spacing w:val="3"/>
          <w:sz w:val="21"/>
          <w:szCs w:val="21"/>
        </w:rPr>
        <w:t>物。消毒结束翻耕晾晒3天~5天后即可播种。</w:t>
      </w:r>
    </w:p>
    <w:p>
      <w:pPr>
        <w:spacing w:before="284" w:line="219" w:lineRule="auto"/>
        <w:ind w:left="1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栽培床准备</w:t>
      </w:r>
    </w:p>
    <w:p>
      <w:pPr>
        <w:sectPr>
          <w:headerReference w:type="default" r:id="rId16"/>
          <w:footerReference w:type="default" r:id="rId17"/>
          <w:type w:val="nextPage"/>
          <w:pgSz w:w="11905" w:h="16840"/>
          <w:pgMar w:top="400" w:right="1414" w:bottom="1315" w:left="1136" w:header="0" w:footer="1134" w:gutter="0"/>
          <w:pgNumType w:start="12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1584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017</w:t>
      </w:r>
    </w:p>
    <w:p>
      <w:pPr>
        <w:spacing w:before="242" w:line="283" w:lineRule="auto"/>
        <w:ind w:left="5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分大畦和小畦。大畦主要根据地块走向、机械化作业、灌水来确定，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并与毛渠平行。大畦内由</w:t>
      </w:r>
      <w:r>
        <w:rPr>
          <w:rFonts w:ascii="SimSun" w:eastAsia="SimSun" w:hAnsi="SimSun" w:cs="SimSun"/>
          <w:spacing w:val="-2"/>
          <w:sz w:val="21"/>
          <w:szCs w:val="21"/>
        </w:rPr>
        <w:t>若</w:t>
      </w:r>
      <w:r>
        <w:rPr>
          <w:rFonts w:ascii="SimSun" w:eastAsia="SimSun" w:hAnsi="SimSun" w:cs="SimSun"/>
          <w:sz w:val="21"/>
          <w:szCs w:val="21"/>
        </w:rPr>
        <w:t>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个</w:t>
      </w:r>
      <w:r>
        <w:rPr>
          <w:rFonts w:ascii="SimSun" w:eastAsia="SimSun" w:hAnsi="SimSun" w:cs="SimSun"/>
          <w:spacing w:val="2"/>
          <w:sz w:val="21"/>
          <w:szCs w:val="21"/>
        </w:rPr>
        <w:t>小畦组成，小畦为高畦，高10.0厘米~15.0厘米，宽120.0厘米，长根据地块确定，小畦间距30.0厘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米</w:t>
      </w:r>
      <w:r>
        <w:rPr>
          <w:rFonts w:ascii="SimSun" w:eastAsia="SimSun" w:hAnsi="SimSun" w:cs="SimSun"/>
          <w:spacing w:val="4"/>
          <w:sz w:val="21"/>
          <w:szCs w:val="21"/>
        </w:rPr>
        <w:t>~40.0厘米，走向与毛渠垂直。</w:t>
      </w:r>
    </w:p>
    <w:p>
      <w:pPr>
        <w:spacing w:before="283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播种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种球准备</w:t>
      </w:r>
    </w:p>
    <w:p>
      <w:pPr>
        <w:spacing w:before="215" w:line="283" w:lineRule="auto"/>
        <w:ind w:left="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播种前将已经</w:t>
      </w:r>
      <w:r>
        <w:rPr>
          <w:rFonts w:ascii="SimSun" w:eastAsia="SimSun" w:hAnsi="SimSun" w:cs="SimSun"/>
          <w:spacing w:val="-5"/>
          <w:sz w:val="21"/>
          <w:szCs w:val="21"/>
        </w:rPr>
        <w:t>解</w:t>
      </w:r>
      <w:r>
        <w:rPr>
          <w:rFonts w:ascii="SimSun" w:eastAsia="SimSun" w:hAnsi="SimSun" w:cs="SimSun"/>
          <w:spacing w:val="-4"/>
          <w:sz w:val="21"/>
          <w:szCs w:val="21"/>
        </w:rPr>
        <w:t>除休眠的子球放在通风处摊晾3天~7天，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剔出带病、有创伤和混杂的种球，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并按球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茎</w:t>
      </w:r>
      <w:r>
        <w:rPr>
          <w:rFonts w:ascii="SimSun" w:eastAsia="SimSun" w:hAnsi="SimSun" w:cs="SimSun"/>
          <w:sz w:val="21"/>
          <w:szCs w:val="21"/>
        </w:rPr>
        <w:t>大小再次分级。剥去种球外层松散的干皮膜，用0.5%的50%多菌灵或75%甲基托布津稀释液浸泡0.5小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时，用清水反复冲洗后放在阴凉</w:t>
      </w:r>
      <w:r>
        <w:rPr>
          <w:rFonts w:ascii="SimSun" w:eastAsia="SimSun" w:hAnsi="SimSun" w:cs="SimSun"/>
          <w:spacing w:val="-1"/>
          <w:sz w:val="21"/>
          <w:szCs w:val="21"/>
        </w:rPr>
        <w:t>处晾干明水即可播种。</w:t>
      </w:r>
    </w:p>
    <w:p>
      <w:pPr>
        <w:spacing w:before="127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播种方式</w:t>
      </w:r>
    </w:p>
    <w:p>
      <w:pPr>
        <w:spacing w:before="218" w:line="287" w:lineRule="auto"/>
        <w:ind w:left="8" w:right="1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小畦内分平植和垄植。平植行距15.0厘米~20.0厘米；垄植的垄高15.0厘米~20.0厘米，宽30.</w:t>
      </w:r>
      <w:r>
        <w:rPr>
          <w:rFonts w:ascii="SimSun" w:eastAsia="SimSun" w:hAnsi="SimSun" w:cs="SimSun"/>
          <w:spacing w:val="4"/>
          <w:sz w:val="21"/>
          <w:szCs w:val="21"/>
        </w:rPr>
        <w:t>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厘米~</w:t>
      </w:r>
      <w:r>
        <w:rPr>
          <w:rFonts w:ascii="SimSun" w:eastAsia="SimSun" w:hAnsi="SimSun" w:cs="SimSun"/>
          <w:spacing w:val="3"/>
          <w:sz w:val="21"/>
          <w:szCs w:val="21"/>
        </w:rPr>
        <w:t>4</w:t>
      </w:r>
      <w:r>
        <w:rPr>
          <w:rFonts w:ascii="SimSun" w:eastAsia="SimSun" w:hAnsi="SimSun" w:cs="SimSun"/>
          <w:spacing w:val="2"/>
          <w:sz w:val="21"/>
          <w:szCs w:val="21"/>
        </w:rPr>
        <w:t>0.0厘米，垄间距30.0厘米，每垄种植2行或3行。</w:t>
      </w:r>
    </w:p>
    <w:p>
      <w:pPr>
        <w:spacing w:before="126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播种时间</w:t>
      </w:r>
    </w:p>
    <w:p>
      <w:pPr>
        <w:spacing w:before="217" w:line="468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大田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繁殖在晚霜终止，气温稳定在5.0℃以上播种。</w:t>
      </w:r>
    </w:p>
    <w:p>
      <w:pPr>
        <w:spacing w:before="1" w:line="220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播种量与播种密度</w:t>
      </w:r>
    </w:p>
    <w:p>
      <w:pPr>
        <w:spacing w:before="216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参</w:t>
      </w:r>
      <w:r>
        <w:rPr>
          <w:rFonts w:ascii="SimSun" w:eastAsia="SimSun" w:hAnsi="SimSun" w:cs="SimSun"/>
          <w:spacing w:val="-5"/>
          <w:sz w:val="21"/>
          <w:szCs w:val="21"/>
        </w:rPr>
        <w:t>见附录C。</w:t>
      </w:r>
    </w:p>
    <w:p>
      <w:pPr>
        <w:spacing w:before="21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种植深度</w:t>
      </w:r>
    </w:p>
    <w:p>
      <w:pPr>
        <w:spacing w:before="217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覆</w:t>
      </w:r>
      <w:r>
        <w:rPr>
          <w:rFonts w:ascii="SimSun" w:eastAsia="SimSun" w:hAnsi="SimSun" w:cs="SimSun"/>
          <w:spacing w:val="5"/>
          <w:sz w:val="21"/>
          <w:szCs w:val="21"/>
        </w:rPr>
        <w:t>土</w:t>
      </w:r>
      <w:r>
        <w:rPr>
          <w:rFonts w:ascii="SimSun" w:eastAsia="SimSun" w:hAnsi="SimSun" w:cs="SimSun"/>
          <w:spacing w:val="3"/>
          <w:sz w:val="21"/>
          <w:szCs w:val="21"/>
        </w:rPr>
        <w:t>厚度近等于球茎围径，子球种植深度4.0厘米~6.0厘米。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9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田间管理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水分管理</w:t>
      </w:r>
    </w:p>
    <w:p>
      <w:pPr>
        <w:spacing w:before="215" w:line="281" w:lineRule="auto"/>
        <w:ind w:left="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播</w:t>
      </w:r>
      <w:r>
        <w:rPr>
          <w:rFonts w:ascii="SimSun" w:eastAsia="SimSun" w:hAnsi="SimSun" w:cs="SimSun"/>
          <w:spacing w:val="6"/>
          <w:sz w:val="21"/>
          <w:szCs w:val="21"/>
        </w:rPr>
        <w:t>种</w:t>
      </w:r>
      <w:r>
        <w:rPr>
          <w:rFonts w:ascii="SimSun" w:eastAsia="SimSun" w:hAnsi="SimSun" w:cs="SimSun"/>
          <w:spacing w:val="4"/>
          <w:sz w:val="21"/>
          <w:szCs w:val="21"/>
        </w:rPr>
        <w:t>前7天~10天，浇透20.0厘米厚的耕作层，土层相对含水量保持在60.0%~70.0%。播种后到出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苗前不</w:t>
      </w:r>
      <w:r>
        <w:rPr>
          <w:rFonts w:ascii="SimSun" w:eastAsia="SimSun" w:hAnsi="SimSun" w:cs="SimSun"/>
          <w:spacing w:val="2"/>
          <w:sz w:val="21"/>
          <w:szCs w:val="21"/>
        </w:rPr>
        <w:t>浇水。出苗率达到50.0%左右时及时浇水，连续浇2次~3次，每次浇透10.0厘米土层即可。生长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期间保持土壤相对含水量50.0%~60.0%。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8月下旬后停止浇水，并注意排水，采挖前土壤相对含水量控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制在45.0%~55.0%</w:t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养分管理</w:t>
      </w:r>
    </w:p>
    <w:p>
      <w:pPr>
        <w:spacing w:before="215" w:line="281" w:lineRule="auto"/>
        <w:ind w:left="5" w:firstLine="419"/>
        <w:rPr>
          <w:rFonts w:ascii="SimSun" w:eastAsia="SimSun" w:hAnsi="SimSun" w:cs="SimSun"/>
          <w:sz w:val="21"/>
          <w:szCs w:val="21"/>
        </w:rPr>
        <w:sectPr>
          <w:headerReference w:type="default" r:id="rId18"/>
          <w:footerReference w:type="default" r:id="rId19"/>
          <w:pgSz w:w="11905" w:h="16840"/>
          <w:pgMar w:top="400" w:right="1131" w:bottom="1315" w:left="1419" w:header="0" w:footer="1135" w:gutter="0"/>
          <w:pgNumType w:start="13"/>
          <w:cols w:space="708"/>
        </w:sectPr>
      </w:pPr>
      <w:r>
        <w:rPr>
          <w:rFonts w:ascii="SimSun" w:eastAsia="SimSun" w:hAnsi="SimSun" w:cs="SimSun"/>
          <w:spacing w:val="2"/>
          <w:sz w:val="21"/>
          <w:szCs w:val="21"/>
        </w:rPr>
        <w:t>在整个生育期内，至少3次追肥。</w:t>
      </w:r>
      <w:r>
        <w:rPr>
          <w:rFonts w:ascii="SimSun" w:eastAsia="SimSun" w:hAnsi="SimSun" w:cs="SimSun"/>
          <w:spacing w:val="1"/>
          <w:sz w:val="21"/>
          <w:szCs w:val="21"/>
        </w:rPr>
        <w:t>在第2片叶展开时，每公顷施尿素225.0千克。在4片~6片叶时，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每</w:t>
      </w:r>
      <w:r>
        <w:rPr>
          <w:rFonts w:ascii="SimSun" w:eastAsia="SimSun" w:hAnsi="SimSun" w:cs="SimSun"/>
          <w:spacing w:val="4"/>
          <w:sz w:val="21"/>
          <w:szCs w:val="21"/>
        </w:rPr>
        <w:t>公顷施尿素150.0千克和磷酸二铵225.0千克，间隔7天~10天，连续2次~3次每公顷每次叶面喷施磷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酸二氢钾0.2%稀释液450.0千克。在初花时，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每公顷施磷酸二铵225.0千克和硫酸</w:t>
      </w:r>
      <w:r>
        <w:rPr>
          <w:rFonts w:ascii="SimSun" w:eastAsia="SimSun" w:hAnsi="SimSun" w:cs="SimSun"/>
          <w:spacing w:val="-1"/>
          <w:sz w:val="21"/>
          <w:szCs w:val="21"/>
        </w:rPr>
        <w:t>钾(K2O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50.0%)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171.0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千克。青海主产区唐菖蒲生长</w:t>
      </w:r>
      <w:r>
        <w:rPr>
          <w:rFonts w:ascii="SimSun" w:eastAsia="SimSun" w:hAnsi="SimSun" w:cs="SimSun"/>
          <w:spacing w:val="-1"/>
          <w:sz w:val="21"/>
          <w:szCs w:val="21"/>
        </w:rPr>
        <w:t>发育规律参见附录D。</w:t>
      </w:r>
    </w:p>
    <w:p>
      <w:pPr>
        <w:spacing w:before="127" w:line="468" w:lineRule="exac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position w:val="19"/>
          <w:sz w:val="21"/>
          <w:szCs w:val="21"/>
        </w:rPr>
        <w:t>9.</w:t>
      </w:r>
      <w:r>
        <w:rPr>
          <w:rFonts w:ascii="SimHei" w:eastAsia="SimHei" w:hAnsi="SimHei" w:cs="SimHei"/>
          <w:position w:val="19"/>
          <w:sz w:val="21"/>
          <w:szCs w:val="21"/>
        </w:rPr>
        <w:t>3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中耕与除草</w:t>
      </w:r>
    </w:p>
    <w:p>
      <w:pPr>
        <w:spacing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"/>
          <w:sz w:val="21"/>
          <w:szCs w:val="21"/>
        </w:rPr>
        <w:t>9</w:t>
      </w:r>
      <w:r>
        <w:rPr>
          <w:rFonts w:ascii="SimHei" w:eastAsia="SimHei" w:hAnsi="SimHei" w:cs="SimHei"/>
          <w:spacing w:val="1"/>
          <w:sz w:val="21"/>
          <w:szCs w:val="21"/>
        </w:rPr>
        <w:t>.3.1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"/>
          <w:sz w:val="21"/>
          <w:szCs w:val="21"/>
        </w:rPr>
        <w:t>中耕</w:t>
      </w:r>
    </w:p>
    <w:p>
      <w:pPr>
        <w:spacing w:before="214" w:line="220" w:lineRule="auto"/>
        <w:ind w:left="4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出苗后，中耕2次~3次，耕深2.0厘米~4.0厘米，第4片叶抽出后不再进行中</w:t>
      </w:r>
      <w:r>
        <w:rPr>
          <w:rFonts w:ascii="SimSun" w:eastAsia="SimSun" w:hAnsi="SimSun" w:cs="SimSun"/>
          <w:spacing w:val="1"/>
          <w:sz w:val="21"/>
          <w:szCs w:val="21"/>
        </w:rPr>
        <w:t>耕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headerReference w:type="default" r:id="rId20"/>
          <w:footerReference w:type="default" r:id="rId21"/>
          <w:type w:val="nextPage"/>
          <w:pgSz w:w="11905" w:h="16840"/>
          <w:pgMar w:top="400" w:right="1131" w:bottom="1315" w:left="1419" w:header="0" w:footer="1135" w:gutter="0"/>
          <w:pgNumType w:start="14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1584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017</w:t>
      </w:r>
    </w:p>
    <w:p>
      <w:pPr>
        <w:spacing w:before="242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9.3.2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除草</w:t>
      </w:r>
    </w:p>
    <w:p>
      <w:pPr>
        <w:spacing w:before="215" w:line="286" w:lineRule="auto"/>
        <w:ind w:left="426" w:right="178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化学除草</w:t>
      </w:r>
      <w:r>
        <w:rPr>
          <w:rFonts w:ascii="SimSun" w:eastAsia="SimSun" w:hAnsi="SimSun" w:cs="SimSun"/>
          <w:spacing w:val="-1"/>
          <w:sz w:val="21"/>
          <w:szCs w:val="21"/>
        </w:rPr>
        <w:t>,繁殖田杂草种类及密度参见附录E，繁殖田杂草化学防除参见附录F。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人工除草,</w:t>
      </w:r>
      <w:r>
        <w:rPr>
          <w:rFonts w:ascii="SimSun" w:eastAsia="SimSun" w:hAnsi="SimSun" w:cs="SimSun"/>
          <w:spacing w:val="3"/>
          <w:sz w:val="21"/>
          <w:szCs w:val="21"/>
        </w:rPr>
        <w:t>开</w:t>
      </w:r>
      <w:r>
        <w:rPr>
          <w:rFonts w:ascii="SimSun" w:eastAsia="SimSun" w:hAnsi="SimSun" w:cs="SimSun"/>
          <w:spacing w:val="2"/>
          <w:sz w:val="21"/>
          <w:szCs w:val="21"/>
        </w:rPr>
        <w:t>花前结合化学除草，人工2次~3次拔除田间杂草。</w:t>
      </w:r>
    </w:p>
    <w:p>
      <w:pPr>
        <w:spacing w:before="12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病虫害防治</w:t>
      </w:r>
    </w:p>
    <w:p>
      <w:pPr>
        <w:spacing w:before="216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病虫害防治参见附录G。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9.</w:t>
      </w:r>
      <w:r>
        <w:rPr>
          <w:rFonts w:ascii="SimHei" w:eastAsia="SimHei" w:hAnsi="SimHei" w:cs="SimHei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生理病害防治</w:t>
      </w:r>
    </w:p>
    <w:p>
      <w:pPr>
        <w:spacing w:before="217" w:line="411" w:lineRule="auto"/>
        <w:ind w:right="1780" w:firstLine="424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初花后，间隔3天~7天，参照附录</w:t>
      </w:r>
      <w:r>
        <w:rPr>
          <w:rFonts w:ascii="SimSun" w:eastAsia="SimSun" w:hAnsi="SimSun" w:cs="SimSun"/>
          <w:sz w:val="21"/>
          <w:szCs w:val="21"/>
        </w:rPr>
        <w:t>H</w:t>
      </w:r>
      <w:r>
        <w:rPr>
          <w:rFonts w:ascii="SimSun" w:eastAsia="SimSun" w:hAnsi="SimSun" w:cs="SimSun"/>
          <w:spacing w:val="2"/>
          <w:sz w:val="21"/>
          <w:szCs w:val="21"/>
        </w:rPr>
        <w:t>选择性喷施叶面肥，缓解叶片干尖和失</w:t>
      </w:r>
      <w:r>
        <w:rPr>
          <w:rFonts w:ascii="SimSun" w:eastAsia="SimSun" w:hAnsi="SimSun" w:cs="SimSun"/>
          <w:spacing w:val="1"/>
          <w:sz w:val="21"/>
          <w:szCs w:val="21"/>
        </w:rPr>
        <w:t>绿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>.6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去杂去劣</w:t>
      </w:r>
    </w:p>
    <w:p>
      <w:pPr>
        <w:spacing w:before="1" w:line="220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在苗期、花期进行2次~3次拔除杂株、病株和虫蚀</w:t>
      </w:r>
      <w:r>
        <w:rPr>
          <w:rFonts w:ascii="SimSun" w:eastAsia="SimSun" w:hAnsi="SimSun" w:cs="SimSun"/>
          <w:spacing w:val="1"/>
          <w:sz w:val="21"/>
          <w:szCs w:val="21"/>
        </w:rPr>
        <w:t>株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8" w:line="221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球茎收</w:t>
      </w:r>
      <w:r>
        <w:rPr>
          <w:rFonts w:ascii="SimHei" w:eastAsia="SimHei" w:hAnsi="SimHei" w:cs="SimHei"/>
          <w:spacing w:val="-1"/>
          <w:sz w:val="21"/>
          <w:szCs w:val="21"/>
        </w:rPr>
        <w:t>获与贮藏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10.1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采挖</w:t>
      </w:r>
      <w:r>
        <w:rPr>
          <w:rFonts w:ascii="SimHei" w:eastAsia="SimHei" w:hAnsi="SimHei" w:cs="SimHei"/>
          <w:spacing w:val="-1"/>
          <w:sz w:val="21"/>
          <w:szCs w:val="21"/>
        </w:rPr>
        <w:t>时间</w:t>
      </w:r>
    </w:p>
    <w:p>
      <w:pPr>
        <w:spacing w:before="214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植株上部1/3~1/2叶片发黄，或气温下降到2.0℃~5.0℃挖出球茎</w:t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p>
      <w:pPr>
        <w:spacing w:before="218" w:line="221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10.2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晾晒与分拣</w:t>
      </w:r>
    </w:p>
    <w:p>
      <w:pPr>
        <w:spacing w:before="216" w:line="283" w:lineRule="auto"/>
        <w:ind w:left="5" w:right="59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挖出</w:t>
      </w:r>
      <w:r>
        <w:rPr>
          <w:rFonts w:ascii="SimSun" w:eastAsia="SimSun" w:hAnsi="SimSun" w:cs="SimSun"/>
          <w:sz w:val="21"/>
          <w:szCs w:val="21"/>
        </w:rPr>
        <w:t>的球茎剪去叶片，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置于干燥通风处晾晒7天~10天，球茎外皮干燥后，摘除根系，并将大球和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子球</w:t>
      </w:r>
      <w:r>
        <w:rPr>
          <w:rFonts w:ascii="SimSun" w:eastAsia="SimSun" w:hAnsi="SimSun" w:cs="SimSun"/>
          <w:sz w:val="21"/>
          <w:szCs w:val="21"/>
        </w:rPr>
        <w:t>分离，并根据附录I分级，装入长70.0厘米、宽40.0厘米、高15.0厘米的塑料箱中，放置室内阴凉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通</w:t>
      </w:r>
      <w:r>
        <w:rPr>
          <w:rFonts w:ascii="SimSun" w:eastAsia="SimSun" w:hAnsi="SimSun" w:cs="SimSun"/>
          <w:spacing w:val="-5"/>
          <w:sz w:val="21"/>
          <w:szCs w:val="21"/>
        </w:rPr>
        <w:t>风处贮藏。</w:t>
      </w:r>
    </w:p>
    <w:p>
      <w:pPr>
        <w:spacing w:before="127" w:line="221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>0</w:t>
      </w:r>
      <w:r>
        <w:rPr>
          <w:rFonts w:ascii="SimHei" w:eastAsia="SimHei" w:hAnsi="SimHei" w:cs="SimHei"/>
          <w:spacing w:val="-2"/>
          <w:sz w:val="21"/>
          <w:szCs w:val="21"/>
        </w:rPr>
        <w:t>.3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贮藏</w:t>
      </w:r>
    </w:p>
    <w:p>
      <w:pPr>
        <w:spacing w:before="217" w:line="274" w:lineRule="auto"/>
        <w:ind w:left="6" w:right="122" w:firstLine="9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10.3.1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常温贮藏。利用具有一定保温和换气条件的空房作为贮藏</w:t>
      </w:r>
      <w:r>
        <w:rPr>
          <w:rFonts w:ascii="SimSun" w:eastAsia="SimSun" w:hAnsi="SimSun" w:cs="SimSun"/>
          <w:sz w:val="21"/>
          <w:szCs w:val="21"/>
        </w:rPr>
        <w:t>室，环境温度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10.0℃~18.0℃，空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气相对湿度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40.0%~50.0</w:t>
      </w:r>
      <w:r>
        <w:rPr>
          <w:rFonts w:ascii="SimSun" w:eastAsia="SimSun" w:hAnsi="SimSun" w:cs="SimSun"/>
          <w:spacing w:val="1"/>
          <w:sz w:val="21"/>
          <w:szCs w:val="21"/>
        </w:rPr>
        <w:t>%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" w:line="274" w:lineRule="auto"/>
        <w:ind w:left="5" w:firstLine="1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10.3.2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低温恒温贮藏。利用恒温贮藏库将温度控制在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5.0℃±0.5℃，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相对空气湿度在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40.0%~45.0%，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循环风</w:t>
      </w:r>
      <w:r>
        <w:rPr>
          <w:rFonts w:ascii="SimSun" w:eastAsia="SimSun" w:hAnsi="SimSun" w:cs="SimSun"/>
          <w:spacing w:val="-3"/>
          <w:sz w:val="21"/>
          <w:szCs w:val="21"/>
        </w:rPr>
        <w:t>速在每秒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3.5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米~4.5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米下进行贮藏。</w:t>
      </w:r>
    </w:p>
    <w:p>
      <w:pPr>
        <w:spacing w:line="274" w:lineRule="auto"/>
        <w:ind w:left="12" w:firstLine="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10.3.3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冷室贮藏。利用具有通风换气条件的贮藏窖、无加温设施的空房，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环境温度在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2.0℃~10.0</w:t>
      </w:r>
      <w:r>
        <w:rPr>
          <w:rFonts w:ascii="SimSun" w:eastAsia="SimSun" w:hAnsi="SimSun" w:cs="SimSun"/>
          <w:sz w:val="21"/>
          <w:szCs w:val="21"/>
        </w:rPr>
        <w:t>℃，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空气相对湿度在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45.0%</w:t>
      </w:r>
      <w:r>
        <w:rPr>
          <w:rFonts w:ascii="SimSun" w:eastAsia="SimSun" w:hAnsi="SimSun" w:cs="SimSun"/>
          <w:sz w:val="21"/>
          <w:szCs w:val="21"/>
        </w:rPr>
        <w:t>~50.0%下进行越冬贮藏。</w:t>
      </w:r>
    </w:p>
    <w:p>
      <w:pPr>
        <w:spacing w:before="1" w:line="220" w:lineRule="auto"/>
        <w:ind w:left="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10.3.4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各种贮藏每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天~7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天都要定期翻动一次，拣出发病、发热和腐烂球茎。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8" w:line="221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11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分级和检</w:t>
      </w:r>
      <w:r>
        <w:rPr>
          <w:rFonts w:ascii="SimHei" w:eastAsia="SimHei" w:hAnsi="SimHei" w:cs="SimHei"/>
          <w:spacing w:val="-1"/>
          <w:sz w:val="21"/>
          <w:szCs w:val="21"/>
        </w:rPr>
        <w:t>测</w:t>
      </w:r>
    </w:p>
    <w:p>
      <w:pPr>
        <w:spacing w:line="300" w:lineRule="auto"/>
        <w:rPr>
          <w:rFonts w:ascii="Arial"/>
          <w:sz w:val="21"/>
        </w:rPr>
        <w:sectPr>
          <w:headerReference w:type="default" r:id="rId22"/>
          <w:footerReference w:type="default" r:id="rId23"/>
          <w:pgSz w:w="11905" w:h="16840"/>
          <w:pgMar w:top="400" w:right="1355" w:bottom="1315" w:left="1136" w:header="0" w:footer="1134" w:gutter="0"/>
          <w:pgNumType w:start="15"/>
          <w:cols w:space="708"/>
        </w:sectPr>
      </w:pPr>
    </w:p>
    <w:p>
      <w:pPr>
        <w:spacing w:before="69" w:line="220" w:lineRule="auto"/>
        <w:ind w:left="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11.1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质量分级标准参见附录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I。</w:t>
      </w:r>
    </w:p>
    <w:p>
      <w:pPr>
        <w:spacing w:before="63" w:line="220" w:lineRule="auto"/>
        <w:ind w:left="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11.2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种球含水量、伤球率检测按照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GB/T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18247.6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执行。</w:t>
      </w:r>
    </w:p>
    <w:p>
      <w:pPr>
        <w:spacing w:before="62" w:line="220" w:lineRule="auto"/>
        <w:ind w:left="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11.3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球茎检测抽样、检测方法及判定原则按照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G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2772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执行。</w:t>
      </w:r>
    </w:p>
    <w:p>
      <w:pPr>
        <w:spacing w:before="62" w:line="220" w:lineRule="auto"/>
        <w:ind w:left="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1</w:t>
      </w:r>
      <w:r>
        <w:rPr>
          <w:rFonts w:ascii="SimHei" w:eastAsia="SimHei" w:hAnsi="SimHei" w:cs="SimHei"/>
          <w:spacing w:val="-5"/>
          <w:sz w:val="21"/>
          <w:szCs w:val="21"/>
        </w:rPr>
        <w:t>1</w:t>
      </w:r>
      <w:r>
        <w:rPr>
          <w:rFonts w:ascii="SimHei" w:eastAsia="SimHei" w:hAnsi="SimHei" w:cs="SimHei"/>
          <w:spacing w:val="-4"/>
          <w:sz w:val="21"/>
          <w:szCs w:val="21"/>
        </w:rPr>
        <w:t>.4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球茎围径、饱满度及病虫害检测按照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GB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2772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执行。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https://d.book118.com/785044220332011041</w:t>
        </w:r>
      </w:hyperlink>
    </w:p>
    <w:p/>
    <w:sectPr>
      <w:headerReference w:type="default" r:id="rId25"/>
      <w:footerReference w:type="default" r:id="rId26"/>
      <w:type w:val="nextPage"/>
      <w:pgSz w:w="11905" w:h="16840"/>
      <w:pgMar w:top="400" w:right="1355" w:bottom="1315" w:left="1136" w:header="0" w:footer="1134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22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22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22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22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yperlink" Target="https://d.book118.com/785044220332011041" TargetMode="Externa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&lt;4D6963726F736F667420576F7264202D20444231353834CCC6DDC5C6D1C7F2BEA5B7B1D3FDBCBCCAF5B9E6B7B62E746373&gt;</dc:title>
  <dc:creator>lllll</dc:creator>
  <cp:revision>0</cp:revision>
  <dcterms:created xsi:type="dcterms:W3CDTF">2022-02-18T01:54:17Z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2023-05-14T21:02:37Z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6460dbe10d38b700156d3db1</vt:lpwstr>
  </property>
</Properties>
</file>