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黑体" w:eastAsia="黑体" w:hAnsi="黑体" w:cs="Times New Roman"/>
          <w:sz w:val="36"/>
          <w:szCs w:val="36"/>
        </w:rPr>
      </w:pPr>
    </w:p>
    <w:p>
      <w:pPr>
        <w:jc w:val="center"/>
        <w:rPr>
          <w:rFonts w:ascii="黑体" w:eastAsia="黑体" w:hAnsi="黑体" w:cs="Times New Roman"/>
          <w:sz w:val="36"/>
          <w:szCs w:val="36"/>
        </w:rPr>
      </w:pPr>
      <w:bookmarkStart w:id="0" w:name="_GoBack"/>
      <w:r>
        <w:rPr>
          <w:rFonts w:ascii="华文中宋" w:eastAsia="华文中宋" w:hAnsi="华文中宋" w:cs="Times New Roman" w:hint="eastAsia"/>
          <w:sz w:val="32"/>
          <w:szCs w:val="32"/>
        </w:rPr>
        <w:t>中国出口贸易与产能过剩的关系研究</w:t>
      </w:r>
    </w:p>
    <w:bookmarkEnd w:id="0"/>
    <w:p>
      <w:pPr>
        <w:jc w:val="center"/>
        <w:rPr>
          <w:rFonts w:ascii="黑体" w:eastAsia="黑体" w:hAnsi="黑体" w:cs="Times New Roman"/>
          <w:sz w:val="36"/>
          <w:szCs w:val="36"/>
        </w:rPr>
      </w:pPr>
    </w:p>
    <w:p>
      <w:pPr>
        <w:jc w:val="center"/>
        <w:rPr>
          <w:rFonts w:ascii="黑体" w:eastAsia="黑体" w:hAnsi="黑体" w:cs="Times New Roman"/>
          <w:sz w:val="36"/>
          <w:szCs w:val="36"/>
        </w:rPr>
      </w:pPr>
    </w:p>
    <w:tbl>
      <w:tblPr>
        <w:tblStyle w:val="TableNormal"/>
        <w:tblW w:w="6037" w:type="dxa"/>
        <w:jc w:val="center"/>
        <w:tblLayout w:type="fixed"/>
        <w:tblCellMar>
          <w:top w:w="0" w:type="dxa"/>
          <w:left w:w="108" w:type="dxa"/>
          <w:bottom w:w="0" w:type="dxa"/>
          <w:right w:w="108" w:type="dxa"/>
        </w:tblCellMar>
      </w:tblPr>
      <w:tblGrid>
        <w:gridCol w:w="1501"/>
        <w:gridCol w:w="4536"/>
      </w:tblGrid>
      <w:tr>
        <w:tblPrEx>
          <w:tblW w:w="6037" w:type="dxa"/>
          <w:jc w:val="center"/>
          <w:tblLayout w:type="fixed"/>
          <w:tblCellMar>
            <w:top w:w="0" w:type="dxa"/>
            <w:left w:w="108" w:type="dxa"/>
            <w:bottom w:w="0" w:type="dxa"/>
            <w:right w:w="108" w:type="dxa"/>
          </w:tblCellMar>
        </w:tblPrEx>
        <w:trPr>
          <w:trHeight w:val="624"/>
          <w:jc w:val="center"/>
        </w:trPr>
        <w:tc>
          <w:tcPr>
            <w:tcW w:w="1501" w:type="dxa"/>
            <w:vMerge w:val="restart"/>
            <w:tcBorders>
              <w:right w:val="nil"/>
            </w:tcBorders>
          </w:tcPr>
          <w:p>
            <w:pPr>
              <w:jc w:val="center"/>
              <w:rPr>
                <w:rFonts w:ascii="华文中宋" w:eastAsia="华文中宋" w:hAnsi="华文中宋" w:cs="Times New Roman"/>
                <w:sz w:val="32"/>
                <w:szCs w:val="32"/>
              </w:rPr>
            </w:pPr>
            <w:r>
              <w:rPr>
                <w:rFonts w:ascii="华文中宋" w:eastAsia="华文中宋" w:hAnsi="华文中宋" w:cs="Times New Roman" w:hint="eastAsia"/>
                <w:sz w:val="32"/>
                <w:szCs w:val="32"/>
              </w:rPr>
              <w:t>题    目</w:t>
            </w:r>
          </w:p>
        </w:tc>
        <w:tc>
          <w:tcPr>
            <w:tcW w:w="4536" w:type="dxa"/>
            <w:tcBorders>
              <w:top w:val="nil"/>
              <w:left w:val="nil"/>
              <w:bottom w:val="single" w:sz="4" w:space="0" w:color="auto"/>
              <w:right w:val="nil"/>
            </w:tcBorders>
            <w:vAlign w:val="center"/>
          </w:tcPr>
          <w:p>
            <w:pPr>
              <w:jc w:val="center"/>
              <w:rPr>
                <w:rFonts w:ascii="华文中宋" w:eastAsia="华文中宋" w:hAnsi="华文中宋" w:cs="Times New Roman"/>
                <w:sz w:val="32"/>
                <w:szCs w:val="32"/>
                <w:u w:val="single"/>
              </w:rPr>
            </w:pPr>
            <w:r>
              <w:rPr>
                <w:rFonts w:ascii="华文中宋" w:eastAsia="华文中宋" w:hAnsi="华文中宋" w:cs="Times New Roman" w:hint="eastAsia"/>
                <w:sz w:val="32"/>
                <w:szCs w:val="32"/>
              </w:rPr>
              <w:t>中国出口贸易与产能过剩</w:t>
            </w:r>
          </w:p>
        </w:tc>
      </w:tr>
      <w:tr>
        <w:tblPrEx>
          <w:tblW w:w="6037" w:type="dxa"/>
          <w:jc w:val="center"/>
          <w:tblLayout w:type="fixed"/>
          <w:tblCellMar>
            <w:top w:w="0" w:type="dxa"/>
            <w:left w:w="108" w:type="dxa"/>
            <w:bottom w:w="0" w:type="dxa"/>
            <w:right w:w="108" w:type="dxa"/>
          </w:tblCellMar>
        </w:tblPrEx>
        <w:trPr>
          <w:trHeight w:val="624"/>
          <w:jc w:val="center"/>
        </w:trPr>
        <w:tc>
          <w:tcPr>
            <w:tcW w:w="1501" w:type="dxa"/>
            <w:vMerge/>
            <w:tcBorders>
              <w:right w:val="nil"/>
            </w:tcBorders>
          </w:tcPr>
          <w:p>
            <w:pPr>
              <w:rPr>
                <w:rFonts w:ascii="Times New Roman" w:eastAsia="宋体" w:hAnsi="Times New Roman" w:cs="Times New Roman"/>
              </w:rPr>
            </w:pPr>
          </w:p>
        </w:tc>
        <w:tc>
          <w:tcPr>
            <w:tcW w:w="4536" w:type="dxa"/>
            <w:tcBorders>
              <w:top w:val="single" w:sz="4" w:space="0" w:color="auto"/>
              <w:left w:val="nil"/>
              <w:bottom w:val="single" w:sz="4" w:space="0" w:color="auto"/>
              <w:right w:val="nil"/>
            </w:tcBorders>
            <w:vAlign w:val="center"/>
          </w:tcPr>
          <w:p>
            <w:pPr>
              <w:ind w:firstLine="1120" w:firstLineChars="350"/>
              <w:rPr>
                <w:rFonts w:ascii="华文中宋" w:eastAsia="华文中宋" w:hAnsi="华文中宋" w:cs="Times New Roman"/>
                <w:sz w:val="32"/>
                <w:szCs w:val="32"/>
                <w:u w:val="single"/>
              </w:rPr>
            </w:pPr>
            <w:r>
              <w:rPr>
                <w:rFonts w:ascii="华文中宋" w:eastAsia="华文中宋" w:hAnsi="华文中宋" w:cs="Times New Roman" w:hint="eastAsia"/>
                <w:sz w:val="32"/>
                <w:szCs w:val="32"/>
              </w:rPr>
              <w:t>的关系研究</w:t>
            </w:r>
          </w:p>
        </w:tc>
      </w:tr>
    </w:tbl>
    <w:p>
      <w:pPr>
        <w:spacing w:line="400" w:lineRule="exact"/>
        <w:jc w:val="center"/>
        <w:rPr>
          <w:rFonts w:asciiTheme="minorEastAsia" w:hAnsiTheme="minorEastAsia"/>
          <w:b/>
          <w:sz w:val="30"/>
          <w:szCs w:val="30"/>
        </w:rPr>
      </w:pPr>
    </w:p>
    <w:p>
      <w:pPr>
        <w:spacing w:line="400" w:lineRule="exact"/>
        <w:jc w:val="center"/>
        <w:rPr>
          <w:rFonts w:asciiTheme="minorEastAsia" w:hAnsiTheme="minorEastAsia"/>
          <w:b/>
          <w:sz w:val="30"/>
          <w:szCs w:val="30"/>
        </w:rPr>
      </w:pPr>
    </w:p>
    <w:p>
      <w:pPr>
        <w:spacing w:line="400" w:lineRule="exact"/>
        <w:jc w:val="center"/>
        <w:rPr>
          <w:rFonts w:asciiTheme="minorEastAsia" w:hAnsiTheme="minorEastAsia"/>
          <w:b/>
          <w:sz w:val="30"/>
          <w:szCs w:val="30"/>
        </w:rPr>
      </w:pPr>
      <w:r>
        <w:rPr>
          <w:rFonts w:asciiTheme="minorEastAsia" w:hAnsiTheme="minorEastAsia"/>
          <w:b/>
          <w:sz w:val="30"/>
          <w:szCs w:val="30"/>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Theme="minorEastAsia" w:hAnsiTheme="minorEastAsia"/>
          <w:b/>
          <w:sz w:val="30"/>
          <w:szCs w:val="30"/>
        </w:rPr>
        <w:instrText>ADDIN CNKISM.UserStyle</w:instrText>
      </w:r>
      <w:r>
        <w:rPr>
          <w:rFonts w:asciiTheme="minorEastAsia" w:hAnsiTheme="minorEastAsia"/>
          <w:b/>
          <w:sz w:val="30"/>
          <w:szCs w:val="30"/>
        </w:rPr>
        <w:fldChar w:fldCharType="separate"/>
      </w:r>
      <w:r>
        <w:rPr>
          <w:rFonts w:asciiTheme="minorEastAsia" w:hAnsiTheme="minorEastAsia"/>
          <w:b/>
          <w:sz w:val="30"/>
          <w:szCs w:val="30"/>
        </w:rPr>
        <w:fldChar w:fldCharType="end"/>
      </w:r>
      <w:r>
        <w:rPr>
          <w:rFonts w:asciiTheme="minorEastAsia" w:hAnsiTheme="minorEastAsia" w:hint="eastAsia"/>
          <w:b/>
          <w:sz w:val="30"/>
          <w:szCs w:val="30"/>
        </w:rPr>
        <w:t>摘  要</w:t>
      </w:r>
    </w:p>
    <w:p>
      <w:pPr>
        <w:spacing w:line="400" w:lineRule="exact"/>
        <w:jc w:val="center"/>
        <w:rPr>
          <w:rFonts w:asciiTheme="minorEastAsia" w:hAnsiTheme="minorEastAsia"/>
          <w:b/>
          <w:sz w:val="24"/>
          <w:szCs w:val="24"/>
        </w:rPr>
      </w:pPr>
    </w:p>
    <w:p>
      <w:pPr>
        <w:spacing w:line="400" w:lineRule="exact"/>
        <w:rPr>
          <w:rFonts w:asciiTheme="minorEastAsia" w:hAnsiTheme="minorEastAsia"/>
          <w:sz w:val="24"/>
          <w:szCs w:val="24"/>
        </w:rPr>
      </w:pPr>
      <w:r>
        <w:rPr>
          <w:rFonts w:asciiTheme="minorEastAsia" w:hAnsiTheme="minorEastAsia" w:hint="eastAsia"/>
          <w:sz w:val="24"/>
          <w:szCs w:val="24"/>
        </w:rPr>
        <w:t xml:space="preserve">    随着我国经济的发展，出口贸易规模不断扩大，在整体经济中发挥着至关重要的作用。但是，在此过程中我们也遇到出了许多问题，特别是产能过剩问题尤为突出。</w:t>
      </w:r>
    </w:p>
    <w:p>
      <w:pPr>
        <w:spacing w:line="400" w:lineRule="exact"/>
        <w:rPr>
          <w:rFonts w:asciiTheme="minorEastAsia" w:hAnsiTheme="minorEastAsia"/>
          <w:sz w:val="24"/>
          <w:szCs w:val="24"/>
        </w:rPr>
      </w:pPr>
      <w:r>
        <w:rPr>
          <w:rFonts w:asciiTheme="minorEastAsia" w:hAnsiTheme="minorEastAsia" w:hint="eastAsia"/>
          <w:sz w:val="24"/>
          <w:szCs w:val="24"/>
        </w:rPr>
        <w:t>产能过剩问题已经影响到了中国出口贸易的长远发展。</w:t>
      </w:r>
    </w:p>
    <w:p>
      <w:pPr>
        <w:spacing w:line="400" w:lineRule="exact"/>
        <w:ind w:firstLine="480" w:firstLineChars="200"/>
        <w:rPr>
          <w:szCs w:val="21"/>
        </w:rPr>
      </w:pPr>
      <w:r>
        <w:rPr>
          <w:rFonts w:asciiTheme="minorEastAsia" w:hAnsiTheme="minorEastAsia" w:hint="eastAsia"/>
          <w:sz w:val="24"/>
          <w:szCs w:val="24"/>
        </w:rPr>
        <w:t>基于以上情况，本文在查阅相关文献的基础上，首先对中国主要产能过剩行业及我国出口贸易的情况进行了总结和分析。然后根据现实情况指出我国的产能过剩问题对我国出口贸易产生的一些影响，以及具体导致的我国出口贸易的一些问题。接着，提出了在“供给侧改革”这一大的政策背景下，利用“供给侧改革”来治理产能过剩问题，从而解决我国出口贸易中由产能过剩导致的问题的这一想法。同时，也试着探讨了通过我国出口贸易以及优化出口贸易结构来解决产能过剩的可能性。最后也提出了相应的对策。</w:t>
      </w:r>
    </w:p>
    <w:p>
      <w:pPr>
        <w:spacing w:line="400" w:lineRule="exact"/>
        <w:rPr>
          <w:sz w:val="24"/>
          <w:szCs w:val="24"/>
        </w:rPr>
      </w:pPr>
    </w:p>
    <w:p>
      <w:pPr>
        <w:spacing w:line="400" w:lineRule="exact"/>
        <w:rPr>
          <w:sz w:val="24"/>
          <w:szCs w:val="24"/>
        </w:rPr>
      </w:pPr>
    </w:p>
    <w:p>
      <w:pPr>
        <w:spacing w:line="400" w:lineRule="exact"/>
        <w:ind w:firstLine="480" w:firstLineChars="200"/>
        <w:rPr>
          <w:sz w:val="24"/>
          <w:szCs w:val="24"/>
        </w:rPr>
      </w:pPr>
      <w:r>
        <w:rPr>
          <w:rFonts w:hint="eastAsia"/>
          <w:b/>
          <w:sz w:val="24"/>
          <w:szCs w:val="24"/>
        </w:rPr>
        <w:t>关键词：</w:t>
      </w:r>
      <w:r>
        <w:rPr>
          <w:rFonts w:hint="eastAsia"/>
          <w:sz w:val="24"/>
          <w:szCs w:val="24"/>
        </w:rPr>
        <w:t>产能过剩 出口贸易 治理对策</w:t>
      </w:r>
    </w:p>
    <w:p>
      <w:pPr>
        <w:spacing w:line="400" w:lineRule="exact"/>
        <w:rPr>
          <w:sz w:val="24"/>
          <w:szCs w:val="24"/>
        </w:rPr>
      </w:pPr>
    </w:p>
    <w:p>
      <w:pPr>
        <w:spacing w:line="400" w:lineRule="exact"/>
        <w:rPr>
          <w:sz w:val="24"/>
          <w:szCs w:val="24"/>
        </w:rPr>
      </w:pPr>
    </w:p>
    <w:p>
      <w:pPr>
        <w:spacing w:line="400" w:lineRule="exact"/>
        <w:rPr>
          <w:sz w:val="24"/>
          <w:szCs w:val="24"/>
        </w:rPr>
      </w:pPr>
    </w:p>
    <w:p>
      <w:pPr>
        <w:spacing w:line="400" w:lineRule="exact"/>
        <w:rPr>
          <w:sz w:val="24"/>
          <w:szCs w:val="24"/>
        </w:rPr>
      </w:pPr>
    </w:p>
    <w:p>
      <w:pPr>
        <w:spacing w:line="400" w:lineRule="exact"/>
        <w:rPr>
          <w:sz w:val="24"/>
          <w:szCs w:val="24"/>
        </w:rPr>
      </w:pPr>
    </w:p>
    <w:p>
      <w:pPr>
        <w:spacing w:line="400" w:lineRule="exact"/>
        <w:rPr>
          <w:sz w:val="24"/>
          <w:szCs w:val="24"/>
        </w:rPr>
      </w:pPr>
    </w:p>
    <w:p>
      <w:pPr>
        <w:spacing w:line="400" w:lineRule="exact"/>
        <w:rPr>
          <w:sz w:val="24"/>
          <w:szCs w:val="24"/>
        </w:rPr>
      </w:pPr>
    </w:p>
    <w:p>
      <w:pPr>
        <w:spacing w:line="400" w:lineRule="exact"/>
        <w:rPr>
          <w:sz w:val="24"/>
          <w:szCs w:val="24"/>
        </w:rPr>
        <w:sectPr>
          <w:footerReference w:type="default" r:id="rId6"/>
          <w:pgSz w:w="11906" w:h="16838"/>
          <w:pgMar w:top="1418" w:right="1418" w:bottom="1418" w:left="1701" w:header="851" w:footer="992" w:gutter="0"/>
          <w:cols w:num="1" w:space="425"/>
          <w:docGrid w:type="lines" w:linePitch="312" w:charSpace="0"/>
        </w:sectPr>
      </w:pPr>
    </w:p>
    <w:p>
      <w:pPr>
        <w:spacing w:line="400" w:lineRule="exact"/>
        <w:rPr>
          <w:sz w:val="24"/>
          <w:szCs w:val="24"/>
        </w:rPr>
      </w:pPr>
    </w:p>
    <w:p>
      <w:pPr>
        <w:spacing w:line="400" w:lineRule="exact"/>
        <w:rPr>
          <w:sz w:val="24"/>
          <w:szCs w:val="24"/>
        </w:rPr>
      </w:pPr>
    </w:p>
    <w:p>
      <w:pPr>
        <w:spacing w:line="400" w:lineRule="exact"/>
        <w:rPr>
          <w:sz w:val="24"/>
          <w:szCs w:val="24"/>
        </w:rPr>
      </w:pPr>
    </w:p>
    <w:p>
      <w:pPr>
        <w:spacing w:line="400" w:lineRule="exact"/>
        <w:rPr>
          <w:sz w:val="24"/>
          <w:szCs w:val="24"/>
        </w:rPr>
      </w:pPr>
    </w:p>
    <w:p>
      <w:pPr>
        <w:spacing w:line="400" w:lineRule="exact"/>
        <w:rPr>
          <w:sz w:val="24"/>
          <w:szCs w:val="24"/>
        </w:rPr>
      </w:pPr>
    </w:p>
    <w:p>
      <w:pPr>
        <w:spacing w:line="400" w:lineRule="exact"/>
        <w:rPr>
          <w:sz w:val="24"/>
          <w:szCs w:val="24"/>
        </w:rPr>
      </w:pPr>
    </w:p>
    <w:p>
      <w:pPr>
        <w:spacing w:line="400" w:lineRule="exact"/>
        <w:rPr>
          <w:sz w:val="24"/>
          <w:szCs w:val="24"/>
        </w:rPr>
      </w:pPr>
    </w:p>
    <w:p>
      <w:pPr>
        <w:spacing w:line="400" w:lineRule="exact"/>
        <w:rPr>
          <w:sz w:val="24"/>
          <w:szCs w:val="24"/>
        </w:rPr>
      </w:pPr>
    </w:p>
    <w:p>
      <w:pPr>
        <w:spacing w:line="400" w:lineRule="exact"/>
        <w:rPr>
          <w:sz w:val="24"/>
          <w:szCs w:val="24"/>
        </w:rPr>
      </w:pPr>
    </w:p>
    <w:p>
      <w:pPr>
        <w:spacing w:line="400" w:lineRule="exact"/>
        <w:rPr>
          <w:sz w:val="24"/>
          <w:szCs w:val="24"/>
        </w:rPr>
      </w:pPr>
    </w:p>
    <w:p>
      <w:pPr>
        <w:spacing w:line="400" w:lineRule="exact"/>
        <w:rPr>
          <w:rFonts w:asciiTheme="minorEastAsia" w:hAnsiTheme="minorEastAsia"/>
          <w:b/>
          <w:sz w:val="30"/>
          <w:szCs w:val="30"/>
        </w:rPr>
      </w:pPr>
    </w:p>
    <w:p>
      <w:pPr>
        <w:spacing w:line="400" w:lineRule="exact"/>
        <w:rPr>
          <w:rFonts w:asciiTheme="minorEastAsia" w:hAnsiTheme="minorEastAsia"/>
          <w:b/>
          <w:sz w:val="30"/>
          <w:szCs w:val="30"/>
        </w:rPr>
      </w:pPr>
    </w:p>
    <w:p>
      <w:pPr>
        <w:spacing w:line="400" w:lineRule="exact"/>
        <w:jc w:val="center"/>
        <w:rPr>
          <w:rFonts w:asciiTheme="minorEastAsia" w:hAnsiTheme="minorEastAsia"/>
          <w:b/>
          <w:sz w:val="30"/>
          <w:szCs w:val="30"/>
        </w:rPr>
      </w:pPr>
      <w:r>
        <w:rPr>
          <w:rFonts w:asciiTheme="minorEastAsia" w:hAnsiTheme="minorEastAsia"/>
          <w:b/>
          <w:sz w:val="30"/>
          <w:szCs w:val="30"/>
        </w:rPr>
        <w:t>R</w:t>
      </w:r>
      <w:r>
        <w:rPr>
          <w:rFonts w:asciiTheme="minorEastAsia" w:hAnsiTheme="minorEastAsia" w:hint="eastAsia"/>
          <w:b/>
          <w:sz w:val="30"/>
          <w:szCs w:val="30"/>
        </w:rPr>
        <w:t xml:space="preserve">esearch on </w:t>
      </w:r>
      <w:r>
        <w:rPr>
          <w:rFonts w:asciiTheme="minorEastAsia" w:hAnsiTheme="minorEastAsia"/>
          <w:b/>
          <w:sz w:val="30"/>
          <w:szCs w:val="30"/>
        </w:rPr>
        <w:t>the Relationship between</w:t>
      </w:r>
      <w:r>
        <w:rPr>
          <w:rFonts w:asciiTheme="minorEastAsia" w:hAnsiTheme="minorEastAsia" w:hint="eastAsia"/>
          <w:b/>
          <w:sz w:val="30"/>
          <w:szCs w:val="30"/>
        </w:rPr>
        <w:t xml:space="preserve"> </w:t>
      </w:r>
      <w:r>
        <w:rPr>
          <w:rFonts w:asciiTheme="minorEastAsia" w:hAnsiTheme="minorEastAsia"/>
          <w:b/>
          <w:sz w:val="30"/>
          <w:szCs w:val="30"/>
        </w:rPr>
        <w:t>Export Trade</w:t>
      </w:r>
      <w:r>
        <w:rPr>
          <w:rFonts w:asciiTheme="minorEastAsia" w:hAnsiTheme="minorEastAsia" w:hint="eastAsia"/>
          <w:b/>
          <w:sz w:val="30"/>
          <w:szCs w:val="30"/>
        </w:rPr>
        <w:t xml:space="preserve"> </w:t>
      </w:r>
      <w:r>
        <w:rPr>
          <w:rFonts w:asciiTheme="minorEastAsia" w:hAnsiTheme="minorEastAsia"/>
          <w:b/>
          <w:sz w:val="30"/>
          <w:szCs w:val="30"/>
        </w:rPr>
        <w:t>and</w:t>
      </w:r>
      <w:r>
        <w:rPr>
          <w:rFonts w:asciiTheme="minorEastAsia" w:hAnsiTheme="minorEastAsia" w:hint="eastAsia"/>
          <w:b/>
          <w:sz w:val="30"/>
          <w:szCs w:val="30"/>
        </w:rPr>
        <w:t xml:space="preserve"> </w:t>
      </w:r>
      <w:r>
        <w:rPr>
          <w:rFonts w:asciiTheme="minorEastAsia" w:hAnsiTheme="minorEastAsia"/>
          <w:b/>
          <w:sz w:val="30"/>
          <w:szCs w:val="30"/>
        </w:rPr>
        <w:t>Overcapacity</w:t>
      </w:r>
      <w:r>
        <w:rPr>
          <w:rFonts w:asciiTheme="minorEastAsia" w:hAnsiTheme="minorEastAsia" w:hint="eastAsia"/>
          <w:b/>
          <w:sz w:val="30"/>
          <w:szCs w:val="30"/>
        </w:rPr>
        <w:t xml:space="preserve"> in China</w:t>
      </w:r>
    </w:p>
    <w:p>
      <w:pPr>
        <w:spacing w:line="400" w:lineRule="exact"/>
        <w:rPr>
          <w:sz w:val="24"/>
          <w:szCs w:val="24"/>
        </w:rPr>
      </w:pPr>
    </w:p>
    <w:p>
      <w:pPr>
        <w:spacing w:line="400" w:lineRule="exact"/>
        <w:ind w:firstLine="480" w:firstLineChars="200"/>
        <w:rPr>
          <w:rFonts w:asciiTheme="minorEastAsia" w:hAnsiTheme="minorEastAsia"/>
          <w:sz w:val="24"/>
          <w:szCs w:val="24"/>
        </w:rPr>
      </w:pPr>
      <w:r>
        <w:rPr>
          <w:rFonts w:asciiTheme="minorEastAsia" w:hAnsiTheme="minorEastAsia" w:hint="eastAsia"/>
          <w:b/>
          <w:sz w:val="24"/>
          <w:szCs w:val="24"/>
        </w:rPr>
        <w:t>Abstract:</w:t>
      </w:r>
      <w:r>
        <w:rPr>
          <w:rFonts w:asciiTheme="minorEastAsia" w:hAnsiTheme="minorEastAsia"/>
          <w:sz w:val="24"/>
          <w:szCs w:val="24"/>
        </w:rPr>
        <w:t xml:space="preserve"> With the development of China's economy, the scale of export trade continues to expand. And the export trade of China plays a vital role in the overall economy. However, we also encountered many problems in this process. The problem of overcapacity is particularly prominent, and it has affected the long-term development of the export trade of China.</w:t>
      </w:r>
    </w:p>
    <w:p>
      <w:pPr>
        <w:spacing w:line="400" w:lineRule="exact"/>
        <w:ind w:firstLine="480" w:firstLineChars="200"/>
        <w:rPr>
          <w:rFonts w:asciiTheme="minorEastAsia" w:hAnsiTheme="minorEastAsia"/>
          <w:sz w:val="24"/>
          <w:szCs w:val="24"/>
        </w:rPr>
      </w:pPr>
      <w:r>
        <w:rPr>
          <w:rFonts w:asciiTheme="minorEastAsia" w:hAnsiTheme="minorEastAsia"/>
          <w:sz w:val="24"/>
          <w:szCs w:val="24"/>
        </w:rPr>
        <w:t>On the basis of the above and consulting relevant literature, this paper summarizes and analyses the situation of the main overcapacity industries in China and the export trade of China firstly. Then, according to the actual situation, this paper points out that the problem of overcapacity in China has some impact on the export trade of China, as well as the specific problems of export trade caused by overcapacity. Under the big policy background of "supply-side reform", We propose to use the "supply-side reform" to deal with the problem of overcapacity, so as to solve the problem caused by overcapacity in the export trade of China. At the same time, this paper also tries to explore the possibility of solving overcapacity through the export trade of China and optimizing export trade structure. Finally, this paper put forward the corresponding countermeasures.</w:t>
      </w:r>
    </w:p>
    <w:p>
      <w:pPr>
        <w:spacing w:line="400" w:lineRule="exact"/>
        <w:ind w:firstLine="120" w:firstLineChars="50"/>
        <w:rPr>
          <w:rFonts w:asciiTheme="minorEastAsia" w:hAnsiTheme="minorEastAsia" w:hint="eastAsia"/>
          <w:sz w:val="24"/>
          <w:szCs w:val="24"/>
        </w:rPr>
      </w:pPr>
    </w:p>
    <w:p>
      <w:pPr>
        <w:spacing w:line="400" w:lineRule="exact"/>
        <w:ind w:firstLine="120" w:firstLineChars="50"/>
        <w:rPr>
          <w:rFonts w:asciiTheme="minorEastAsia" w:hAnsiTheme="minorEastAsia"/>
          <w:sz w:val="24"/>
          <w:szCs w:val="24"/>
        </w:rPr>
      </w:pPr>
    </w:p>
    <w:p>
      <w:pPr>
        <w:spacing w:line="400" w:lineRule="exact"/>
        <w:ind w:firstLine="480" w:firstLineChars="200"/>
        <w:rPr>
          <w:rFonts w:asciiTheme="minorEastAsia" w:hAnsiTheme="minorEastAsia"/>
          <w:sz w:val="24"/>
          <w:szCs w:val="24"/>
        </w:rPr>
      </w:pPr>
      <w:r>
        <w:rPr>
          <w:rFonts w:asciiTheme="minorEastAsia" w:hAnsiTheme="minorEastAsia" w:hint="eastAsia"/>
          <w:b/>
          <w:sz w:val="24"/>
          <w:szCs w:val="24"/>
        </w:rPr>
        <w:t>Key words:</w:t>
      </w:r>
      <w:r>
        <w:rPr>
          <w:sz w:val="24"/>
          <w:szCs w:val="24"/>
        </w:rPr>
        <w:t xml:space="preserve"> </w:t>
      </w:r>
      <w:r>
        <w:rPr>
          <w:rFonts w:asciiTheme="minorEastAsia" w:hAnsiTheme="minorEastAsia"/>
          <w:sz w:val="24"/>
          <w:szCs w:val="24"/>
        </w:rPr>
        <w:t>over capacity</w:t>
      </w:r>
      <w:r>
        <w:rPr>
          <w:rFonts w:asciiTheme="minorEastAsia" w:hAnsiTheme="minorEastAsia" w:hint="eastAsia"/>
          <w:sz w:val="24"/>
          <w:szCs w:val="24"/>
        </w:rPr>
        <w:t xml:space="preserve">, </w:t>
      </w:r>
      <w:r>
        <w:rPr>
          <w:rFonts w:asciiTheme="minorEastAsia" w:hAnsiTheme="minorEastAsia"/>
          <w:sz w:val="24"/>
          <w:szCs w:val="24"/>
        </w:rPr>
        <w:t>export trade</w:t>
      </w:r>
      <w:r>
        <w:rPr>
          <w:rFonts w:asciiTheme="minorEastAsia" w:hAnsiTheme="minorEastAsia" w:hint="eastAsia"/>
          <w:sz w:val="24"/>
          <w:szCs w:val="24"/>
        </w:rPr>
        <w:t xml:space="preserve">, </w:t>
      </w:r>
      <w:r>
        <w:rPr>
          <w:rFonts w:asciiTheme="minorEastAsia" w:hAnsiTheme="minorEastAsia"/>
          <w:sz w:val="24"/>
          <w:szCs w:val="24"/>
        </w:rPr>
        <w:t>countermeasures</w:t>
      </w:r>
      <w:r>
        <w:rPr>
          <w:rFonts w:asciiTheme="minorEastAsia" w:hAnsiTheme="minorEastAsia"/>
          <w:sz w:val="24"/>
          <w:szCs w:val="24"/>
        </w:rPr>
        <w:br/>
      </w:r>
      <w:r>
        <w:rPr>
          <w:rFonts w:asciiTheme="minorEastAsia" w:hAnsiTheme="minorEastAsia"/>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https://d.book118.com/785123032313011121</w:t>
        </w:r>
      </w:hyperlink>
    </w:p>
    <w:p>
      <w:pPr>
        <w:spacing w:line="400" w:lineRule="exact"/>
        <w:ind w:firstLine="480" w:firstLineChars="200"/>
        <w:rPr>
          <w:rFonts w:asciiTheme="minorEastAsia" w:hAnsiTheme="minorEastAsia"/>
          <w:sz w:val="24"/>
          <w:szCs w:val="24"/>
        </w:rPr>
      </w:pPr>
    </w:p>
    <w:sectPr>
      <w:footerReference w:type="default" r:id="rId8"/>
      <w:type w:val="nextPage"/>
      <w:pgSz w:w="11906" w:h="16838"/>
      <w:pgMar w:top="1418" w:right="1418" w:bottom="1418" w:left="1701" w:header="851" w:footer="992" w:gutter="0"/>
      <w:pgNumType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left" w:pos="2598"/>
        <w:tab w:val="clear" w:pos="4153"/>
        <w:tab w:val="clear" w:pos="8306"/>
      </w:tabs>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left" w:pos="2598"/>
        <w:tab w:val="clear" w:pos="4153"/>
        <w:tab w:val="clear" w:pos="8306"/>
      </w:tabs>
    </w:pPr>
    <w: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2498"/>
    <w:rsid w:val="00003E68"/>
    <w:rsid w:val="00011995"/>
    <w:rsid w:val="0002294C"/>
    <w:rsid w:val="00023E23"/>
    <w:rsid w:val="00034FEC"/>
    <w:rsid w:val="000371C1"/>
    <w:rsid w:val="0004559A"/>
    <w:rsid w:val="00046673"/>
    <w:rsid w:val="00050B69"/>
    <w:rsid w:val="00054074"/>
    <w:rsid w:val="000551E0"/>
    <w:rsid w:val="0005729A"/>
    <w:rsid w:val="00060C01"/>
    <w:rsid w:val="00066677"/>
    <w:rsid w:val="000717B2"/>
    <w:rsid w:val="0007706D"/>
    <w:rsid w:val="00086563"/>
    <w:rsid w:val="00094F67"/>
    <w:rsid w:val="000A24BC"/>
    <w:rsid w:val="000A2594"/>
    <w:rsid w:val="000B46D2"/>
    <w:rsid w:val="000C0758"/>
    <w:rsid w:val="000D52AA"/>
    <w:rsid w:val="001002C1"/>
    <w:rsid w:val="00102498"/>
    <w:rsid w:val="0010413D"/>
    <w:rsid w:val="00107A0C"/>
    <w:rsid w:val="00107CF9"/>
    <w:rsid w:val="00116244"/>
    <w:rsid w:val="001270E4"/>
    <w:rsid w:val="001314A3"/>
    <w:rsid w:val="00133C0F"/>
    <w:rsid w:val="0013652E"/>
    <w:rsid w:val="001526DA"/>
    <w:rsid w:val="00153F64"/>
    <w:rsid w:val="001621C8"/>
    <w:rsid w:val="00165292"/>
    <w:rsid w:val="00165438"/>
    <w:rsid w:val="00173C52"/>
    <w:rsid w:val="00187858"/>
    <w:rsid w:val="001920A3"/>
    <w:rsid w:val="001A3355"/>
    <w:rsid w:val="001A4A0A"/>
    <w:rsid w:val="001B4650"/>
    <w:rsid w:val="001C1130"/>
    <w:rsid w:val="001C15B2"/>
    <w:rsid w:val="001C36A2"/>
    <w:rsid w:val="001C4501"/>
    <w:rsid w:val="001D6898"/>
    <w:rsid w:val="00200D88"/>
    <w:rsid w:val="002027E3"/>
    <w:rsid w:val="00203188"/>
    <w:rsid w:val="002116D1"/>
    <w:rsid w:val="00213FB5"/>
    <w:rsid w:val="0021414E"/>
    <w:rsid w:val="00215188"/>
    <w:rsid w:val="002169F9"/>
    <w:rsid w:val="00223155"/>
    <w:rsid w:val="00223197"/>
    <w:rsid w:val="002239EC"/>
    <w:rsid w:val="00225588"/>
    <w:rsid w:val="00225E88"/>
    <w:rsid w:val="00231D74"/>
    <w:rsid w:val="00233778"/>
    <w:rsid w:val="0024158D"/>
    <w:rsid w:val="002575F3"/>
    <w:rsid w:val="00260A65"/>
    <w:rsid w:val="00260F15"/>
    <w:rsid w:val="00272135"/>
    <w:rsid w:val="00274608"/>
    <w:rsid w:val="00275BFE"/>
    <w:rsid w:val="00277AD4"/>
    <w:rsid w:val="00286429"/>
    <w:rsid w:val="002942E2"/>
    <w:rsid w:val="00295F30"/>
    <w:rsid w:val="002B1D4A"/>
    <w:rsid w:val="002B4A9D"/>
    <w:rsid w:val="002C3913"/>
    <w:rsid w:val="002C3DB6"/>
    <w:rsid w:val="002C574F"/>
    <w:rsid w:val="002F3965"/>
    <w:rsid w:val="002F48B6"/>
    <w:rsid w:val="003029F2"/>
    <w:rsid w:val="003078C9"/>
    <w:rsid w:val="003078FA"/>
    <w:rsid w:val="00315430"/>
    <w:rsid w:val="00317515"/>
    <w:rsid w:val="00336129"/>
    <w:rsid w:val="00344A87"/>
    <w:rsid w:val="00345257"/>
    <w:rsid w:val="00351732"/>
    <w:rsid w:val="00352C4F"/>
    <w:rsid w:val="00364BD9"/>
    <w:rsid w:val="00381314"/>
    <w:rsid w:val="00383DB9"/>
    <w:rsid w:val="00385165"/>
    <w:rsid w:val="003854CC"/>
    <w:rsid w:val="00387BA9"/>
    <w:rsid w:val="003930CD"/>
    <w:rsid w:val="003A0724"/>
    <w:rsid w:val="003A1CEC"/>
    <w:rsid w:val="003A4419"/>
    <w:rsid w:val="003B3E1D"/>
    <w:rsid w:val="003C54A6"/>
    <w:rsid w:val="003D155C"/>
    <w:rsid w:val="003D355F"/>
    <w:rsid w:val="003F296D"/>
    <w:rsid w:val="00400076"/>
    <w:rsid w:val="00406355"/>
    <w:rsid w:val="004075D7"/>
    <w:rsid w:val="00413079"/>
    <w:rsid w:val="00416855"/>
    <w:rsid w:val="0043146C"/>
    <w:rsid w:val="00443708"/>
    <w:rsid w:val="00450BFB"/>
    <w:rsid w:val="00460D67"/>
    <w:rsid w:val="00466312"/>
    <w:rsid w:val="00496A73"/>
    <w:rsid w:val="004A462F"/>
    <w:rsid w:val="004A6F93"/>
    <w:rsid w:val="004B047C"/>
    <w:rsid w:val="004B18C7"/>
    <w:rsid w:val="004B23B6"/>
    <w:rsid w:val="004B2613"/>
    <w:rsid w:val="004B6139"/>
    <w:rsid w:val="004C57F3"/>
    <w:rsid w:val="004D653A"/>
    <w:rsid w:val="004D680E"/>
    <w:rsid w:val="004D6AD8"/>
    <w:rsid w:val="004D6C0C"/>
    <w:rsid w:val="004E6F5D"/>
    <w:rsid w:val="004F39A9"/>
    <w:rsid w:val="004F505F"/>
    <w:rsid w:val="00506463"/>
    <w:rsid w:val="00530E61"/>
    <w:rsid w:val="00546D50"/>
    <w:rsid w:val="00547644"/>
    <w:rsid w:val="0055323F"/>
    <w:rsid w:val="00554D85"/>
    <w:rsid w:val="00561DCA"/>
    <w:rsid w:val="005640B1"/>
    <w:rsid w:val="00584A66"/>
    <w:rsid w:val="00592F03"/>
    <w:rsid w:val="005A08CD"/>
    <w:rsid w:val="005A16A0"/>
    <w:rsid w:val="005C7C2D"/>
    <w:rsid w:val="005D2C3D"/>
    <w:rsid w:val="005E2954"/>
    <w:rsid w:val="005E3DC5"/>
    <w:rsid w:val="005E4F7A"/>
    <w:rsid w:val="005F2216"/>
    <w:rsid w:val="0060097F"/>
    <w:rsid w:val="00604117"/>
    <w:rsid w:val="00630A00"/>
    <w:rsid w:val="00634EDA"/>
    <w:rsid w:val="0064638D"/>
    <w:rsid w:val="00650AFA"/>
    <w:rsid w:val="00655B2B"/>
    <w:rsid w:val="006668EC"/>
    <w:rsid w:val="00675078"/>
    <w:rsid w:val="00683556"/>
    <w:rsid w:val="006A5F92"/>
    <w:rsid w:val="006A61D2"/>
    <w:rsid w:val="006A6F58"/>
    <w:rsid w:val="006B430F"/>
    <w:rsid w:val="006B5662"/>
    <w:rsid w:val="006D0272"/>
    <w:rsid w:val="006E5693"/>
    <w:rsid w:val="006E5718"/>
    <w:rsid w:val="0070293C"/>
    <w:rsid w:val="007119F0"/>
    <w:rsid w:val="00713809"/>
    <w:rsid w:val="0072401C"/>
    <w:rsid w:val="00726F0E"/>
    <w:rsid w:val="0073156F"/>
    <w:rsid w:val="007451C7"/>
    <w:rsid w:val="00745724"/>
    <w:rsid w:val="00747E88"/>
    <w:rsid w:val="007524B6"/>
    <w:rsid w:val="00752925"/>
    <w:rsid w:val="00761C93"/>
    <w:rsid w:val="00765F8C"/>
    <w:rsid w:val="007762AC"/>
    <w:rsid w:val="00790127"/>
    <w:rsid w:val="00790783"/>
    <w:rsid w:val="00794036"/>
    <w:rsid w:val="007B0152"/>
    <w:rsid w:val="007B7538"/>
    <w:rsid w:val="007C1FC9"/>
    <w:rsid w:val="007C460A"/>
    <w:rsid w:val="007D15AF"/>
    <w:rsid w:val="007D190E"/>
    <w:rsid w:val="007D6241"/>
    <w:rsid w:val="007E1A4C"/>
    <w:rsid w:val="007E5F1F"/>
    <w:rsid w:val="007F3E64"/>
    <w:rsid w:val="00812393"/>
    <w:rsid w:val="008209B8"/>
    <w:rsid w:val="00821B0D"/>
    <w:rsid w:val="00834345"/>
    <w:rsid w:val="008363A5"/>
    <w:rsid w:val="00847397"/>
    <w:rsid w:val="0084799B"/>
    <w:rsid w:val="00860976"/>
    <w:rsid w:val="00860C6D"/>
    <w:rsid w:val="00861D79"/>
    <w:rsid w:val="008657CA"/>
    <w:rsid w:val="00867E1F"/>
    <w:rsid w:val="00880931"/>
    <w:rsid w:val="008820F8"/>
    <w:rsid w:val="00884D72"/>
    <w:rsid w:val="00886256"/>
    <w:rsid w:val="00894548"/>
    <w:rsid w:val="008956AC"/>
    <w:rsid w:val="008A0744"/>
    <w:rsid w:val="008A627B"/>
    <w:rsid w:val="008B61E7"/>
    <w:rsid w:val="008C0AFC"/>
    <w:rsid w:val="008C6216"/>
    <w:rsid w:val="008C63DC"/>
    <w:rsid w:val="008C7103"/>
    <w:rsid w:val="008C7786"/>
    <w:rsid w:val="008D3799"/>
    <w:rsid w:val="008D6202"/>
    <w:rsid w:val="008E112E"/>
    <w:rsid w:val="008E1664"/>
    <w:rsid w:val="008F5CC6"/>
    <w:rsid w:val="00901507"/>
    <w:rsid w:val="00901840"/>
    <w:rsid w:val="009022CB"/>
    <w:rsid w:val="00911381"/>
    <w:rsid w:val="00911C0C"/>
    <w:rsid w:val="009125C3"/>
    <w:rsid w:val="00914499"/>
    <w:rsid w:val="009147F6"/>
    <w:rsid w:val="00927253"/>
    <w:rsid w:val="0093100F"/>
    <w:rsid w:val="00933141"/>
    <w:rsid w:val="00946D9F"/>
    <w:rsid w:val="00947635"/>
    <w:rsid w:val="00951BAE"/>
    <w:rsid w:val="00952CE7"/>
    <w:rsid w:val="00955785"/>
    <w:rsid w:val="00956D9A"/>
    <w:rsid w:val="00976C09"/>
    <w:rsid w:val="009772A8"/>
    <w:rsid w:val="00982F13"/>
    <w:rsid w:val="00985626"/>
    <w:rsid w:val="00990832"/>
    <w:rsid w:val="009926D5"/>
    <w:rsid w:val="009979AE"/>
    <w:rsid w:val="009A18E0"/>
    <w:rsid w:val="009B0472"/>
    <w:rsid w:val="009C1C65"/>
    <w:rsid w:val="009C5511"/>
    <w:rsid w:val="009D6E1D"/>
    <w:rsid w:val="009E3230"/>
    <w:rsid w:val="009E5A34"/>
    <w:rsid w:val="009F0A8C"/>
    <w:rsid w:val="009F0DF2"/>
    <w:rsid w:val="009F2C18"/>
    <w:rsid w:val="009F2F48"/>
    <w:rsid w:val="00A0050A"/>
    <w:rsid w:val="00A1706F"/>
    <w:rsid w:val="00A40937"/>
    <w:rsid w:val="00A472CC"/>
    <w:rsid w:val="00A5066C"/>
    <w:rsid w:val="00A53AFD"/>
    <w:rsid w:val="00A618DE"/>
    <w:rsid w:val="00A632E8"/>
    <w:rsid w:val="00A853BB"/>
    <w:rsid w:val="00A85D6E"/>
    <w:rsid w:val="00AA157E"/>
    <w:rsid w:val="00AA1614"/>
    <w:rsid w:val="00AB2B87"/>
    <w:rsid w:val="00AB5DC1"/>
    <w:rsid w:val="00AB79C6"/>
    <w:rsid w:val="00AB7D9A"/>
    <w:rsid w:val="00AC01A5"/>
    <w:rsid w:val="00AC60F1"/>
    <w:rsid w:val="00AD1B4F"/>
    <w:rsid w:val="00AD1FD7"/>
    <w:rsid w:val="00AD3688"/>
    <w:rsid w:val="00AD5E57"/>
    <w:rsid w:val="00AD7468"/>
    <w:rsid w:val="00AE0591"/>
    <w:rsid w:val="00AE13E4"/>
    <w:rsid w:val="00AE1749"/>
    <w:rsid w:val="00AE6FE6"/>
    <w:rsid w:val="00AF66B4"/>
    <w:rsid w:val="00B00E52"/>
    <w:rsid w:val="00B0419E"/>
    <w:rsid w:val="00B115DC"/>
    <w:rsid w:val="00B219FE"/>
    <w:rsid w:val="00B32212"/>
    <w:rsid w:val="00B32B3D"/>
    <w:rsid w:val="00B407BD"/>
    <w:rsid w:val="00B47405"/>
    <w:rsid w:val="00B51E20"/>
    <w:rsid w:val="00B5402F"/>
    <w:rsid w:val="00B55EEB"/>
    <w:rsid w:val="00B57430"/>
    <w:rsid w:val="00B5764D"/>
    <w:rsid w:val="00B61B57"/>
    <w:rsid w:val="00B62178"/>
    <w:rsid w:val="00B632A3"/>
    <w:rsid w:val="00B647F8"/>
    <w:rsid w:val="00B669F1"/>
    <w:rsid w:val="00B742CF"/>
    <w:rsid w:val="00B800B1"/>
    <w:rsid w:val="00B86AD1"/>
    <w:rsid w:val="00B921E5"/>
    <w:rsid w:val="00B9344A"/>
    <w:rsid w:val="00B97990"/>
    <w:rsid w:val="00BA59AC"/>
    <w:rsid w:val="00BB18F9"/>
    <w:rsid w:val="00BC5C02"/>
    <w:rsid w:val="00BD2FA6"/>
    <w:rsid w:val="00BD3931"/>
    <w:rsid w:val="00BD4142"/>
    <w:rsid w:val="00BD4572"/>
    <w:rsid w:val="00BD59FF"/>
    <w:rsid w:val="00BF1F9A"/>
    <w:rsid w:val="00C042C1"/>
    <w:rsid w:val="00C0533E"/>
    <w:rsid w:val="00C14CEC"/>
    <w:rsid w:val="00C175AF"/>
    <w:rsid w:val="00C240F1"/>
    <w:rsid w:val="00C25BD8"/>
    <w:rsid w:val="00C3011F"/>
    <w:rsid w:val="00C51140"/>
    <w:rsid w:val="00C52B4B"/>
    <w:rsid w:val="00C6301B"/>
    <w:rsid w:val="00C6560C"/>
    <w:rsid w:val="00C731B7"/>
    <w:rsid w:val="00C73261"/>
    <w:rsid w:val="00C8036A"/>
    <w:rsid w:val="00C8248B"/>
    <w:rsid w:val="00C8519C"/>
    <w:rsid w:val="00C85C0A"/>
    <w:rsid w:val="00C863EB"/>
    <w:rsid w:val="00C86B76"/>
    <w:rsid w:val="00C9492F"/>
    <w:rsid w:val="00CA003B"/>
    <w:rsid w:val="00CA43D2"/>
    <w:rsid w:val="00CA7CEC"/>
    <w:rsid w:val="00CB65CE"/>
    <w:rsid w:val="00CC45C5"/>
    <w:rsid w:val="00CD1109"/>
    <w:rsid w:val="00CD3012"/>
    <w:rsid w:val="00CE0C69"/>
    <w:rsid w:val="00CE2A9F"/>
    <w:rsid w:val="00D21C67"/>
    <w:rsid w:val="00D23E3F"/>
    <w:rsid w:val="00D420E3"/>
    <w:rsid w:val="00D42F31"/>
    <w:rsid w:val="00D45E67"/>
    <w:rsid w:val="00D63044"/>
    <w:rsid w:val="00D73FA4"/>
    <w:rsid w:val="00D76893"/>
    <w:rsid w:val="00D8220E"/>
    <w:rsid w:val="00D93924"/>
    <w:rsid w:val="00DA7695"/>
    <w:rsid w:val="00DB26D4"/>
    <w:rsid w:val="00DB64EE"/>
    <w:rsid w:val="00DC2117"/>
    <w:rsid w:val="00DC4597"/>
    <w:rsid w:val="00DD5CBB"/>
    <w:rsid w:val="00DE07FE"/>
    <w:rsid w:val="00DE5479"/>
    <w:rsid w:val="00E05366"/>
    <w:rsid w:val="00E054CB"/>
    <w:rsid w:val="00E11B70"/>
    <w:rsid w:val="00E157DD"/>
    <w:rsid w:val="00E20990"/>
    <w:rsid w:val="00E22B33"/>
    <w:rsid w:val="00E23030"/>
    <w:rsid w:val="00E24A7F"/>
    <w:rsid w:val="00E35D5F"/>
    <w:rsid w:val="00E36FBC"/>
    <w:rsid w:val="00E422E2"/>
    <w:rsid w:val="00E452F6"/>
    <w:rsid w:val="00E45803"/>
    <w:rsid w:val="00E47827"/>
    <w:rsid w:val="00E5544B"/>
    <w:rsid w:val="00E61C12"/>
    <w:rsid w:val="00E6407A"/>
    <w:rsid w:val="00E70BCD"/>
    <w:rsid w:val="00E73DB0"/>
    <w:rsid w:val="00E9231B"/>
    <w:rsid w:val="00E975FA"/>
    <w:rsid w:val="00EA66FE"/>
    <w:rsid w:val="00EB4D46"/>
    <w:rsid w:val="00EB5048"/>
    <w:rsid w:val="00EC2203"/>
    <w:rsid w:val="00ED00AF"/>
    <w:rsid w:val="00EE0847"/>
    <w:rsid w:val="00EF197E"/>
    <w:rsid w:val="00EF26FC"/>
    <w:rsid w:val="00EF794C"/>
    <w:rsid w:val="00F054A8"/>
    <w:rsid w:val="00F07998"/>
    <w:rsid w:val="00F13334"/>
    <w:rsid w:val="00F16BE4"/>
    <w:rsid w:val="00F2447C"/>
    <w:rsid w:val="00F270E0"/>
    <w:rsid w:val="00F44F6B"/>
    <w:rsid w:val="00F468E4"/>
    <w:rsid w:val="00F63483"/>
    <w:rsid w:val="00F714A0"/>
    <w:rsid w:val="00F7529D"/>
    <w:rsid w:val="00F85955"/>
    <w:rsid w:val="00F87F1D"/>
    <w:rsid w:val="00FA12DC"/>
    <w:rsid w:val="00FA4AF1"/>
    <w:rsid w:val="00FA7ABA"/>
    <w:rsid w:val="00FB6791"/>
    <w:rsid w:val="00FC1741"/>
    <w:rsid w:val="00FD0094"/>
    <w:rsid w:val="00FD55CE"/>
    <w:rsid w:val="00FD6624"/>
    <w:rsid w:val="00FD6896"/>
    <w:rsid w:val="00FD78A0"/>
    <w:rsid w:val="00FD7A71"/>
    <w:rsid w:val="00FE0394"/>
    <w:rsid w:val="00FE109E"/>
    <w:rsid w:val="00FE4473"/>
    <w:rsid w:val="00FE7329"/>
    <w:rsid w:val="00FF26DD"/>
    <w:rsid w:val="10370C31"/>
    <w:rsid w:val="15BD35A4"/>
    <w:rsid w:val="1A1D5A2A"/>
    <w:rsid w:val="6D9E2BC5"/>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semiHidden="0"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qFormat="1"/>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qFormat="1"/>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qFormat="1"/>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qFormat="1"/>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qFormat="1"/>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aption">
    <w:name w:val="caption"/>
    <w:basedOn w:val="Normal"/>
    <w:next w:val="Normal"/>
    <w:uiPriority w:val="35"/>
    <w:unhideWhenUsed/>
    <w:qFormat/>
    <w:rPr>
      <w:rFonts w:eastAsia="黑体" w:asciiTheme="majorHAnsi" w:hAnsiTheme="majorHAnsi" w:cstheme="majorBidi"/>
      <w:sz w:val="20"/>
      <w:szCs w:val="20"/>
    </w:rPr>
  </w:style>
  <w:style w:type="paragraph" w:styleId="DocumentMap">
    <w:name w:val="Document Map"/>
    <w:basedOn w:val="Normal"/>
    <w:link w:val="Char2"/>
    <w:uiPriority w:val="99"/>
    <w:semiHidden/>
    <w:unhideWhenUsed/>
    <w:qFormat/>
    <w:rPr>
      <w:rFonts w:ascii="宋体" w:eastAsia="宋体"/>
      <w:sz w:val="18"/>
      <w:szCs w:val="18"/>
    </w:rPr>
  </w:style>
  <w:style w:type="paragraph" w:styleId="TOC3">
    <w:name w:val="toc 3"/>
    <w:basedOn w:val="Normal"/>
    <w:next w:val="Normal"/>
    <w:uiPriority w:val="39"/>
    <w:semiHidden/>
    <w:unhideWhenUsed/>
    <w:qFormat/>
    <w:pPr>
      <w:widowControl/>
      <w:spacing w:after="100" w:line="276" w:lineRule="auto"/>
      <w:ind w:left="440"/>
      <w:jc w:val="left"/>
    </w:pPr>
    <w:rPr>
      <w:kern w:val="0"/>
      <w:sz w:val="22"/>
    </w:r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widowControl/>
      <w:spacing w:after="100" w:line="276" w:lineRule="auto"/>
      <w:jc w:val="left"/>
    </w:pPr>
    <w:rPr>
      <w:kern w:val="0"/>
      <w:sz w:val="22"/>
    </w:rPr>
  </w:style>
  <w:style w:type="paragraph" w:styleId="TOC2">
    <w:name w:val="toc 2"/>
    <w:basedOn w:val="Normal"/>
    <w:next w:val="Normal"/>
    <w:uiPriority w:val="39"/>
    <w:semiHidden/>
    <w:unhideWhenUsed/>
    <w:qFormat/>
    <w:pPr>
      <w:widowControl/>
      <w:spacing w:after="100" w:line="276" w:lineRule="auto"/>
      <w:ind w:left="220"/>
      <w:jc w:val="left"/>
    </w:pPr>
    <w:rPr>
      <w:kern w:val="0"/>
      <w:sz w:val="22"/>
    </w:rPr>
  </w:style>
  <w:style w:type="paragraph" w:styleId="NormalWeb">
    <w:name w:val="Normal (Web)"/>
    <w:basedOn w:val="Normal"/>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qFormat/>
    <w:rPr>
      <w:color w:val="000000" w:themeColor="text1" w:themeShade="BF"/>
    </w:rPr>
    <w:tblPr>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LightShadingAccent1">
    <w:name w:val="Light Shading Accent 1"/>
    <w:basedOn w:val="TableNormal"/>
    <w:uiPriority w:val="60"/>
    <w:qFormat/>
    <w:rPr>
      <w:color w:val="366091" w:themeColor="accent1" w:themeShade="BF"/>
    </w:rPr>
    <w:tblPr>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qFormat/>
    <w:rPr>
      <w:color w:val="943734" w:themeColor="accent2" w:themeShade="BF"/>
    </w:rPr>
    <w:tblPr>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LightShadingAccent3">
    <w:name w:val="Light Shading Accent 3"/>
    <w:basedOn w:val="TableNormal"/>
    <w:uiPriority w:val="60"/>
    <w:qFormat/>
    <w:rPr>
      <w:color w:val="76923C" w:themeColor="accent3" w:themeShade="BF"/>
    </w:rPr>
    <w:tblPr>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qFormat/>
    <w:rPr>
      <w:color w:val="5F497A" w:themeColor="accent4" w:themeShade="BF"/>
    </w:rPr>
    <w:tblPr>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qFormat/>
    <w:rPr>
      <w:color w:val="31849B" w:themeColor="accent5" w:themeShade="BF"/>
    </w:rPr>
    <w:tblPr>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character" w:styleId="Hyperlink">
    <w:name w:val="Hyperlink"/>
    <w:basedOn w:val="DefaultParagraphFont"/>
    <w:uiPriority w:val="99"/>
    <w:unhideWhenUsed/>
    <w:qFormat/>
    <w:rPr>
      <w:color w:val="0000FF" w:themeColor="hyperlink"/>
      <w:u w:val="single"/>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paragraph" w:styleId="ListParagraph">
    <w:name w:val="List Paragraph"/>
    <w:basedOn w:val="Normal"/>
    <w:uiPriority w:val="34"/>
    <w:qFormat/>
    <w:pPr>
      <w:ind w:firstLine="420" w:firstLineChars="200"/>
    </w:pPr>
  </w:style>
  <w:style w:type="character" w:customStyle="1" w:styleId="Char1">
    <w:name w:val="批注框文本 Char"/>
    <w:basedOn w:val="DefaultParagraphFont"/>
    <w:link w:val="BalloonText"/>
    <w:uiPriority w:val="99"/>
    <w:semiHidden/>
    <w:qFormat/>
    <w:rPr>
      <w:sz w:val="18"/>
      <w:szCs w:val="18"/>
    </w:rPr>
  </w:style>
  <w:style w:type="character" w:customStyle="1" w:styleId="Char2">
    <w:name w:val="文档结构图 Char"/>
    <w:basedOn w:val="DefaultParagraphFont"/>
    <w:link w:val="DocumentMap"/>
    <w:uiPriority w:val="99"/>
    <w:semiHidden/>
    <w:qFormat/>
    <w:rPr>
      <w:rFonts w:ascii="宋体" w:eastAsia="宋体"/>
      <w:kern w:val="2"/>
      <w:sz w:val="18"/>
      <w:szCs w:val="18"/>
    </w:rPr>
  </w:style>
  <w:style w:type="character" w:customStyle="1" w:styleId="1Char">
    <w:name w:val="标题 1 Char"/>
    <w:basedOn w:val="DefaultParagraphFont"/>
    <w:link w:val="Heading1"/>
    <w:uiPriority w:val="9"/>
    <w:qFormat/>
    <w:rPr>
      <w:b/>
      <w:bCs/>
      <w:kern w:val="44"/>
      <w:sz w:val="44"/>
      <w:szCs w:val="44"/>
    </w:rPr>
  </w:style>
  <w:style w:type="paragraph" w:customStyle="1" w:styleId="TOC10">
    <w:name w:val="TOC 标题1"/>
    <w:basedOn w:val="Heading1"/>
    <w:next w:val="Normal"/>
    <w:uiPriority w:val="39"/>
    <w:semiHidden/>
    <w:unhideWhenUsed/>
    <w:qFormat/>
    <w:pPr>
      <w:widowControl/>
      <w:spacing w:before="480" w:after="0" w:line="276" w:lineRule="auto"/>
      <w:jc w:val="left"/>
      <w:outlineLvl w:val="9"/>
    </w:pPr>
    <w:rPr>
      <w:rFonts w:asciiTheme="majorHAnsi" w:eastAsiaTheme="majorEastAsia" w:hAnsiTheme="majorHAnsi" w:cstheme="majorBidi"/>
      <w:color w:val="366091" w:themeColor="accent1" w:themeShade="BF"/>
      <w:kern w:val="0"/>
      <w:sz w:val="28"/>
      <w:szCs w:val="28"/>
    </w:rPr>
  </w:style>
  <w:style w:type="paragraph" w:customStyle="1" w:styleId="WPSOffice1">
    <w:name w:val="WPSOffice手动目录 1"/>
    <w:qFormat/>
    <w:rPr>
      <w:rFonts w:asciiTheme="minorHAnsi" w:eastAsiaTheme="minorEastAsia" w:hAnsiTheme="minorHAnsi" w:cstheme="minorBidi"/>
      <w:lang w:val="en-US" w:eastAsia="zh-CN" w:bidi="ar-SA"/>
    </w:rPr>
  </w:style>
  <w:style w:type="paragraph" w:customStyle="1" w:styleId="WPSOffice2">
    <w:name w:val="WPSOffice手动目录 2"/>
    <w:qFormat/>
    <w:pPr>
      <w:ind w:left="200" w:leftChars="200"/>
    </w:pPr>
    <w:rPr>
      <w:rFonts w:asciiTheme="minorHAnsi" w:eastAsiaTheme="minorEastAsia" w:hAnsiTheme="minorHAnsi" w:cstheme="minorBidi"/>
      <w:lang w:val="en-US" w:eastAsia="zh-CN" w:bidi="ar-SA"/>
    </w:rPr>
  </w:style>
  <w:style w:type="paragraph" w:customStyle="1" w:styleId="WPSOffice3">
    <w:name w:val="WPSOffice手动目录 3"/>
    <w:pPr>
      <w:ind w:left="400" w:leftChars="400"/>
    </w:pPr>
    <w:rPr>
      <w:rFonts w:asciiTheme="minorHAnsi" w:eastAsiaTheme="minorEastAsia" w:hAnsiTheme="minorHAnsi" w:cstheme="minorBidi"/>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hyperlink" Target="https://d.book118.com/785123032313011121" TargetMode="Externa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DF349C-412E-4C52-AD83-39E35E55D4F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2676</Words>
  <Characters>15258</Characters>
  <Application>Microsoft Office Word</Application>
  <DocSecurity>0</DocSecurity>
  <Lines>127</Lines>
  <Paragraphs>35</Paragraphs>
  <ScaleCrop>false</ScaleCrop>
  <Company>Microsoft</Company>
  <LinksUpToDate>false</LinksUpToDate>
  <CharactersWithSpaces>17899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张老师</cp:lastModifiedBy>
  <cp:revision>17</cp:revision>
  <dcterms:created xsi:type="dcterms:W3CDTF">2019-06-05T03:31:00Z</dcterms:created>
  <dcterms:modified xsi:type="dcterms:W3CDTF">2023-10-29T06:38:37Z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FF26BDD99A3E4024A2ED9156C43DB6B2_12</vt:lpwstr>
  </property>
  <property fmtid="{D5CDD505-2E9C-101B-9397-08002B2CF9AE}" pid="3" name="KSOProductBuildVer">
    <vt:lpwstr>2052-12.1.0.15712</vt:lpwstr>
  </property>
</Properties>
</file>