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宋体" w:cs="Times New Roman"/>
          <w:b/>
          <w:bCs/>
          <w:color w:val="000000"/>
          <w:sz w:val="30"/>
          <w:szCs w:val="30"/>
          <w:u w:val="thick"/>
        </w:rPr>
      </w:pPr>
      <w:bookmarkStart w:id="0" w:name="_GoBack"/>
      <w:r>
        <w:rPr>
          <w:rFonts w:ascii="宋体" w:hAnsi="宋体" w:cs="宋体" w:hint="eastAsia"/>
          <w:b/>
          <w:bCs/>
          <w:color w:val="000000"/>
          <w:sz w:val="30"/>
          <w:szCs w:val="30"/>
          <w:u w:val="thick"/>
        </w:rPr>
        <w:t>宁夏银星能源股份有限公司内部控制存在的问题及对策探究</w:t>
      </w:r>
      <w:bookmarkEnd w:id="0"/>
      <w:r>
        <w:rPr>
          <w:rFonts w:ascii="宋体" w:hAnsi="宋体" w:cs="宋体"/>
          <w:b/>
          <w:bCs/>
          <w:color w:val="000000"/>
          <w:sz w:val="30"/>
          <w:szCs w:val="30"/>
          <w:u w:val="thick"/>
        </w:rPr>
        <w:t xml:space="preserve">  </w:t>
      </w:r>
    </w:p>
    <w:p>
      <w:pPr>
        <w:spacing w:line="240" w:lineRule="auto"/>
        <w:jc w:val="center"/>
        <w:rPr>
          <w:rFonts w:ascii="黑体" w:eastAsia="黑体" w:hAnsi="黑体" w:cs="Times New Roman"/>
          <w:b/>
          <w:bCs/>
          <w:color w:val="000000"/>
          <w:sz w:val="44"/>
          <w:szCs w:val="44"/>
        </w:rPr>
      </w:pPr>
      <w:r>
        <w:rPr>
          <w:rFonts w:ascii="黑体" w:eastAsia="黑体" w:hAnsi="黑体" w:cs="黑体" w:hint="eastAsia"/>
          <w:b/>
          <w:bCs/>
          <w:color w:val="000000"/>
          <w:sz w:val="44"/>
          <w:szCs w:val="44"/>
        </w:rPr>
        <w:t>摘</w:t>
      </w:r>
      <w:r>
        <w:rPr>
          <w:rFonts w:ascii="黑体" w:eastAsia="黑体" w:hAnsi="黑体" w:cs="黑体"/>
          <w:b/>
          <w:bCs/>
          <w:color w:val="000000"/>
          <w:sz w:val="44"/>
          <w:szCs w:val="44"/>
        </w:rPr>
        <w:t xml:space="preserve"> </w:t>
      </w:r>
      <w:r>
        <w:rPr>
          <w:rFonts w:ascii="黑体" w:eastAsia="黑体" w:hAnsi="黑体" w:cs="黑体" w:hint="eastAsia"/>
          <w:b/>
          <w:bCs/>
          <w:color w:val="000000"/>
          <w:sz w:val="44"/>
          <w:szCs w:val="44"/>
        </w:rPr>
        <w:t>要</w:t>
      </w:r>
    </w:p>
    <w:p>
      <w:pPr>
        <w:ind w:firstLine="480" w:firstLineChars="200"/>
        <w:rPr>
          <w:rFonts w:ascii="华文仿宋" w:eastAsia="华文仿宋" w:hAnsi="华文仿宋" w:cs="Times New Roman"/>
          <w:color w:val="000000"/>
        </w:rPr>
      </w:pPr>
      <w:r>
        <w:rPr>
          <w:rFonts w:ascii="仿宋" w:eastAsia="仿宋" w:hAnsi="仿宋" w:cs="仿宋" w:hint="eastAsia"/>
          <w:color w:val="000000"/>
        </w:rPr>
        <w:t>企业内部控制行为是指为了确保达到企业既定目标，以企业董事会、管理层以及职工共同决策和组织，通过一系列管控行为实施的控制举措。行之有效的内部控制行为可以为企业在日常经营、风险把控、应急管理等方面提供有效帮助。然而，我国企业对于内部控制行为仍然有许多弊端较为凸显，如内部控制系统存在漏洞、风险管理滞后、信息沟通渠道不畅等问题，要解决这些问题，我们要做的工作还有很多。本文通过介绍内部控制的相关理论，进而了解银星能源股份有限公司的各项基本情况以及内部控制的现状，从而找出银星能源股份有限公司的问题及产生问题的原因，最后找到解决这些问题的对策，使得银星能源股份有限公司能够更好地经营和管理。</w:t>
      </w:r>
    </w:p>
    <w:p>
      <w:pPr>
        <w:rPr>
          <w:rFonts w:ascii="仿宋" w:eastAsia="仿宋" w:hAnsi="仿宋" w:cs="Times New Roman"/>
          <w:color w:val="000000"/>
        </w:rPr>
      </w:pPr>
      <w:r>
        <w:rPr>
          <w:rFonts w:ascii="黑体" w:eastAsia="黑体" w:hAnsi="黑体" w:cs="黑体" w:hint="eastAsia"/>
          <w:b/>
          <w:bCs/>
          <w:color w:val="000000"/>
        </w:rPr>
        <w:t>【关键词】：</w:t>
      </w:r>
      <w:r>
        <w:rPr>
          <w:rFonts w:ascii="仿宋" w:eastAsia="仿宋" w:hAnsi="仿宋" w:cs="仿宋" w:hint="eastAsia"/>
          <w:color w:val="000000"/>
        </w:rPr>
        <w:t>宁夏银星能源股份有限公司，内部控制，问题，对策</w:t>
      </w: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sectPr>
          <w:pgSz w:w="11906" w:h="16838"/>
          <w:pgMar w:top="1440" w:right="1800" w:bottom="1440" w:left="1800" w:header="851" w:footer="992" w:gutter="0"/>
          <w:cols w:num="1" w:space="425"/>
          <w:docGrid w:type="lines" w:linePitch="312" w:charSpace="0"/>
        </w:sect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Times New Roman"/>
          <w:b/>
          <w:bCs/>
          <w:color w:val="000000"/>
          <w:sz w:val="44"/>
          <w:szCs w:val="44"/>
        </w:rPr>
      </w:pPr>
    </w:p>
    <w:p>
      <w:pPr>
        <w:spacing w:after="312" w:afterLines="100"/>
        <w:jc w:val="center"/>
        <w:rPr>
          <w:rFonts w:ascii="黑体" w:eastAsia="黑体" w:hAnsi="黑体" w:cs="黑体"/>
          <w:b/>
          <w:bCs/>
          <w:color w:val="000000"/>
          <w:sz w:val="44"/>
          <w:szCs w:val="44"/>
        </w:rPr>
      </w:pPr>
      <w:r>
        <w:rPr>
          <w:rFonts w:ascii="黑体" w:eastAsia="黑体" w:hAnsi="黑体" w:cs="黑体"/>
          <w:b/>
          <w:bCs/>
          <w:color w:val="000000"/>
          <w:sz w:val="44"/>
          <w:szCs w:val="44"/>
        </w:rPr>
        <w:t>Abstract</w:t>
      </w:r>
    </w:p>
    <w:p>
      <w:pPr>
        <w:rPr>
          <w:rFonts w:ascii="Times New Roman" w:eastAsia="黑体" w:hAnsi="Times New Roman" w:cs="Times New Roman"/>
          <w:color w:val="000000"/>
        </w:rPr>
      </w:pPr>
      <w:r>
        <w:rPr>
          <w:rFonts w:ascii="Times New Roman" w:eastAsia="黑体" w:hAnsi="Times New Roman" w:cs="Times New Roman"/>
          <w:color w:val="000000"/>
        </w:rPr>
        <w:t>The internal control behavior of an enterprise refers to the control measures implemented through a series of management and control activities through joint decision-making and organization of the enterprise's board of directors, management and employees in order to ensure that the enterprise's established goals are achieved. Effective internal control behavior can provide effective help for enterprises in daily operations, risk control, emergency management, etc. However, there are still many disadvantages of the internal control behavior of Chinese enterprises, such as loopholes in the internal control system, lagging risk management, and poor communication channels. To solve these problems, we still have a lot of work to do. This article introduces the relevant theories of internal control, and then understands the basic situation of Yinxing Energy Co., Ltd. and the current status of internal control, so as to find out the problems and causes of Yinxing Energy Co., Ltd. The countermeasures enable Yinxing Energy Co., Ltd. to operate and manage better.</w:t>
      </w:r>
    </w:p>
    <w:p>
      <w:pPr>
        <w:rPr>
          <w:rFonts w:ascii="Times New Roman" w:eastAsia="黑体" w:hAnsi="Times New Roman" w:cs="Times New Roman"/>
          <w:color w:val="000000"/>
        </w:rPr>
      </w:pPr>
      <w:r>
        <w:rPr>
          <w:rFonts w:ascii="黑体" w:eastAsia="黑体" w:hAnsi="黑体" w:cs="黑体" w:hint="eastAsia"/>
          <w:b/>
          <w:bCs/>
          <w:color w:val="000000"/>
        </w:rPr>
        <w:t>【</w:t>
      </w:r>
      <w:r>
        <w:rPr>
          <w:rFonts w:ascii="黑体" w:eastAsia="黑体" w:hAnsi="黑体" w:cs="黑体"/>
          <w:b/>
          <w:bCs/>
          <w:color w:val="000000"/>
        </w:rPr>
        <w:t>Key words</w:t>
      </w:r>
      <w:r>
        <w:rPr>
          <w:rFonts w:ascii="黑体" w:eastAsia="黑体" w:hAnsi="黑体" w:cs="黑体" w:hint="eastAsia"/>
          <w:b/>
          <w:bCs/>
          <w:color w:val="000000"/>
        </w:rPr>
        <w:t>】</w:t>
      </w:r>
      <w:r>
        <w:rPr>
          <w:rFonts w:ascii="黑体" w:eastAsia="黑体" w:hAnsi="黑体" w:cs="黑体"/>
          <w:b/>
          <w:bCs/>
          <w:color w:val="000000"/>
        </w:rPr>
        <w:t>:</w:t>
      </w:r>
      <w:r>
        <w:rPr>
          <w:rFonts w:ascii="Times New Roman" w:eastAsia="仿宋" w:hAnsi="Times New Roman" w:cs="Times New Roman"/>
          <w:color w:val="000000"/>
        </w:rPr>
        <w:t>Ningxia Yin xing Energy Co., Ltd.</w:t>
      </w:r>
      <w:r>
        <w:rPr>
          <w:rFonts w:ascii="Times New Roman" w:eastAsia="仿宋" w:hAnsi="Times New Roman" w:cs="仿宋" w:hint="eastAsia"/>
          <w:color w:val="000000"/>
        </w:rPr>
        <w:t>，</w:t>
      </w:r>
      <w:r>
        <w:rPr>
          <w:rFonts w:ascii="Times New Roman" w:eastAsia="仿宋" w:hAnsi="Times New Roman" w:cs="Times New Roman"/>
          <w:color w:val="000000"/>
        </w:rPr>
        <w:t>Internal Control</w:t>
      </w:r>
      <w:r>
        <w:rPr>
          <w:rFonts w:ascii="Times New Roman" w:eastAsia="仿宋" w:hAnsi="Times New Roman" w:cs="仿宋" w:hint="eastAsia"/>
          <w:color w:val="000000"/>
        </w:rPr>
        <w:t>，</w:t>
      </w:r>
      <w:r>
        <w:rPr>
          <w:rFonts w:ascii="Times New Roman" w:eastAsia="仿宋" w:hAnsi="Times New Roman" w:cs="Times New Roman"/>
          <w:color w:val="000000"/>
        </w:rPr>
        <w:t>Questions</w:t>
      </w:r>
      <w:r>
        <w:rPr>
          <w:rFonts w:ascii="Times New Roman" w:eastAsia="仿宋" w:hAnsi="Times New Roman" w:cs="仿宋" w:hint="eastAsia"/>
          <w:color w:val="000000"/>
        </w:rPr>
        <w:t>，</w:t>
      </w:r>
    </w:p>
    <w:p>
      <w:pPr>
        <w:rPr>
          <w:rFonts w:ascii="Times New Roman" w:eastAsia="仿宋" w:hAnsi="Times New Roman" w:cs="Times New Roman"/>
          <w:color w:val="000000"/>
        </w:rPr>
      </w:pPr>
      <w:r>
        <w:rPr>
          <w:rFonts w:ascii="Times New Roman" w:eastAsia="仿宋" w:hAnsi="Times New Roman" w:cs="Times New Roman"/>
          <w:color w:val="000000"/>
        </w:rPr>
        <w:t>Countermeasures</w:t>
      </w:r>
      <w:r>
        <w:rPr>
          <w:rFonts w:ascii="Times New Roman" w:eastAsia="仿宋" w:hAnsi="Times New Roman" w:cs="Times New Roman"/>
          <w:color w:val="000000"/>
        </w:rPr>
        <w:br/>
      </w:r>
      <w:r>
        <w:rPr>
          <w:rFonts w:ascii="Times New Roman" w:eastAsia="仿宋" w:hAnsi="Times New Roman" w:cs="Times New Roman"/>
          <w:color w:val="000000"/>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https://d.book118.com/785214203142011123</w:t>
        </w:r>
      </w:hyperlink>
    </w:p>
    <w:p>
      <w:pPr>
        <w:rPr>
          <w:rFonts w:ascii="Times New Roman" w:eastAsia="仿宋" w:hAnsi="Times New Roman" w:cs="Times New Roman"/>
          <w:color w:val="000000"/>
        </w:rPr>
      </w:pPr>
    </w:p>
    <w:sectPr>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隶书">
    <w:altName w:val="微软雅黑"/>
    <w:panose1 w:val="02010800040101010101"/>
    <w:charset w:val="86"/>
    <w:family w:val="auto"/>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159"/>
    <w:rsid w:val="B7BF7C93"/>
    <w:rsid w:val="0006723D"/>
    <w:rsid w:val="000736F0"/>
    <w:rsid w:val="00073AE8"/>
    <w:rsid w:val="000A0D45"/>
    <w:rsid w:val="00184BB9"/>
    <w:rsid w:val="001B3B87"/>
    <w:rsid w:val="001E3AED"/>
    <w:rsid w:val="00273C15"/>
    <w:rsid w:val="002B3F26"/>
    <w:rsid w:val="003146CC"/>
    <w:rsid w:val="003A64AF"/>
    <w:rsid w:val="003E1276"/>
    <w:rsid w:val="00430915"/>
    <w:rsid w:val="005171B0"/>
    <w:rsid w:val="00562890"/>
    <w:rsid w:val="0059358B"/>
    <w:rsid w:val="005955F1"/>
    <w:rsid w:val="005A6B40"/>
    <w:rsid w:val="005B6B9C"/>
    <w:rsid w:val="005D44E3"/>
    <w:rsid w:val="005D6C63"/>
    <w:rsid w:val="006532C4"/>
    <w:rsid w:val="007236FC"/>
    <w:rsid w:val="007421AA"/>
    <w:rsid w:val="007810DA"/>
    <w:rsid w:val="00785DFB"/>
    <w:rsid w:val="007F5062"/>
    <w:rsid w:val="00806E0E"/>
    <w:rsid w:val="008B6159"/>
    <w:rsid w:val="0091208F"/>
    <w:rsid w:val="00973945"/>
    <w:rsid w:val="009A3D99"/>
    <w:rsid w:val="009B499B"/>
    <w:rsid w:val="009E72FE"/>
    <w:rsid w:val="00A32F7D"/>
    <w:rsid w:val="00A44032"/>
    <w:rsid w:val="00A760F3"/>
    <w:rsid w:val="00AF141D"/>
    <w:rsid w:val="00AF57A8"/>
    <w:rsid w:val="00B22779"/>
    <w:rsid w:val="00B9293F"/>
    <w:rsid w:val="00C23F0D"/>
    <w:rsid w:val="00C6656D"/>
    <w:rsid w:val="00C72428"/>
    <w:rsid w:val="00CA1F25"/>
    <w:rsid w:val="00CC04F3"/>
    <w:rsid w:val="00CF0393"/>
    <w:rsid w:val="00DE1187"/>
    <w:rsid w:val="00E35B8E"/>
    <w:rsid w:val="00EC50FA"/>
    <w:rsid w:val="00EF4EE3"/>
    <w:rsid w:val="00F33FB8"/>
    <w:rsid w:val="00F60B41"/>
    <w:rsid w:val="00F90742"/>
    <w:rsid w:val="00FD3AD8"/>
    <w:rsid w:val="00FE013A"/>
    <w:rsid w:val="00FE7C6E"/>
    <w:rsid w:val="029E3A34"/>
    <w:rsid w:val="0330647A"/>
    <w:rsid w:val="1C8C060B"/>
    <w:rsid w:val="1EC26688"/>
    <w:rsid w:val="2EBF4616"/>
    <w:rsid w:val="31E104AB"/>
    <w:rsid w:val="339E25FC"/>
    <w:rsid w:val="33DE306A"/>
    <w:rsid w:val="352E3E8C"/>
    <w:rsid w:val="4F7B1E2D"/>
    <w:rsid w:val="53E7571F"/>
    <w:rsid w:val="54882B39"/>
    <w:rsid w:val="62344DD4"/>
    <w:rsid w:val="66515D0B"/>
    <w:rsid w:val="74154913"/>
    <w:rsid w:val="76634415"/>
    <w:rsid w:val="7981268E"/>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qFormat="1"/>
    <w:lsdException w:name="footer" w:semiHidden="0" w:unhideWhenUsed="0" w:qFormat="1"/>
    <w:lsdException w:name="index heading"/>
    <w:lsdException w:name="caption" w:semiHidden="0" w:unhideWhenUsed="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unhideWhenUsed="0" w:qFormat="1"/>
    <w:lsdException w:name="endnote text"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iPriority="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semiHidden="0"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lsdException w:name="FollowedHyperlink"/>
    <w:lsdException w:name="Strong" w:locked="1" w:semiHidden="0" w:uiPriority="0" w:unhideWhenUsed="0" w:qFormat="1"/>
    <w:lsdException w:name="Emphasis" w:locked="1"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semiHidden="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Calibri" w:eastAsia="宋体" w:hAnsi="Calibri" w:cs="Calibri"/>
      <w:kern w:val="2"/>
      <w:sz w:val="24"/>
      <w:szCs w:val="24"/>
      <w:lang w:val="en-US" w:eastAsia="zh-CN" w:bidi="ar-SA"/>
    </w:rPr>
  </w:style>
  <w:style w:type="paragraph" w:styleId="Heading1">
    <w:name w:val="heading 1"/>
    <w:basedOn w:val="Normal"/>
    <w:next w:val="Normal"/>
    <w:link w:val="1"/>
    <w:autoRedefine/>
    <w:uiPriority w:val="99"/>
    <w:qFormat/>
    <w:pPr>
      <w:keepNext/>
      <w:keepLines/>
      <w:spacing w:before="340" w:after="330" w:line="578" w:lineRule="auto"/>
      <w:outlineLvl w:val="0"/>
    </w:pPr>
    <w:rPr>
      <w:rFonts w:eastAsia="黑体"/>
      <w:b/>
      <w:bCs/>
      <w:kern w:val="44"/>
      <w:sz w:val="32"/>
      <w:szCs w:val="32"/>
    </w:rPr>
  </w:style>
  <w:style w:type="paragraph" w:styleId="Heading2">
    <w:name w:val="heading 2"/>
    <w:basedOn w:val="Normal"/>
    <w:next w:val="Normal"/>
    <w:link w:val="2"/>
    <w:uiPriority w:val="99"/>
    <w:qFormat/>
    <w:pPr>
      <w:keepNext/>
      <w:keepLines/>
      <w:spacing w:before="260" w:after="260" w:line="416" w:lineRule="auto"/>
      <w:outlineLvl w:val="1"/>
    </w:pPr>
    <w:rPr>
      <w:rFonts w:ascii="Cambria" w:eastAsia="黑体" w:hAnsi="Cambria" w:cs="Cambria"/>
      <w:b/>
      <w:bCs/>
      <w:sz w:val="30"/>
      <w:szCs w:val="30"/>
    </w:rPr>
  </w:style>
  <w:style w:type="paragraph" w:styleId="Heading3">
    <w:name w:val="heading 3"/>
    <w:basedOn w:val="Normal"/>
    <w:next w:val="Normal"/>
    <w:link w:val="3"/>
    <w:uiPriority w:val="99"/>
    <w:qFormat/>
    <w:pPr>
      <w:keepNext/>
      <w:keepLines/>
      <w:spacing w:before="260" w:after="260" w:line="416" w:lineRule="auto"/>
      <w:outlineLvl w:val="2"/>
    </w:pPr>
    <w:rPr>
      <w:rFonts w:eastAsia="黑体"/>
      <w:b/>
      <w:bCs/>
      <w:sz w:val="28"/>
      <w:szCs w:val="28"/>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99"/>
    <w:qFormat/>
    <w:rPr>
      <w:rFonts w:ascii="Arial" w:eastAsia="黑体" w:hAnsi="Arial" w:cs="Arial"/>
      <w:sz w:val="20"/>
      <w:szCs w:val="20"/>
    </w:rPr>
  </w:style>
  <w:style w:type="paragraph" w:styleId="TOC3">
    <w:name w:val="toc 3"/>
    <w:basedOn w:val="Normal"/>
    <w:next w:val="Normal"/>
    <w:autoRedefine/>
    <w:uiPriority w:val="39"/>
    <w:qFormat/>
    <w:pPr>
      <w:ind w:left="840" w:leftChars="400"/>
    </w:pPr>
  </w:style>
  <w:style w:type="paragraph" w:styleId="Date">
    <w:name w:val="Date"/>
    <w:basedOn w:val="Normal"/>
    <w:next w:val="Normal"/>
    <w:link w:val="a"/>
    <w:autoRedefine/>
    <w:uiPriority w:val="99"/>
    <w:qFormat/>
    <w:pPr>
      <w:ind w:left="100" w:leftChars="2500"/>
    </w:pPr>
  </w:style>
  <w:style w:type="paragraph" w:styleId="EndnoteText">
    <w:name w:val="endnote text"/>
    <w:basedOn w:val="Normal"/>
    <w:link w:val="a0"/>
    <w:autoRedefine/>
    <w:uiPriority w:val="99"/>
    <w:semiHidden/>
    <w:qFormat/>
    <w:pPr>
      <w:snapToGrid w:val="0"/>
      <w:jc w:val="left"/>
    </w:pPr>
  </w:style>
  <w:style w:type="paragraph" w:styleId="BalloonText">
    <w:name w:val="Balloon Text"/>
    <w:basedOn w:val="Normal"/>
    <w:link w:val="a1"/>
    <w:autoRedefine/>
    <w:uiPriority w:val="99"/>
    <w:semiHidden/>
    <w:qFormat/>
    <w:rPr>
      <w:sz w:val="18"/>
      <w:szCs w:val="18"/>
    </w:rPr>
  </w:style>
  <w:style w:type="paragraph" w:styleId="Footer">
    <w:name w:val="footer"/>
    <w:basedOn w:val="Normal"/>
    <w:link w:val="a2"/>
    <w:uiPriority w:val="99"/>
    <w:qFormat/>
    <w:pPr>
      <w:tabs>
        <w:tab w:val="center" w:pos="4153"/>
        <w:tab w:val="right" w:pos="8306"/>
      </w:tabs>
      <w:snapToGrid w:val="0"/>
      <w:jc w:val="left"/>
    </w:pPr>
    <w:rPr>
      <w:sz w:val="18"/>
      <w:szCs w:val="18"/>
    </w:rPr>
  </w:style>
  <w:style w:type="paragraph" w:styleId="Header">
    <w:name w:val="header"/>
    <w:basedOn w:val="Normal"/>
    <w:link w:val="a3"/>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tabs>
        <w:tab w:val="right" w:leader="dot" w:pos="8296"/>
      </w:tabs>
      <w:spacing w:line="240" w:lineRule="auto"/>
    </w:pPr>
    <w:rPr>
      <w:rFonts w:ascii="宋体" w:hAnsi="宋体" w:cs="黑体"/>
      <w:b/>
      <w:sz w:val="28"/>
      <w:szCs w:val="28"/>
    </w:rPr>
  </w:style>
  <w:style w:type="paragraph" w:styleId="TOC2">
    <w:name w:val="toc 2"/>
    <w:basedOn w:val="Normal"/>
    <w:next w:val="Normal"/>
    <w:autoRedefine/>
    <w:uiPriority w:val="39"/>
    <w:qFormat/>
    <w:pPr>
      <w:ind w:left="420" w:leftChars="200"/>
    </w:pPr>
  </w:style>
  <w:style w:type="paragraph" w:styleId="HTMLPreformatted">
    <w:name w:val="HTML Preformatted"/>
    <w:basedOn w:val="Normal"/>
    <w:link w:val="HTML"/>
    <w:autoRedefine/>
    <w:uiPriority w:val="99"/>
    <w:qFormat/>
    <w:rPr>
      <w:rFonts w:ascii="Courier New" w:hAnsi="Courier New" w:cs="Courier New"/>
      <w:sz w:val="20"/>
      <w:szCs w:val="20"/>
    </w:rPr>
  </w:style>
  <w:style w:type="paragraph" w:styleId="Title">
    <w:name w:val="Title"/>
    <w:basedOn w:val="Normal"/>
    <w:next w:val="Normal"/>
    <w:link w:val="a4"/>
    <w:autoRedefine/>
    <w:qFormat/>
    <w:locked/>
    <w:pPr>
      <w:spacing w:before="240" w:after="60"/>
      <w:jc w:val="center"/>
      <w:outlineLvl w:val="0"/>
    </w:pPr>
    <w:rPr>
      <w:rFonts w:ascii="Cambria" w:hAnsi="Cambria" w:cs="Times New Roman"/>
      <w:b/>
      <w:bCs/>
      <w:sz w:val="32"/>
      <w:szCs w:val="32"/>
    </w:rPr>
  </w:style>
  <w:style w:type="character" w:styleId="EndnoteReference">
    <w:name w:val="endnote reference"/>
    <w:autoRedefine/>
    <w:uiPriority w:val="99"/>
    <w:semiHidden/>
    <w:qFormat/>
    <w:rPr>
      <w:vertAlign w:val="superscript"/>
    </w:rPr>
  </w:style>
  <w:style w:type="character" w:styleId="Hyperlink">
    <w:name w:val="Hyperlink"/>
    <w:uiPriority w:val="99"/>
    <w:rPr>
      <w:color w:val="0000FF"/>
      <w:u w:val="single"/>
    </w:rPr>
  </w:style>
  <w:style w:type="character" w:customStyle="1" w:styleId="1">
    <w:name w:val="标题 1 字符"/>
    <w:link w:val="Heading1"/>
    <w:autoRedefine/>
    <w:uiPriority w:val="99"/>
    <w:qFormat/>
    <w:locked/>
    <w:rPr>
      <w:rFonts w:eastAsia="黑体"/>
      <w:b/>
      <w:bCs/>
      <w:kern w:val="44"/>
      <w:sz w:val="44"/>
      <w:szCs w:val="44"/>
    </w:rPr>
  </w:style>
  <w:style w:type="character" w:customStyle="1" w:styleId="2">
    <w:name w:val="标题 2 字符"/>
    <w:link w:val="Heading2"/>
    <w:autoRedefine/>
    <w:uiPriority w:val="99"/>
    <w:qFormat/>
    <w:locked/>
    <w:rPr>
      <w:rFonts w:ascii="Cambria" w:eastAsia="黑体" w:hAnsi="Cambria" w:cs="Cambria"/>
      <w:b/>
      <w:bCs/>
      <w:sz w:val="32"/>
      <w:szCs w:val="32"/>
    </w:rPr>
  </w:style>
  <w:style w:type="character" w:customStyle="1" w:styleId="3">
    <w:name w:val="标题 3 字符"/>
    <w:link w:val="Heading3"/>
    <w:autoRedefine/>
    <w:uiPriority w:val="99"/>
    <w:qFormat/>
    <w:locked/>
    <w:rPr>
      <w:rFonts w:eastAsia="黑体"/>
      <w:b/>
      <w:bCs/>
      <w:sz w:val="32"/>
      <w:szCs w:val="32"/>
    </w:rPr>
  </w:style>
  <w:style w:type="character" w:customStyle="1" w:styleId="a">
    <w:name w:val="日期 字符"/>
    <w:basedOn w:val="DefaultParagraphFont"/>
    <w:link w:val="Date"/>
    <w:autoRedefine/>
    <w:uiPriority w:val="99"/>
    <w:qFormat/>
    <w:locked/>
  </w:style>
  <w:style w:type="character" w:customStyle="1" w:styleId="a0">
    <w:name w:val="尾注文本 字符"/>
    <w:basedOn w:val="DefaultParagraphFont"/>
    <w:link w:val="EndnoteText"/>
    <w:autoRedefine/>
    <w:uiPriority w:val="99"/>
    <w:qFormat/>
    <w:locked/>
  </w:style>
  <w:style w:type="character" w:customStyle="1" w:styleId="a1">
    <w:name w:val="批注框文本 字符"/>
    <w:link w:val="BalloonText"/>
    <w:autoRedefine/>
    <w:uiPriority w:val="99"/>
    <w:qFormat/>
    <w:locked/>
    <w:rPr>
      <w:sz w:val="18"/>
      <w:szCs w:val="18"/>
    </w:rPr>
  </w:style>
  <w:style w:type="character" w:customStyle="1" w:styleId="a2">
    <w:name w:val="页脚 字符"/>
    <w:link w:val="Footer"/>
    <w:autoRedefine/>
    <w:uiPriority w:val="99"/>
    <w:qFormat/>
    <w:locked/>
    <w:rPr>
      <w:sz w:val="18"/>
      <w:szCs w:val="18"/>
    </w:rPr>
  </w:style>
  <w:style w:type="character" w:customStyle="1" w:styleId="a3">
    <w:name w:val="页眉 字符"/>
    <w:link w:val="Header"/>
    <w:autoRedefine/>
    <w:uiPriority w:val="99"/>
    <w:qFormat/>
    <w:locked/>
    <w:rPr>
      <w:sz w:val="18"/>
      <w:szCs w:val="18"/>
    </w:rPr>
  </w:style>
  <w:style w:type="character" w:customStyle="1" w:styleId="HTML">
    <w:name w:val="HTML 预设格式 字符"/>
    <w:link w:val="HTMLPreformatted"/>
    <w:autoRedefine/>
    <w:uiPriority w:val="99"/>
    <w:qFormat/>
    <w:locked/>
    <w:rPr>
      <w:rFonts w:ascii="Courier New" w:hAnsi="Courier New" w:cs="Courier New"/>
      <w:sz w:val="20"/>
      <w:szCs w:val="20"/>
    </w:rPr>
  </w:style>
  <w:style w:type="paragraph" w:customStyle="1" w:styleId="10">
    <w:name w:val="列表段落1"/>
    <w:basedOn w:val="Normal"/>
    <w:autoRedefine/>
    <w:uiPriority w:val="99"/>
    <w:qFormat/>
    <w:pPr>
      <w:ind w:firstLine="420" w:firstLineChars="200"/>
    </w:pPr>
  </w:style>
  <w:style w:type="paragraph" w:customStyle="1" w:styleId="TOC10">
    <w:name w:val="TOC 标题1"/>
    <w:basedOn w:val="Heading1"/>
    <w:next w:val="Normal"/>
    <w:autoRedefine/>
    <w:uiPriority w:val="99"/>
    <w:qFormat/>
    <w:pPr>
      <w:widowControl/>
      <w:spacing w:before="480" w:after="0" w:line="276" w:lineRule="auto"/>
      <w:jc w:val="left"/>
      <w:outlineLvl w:val="9"/>
    </w:pPr>
    <w:rPr>
      <w:rFonts w:ascii="Cambria" w:eastAsia="宋体" w:hAnsi="Cambria" w:cs="Cambria"/>
      <w:color w:val="365F91"/>
      <w:kern w:val="0"/>
      <w:sz w:val="28"/>
      <w:szCs w:val="28"/>
    </w:rPr>
  </w:style>
  <w:style w:type="character" w:customStyle="1" w:styleId="a4">
    <w:name w:val="标题 字符"/>
    <w:link w:val="Title"/>
    <w:autoRedefine/>
    <w:qFormat/>
    <w:rPr>
      <w:rFonts w:ascii="Cambria" w:hAnsi="Cambria"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521420314201112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2</Pages>
  <Words>3110</Words>
  <Characters>17731</Characters>
  <Application>Microsoft Office Word</Application>
  <DocSecurity>0</DocSecurity>
  <Lines>147</Lines>
  <Paragraphs>41</Paragraphs>
  <ScaleCrop>false</ScaleCrop>
  <Company>China</Company>
  <LinksUpToDate>false</LinksUpToDate>
  <CharactersWithSpaces>20800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张老师</cp:lastModifiedBy>
  <cp:revision>18</cp:revision>
  <cp:lastPrinted>2021-05-23T11:38:00Z</cp:lastPrinted>
  <dcterms:created xsi:type="dcterms:W3CDTF">2020-03-25T14:37:00Z</dcterms:created>
  <dcterms:modified xsi:type="dcterms:W3CDTF">2024-03-13T02:18:06Z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52C0B12BFBEE43648C5512EBB1F4CBD1_12</vt:lpwstr>
  </property>
  <property fmtid="{D5CDD505-2E9C-101B-9397-08002B2CF9AE}" pid="3" name="KSOProductBuildVer">
    <vt:lpwstr>2052-12.1.0.16250</vt:lpwstr>
  </property>
</Properties>
</file>