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2024年压送机行业趋势报告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0646"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_Toc20646 \h </w:instrText>
        </w:r>
        <w:r>
          <w:fldChar w:fldCharType="separate"/>
        </w:r>
        <w:r>
          <w:t>4</w:t>
        </w:r>
        <w:r>
          <w:fldChar w:fldCharType="end"/>
        </w:r>
      </w:hyperlink>
    </w:p>
    <w:p>
      <w:pPr>
        <w:pStyle w:val="TOC1"/>
        <w:tabs>
          <w:tab w:val="right" w:leader="dot" w:pos="8306"/>
        </w:tabs>
      </w:pPr>
      <w:hyperlink w:anchor="_Toc19051" w:history="1">
        <w:r>
          <w:rPr>
            <w:rFonts w:ascii="微软雅黑" w:eastAsia="微软雅黑" w:hAnsi="微软雅黑" w:cs="微软雅黑" w:hint="eastAsia"/>
            <w:color w:val="001CAC" w:themeColor="hyperlink" w:themeShade="BF"/>
            <w:szCs w:val="32"/>
            <w:lang w:eastAsia="zh-CN"/>
          </w:rPr>
          <w:t>一、压送机行业制度建设与执行</w:t>
        </w:r>
        <w:r>
          <w:tab/>
        </w:r>
        <w:r>
          <w:fldChar w:fldCharType="begin"/>
        </w:r>
        <w:r>
          <w:instrText xml:space="preserve"> PAGEREF _Toc19051 \h </w:instrText>
        </w:r>
        <w:r>
          <w:fldChar w:fldCharType="separate"/>
        </w:r>
        <w:r>
          <w:t>4</w:t>
        </w:r>
        <w:r>
          <w:fldChar w:fldCharType="end"/>
        </w:r>
      </w:hyperlink>
    </w:p>
    <w:p>
      <w:pPr>
        <w:pStyle w:val="TOC2"/>
        <w:tabs>
          <w:tab w:val="right" w:leader="dot" w:pos="8306"/>
        </w:tabs>
      </w:pPr>
      <w:hyperlink w:anchor="_Toc16638" w:history="1">
        <w:r>
          <w:rPr>
            <w:rFonts w:ascii="宋体" w:eastAsia="宋体" w:hAnsi="宋体" w:cs="宋体" w:hint="eastAsia"/>
            <w:bCs w:val="0"/>
            <w:szCs w:val="28"/>
            <w:lang w:eastAsia="zh-CN"/>
          </w:rPr>
          <w:t>(一)、公司制度体系规划</w:t>
        </w:r>
        <w:r>
          <w:tab/>
        </w:r>
        <w:r>
          <w:fldChar w:fldCharType="begin"/>
        </w:r>
        <w:r>
          <w:instrText xml:space="preserve"> PAGEREF _Toc16638 \h </w:instrText>
        </w:r>
        <w:r>
          <w:fldChar w:fldCharType="separate"/>
        </w:r>
        <w:r>
          <w:t>4</w:t>
        </w:r>
        <w:r>
          <w:fldChar w:fldCharType="end"/>
        </w:r>
      </w:hyperlink>
    </w:p>
    <w:p>
      <w:pPr>
        <w:pStyle w:val="TOC2"/>
        <w:tabs>
          <w:tab w:val="right" w:leader="dot" w:pos="8306"/>
        </w:tabs>
      </w:pPr>
      <w:hyperlink w:anchor="_Toc662" w:history="1">
        <w:r>
          <w:rPr>
            <w:rFonts w:ascii="宋体" w:eastAsia="宋体" w:hAnsi="宋体" w:cs="宋体" w:hint="eastAsia"/>
            <w:bCs w:val="0"/>
            <w:szCs w:val="28"/>
            <w:lang w:eastAsia="zh-CN"/>
          </w:rPr>
          <w:t>(二)、员工手册编制与更新</w:t>
        </w:r>
        <w:r>
          <w:tab/>
        </w:r>
        <w:r>
          <w:fldChar w:fldCharType="begin"/>
        </w:r>
        <w:r>
          <w:instrText xml:space="preserve"> PAGEREF _Toc662 \h </w:instrText>
        </w:r>
        <w:r>
          <w:fldChar w:fldCharType="separate"/>
        </w:r>
        <w:r>
          <w:t>6</w:t>
        </w:r>
        <w:r>
          <w:fldChar w:fldCharType="end"/>
        </w:r>
      </w:hyperlink>
    </w:p>
    <w:p>
      <w:pPr>
        <w:pStyle w:val="TOC2"/>
        <w:tabs>
          <w:tab w:val="right" w:leader="dot" w:pos="8306"/>
        </w:tabs>
      </w:pPr>
      <w:hyperlink w:anchor="_Toc6921" w:history="1">
        <w:r>
          <w:rPr>
            <w:rFonts w:ascii="宋体" w:eastAsia="宋体" w:hAnsi="宋体" w:cs="宋体" w:hint="eastAsia"/>
            <w:bCs w:val="0"/>
            <w:szCs w:val="28"/>
            <w:lang w:eastAsia="zh-CN"/>
          </w:rPr>
          <w:t>(三)、制度宣导与培训</w:t>
        </w:r>
        <w:r>
          <w:tab/>
        </w:r>
        <w:r>
          <w:fldChar w:fldCharType="begin"/>
        </w:r>
        <w:r>
          <w:instrText xml:space="preserve"> PAGEREF _Toc6921 \h </w:instrText>
        </w:r>
        <w:r>
          <w:fldChar w:fldCharType="separate"/>
        </w:r>
        <w:r>
          <w:t>7</w:t>
        </w:r>
        <w:r>
          <w:fldChar w:fldCharType="end"/>
        </w:r>
      </w:hyperlink>
    </w:p>
    <w:p>
      <w:pPr>
        <w:pStyle w:val="TOC2"/>
        <w:tabs>
          <w:tab w:val="right" w:leader="dot" w:pos="8306"/>
        </w:tabs>
      </w:pPr>
      <w:hyperlink w:anchor="_Toc4717" w:history="1">
        <w:r>
          <w:rPr>
            <w:rFonts w:ascii="宋体" w:eastAsia="宋体" w:hAnsi="宋体" w:cs="宋体" w:hint="eastAsia"/>
            <w:bCs w:val="0"/>
            <w:szCs w:val="28"/>
            <w:lang w:eastAsia="zh-CN"/>
          </w:rPr>
          <w:t>(四)、主要防范措施</w:t>
        </w:r>
        <w:r>
          <w:tab/>
        </w:r>
        <w:r>
          <w:fldChar w:fldCharType="begin"/>
        </w:r>
        <w:r>
          <w:instrText xml:space="preserve"> PAGEREF _Toc4717 \h </w:instrText>
        </w:r>
        <w:r>
          <w:fldChar w:fldCharType="separate"/>
        </w:r>
        <w:r>
          <w:t>8</w:t>
        </w:r>
        <w:r>
          <w:fldChar w:fldCharType="end"/>
        </w:r>
      </w:hyperlink>
    </w:p>
    <w:p>
      <w:pPr>
        <w:pStyle w:val="TOC2"/>
        <w:tabs>
          <w:tab w:val="right" w:leader="dot" w:pos="8306"/>
        </w:tabs>
      </w:pPr>
      <w:hyperlink w:anchor="_Toc8376" w:history="1">
        <w:r>
          <w:rPr>
            <w:rFonts w:ascii="宋体" w:eastAsia="宋体" w:hAnsi="宋体" w:cs="宋体" w:hint="eastAsia"/>
            <w:bCs w:val="0"/>
            <w:szCs w:val="28"/>
            <w:lang w:eastAsia="zh-CN"/>
          </w:rPr>
          <w:t>(五)、制度优化与更新</w:t>
        </w:r>
        <w:r>
          <w:tab/>
        </w:r>
        <w:r>
          <w:fldChar w:fldCharType="begin"/>
        </w:r>
        <w:r>
          <w:instrText xml:space="preserve"> PAGEREF _Toc8376 \h </w:instrText>
        </w:r>
        <w:r>
          <w:fldChar w:fldCharType="separate"/>
        </w:r>
        <w:r>
          <w:t>9</w:t>
        </w:r>
        <w:r>
          <w:fldChar w:fldCharType="end"/>
        </w:r>
      </w:hyperlink>
    </w:p>
    <w:p>
      <w:pPr>
        <w:pStyle w:val="TOC1"/>
        <w:tabs>
          <w:tab w:val="right" w:leader="dot" w:pos="8306"/>
        </w:tabs>
      </w:pPr>
      <w:hyperlink w:anchor="_Toc13413" w:history="1">
        <w:r>
          <w:rPr>
            <w:rFonts w:ascii="微软雅黑" w:eastAsia="微软雅黑" w:hAnsi="微软雅黑" w:cs="微软雅黑" w:hint="eastAsia"/>
            <w:color w:val="001CAC" w:themeColor="hyperlink" w:themeShade="BF"/>
            <w:szCs w:val="32"/>
            <w:lang w:eastAsia="zh-CN"/>
          </w:rPr>
          <w:t>二、制度运行与优化</w:t>
        </w:r>
        <w:r>
          <w:tab/>
        </w:r>
        <w:r>
          <w:fldChar w:fldCharType="begin"/>
        </w:r>
        <w:r>
          <w:instrText xml:space="preserve"> PAGEREF _Toc13413 \h </w:instrText>
        </w:r>
        <w:r>
          <w:fldChar w:fldCharType="separate"/>
        </w:r>
        <w:r>
          <w:t>10</w:t>
        </w:r>
        <w:r>
          <w:fldChar w:fldCharType="end"/>
        </w:r>
      </w:hyperlink>
    </w:p>
    <w:p>
      <w:pPr>
        <w:pStyle w:val="TOC2"/>
        <w:tabs>
          <w:tab w:val="right" w:leader="dot" w:pos="8306"/>
        </w:tabs>
      </w:pPr>
      <w:hyperlink w:anchor="_Toc10726" w:history="1">
        <w:r>
          <w:rPr>
            <w:rFonts w:ascii="宋体" w:eastAsia="宋体" w:hAnsi="宋体" w:cs="宋体" w:hint="eastAsia"/>
            <w:bCs w:val="0"/>
            <w:szCs w:val="28"/>
            <w:lang w:eastAsia="zh-CN"/>
          </w:rPr>
          <w:t>(一)、制度执行与监督</w:t>
        </w:r>
        <w:r>
          <w:tab/>
        </w:r>
        <w:r>
          <w:fldChar w:fldCharType="begin"/>
        </w:r>
        <w:r>
          <w:instrText xml:space="preserve"> PAGEREF _Toc10726 \h </w:instrText>
        </w:r>
        <w:r>
          <w:fldChar w:fldCharType="separate"/>
        </w:r>
        <w:r>
          <w:t>10</w:t>
        </w:r>
        <w:r>
          <w:fldChar w:fldCharType="end"/>
        </w:r>
      </w:hyperlink>
    </w:p>
    <w:p>
      <w:pPr>
        <w:pStyle w:val="TOC2"/>
        <w:tabs>
          <w:tab w:val="right" w:leader="dot" w:pos="8306"/>
        </w:tabs>
      </w:pPr>
      <w:hyperlink w:anchor="_Toc13114" w:history="1">
        <w:r>
          <w:rPr>
            <w:rFonts w:ascii="宋体" w:eastAsia="宋体" w:hAnsi="宋体" w:cs="宋体" w:hint="eastAsia"/>
            <w:bCs w:val="0"/>
            <w:szCs w:val="28"/>
            <w:lang w:eastAsia="zh-CN"/>
          </w:rPr>
          <w:t>(二)、制度优化与更新</w:t>
        </w:r>
        <w:r>
          <w:tab/>
        </w:r>
        <w:r>
          <w:fldChar w:fldCharType="begin"/>
        </w:r>
        <w:r>
          <w:instrText xml:space="preserve"> PAGEREF _Toc13114 \h </w:instrText>
        </w:r>
        <w:r>
          <w:fldChar w:fldCharType="separate"/>
        </w:r>
        <w:r>
          <w:t>10</w:t>
        </w:r>
        <w:r>
          <w:fldChar w:fldCharType="end"/>
        </w:r>
      </w:hyperlink>
    </w:p>
    <w:p>
      <w:pPr>
        <w:pStyle w:val="TOC1"/>
        <w:tabs>
          <w:tab w:val="right" w:leader="dot" w:pos="8306"/>
        </w:tabs>
      </w:pPr>
      <w:hyperlink w:anchor="_Toc10088" w:history="1">
        <w:r>
          <w:rPr>
            <w:rFonts w:ascii="微软雅黑" w:eastAsia="微软雅黑" w:hAnsi="微软雅黑" w:cs="微软雅黑" w:hint="eastAsia"/>
            <w:color w:val="001CAC" w:themeColor="hyperlink" w:themeShade="BF"/>
            <w:szCs w:val="32"/>
            <w:lang w:eastAsia="zh-CN"/>
          </w:rPr>
          <w:t>三、压送机行业人力资源管理策略</w:t>
        </w:r>
        <w:r>
          <w:tab/>
        </w:r>
        <w:r>
          <w:fldChar w:fldCharType="begin"/>
        </w:r>
        <w:r>
          <w:instrText xml:space="preserve"> PAGEREF _Toc10088 \h </w:instrText>
        </w:r>
        <w:r>
          <w:fldChar w:fldCharType="separate"/>
        </w:r>
        <w:r>
          <w:t>11</w:t>
        </w:r>
        <w:r>
          <w:fldChar w:fldCharType="end"/>
        </w:r>
      </w:hyperlink>
    </w:p>
    <w:p>
      <w:pPr>
        <w:pStyle w:val="TOC2"/>
        <w:tabs>
          <w:tab w:val="right" w:leader="dot" w:pos="8306"/>
        </w:tabs>
      </w:pPr>
      <w:hyperlink w:anchor="_Toc29010" w:history="1">
        <w:r>
          <w:rPr>
            <w:rFonts w:ascii="宋体" w:eastAsia="宋体" w:hAnsi="宋体" w:cs="宋体" w:hint="eastAsia"/>
            <w:bCs w:val="0"/>
            <w:szCs w:val="28"/>
            <w:lang w:eastAsia="zh-CN"/>
          </w:rPr>
          <w:t>(一)、压送机行业人力资源管理原则</w:t>
        </w:r>
        <w:r>
          <w:tab/>
        </w:r>
        <w:r>
          <w:fldChar w:fldCharType="begin"/>
        </w:r>
        <w:r>
          <w:instrText xml:space="preserve"> PAGEREF _Toc29010 \h </w:instrText>
        </w:r>
        <w:r>
          <w:fldChar w:fldCharType="separate"/>
        </w:r>
        <w:r>
          <w:t>11</w:t>
        </w:r>
        <w:r>
          <w:fldChar w:fldCharType="end"/>
        </w:r>
      </w:hyperlink>
    </w:p>
    <w:p>
      <w:pPr>
        <w:pStyle w:val="TOC2"/>
        <w:tabs>
          <w:tab w:val="right" w:leader="dot" w:pos="8306"/>
        </w:tabs>
      </w:pPr>
      <w:hyperlink w:anchor="_Toc23395" w:history="1">
        <w:r>
          <w:rPr>
            <w:rFonts w:ascii="宋体" w:eastAsia="宋体" w:hAnsi="宋体" w:cs="宋体" w:hint="eastAsia"/>
            <w:bCs w:val="0"/>
            <w:szCs w:val="28"/>
            <w:lang w:eastAsia="zh-CN"/>
          </w:rPr>
          <w:t>(二)、压送机行业劳动关系管理</w:t>
        </w:r>
        <w:r>
          <w:tab/>
        </w:r>
        <w:r>
          <w:fldChar w:fldCharType="begin"/>
        </w:r>
        <w:r>
          <w:instrText xml:space="preserve"> PAGEREF _Toc23395 \h </w:instrText>
        </w:r>
        <w:r>
          <w:fldChar w:fldCharType="separate"/>
        </w:r>
        <w:r>
          <w:t>14</w:t>
        </w:r>
        <w:r>
          <w:fldChar w:fldCharType="end"/>
        </w:r>
      </w:hyperlink>
    </w:p>
    <w:p>
      <w:pPr>
        <w:pStyle w:val="TOC2"/>
        <w:tabs>
          <w:tab w:val="right" w:leader="dot" w:pos="8306"/>
        </w:tabs>
      </w:pPr>
      <w:hyperlink w:anchor="_Toc21550" w:history="1">
        <w:r>
          <w:rPr>
            <w:rFonts w:ascii="宋体" w:eastAsia="宋体" w:hAnsi="宋体" w:cs="宋体" w:hint="eastAsia"/>
            <w:bCs w:val="0"/>
            <w:szCs w:val="28"/>
            <w:lang w:eastAsia="zh-CN"/>
          </w:rPr>
          <w:t>(三)、压送机行业人员配置方案</w:t>
        </w:r>
        <w:r>
          <w:tab/>
        </w:r>
        <w:r>
          <w:fldChar w:fldCharType="begin"/>
        </w:r>
        <w:r>
          <w:instrText xml:space="preserve"> PAGEREF _Toc21550 \h </w:instrText>
        </w:r>
        <w:r>
          <w:fldChar w:fldCharType="separate"/>
        </w:r>
        <w:r>
          <w:t>15</w:t>
        </w:r>
        <w:r>
          <w:fldChar w:fldCharType="end"/>
        </w:r>
      </w:hyperlink>
    </w:p>
    <w:p>
      <w:pPr>
        <w:pStyle w:val="TOC2"/>
        <w:tabs>
          <w:tab w:val="right" w:leader="dot" w:pos="8306"/>
        </w:tabs>
      </w:pPr>
      <w:hyperlink w:anchor="_Toc22918" w:history="1">
        <w:r>
          <w:rPr>
            <w:rFonts w:ascii="宋体" w:eastAsia="宋体" w:hAnsi="宋体" w:cs="宋体" w:hint="eastAsia"/>
            <w:bCs w:val="0"/>
            <w:szCs w:val="28"/>
            <w:lang w:eastAsia="zh-CN"/>
          </w:rPr>
          <w:t>(四)、压送机行业员工招聘方案</w:t>
        </w:r>
        <w:r>
          <w:tab/>
        </w:r>
        <w:r>
          <w:fldChar w:fldCharType="begin"/>
        </w:r>
        <w:r>
          <w:instrText xml:space="preserve"> PAGEREF _Toc22918 \h </w:instrText>
        </w:r>
        <w:r>
          <w:fldChar w:fldCharType="separate"/>
        </w:r>
        <w:r>
          <w:t>16</w:t>
        </w:r>
        <w:r>
          <w:fldChar w:fldCharType="end"/>
        </w:r>
      </w:hyperlink>
    </w:p>
    <w:p>
      <w:pPr>
        <w:pStyle w:val="TOC2"/>
        <w:tabs>
          <w:tab w:val="right" w:leader="dot" w:pos="8306"/>
        </w:tabs>
      </w:pPr>
      <w:hyperlink w:anchor="_Toc31816" w:history="1">
        <w:r>
          <w:rPr>
            <w:rFonts w:ascii="宋体" w:eastAsia="宋体" w:hAnsi="宋体" w:cs="宋体" w:hint="eastAsia"/>
            <w:bCs w:val="0"/>
            <w:szCs w:val="28"/>
            <w:lang w:eastAsia="zh-CN"/>
          </w:rPr>
          <w:t>(五)、压送机行业绩效和薪酬管理方案</w:t>
        </w:r>
        <w:r>
          <w:tab/>
        </w:r>
        <w:r>
          <w:fldChar w:fldCharType="begin"/>
        </w:r>
        <w:r>
          <w:instrText xml:space="preserve"> PAGEREF _Toc31816 \h </w:instrText>
        </w:r>
        <w:r>
          <w:fldChar w:fldCharType="separate"/>
        </w:r>
        <w:r>
          <w:t>18</w:t>
        </w:r>
        <w:r>
          <w:fldChar w:fldCharType="end"/>
        </w:r>
      </w:hyperlink>
    </w:p>
    <w:p>
      <w:pPr>
        <w:pStyle w:val="TOC2"/>
        <w:tabs>
          <w:tab w:val="right" w:leader="dot" w:pos="8306"/>
        </w:tabs>
      </w:pPr>
      <w:hyperlink w:anchor="_Toc13783" w:history="1">
        <w:r>
          <w:rPr>
            <w:rFonts w:ascii="宋体" w:eastAsia="宋体" w:hAnsi="宋体" w:cs="宋体" w:hint="eastAsia"/>
            <w:bCs w:val="0"/>
            <w:szCs w:val="28"/>
            <w:lang w:eastAsia="zh-CN"/>
          </w:rPr>
          <w:t>(六)、压送机行业员工福利管理方案</w:t>
        </w:r>
        <w:r>
          <w:tab/>
        </w:r>
        <w:r>
          <w:fldChar w:fldCharType="begin"/>
        </w:r>
        <w:r>
          <w:instrText xml:space="preserve"> PAGEREF _Toc13783 \h </w:instrText>
        </w:r>
        <w:r>
          <w:fldChar w:fldCharType="separate"/>
        </w:r>
        <w:r>
          <w:t>19</w:t>
        </w:r>
        <w:r>
          <w:fldChar w:fldCharType="end"/>
        </w:r>
      </w:hyperlink>
    </w:p>
    <w:p>
      <w:pPr>
        <w:pStyle w:val="TOC1"/>
        <w:tabs>
          <w:tab w:val="right" w:leader="dot" w:pos="8306"/>
        </w:tabs>
      </w:pPr>
      <w:hyperlink w:anchor="_Toc13591" w:history="1">
        <w:r>
          <w:rPr>
            <w:rFonts w:ascii="微软雅黑" w:eastAsia="微软雅黑" w:hAnsi="微软雅黑" w:cs="微软雅黑" w:hint="eastAsia"/>
            <w:color w:val="001CAC" w:themeColor="hyperlink" w:themeShade="BF"/>
            <w:szCs w:val="32"/>
            <w:lang w:eastAsia="zh-CN"/>
          </w:rPr>
          <w:t>四、项目实施与进度安排</w:t>
        </w:r>
        <w:r>
          <w:tab/>
        </w:r>
        <w:r>
          <w:fldChar w:fldCharType="begin"/>
        </w:r>
        <w:r>
          <w:instrText xml:space="preserve"> PAGEREF _Toc13591 \h </w:instrText>
        </w:r>
        <w:r>
          <w:fldChar w:fldCharType="separate"/>
        </w:r>
        <w:r>
          <w:t>21</w:t>
        </w:r>
        <w:r>
          <w:fldChar w:fldCharType="end"/>
        </w:r>
      </w:hyperlink>
    </w:p>
    <w:p>
      <w:pPr>
        <w:pStyle w:val="TOC2"/>
        <w:tabs>
          <w:tab w:val="right" w:leader="dot" w:pos="8306"/>
        </w:tabs>
      </w:pPr>
      <w:hyperlink w:anchor="_Toc16187" w:history="1">
        <w:r>
          <w:rPr>
            <w:rFonts w:ascii="宋体" w:eastAsia="宋体" w:hAnsi="宋体" w:cs="宋体" w:hint="eastAsia"/>
            <w:bCs w:val="0"/>
            <w:szCs w:val="28"/>
            <w:lang w:eastAsia="zh-CN"/>
          </w:rPr>
          <w:t>(一)、项目计划与时间节点</w:t>
        </w:r>
        <w:r>
          <w:tab/>
        </w:r>
        <w:r>
          <w:fldChar w:fldCharType="begin"/>
        </w:r>
        <w:r>
          <w:instrText xml:space="preserve"> PAGEREF _Toc16187 \h </w:instrText>
        </w:r>
        <w:r>
          <w:fldChar w:fldCharType="separate"/>
        </w:r>
        <w:r>
          <w:t>21</w:t>
        </w:r>
        <w:r>
          <w:fldChar w:fldCharType="end"/>
        </w:r>
      </w:hyperlink>
    </w:p>
    <w:p>
      <w:pPr>
        <w:pStyle w:val="TOC2"/>
        <w:tabs>
          <w:tab w:val="right" w:leader="dot" w:pos="8306"/>
        </w:tabs>
      </w:pPr>
      <w:hyperlink w:anchor="_Toc9750" w:history="1">
        <w:r>
          <w:rPr>
            <w:rFonts w:ascii="宋体" w:eastAsia="宋体" w:hAnsi="宋体" w:cs="宋体" w:hint="eastAsia"/>
            <w:bCs w:val="0"/>
            <w:szCs w:val="28"/>
            <w:lang w:eastAsia="zh-CN"/>
          </w:rPr>
          <w:t>(二)、项目进度安排</w:t>
        </w:r>
        <w:r>
          <w:tab/>
        </w:r>
        <w:r>
          <w:fldChar w:fldCharType="begin"/>
        </w:r>
        <w:r>
          <w:instrText xml:space="preserve"> PAGEREF _Toc9750 \h </w:instrText>
        </w:r>
        <w:r>
          <w:fldChar w:fldCharType="separate"/>
        </w:r>
        <w:r>
          <w:t>23</w:t>
        </w:r>
        <w:r>
          <w:fldChar w:fldCharType="end"/>
        </w:r>
      </w:hyperlink>
    </w:p>
    <w:p>
      <w:pPr>
        <w:pStyle w:val="TOC2"/>
        <w:tabs>
          <w:tab w:val="right" w:leader="dot" w:pos="8306"/>
        </w:tabs>
      </w:pPr>
      <w:hyperlink w:anchor="_Toc19165" w:history="1">
        <w:r>
          <w:rPr>
            <w:rFonts w:ascii="宋体" w:eastAsia="宋体" w:hAnsi="宋体" w:cs="宋体" w:hint="eastAsia"/>
            <w:bCs w:val="0"/>
            <w:szCs w:val="28"/>
            <w:lang w:eastAsia="zh-CN"/>
          </w:rPr>
          <w:t>(三)、风险管理与对策</w:t>
        </w:r>
        <w:r>
          <w:tab/>
        </w:r>
        <w:r>
          <w:fldChar w:fldCharType="begin"/>
        </w:r>
        <w:r>
          <w:instrText xml:space="preserve"> PAGEREF _Toc19165 \h </w:instrText>
        </w:r>
        <w:r>
          <w:fldChar w:fldCharType="separate"/>
        </w:r>
        <w:r>
          <w:t>24</w:t>
        </w:r>
        <w:r>
          <w:fldChar w:fldCharType="end"/>
        </w:r>
      </w:hyperlink>
    </w:p>
    <w:p>
      <w:pPr>
        <w:pStyle w:val="TOC1"/>
        <w:tabs>
          <w:tab w:val="right" w:leader="dot" w:pos="8306"/>
        </w:tabs>
      </w:pPr>
      <w:hyperlink w:anchor="_Toc21748" w:history="1">
        <w:r>
          <w:rPr>
            <w:rFonts w:ascii="微软雅黑" w:eastAsia="微软雅黑" w:hAnsi="微软雅黑" w:cs="微软雅黑" w:hint="eastAsia"/>
            <w:color w:val="001CAC" w:themeColor="hyperlink" w:themeShade="BF"/>
            <w:szCs w:val="32"/>
            <w:lang w:eastAsia="zh-CN"/>
          </w:rPr>
          <w:t>五、制度建设与管理</w:t>
        </w:r>
        <w:r>
          <w:tab/>
        </w:r>
        <w:r>
          <w:fldChar w:fldCharType="begin"/>
        </w:r>
        <w:r>
          <w:instrText xml:space="preserve"> PAGEREF _Toc21748 \h </w:instrText>
        </w:r>
        <w:r>
          <w:fldChar w:fldCharType="separate"/>
        </w:r>
        <w:r>
          <w:t>26</w:t>
        </w:r>
        <w:r>
          <w:fldChar w:fldCharType="end"/>
        </w:r>
      </w:hyperlink>
    </w:p>
    <w:p>
      <w:pPr>
        <w:pStyle w:val="TOC2"/>
        <w:tabs>
          <w:tab w:val="right" w:leader="dot" w:pos="8306"/>
        </w:tabs>
      </w:pPr>
      <w:hyperlink w:anchor="_Toc26" w:history="1">
        <w:r>
          <w:rPr>
            <w:rFonts w:ascii="宋体" w:eastAsia="宋体" w:hAnsi="宋体" w:cs="宋体" w:hint="eastAsia"/>
            <w:bCs w:val="0"/>
            <w:szCs w:val="28"/>
            <w:lang w:eastAsia="zh-CN"/>
          </w:rPr>
          <w:t>(一)、公司治理结构</w:t>
        </w:r>
        <w:r>
          <w:tab/>
        </w:r>
        <w:r>
          <w:fldChar w:fldCharType="begin"/>
        </w:r>
        <w:r>
          <w:instrText xml:space="preserve"> PAGEREF _Toc26 \h </w:instrText>
        </w:r>
        <w:r>
          <w:fldChar w:fldCharType="separate"/>
        </w:r>
        <w:r>
          <w:t>26</w:t>
        </w:r>
        <w:r>
          <w:fldChar w:fldCharType="end"/>
        </w:r>
      </w:hyperlink>
    </w:p>
    <w:p>
      <w:pPr>
        <w:pStyle w:val="TOC2"/>
        <w:tabs>
          <w:tab w:val="right" w:leader="dot" w:pos="8306"/>
        </w:tabs>
      </w:pPr>
      <w:hyperlink w:anchor="_Toc19036" w:history="1">
        <w:r>
          <w:rPr>
            <w:rFonts w:ascii="宋体" w:eastAsia="宋体" w:hAnsi="宋体" w:cs="宋体" w:hint="eastAsia"/>
            <w:bCs w:val="0"/>
            <w:szCs w:val="28"/>
            <w:lang w:eastAsia="zh-CN"/>
          </w:rPr>
          <w:t>(二)、内部控制与审计</w:t>
        </w:r>
        <w:r>
          <w:tab/>
        </w:r>
        <w:r>
          <w:fldChar w:fldCharType="begin"/>
        </w:r>
        <w:r>
          <w:instrText xml:space="preserve"> PAGEREF _Toc19036 \h </w:instrText>
        </w:r>
        <w:r>
          <w:fldChar w:fldCharType="separate"/>
        </w:r>
        <w:r>
          <w:t>27</w:t>
        </w:r>
        <w:r>
          <w:fldChar w:fldCharType="end"/>
        </w:r>
      </w:hyperlink>
    </w:p>
    <w:p>
      <w:pPr>
        <w:pStyle w:val="TOC2"/>
        <w:tabs>
          <w:tab w:val="right" w:leader="dot" w:pos="8306"/>
        </w:tabs>
      </w:pPr>
      <w:hyperlink w:anchor="_Toc20648" w:history="1">
        <w:r>
          <w:rPr>
            <w:rFonts w:ascii="宋体" w:eastAsia="宋体" w:hAnsi="宋体" w:cs="宋体" w:hint="eastAsia"/>
            <w:bCs w:val="0"/>
            <w:szCs w:val="28"/>
            <w:lang w:eastAsia="zh-CN"/>
          </w:rPr>
          <w:t>(三)、法律法规合规体系</w:t>
        </w:r>
        <w:r>
          <w:tab/>
        </w:r>
        <w:r>
          <w:fldChar w:fldCharType="begin"/>
        </w:r>
        <w:r>
          <w:instrText xml:space="preserve"> PAGEREF _Toc20648 \h </w:instrText>
        </w:r>
        <w:r>
          <w:fldChar w:fldCharType="separate"/>
        </w:r>
        <w:r>
          <w:t>27</w:t>
        </w:r>
        <w:r>
          <w:fldChar w:fldCharType="end"/>
        </w:r>
      </w:hyperlink>
    </w:p>
    <w:p>
      <w:pPr>
        <w:pStyle w:val="TOC1"/>
        <w:tabs>
          <w:tab w:val="right" w:leader="dot" w:pos="8306"/>
        </w:tabs>
      </w:pPr>
      <w:hyperlink w:anchor="_Toc30204" w:history="1">
        <w:r>
          <w:rPr>
            <w:rFonts w:ascii="微软雅黑" w:eastAsia="微软雅黑" w:hAnsi="微软雅黑" w:cs="微软雅黑" w:hint="eastAsia"/>
            <w:color w:val="001CAC" w:themeColor="hyperlink" w:themeShade="BF"/>
            <w:szCs w:val="32"/>
            <w:lang w:eastAsia="zh-CN"/>
          </w:rPr>
          <w:t>六、环境与社会责任</w:t>
        </w:r>
        <w:r>
          <w:tab/>
        </w:r>
        <w:r>
          <w:fldChar w:fldCharType="begin"/>
        </w:r>
        <w:r>
          <w:instrText xml:space="preserve"> PAGEREF _Toc30204 \h </w:instrText>
        </w:r>
        <w:r>
          <w:fldChar w:fldCharType="separate"/>
        </w:r>
        <w:r>
          <w:t>28</w:t>
        </w:r>
        <w:r>
          <w:fldChar w:fldCharType="end"/>
        </w:r>
      </w:hyperlink>
    </w:p>
    <w:p>
      <w:pPr>
        <w:pStyle w:val="TOC2"/>
        <w:tabs>
          <w:tab w:val="right" w:leader="dot" w:pos="8306"/>
        </w:tabs>
      </w:pPr>
      <w:hyperlink w:anchor="_Toc26379" w:history="1">
        <w:r>
          <w:rPr>
            <w:rFonts w:ascii="宋体" w:eastAsia="宋体" w:hAnsi="宋体" w:cs="宋体" w:hint="eastAsia"/>
            <w:bCs w:val="0"/>
            <w:szCs w:val="28"/>
            <w:lang w:eastAsia="zh-CN"/>
          </w:rPr>
          <w:t>(一)、环境影响评估</w:t>
        </w:r>
        <w:r>
          <w:tab/>
        </w:r>
        <w:r>
          <w:fldChar w:fldCharType="begin"/>
        </w:r>
        <w:r>
          <w:instrText xml:space="preserve"> PAGEREF _Toc26379 \h </w:instrText>
        </w:r>
        <w:r>
          <w:fldChar w:fldCharType="separate"/>
        </w:r>
        <w:r>
          <w:t>28</w:t>
        </w:r>
        <w:r>
          <w:fldChar w:fldCharType="end"/>
        </w:r>
      </w:hyperlink>
    </w:p>
    <w:p>
      <w:pPr>
        <w:pStyle w:val="TOC2"/>
        <w:tabs>
          <w:tab w:val="right" w:leader="dot" w:pos="8306"/>
        </w:tabs>
      </w:pPr>
      <w:hyperlink w:anchor="_Toc5035" w:history="1">
        <w:r>
          <w:rPr>
            <w:rFonts w:ascii="宋体" w:eastAsia="宋体" w:hAnsi="宋体" w:cs="宋体" w:hint="eastAsia"/>
            <w:bCs w:val="0"/>
            <w:szCs w:val="28"/>
            <w:lang w:eastAsia="zh-CN"/>
          </w:rPr>
          <w:t>(二)、社会责任与可持续发展</w:t>
        </w:r>
        <w:r>
          <w:tab/>
        </w:r>
        <w:r>
          <w:fldChar w:fldCharType="begin"/>
        </w:r>
        <w:r>
          <w:instrText xml:space="preserve"> PAGEREF _Toc5035 \h </w:instrText>
        </w:r>
        <w:r>
          <w:fldChar w:fldCharType="separate"/>
        </w:r>
        <w:r>
          <w:t>29</w:t>
        </w:r>
        <w:r>
          <w:fldChar w:fldCharType="end"/>
        </w:r>
      </w:hyperlink>
    </w:p>
    <w:p>
      <w:pPr>
        <w:pStyle w:val="TOC1"/>
        <w:tabs>
          <w:tab w:val="right" w:leader="dot" w:pos="8306"/>
        </w:tabs>
      </w:pPr>
      <w:hyperlink w:anchor="_Toc26006" w:history="1">
        <w:r>
          <w:rPr>
            <w:rFonts w:ascii="微软雅黑" w:eastAsia="微软雅黑" w:hAnsi="微软雅黑" w:cs="微软雅黑" w:hint="eastAsia"/>
            <w:color w:val="001CAC" w:themeColor="hyperlink" w:themeShade="BF"/>
            <w:szCs w:val="32"/>
            <w:lang w:eastAsia="zh-CN"/>
          </w:rPr>
          <w:t>七、压送机行业选址方案分析</w:t>
        </w:r>
        <w:r>
          <w:tab/>
        </w:r>
        <w:r>
          <w:fldChar w:fldCharType="begin"/>
        </w:r>
        <w:r>
          <w:instrText xml:space="preserve"> PAGEREF _Toc26006 \h </w:instrText>
        </w:r>
        <w:r>
          <w:fldChar w:fldCharType="separate"/>
        </w:r>
        <w:r>
          <w:t>29</w:t>
        </w:r>
        <w:r>
          <w:fldChar w:fldCharType="end"/>
        </w:r>
      </w:hyperlink>
    </w:p>
    <w:p>
      <w:pPr>
        <w:pStyle w:val="TOC2"/>
        <w:tabs>
          <w:tab w:val="right" w:leader="dot" w:pos="8306"/>
        </w:tabs>
      </w:pPr>
      <w:hyperlink w:anchor="_Toc8930" w:history="1">
        <w:r>
          <w:rPr>
            <w:rFonts w:ascii="宋体" w:eastAsia="宋体" w:hAnsi="宋体" w:cs="宋体" w:hint="eastAsia"/>
            <w:bCs w:val="0"/>
            <w:szCs w:val="28"/>
            <w:lang w:eastAsia="zh-CN"/>
          </w:rPr>
          <w:t>(一)、压送机行业选址影响因素</w:t>
        </w:r>
        <w:r>
          <w:tab/>
        </w:r>
        <w:r>
          <w:fldChar w:fldCharType="begin"/>
        </w:r>
        <w:r>
          <w:instrText xml:space="preserve"> PAGEREF _Toc8930 \h </w:instrText>
        </w:r>
        <w:r>
          <w:fldChar w:fldCharType="separate"/>
        </w:r>
        <w:r>
          <w:t>29</w:t>
        </w:r>
        <w:r>
          <w:fldChar w:fldCharType="end"/>
        </w:r>
      </w:hyperlink>
    </w:p>
    <w:p>
      <w:pPr>
        <w:pStyle w:val="TOC2"/>
        <w:tabs>
          <w:tab w:val="right" w:leader="dot" w:pos="8306"/>
        </w:tabs>
      </w:pPr>
      <w:hyperlink w:anchor="_Toc25223" w:history="1">
        <w:r>
          <w:rPr>
            <w:rFonts w:ascii="宋体" w:eastAsia="宋体" w:hAnsi="宋体" w:cs="宋体" w:hint="eastAsia"/>
            <w:bCs w:val="0"/>
            <w:szCs w:val="28"/>
            <w:lang w:eastAsia="zh-CN"/>
          </w:rPr>
          <w:t>(二)、压送机行业选址原则</w:t>
        </w:r>
        <w:r>
          <w:tab/>
        </w:r>
        <w:r>
          <w:fldChar w:fldCharType="begin"/>
        </w:r>
        <w:r>
          <w:instrText xml:space="preserve"> PAGEREF _Toc25223 \h </w:instrText>
        </w:r>
        <w:r>
          <w:fldChar w:fldCharType="separate"/>
        </w:r>
        <w:r>
          <w:t>32</w:t>
        </w:r>
        <w:r>
          <w:fldChar w:fldCharType="end"/>
        </w:r>
      </w:hyperlink>
    </w:p>
    <w:p>
      <w:pPr>
        <w:pStyle w:val="TOC2"/>
        <w:tabs>
          <w:tab w:val="right" w:leader="dot" w:pos="8306"/>
        </w:tabs>
      </w:pPr>
      <w:hyperlink w:anchor="_Toc19176" w:history="1">
        <w:r>
          <w:rPr>
            <w:rFonts w:ascii="宋体" w:eastAsia="宋体" w:hAnsi="宋体" w:cs="宋体" w:hint="eastAsia"/>
            <w:bCs w:val="0"/>
            <w:szCs w:val="28"/>
            <w:lang w:eastAsia="zh-CN"/>
          </w:rPr>
          <w:t>(三)、消费习惯对压送机行业选址的影响</w:t>
        </w:r>
        <w:r>
          <w:tab/>
        </w:r>
        <w:r>
          <w:fldChar w:fldCharType="begin"/>
        </w:r>
        <w:r>
          <w:instrText xml:space="preserve"> PAGEREF _Toc19176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07" w:history="1">
        <w:r>
          <w:rPr>
            <w:rFonts w:ascii="宋体" w:eastAsia="宋体" w:hAnsi="宋体" w:cs="宋体" w:hint="eastAsia"/>
            <w:bCs w:val="0"/>
            <w:szCs w:val="28"/>
            <w:lang w:eastAsia="zh-CN"/>
          </w:rPr>
          <w:t>(四)、消费能力对压送机行业选址的影响</w:t>
        </w:r>
        <w:r>
          <w:tab/>
        </w:r>
        <w:r>
          <w:fldChar w:fldCharType="begin"/>
        </w:r>
        <w:r>
          <w:instrText xml:space="preserve"> PAGEREF _Toc12807 \h </w:instrText>
        </w:r>
        <w:r>
          <w:fldChar w:fldCharType="separate"/>
        </w:r>
        <w:r>
          <w:t>34</w:t>
        </w:r>
        <w:r>
          <w:fldChar w:fldCharType="end"/>
        </w:r>
      </w:hyperlink>
    </w:p>
    <w:p>
      <w:pPr>
        <w:pStyle w:val="TOC2"/>
        <w:tabs>
          <w:tab w:val="right" w:leader="dot" w:pos="8306"/>
        </w:tabs>
      </w:pPr>
      <w:hyperlink w:anchor="_Toc6488" w:history="1">
        <w:r>
          <w:rPr>
            <w:rFonts w:ascii="宋体" w:eastAsia="宋体" w:hAnsi="宋体" w:cs="宋体" w:hint="eastAsia"/>
            <w:bCs w:val="0"/>
            <w:szCs w:val="28"/>
            <w:lang w:eastAsia="zh-CN"/>
          </w:rPr>
          <w:t>(五)、经营成本对压送机行业选址的影响</w:t>
        </w:r>
        <w:r>
          <w:tab/>
        </w:r>
        <w:r>
          <w:fldChar w:fldCharType="begin"/>
        </w:r>
        <w:r>
          <w:instrText xml:space="preserve"> PAGEREF _Toc6488 \h </w:instrText>
        </w:r>
        <w:r>
          <w:fldChar w:fldCharType="separate"/>
        </w:r>
        <w:r>
          <w:t>36</w:t>
        </w:r>
        <w:r>
          <w:fldChar w:fldCharType="end"/>
        </w:r>
      </w:hyperlink>
    </w:p>
    <w:p>
      <w:pPr>
        <w:pStyle w:val="TOC2"/>
        <w:tabs>
          <w:tab w:val="right" w:leader="dot" w:pos="8306"/>
        </w:tabs>
      </w:pPr>
      <w:hyperlink w:anchor="_Toc21771" w:history="1">
        <w:r>
          <w:rPr>
            <w:rFonts w:ascii="宋体" w:eastAsia="宋体" w:hAnsi="宋体" w:cs="宋体" w:hint="eastAsia"/>
            <w:bCs w:val="0"/>
            <w:szCs w:val="28"/>
            <w:lang w:eastAsia="zh-CN"/>
          </w:rPr>
          <w:t>(六)、交通条件对压送机行业选址的影响</w:t>
        </w:r>
        <w:r>
          <w:tab/>
        </w:r>
        <w:r>
          <w:fldChar w:fldCharType="begin"/>
        </w:r>
        <w:r>
          <w:instrText xml:space="preserve"> PAGEREF _Toc21771 \h </w:instrText>
        </w:r>
        <w:r>
          <w:fldChar w:fldCharType="separate"/>
        </w:r>
        <w:r>
          <w:t>38</w:t>
        </w:r>
        <w:r>
          <w:fldChar w:fldCharType="end"/>
        </w:r>
      </w:hyperlink>
    </w:p>
    <w:p>
      <w:pPr>
        <w:pStyle w:val="TOC1"/>
        <w:tabs>
          <w:tab w:val="right" w:leader="dot" w:pos="8306"/>
        </w:tabs>
      </w:pPr>
      <w:hyperlink w:anchor="_Toc13809" w:history="1">
        <w:r>
          <w:rPr>
            <w:rFonts w:ascii="微软雅黑" w:eastAsia="微软雅黑" w:hAnsi="微软雅黑" w:cs="微软雅黑" w:hint="eastAsia"/>
            <w:color w:val="001CAC" w:themeColor="hyperlink" w:themeShade="BF"/>
            <w:szCs w:val="32"/>
            <w:lang w:eastAsia="zh-CN"/>
          </w:rPr>
          <w:t>八、制度运行与优化</w:t>
        </w:r>
        <w:r>
          <w:tab/>
        </w:r>
        <w:r>
          <w:fldChar w:fldCharType="begin"/>
        </w:r>
        <w:r>
          <w:instrText xml:space="preserve"> PAGEREF _Toc13809 \h </w:instrText>
        </w:r>
        <w:r>
          <w:fldChar w:fldCharType="separate"/>
        </w:r>
        <w:r>
          <w:t>39</w:t>
        </w:r>
        <w:r>
          <w:fldChar w:fldCharType="end"/>
        </w:r>
      </w:hyperlink>
    </w:p>
    <w:p>
      <w:pPr>
        <w:pStyle w:val="TOC2"/>
        <w:tabs>
          <w:tab w:val="right" w:leader="dot" w:pos="8306"/>
        </w:tabs>
      </w:pPr>
      <w:hyperlink w:anchor="_Toc23663" w:history="1">
        <w:r>
          <w:rPr>
            <w:rFonts w:ascii="宋体" w:eastAsia="宋体" w:hAnsi="宋体" w:cs="宋体" w:hint="eastAsia"/>
            <w:bCs w:val="0"/>
            <w:szCs w:val="28"/>
            <w:lang w:eastAsia="zh-CN"/>
          </w:rPr>
          <w:t>(一)、制度执行与监督</w:t>
        </w:r>
        <w:r>
          <w:tab/>
        </w:r>
        <w:r>
          <w:fldChar w:fldCharType="begin"/>
        </w:r>
        <w:r>
          <w:instrText xml:space="preserve"> PAGEREF _Toc23663 \h </w:instrText>
        </w:r>
        <w:r>
          <w:fldChar w:fldCharType="separate"/>
        </w:r>
        <w:r>
          <w:t>39</w:t>
        </w:r>
        <w:r>
          <w:fldChar w:fldCharType="end"/>
        </w:r>
      </w:hyperlink>
    </w:p>
    <w:p>
      <w:pPr>
        <w:pStyle w:val="TOC2"/>
        <w:tabs>
          <w:tab w:val="right" w:leader="dot" w:pos="8306"/>
        </w:tabs>
      </w:pPr>
      <w:hyperlink w:anchor="_Toc15826" w:history="1">
        <w:r>
          <w:rPr>
            <w:rFonts w:ascii="宋体" w:eastAsia="宋体" w:hAnsi="宋体" w:cs="宋体" w:hint="eastAsia"/>
            <w:bCs w:val="0"/>
            <w:szCs w:val="28"/>
            <w:lang w:eastAsia="zh-CN"/>
          </w:rPr>
          <w:t>(二)、制度优化与更新</w:t>
        </w:r>
        <w:r>
          <w:tab/>
        </w:r>
        <w:r>
          <w:fldChar w:fldCharType="begin"/>
        </w:r>
        <w:r>
          <w:instrText xml:space="preserve"> PAGEREF _Toc15826 \h </w:instrText>
        </w:r>
        <w:r>
          <w:fldChar w:fldCharType="separate"/>
        </w:r>
        <w:r>
          <w:t>39</w:t>
        </w:r>
        <w:r>
          <w:fldChar w:fldCharType="end"/>
        </w:r>
      </w:hyperlink>
    </w:p>
    <w:p>
      <w:pPr>
        <w:pStyle w:val="TOC1"/>
        <w:tabs>
          <w:tab w:val="right" w:leader="dot" w:pos="8306"/>
        </w:tabs>
      </w:pPr>
      <w:hyperlink w:anchor="_Toc18886" w:history="1">
        <w:r>
          <w:rPr>
            <w:rFonts w:ascii="微软雅黑" w:eastAsia="微软雅黑" w:hAnsi="微软雅黑" w:cs="微软雅黑" w:hint="eastAsia"/>
            <w:color w:val="001CAC" w:themeColor="hyperlink" w:themeShade="BF"/>
            <w:szCs w:val="32"/>
            <w:lang w:eastAsia="zh-CN"/>
          </w:rPr>
          <w:t>九、压送机行业公司治理与社会责任</w:t>
        </w:r>
        <w:r>
          <w:tab/>
        </w:r>
        <w:r>
          <w:fldChar w:fldCharType="begin"/>
        </w:r>
        <w:r>
          <w:instrText xml:space="preserve"> PAGEREF _Toc18886 \h </w:instrText>
        </w:r>
        <w:r>
          <w:fldChar w:fldCharType="separate"/>
        </w:r>
        <w:r>
          <w:t>40</w:t>
        </w:r>
        <w:r>
          <w:fldChar w:fldCharType="end"/>
        </w:r>
      </w:hyperlink>
    </w:p>
    <w:p>
      <w:pPr>
        <w:pStyle w:val="TOC2"/>
        <w:tabs>
          <w:tab w:val="right" w:leader="dot" w:pos="8306"/>
        </w:tabs>
      </w:pPr>
      <w:hyperlink w:anchor="_Toc18819" w:history="1">
        <w:r>
          <w:rPr>
            <w:rFonts w:ascii="宋体" w:eastAsia="宋体" w:hAnsi="宋体" w:cs="宋体" w:hint="eastAsia"/>
            <w:bCs w:val="0"/>
            <w:szCs w:val="28"/>
            <w:lang w:eastAsia="zh-CN"/>
          </w:rPr>
          <w:t>(一)、公司治理结构</w:t>
        </w:r>
        <w:r>
          <w:tab/>
        </w:r>
        <w:r>
          <w:fldChar w:fldCharType="begin"/>
        </w:r>
        <w:r>
          <w:instrText xml:space="preserve"> PAGEREF _Toc18819 \h </w:instrText>
        </w:r>
        <w:r>
          <w:fldChar w:fldCharType="separate"/>
        </w:r>
        <w:r>
          <w:t>40</w:t>
        </w:r>
        <w:r>
          <w:fldChar w:fldCharType="end"/>
        </w:r>
      </w:hyperlink>
    </w:p>
    <w:p>
      <w:pPr>
        <w:pStyle w:val="TOC2"/>
        <w:tabs>
          <w:tab w:val="right" w:leader="dot" w:pos="8306"/>
        </w:tabs>
      </w:pPr>
      <w:hyperlink w:anchor="_Toc938" w:history="1">
        <w:r>
          <w:rPr>
            <w:rFonts w:ascii="宋体" w:eastAsia="宋体" w:hAnsi="宋体" w:cs="宋体" w:hint="eastAsia"/>
            <w:bCs w:val="0"/>
            <w:szCs w:val="28"/>
            <w:lang w:eastAsia="zh-CN"/>
          </w:rPr>
          <w:t>(二)、董事会运作与决策</w:t>
        </w:r>
        <w:r>
          <w:tab/>
        </w:r>
        <w:r>
          <w:fldChar w:fldCharType="begin"/>
        </w:r>
        <w:r>
          <w:instrText xml:space="preserve"> PAGEREF _Toc938 \h </w:instrText>
        </w:r>
        <w:r>
          <w:fldChar w:fldCharType="separate"/>
        </w:r>
        <w:r>
          <w:t>41</w:t>
        </w:r>
        <w:r>
          <w:fldChar w:fldCharType="end"/>
        </w:r>
      </w:hyperlink>
    </w:p>
    <w:p>
      <w:pPr>
        <w:pStyle w:val="TOC2"/>
        <w:tabs>
          <w:tab w:val="right" w:leader="dot" w:pos="8306"/>
        </w:tabs>
      </w:pPr>
      <w:hyperlink w:anchor="_Toc31884" w:history="1">
        <w:r>
          <w:rPr>
            <w:rFonts w:ascii="宋体" w:eastAsia="宋体" w:hAnsi="宋体" w:cs="宋体" w:hint="eastAsia"/>
            <w:bCs w:val="0"/>
            <w:szCs w:val="28"/>
            <w:lang w:eastAsia="zh-CN"/>
          </w:rPr>
          <w:t>(三)、内部控制与审计</w:t>
        </w:r>
        <w:r>
          <w:tab/>
        </w:r>
        <w:r>
          <w:fldChar w:fldCharType="begin"/>
        </w:r>
        <w:r>
          <w:instrText xml:space="preserve"> PAGEREF _Toc31884 \h </w:instrText>
        </w:r>
        <w:r>
          <w:fldChar w:fldCharType="separate"/>
        </w:r>
        <w:r>
          <w:t>41</w:t>
        </w:r>
        <w:r>
          <w:fldChar w:fldCharType="end"/>
        </w:r>
      </w:hyperlink>
    </w:p>
    <w:p>
      <w:pPr>
        <w:pStyle w:val="TOC2"/>
        <w:tabs>
          <w:tab w:val="right" w:leader="dot" w:pos="8306"/>
        </w:tabs>
      </w:pPr>
      <w:hyperlink w:anchor="_Toc24981" w:history="1">
        <w:r>
          <w:rPr>
            <w:rFonts w:ascii="宋体" w:eastAsia="宋体" w:hAnsi="宋体" w:cs="宋体" w:hint="eastAsia"/>
            <w:bCs w:val="0"/>
            <w:szCs w:val="28"/>
            <w:lang w:eastAsia="zh-CN"/>
          </w:rPr>
          <w:t>(四)、法律法规合规体系</w:t>
        </w:r>
        <w:r>
          <w:tab/>
        </w:r>
        <w:r>
          <w:fldChar w:fldCharType="begin"/>
        </w:r>
        <w:r>
          <w:instrText xml:space="preserve"> PAGEREF _Toc24981 \h </w:instrText>
        </w:r>
        <w:r>
          <w:fldChar w:fldCharType="separate"/>
        </w:r>
        <w:r>
          <w:t>42</w:t>
        </w:r>
        <w:r>
          <w:fldChar w:fldCharType="end"/>
        </w:r>
      </w:hyperlink>
    </w:p>
    <w:p>
      <w:pPr>
        <w:pStyle w:val="TOC2"/>
        <w:tabs>
          <w:tab w:val="right" w:leader="dot" w:pos="8306"/>
        </w:tabs>
      </w:pPr>
      <w:hyperlink w:anchor="_Toc12892" w:history="1">
        <w:r>
          <w:rPr>
            <w:rFonts w:ascii="宋体" w:eastAsia="宋体" w:hAnsi="宋体" w:cs="宋体" w:hint="eastAsia"/>
            <w:bCs w:val="0"/>
            <w:szCs w:val="28"/>
            <w:lang w:eastAsia="zh-CN"/>
          </w:rPr>
          <w:t>(五)、企业社会责任与道德经营</w:t>
        </w:r>
        <w:r>
          <w:tab/>
        </w:r>
        <w:r>
          <w:fldChar w:fldCharType="begin"/>
        </w:r>
        <w:r>
          <w:instrText xml:space="preserve"> PAGEREF _Toc12892 \h </w:instrText>
        </w:r>
        <w:r>
          <w:fldChar w:fldCharType="separate"/>
        </w:r>
        <w:r>
          <w:t>43</w:t>
        </w:r>
        <w:r>
          <w:fldChar w:fldCharType="end"/>
        </w:r>
      </w:hyperlink>
    </w:p>
    <w:p>
      <w:pPr>
        <w:pStyle w:val="TOC1"/>
        <w:tabs>
          <w:tab w:val="right" w:leader="dot" w:pos="8306"/>
        </w:tabs>
      </w:pPr>
      <w:hyperlink w:anchor="_Toc13200" w:history="1">
        <w:r>
          <w:rPr>
            <w:rFonts w:ascii="微软雅黑" w:eastAsia="微软雅黑" w:hAnsi="微软雅黑" w:cs="微软雅黑" w:hint="eastAsia"/>
            <w:color w:val="001CAC" w:themeColor="hyperlink" w:themeShade="BF"/>
            <w:szCs w:val="32"/>
            <w:lang w:eastAsia="zh-CN"/>
          </w:rPr>
          <w:t>十、可持续发展与绿色经营</w:t>
        </w:r>
        <w:r>
          <w:tab/>
        </w:r>
        <w:r>
          <w:fldChar w:fldCharType="begin"/>
        </w:r>
        <w:r>
          <w:instrText xml:space="preserve"> PAGEREF _Toc13200 \h </w:instrText>
        </w:r>
        <w:r>
          <w:fldChar w:fldCharType="separate"/>
        </w:r>
        <w:r>
          <w:t>44</w:t>
        </w:r>
        <w:r>
          <w:fldChar w:fldCharType="end"/>
        </w:r>
      </w:hyperlink>
    </w:p>
    <w:p>
      <w:pPr>
        <w:pStyle w:val="TOC2"/>
        <w:tabs>
          <w:tab w:val="right" w:leader="dot" w:pos="8306"/>
        </w:tabs>
      </w:pPr>
      <w:hyperlink w:anchor="_Toc15310" w:history="1">
        <w:r>
          <w:rPr>
            <w:rFonts w:ascii="宋体" w:eastAsia="宋体" w:hAnsi="宋体" w:cs="宋体" w:hint="eastAsia"/>
            <w:bCs w:val="0"/>
            <w:szCs w:val="28"/>
            <w:lang w:eastAsia="zh-CN"/>
          </w:rPr>
          <w:t>(一)、可持续发展战略与目标</w:t>
        </w:r>
        <w:r>
          <w:tab/>
        </w:r>
        <w:r>
          <w:fldChar w:fldCharType="begin"/>
        </w:r>
        <w:r>
          <w:instrText xml:space="preserve"> PAGEREF _Toc15310 \h </w:instrText>
        </w:r>
        <w:r>
          <w:fldChar w:fldCharType="separate"/>
        </w:r>
        <w:r>
          <w:t>44</w:t>
        </w:r>
        <w:r>
          <w:fldChar w:fldCharType="end"/>
        </w:r>
      </w:hyperlink>
    </w:p>
    <w:p>
      <w:pPr>
        <w:pStyle w:val="TOC2"/>
        <w:tabs>
          <w:tab w:val="right" w:leader="dot" w:pos="8306"/>
        </w:tabs>
      </w:pPr>
      <w:hyperlink w:anchor="_Toc3122" w:history="1">
        <w:r>
          <w:rPr>
            <w:rFonts w:ascii="宋体" w:eastAsia="宋体" w:hAnsi="宋体" w:cs="宋体" w:hint="eastAsia"/>
            <w:bCs w:val="0"/>
            <w:szCs w:val="28"/>
            <w:lang w:eastAsia="zh-CN"/>
          </w:rPr>
          <w:t>(二)、环保政策与实践</w:t>
        </w:r>
        <w:r>
          <w:tab/>
        </w:r>
        <w:r>
          <w:fldChar w:fldCharType="begin"/>
        </w:r>
        <w:r>
          <w:instrText xml:space="preserve"> PAGEREF _Toc3122 \h </w:instrText>
        </w:r>
        <w:r>
          <w:fldChar w:fldCharType="separate"/>
        </w:r>
        <w:r>
          <w:t>46</w:t>
        </w:r>
        <w:r>
          <w:fldChar w:fldCharType="end"/>
        </w:r>
      </w:hyperlink>
    </w:p>
    <w:p>
      <w:pPr>
        <w:pStyle w:val="TOC2"/>
        <w:tabs>
          <w:tab w:val="right" w:leader="dot" w:pos="8306"/>
        </w:tabs>
      </w:pPr>
      <w:hyperlink w:anchor="_Toc31132" w:history="1">
        <w:r>
          <w:rPr>
            <w:rFonts w:ascii="宋体" w:eastAsia="宋体" w:hAnsi="宋体" w:cs="宋体" w:hint="eastAsia"/>
            <w:bCs w:val="0"/>
            <w:szCs w:val="28"/>
            <w:lang w:eastAsia="zh-CN"/>
          </w:rPr>
          <w:t>(三)、资源利用与循环经济</w:t>
        </w:r>
        <w:r>
          <w:tab/>
        </w:r>
        <w:r>
          <w:fldChar w:fldCharType="begin"/>
        </w:r>
        <w:r>
          <w:instrText xml:space="preserve"> PAGEREF _Toc31132 \h </w:instrText>
        </w:r>
        <w:r>
          <w:fldChar w:fldCharType="separate"/>
        </w:r>
        <w:r>
          <w:t>48</w:t>
        </w:r>
        <w:r>
          <w:fldChar w:fldCharType="end"/>
        </w:r>
      </w:hyperlink>
    </w:p>
    <w:p>
      <w:pPr>
        <w:pStyle w:val="TOC2"/>
        <w:tabs>
          <w:tab w:val="right" w:leader="dot" w:pos="8306"/>
        </w:tabs>
      </w:pPr>
      <w:hyperlink w:anchor="_Toc1994" w:history="1">
        <w:r>
          <w:rPr>
            <w:rFonts w:ascii="宋体" w:eastAsia="宋体" w:hAnsi="宋体" w:cs="宋体" w:hint="eastAsia"/>
            <w:bCs w:val="0"/>
            <w:szCs w:val="28"/>
            <w:lang w:eastAsia="zh-CN"/>
          </w:rPr>
          <w:t>(四)、碳中和与生态足迹</w:t>
        </w:r>
        <w:r>
          <w:tab/>
        </w:r>
        <w:r>
          <w:fldChar w:fldCharType="begin"/>
        </w:r>
        <w:r>
          <w:instrText xml:space="preserve"> PAGEREF _Toc1994 \h </w:instrText>
        </w:r>
        <w:r>
          <w:fldChar w:fldCharType="separate"/>
        </w:r>
        <w:r>
          <w:t>49</w:t>
        </w:r>
        <w:r>
          <w:fldChar w:fldCharType="end"/>
        </w:r>
      </w:hyperlink>
    </w:p>
    <w:p>
      <w:pPr>
        <w:pStyle w:val="TOC1"/>
        <w:tabs>
          <w:tab w:val="right" w:leader="dot" w:pos="8306"/>
        </w:tabs>
      </w:pPr>
      <w:hyperlink w:anchor="_Toc17263" w:history="1">
        <w:r>
          <w:rPr>
            <w:rFonts w:ascii="微软雅黑" w:eastAsia="微软雅黑" w:hAnsi="微软雅黑" w:cs="微软雅黑" w:hint="eastAsia"/>
            <w:color w:val="001CAC" w:themeColor="hyperlink" w:themeShade="BF"/>
            <w:szCs w:val="32"/>
            <w:lang w:eastAsia="zh-CN"/>
          </w:rPr>
          <w:t>十一、压送机行业运营管理及商业模式分析</w:t>
        </w:r>
        <w:r>
          <w:tab/>
        </w:r>
        <w:r>
          <w:fldChar w:fldCharType="begin"/>
        </w:r>
        <w:r>
          <w:instrText xml:space="preserve"> PAGEREF _Toc17263 \h </w:instrText>
        </w:r>
        <w:r>
          <w:fldChar w:fldCharType="separate"/>
        </w:r>
        <w:r>
          <w:t>51</w:t>
        </w:r>
        <w:r>
          <w:fldChar w:fldCharType="end"/>
        </w:r>
      </w:hyperlink>
    </w:p>
    <w:p>
      <w:pPr>
        <w:pStyle w:val="TOC2"/>
        <w:tabs>
          <w:tab w:val="right" w:leader="dot" w:pos="8306"/>
        </w:tabs>
      </w:pPr>
      <w:hyperlink w:anchor="_Toc25001" w:history="1">
        <w:r>
          <w:rPr>
            <w:rFonts w:ascii="宋体" w:eastAsia="宋体" w:hAnsi="宋体" w:cs="宋体" w:hint="eastAsia"/>
            <w:bCs w:val="0"/>
            <w:szCs w:val="28"/>
            <w:lang w:eastAsia="zh-CN"/>
          </w:rPr>
          <w:t>(一)、压送机行业数字化发展方案</w:t>
        </w:r>
        <w:r>
          <w:tab/>
        </w:r>
        <w:r>
          <w:fldChar w:fldCharType="begin"/>
        </w:r>
        <w:r>
          <w:instrText xml:space="preserve"> PAGEREF _Toc25001 \h </w:instrText>
        </w:r>
        <w:r>
          <w:fldChar w:fldCharType="separate"/>
        </w:r>
        <w:r>
          <w:t>51</w:t>
        </w:r>
        <w:r>
          <w:fldChar w:fldCharType="end"/>
        </w:r>
      </w:hyperlink>
    </w:p>
    <w:p>
      <w:pPr>
        <w:pStyle w:val="TOC2"/>
        <w:tabs>
          <w:tab w:val="right" w:leader="dot" w:pos="8306"/>
        </w:tabs>
      </w:pPr>
      <w:hyperlink w:anchor="_Toc18545" w:history="1">
        <w:r>
          <w:rPr>
            <w:rFonts w:ascii="宋体" w:eastAsia="宋体" w:hAnsi="宋体" w:cs="宋体" w:hint="eastAsia"/>
            <w:bCs w:val="0"/>
            <w:szCs w:val="28"/>
            <w:lang w:eastAsia="zh-CN"/>
          </w:rPr>
          <w:t>(二)、压送机行业新型运营方式</w:t>
        </w:r>
        <w:r>
          <w:tab/>
        </w:r>
        <w:r>
          <w:fldChar w:fldCharType="begin"/>
        </w:r>
        <w:r>
          <w:instrText xml:space="preserve"> PAGEREF _Toc18545 \h </w:instrText>
        </w:r>
        <w:r>
          <w:fldChar w:fldCharType="separate"/>
        </w:r>
        <w:r>
          <w:t>54</w:t>
        </w:r>
        <w:r>
          <w:fldChar w:fldCharType="end"/>
        </w:r>
      </w:hyperlink>
    </w:p>
    <w:p>
      <w:pPr>
        <w:pStyle w:val="TOC2"/>
        <w:tabs>
          <w:tab w:val="right" w:leader="dot" w:pos="8306"/>
        </w:tabs>
      </w:pPr>
      <w:hyperlink w:anchor="_Toc28900" w:history="1">
        <w:r>
          <w:rPr>
            <w:rFonts w:ascii="宋体" w:eastAsia="宋体" w:hAnsi="宋体" w:cs="宋体" w:hint="eastAsia"/>
            <w:bCs w:val="0"/>
            <w:szCs w:val="28"/>
            <w:lang w:eastAsia="zh-CN"/>
          </w:rPr>
          <w:t>(三)、压送机行业风险管理</w:t>
        </w:r>
        <w:r>
          <w:tab/>
        </w:r>
        <w:r>
          <w:fldChar w:fldCharType="begin"/>
        </w:r>
        <w:r>
          <w:instrText xml:space="preserve"> PAGEREF _Toc28900 \h </w:instrText>
        </w:r>
        <w:r>
          <w:fldChar w:fldCharType="separate"/>
        </w:r>
        <w:r>
          <w:t>57</w:t>
        </w:r>
        <w:r>
          <w:fldChar w:fldCharType="end"/>
        </w:r>
      </w:hyperlink>
    </w:p>
    <w:p>
      <w:pPr>
        <w:pStyle w:val="TOC1"/>
        <w:tabs>
          <w:tab w:val="right" w:leader="dot" w:pos="8306"/>
        </w:tabs>
      </w:pPr>
      <w:hyperlink w:anchor="_Toc15768" w:history="1">
        <w:r>
          <w:rPr>
            <w:rFonts w:ascii="微软雅黑" w:eastAsia="微软雅黑" w:hAnsi="微软雅黑" w:cs="微软雅黑" w:hint="eastAsia"/>
            <w:color w:val="001CAC" w:themeColor="hyperlink" w:themeShade="BF"/>
            <w:szCs w:val="32"/>
            <w:lang w:eastAsia="zh-CN"/>
          </w:rPr>
          <w:t>十二、公司文化与社会责任</w:t>
        </w:r>
        <w:r>
          <w:tab/>
        </w:r>
        <w:r>
          <w:fldChar w:fldCharType="begin"/>
        </w:r>
        <w:r>
          <w:instrText xml:space="preserve"> PAGEREF _Toc15768 \h </w:instrText>
        </w:r>
        <w:r>
          <w:fldChar w:fldCharType="separate"/>
        </w:r>
        <w:r>
          <w:t>61</w:t>
        </w:r>
        <w:r>
          <w:fldChar w:fldCharType="end"/>
        </w:r>
      </w:hyperlink>
    </w:p>
    <w:p>
      <w:pPr>
        <w:pStyle w:val="TOC2"/>
        <w:tabs>
          <w:tab w:val="right" w:leader="dot" w:pos="8306"/>
        </w:tabs>
      </w:pPr>
      <w:hyperlink w:anchor="_Toc12299" w:history="1">
        <w:r>
          <w:rPr>
            <w:rFonts w:ascii="宋体" w:eastAsia="宋体" w:hAnsi="宋体" w:cs="宋体" w:hint="eastAsia"/>
            <w:bCs w:val="0"/>
            <w:szCs w:val="28"/>
            <w:lang w:eastAsia="zh-CN"/>
          </w:rPr>
          <w:t>(一)、公司文化建设</w:t>
        </w:r>
        <w:r>
          <w:tab/>
        </w:r>
        <w:r>
          <w:fldChar w:fldCharType="begin"/>
        </w:r>
        <w:r>
          <w:instrText xml:space="preserve"> PAGEREF _Toc12299 \h </w:instrText>
        </w:r>
        <w:r>
          <w:fldChar w:fldCharType="separate"/>
        </w:r>
        <w:r>
          <w:t>61</w:t>
        </w:r>
        <w:r>
          <w:fldChar w:fldCharType="end"/>
        </w:r>
      </w:hyperlink>
    </w:p>
    <w:p>
      <w:pPr>
        <w:pStyle w:val="TOC2"/>
        <w:tabs>
          <w:tab w:val="right" w:leader="dot" w:pos="8306"/>
        </w:tabs>
      </w:pPr>
      <w:hyperlink w:anchor="_Toc3827" w:history="1">
        <w:r>
          <w:rPr>
            <w:rFonts w:ascii="宋体" w:eastAsia="宋体" w:hAnsi="宋体" w:cs="宋体" w:hint="eastAsia"/>
            <w:bCs w:val="0"/>
            <w:szCs w:val="28"/>
            <w:lang w:eastAsia="zh-CN"/>
          </w:rPr>
          <w:t>(二)、企业社会责任与可持续发展</w:t>
        </w:r>
        <w:r>
          <w:tab/>
        </w:r>
        <w:r>
          <w:fldChar w:fldCharType="begin"/>
        </w:r>
        <w:r>
          <w:instrText xml:space="preserve"> PAGEREF _Toc3827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0646"/>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压送机行业研究报告旨在对压送机行业进行深入分析和研究,为 相关从业人员提供参考依据。报告内容仅供学习交流使用，不可用于商业用途。通过梳理压送机行业发展历程、分析市场潜力和主要竞争对手，探讨行业趋势及未来发展方向，旨在提供启示和建议。</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9051"/>
      <w:r>
        <w:rPr>
          <w:rFonts w:ascii="微软雅黑" w:eastAsia="微软雅黑" w:hAnsi="微软雅黑" w:cs="微软雅黑" w:hint="eastAsia"/>
          <w:color w:val="2E54A1" w:themeColor="accent1" w:themeShade="BF"/>
          <w:sz w:val="32"/>
          <w:szCs w:val="32"/>
          <w:lang w:eastAsia="zh-CN"/>
        </w:rPr>
        <w:t>一、压送机行业制度建设与执行</w:t>
      </w:r>
      <w:bookmarkEnd w:id="2"/>
    </w:p>
    <w:p>
      <w:pPr>
        <w:pStyle w:val="Heading2"/>
        <w:spacing w:line="480" w:lineRule="auto"/>
        <w:rPr>
          <w:rFonts w:ascii="宋体" w:eastAsia="宋体" w:hAnsi="宋体" w:cs="宋体" w:hint="eastAsia"/>
          <w:bCs w:val="0"/>
          <w:sz w:val="28"/>
          <w:szCs w:val="28"/>
          <w:lang w:eastAsia="zh-CN"/>
        </w:rPr>
      </w:pPr>
      <w:bookmarkStart w:id="3" w:name="_Toc16638"/>
      <w:r>
        <w:rPr>
          <w:rFonts w:ascii="宋体" w:eastAsia="宋体" w:hAnsi="宋体" w:cs="宋体" w:hint="eastAsia"/>
          <w:b/>
          <w:bCs w:val="0"/>
          <w:sz w:val="28"/>
          <w:szCs w:val="28"/>
          <w:lang w:eastAsia="zh-CN"/>
        </w:rPr>
        <w:t>(一)、公司制度体系规划</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公司制度体系规划是确保企业内部运营有序、高效的关键步骤。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在压送机行业,我们致力于建立一套完备而灵活的公司制度体系，以促进组织内部的协同合作、明确责任、规范行为。下面是我们公司制度体系规划的主要方向：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法律法规合规：</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在法治社会,公司治理的首要任务之一是确保公司的各项运营活动符合国家和地区的法律法规。我们制定了明确而全面的合规制度，涵盖了从生产经营到员工权益的各个层面。首先，我们建立了专业的法务团队,负责定期对公司的各项运营活动进行法律审核和风险评估。其次，我们积极参与压送机行业协会，保持对压送机行业法规的敏感性和及时性,以确保公司在法规变化中能够做出迅速而准确的调整。此外，我们强调员工的法律意识培养，定期开展法律法规的培训，使全体员工都能够清晰理解和遵守相关法规,从而构建一个合法合规的企业运营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人力资源是企业发展的核心。我们着重于建立全面而灵活的人力资源管理制度,以保证员工的合法权益和公司的长期发展。首先，我们规定了招聘的程序和标准，确保招聘过程的公正与透明。其次，我们关注员工培训，建立了系统的培训计划，根据员工的职业发展路径和业务需求进行有针对性的培训。此外，我们实行了灵活的薪酬体系，以激励员工的工作积极性和创造力。绩效考核与薪酬激励相结合，确保员工的付出与公司整体目标的一致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是公司治理的核心之一,直接关系到公司的经济健康和稳定性。我们制定了严格的财务管理制度，确保公司的财务运作合理透明。首先，我们遵循国家的会计准则，定期对财务报表进行编制和审核，以确保报表的真实准确。其次，我们实行了预算管理制度，对各项支出进行明确的预算安排，从而提高对财务风险的控制水平。此外，我们注重内部审计，定期进行内部审计，发现潜在问题并及时进行调整。这一全面的财务管理制度确保了公司经济运作的安全性和可持续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4.信息技术安全：在数字化时代，信息技术安全至关重要。我们规划了信息技术安全制度，包括网络安全、数据隐私保护、信息系统管理等方面，以应对日益复杂的网络威胁。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信息技术管理：</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现代企业运营中，信息技术是推动公司发展的引擎之一。在公司治理中，我们建立了完善的信息技术管理制度，以确保信息的安全性和运作的高效性。首先，我们实施了信息安全管理制度，确保公司敏感信息的保密性和完整性。其次,我们注重信息技术的更新和升级，建立了信息技术发展规划，对关键系统进行定期的维护和升级，以适应业务发展的需要。此外，我们加强了对员工的信息技术培训，提高员工的信息安全意识和应对信息技术变革的能力。这一系统的信息技术管理制度确保了公司在数字化时代的竞争力和创新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环境与社会责任管理：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治理的一个重要方面是对环境和社会责任的管理。我们秉持可持续发展的理念，建立了全面的环境与社会责任管理制度。首先，我们关注生产过程中的环保问题，推行绿色生产理念，选择环保材料和工艺，减少生产对环境的影响。其次，我们积极参与社区建设和公益事业，回馈社会，履行企业的社会责任。此外，我们定期进行环境与社会责任的评估，不断优化管理制度，提高公司的社会形象和社会影响力。这一综合性的环境与社会责任管理制度确保了公司在经济发展的同时，也能够实现对环境和社会的可持续贡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这些制度体系的规划和执行将为压送机行业提供有力的组织支持促进公司在市场中持续稳健的发展。同时，我们将不断根据内外部环境的变化进行优化和更新，以确保公司制度体系的适应性和可持续性。</w:t>
      </w:r>
    </w:p>
    <w:p>
      <w:pPr>
        <w:pStyle w:val="Heading2"/>
        <w:spacing w:line="480" w:lineRule="auto"/>
        <w:rPr>
          <w:rFonts w:ascii="宋体" w:eastAsia="宋体" w:hAnsi="宋体" w:cs="宋体" w:hint="eastAsia"/>
          <w:bCs w:val="0"/>
          <w:sz w:val="28"/>
          <w:szCs w:val="28"/>
          <w:lang w:eastAsia="zh-CN"/>
        </w:rPr>
      </w:pPr>
      <w:bookmarkStart w:id="4" w:name="_Toc662"/>
      <w:r>
        <w:rPr>
          <w:rFonts w:ascii="宋体" w:eastAsia="宋体" w:hAnsi="宋体" w:cs="宋体" w:hint="eastAsia"/>
          <w:b/>
          <w:bCs w:val="0"/>
          <w:sz w:val="28"/>
          <w:szCs w:val="28"/>
          <w:lang w:eastAsia="zh-CN"/>
        </w:rPr>
        <w:t>(二)、员工手册编制与更新</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员工手册编制：</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手册是公司内部管理的基础文件之一，具有规范员工行为、传达企业文化、明确权责的作用。我们制定员工手册的过程中，首先明确定义公司的核心价值观和文化理念,确保员工手册能够真实反映公司的经营理念。其次，我们详细罗列员工的权利和义务，明确各种政策和规定，以便员工清晰了解公司的期望和要求。同时，我们注重员工手册的易读性和实用性，使其成为员工日常工作的参考工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员工手册更新：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由于外部环境和公司内部情况的不断变化，员工手册需要定期更新以适应新的需求和法规变动。我们设立了专门的手册管理团队，负责定期审查和更新员工手册。在更新过程中,我们与各部门密切合作，收集员工的反馈意见,确保手册的内容更加贴近实际工作需求。同时，我们对新政策的引入和旧政策的修改进行梳理,确保员工手册的内容全面、准确、具有权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员工手册的沟通与培训：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份好的员工手册需要得到员工的理解和遵守。因此，我们注重通过多种途径对员工手册进行有效的沟通和培训。首先，我们定期组织员工手册的培训课程,确保新员工在入职时能够全面了解手册内容。其次，我们通过内部通知、企业社交平台等途径，及时向员工推送手册更新的重要内容。此外，我们鼓励员工提出对手册的建议和疑问，保持与员工的良好沟通渠道，以确保员工手册的实际有效性。</w:t>
      </w:r>
    </w:p>
    <w:p>
      <w:pPr>
        <w:pStyle w:val="Heading2"/>
        <w:spacing w:line="480" w:lineRule="auto"/>
        <w:rPr>
          <w:rFonts w:ascii="宋体" w:eastAsia="宋体" w:hAnsi="宋体" w:cs="宋体" w:hint="eastAsia"/>
          <w:bCs w:val="0"/>
          <w:sz w:val="28"/>
          <w:szCs w:val="28"/>
          <w:lang w:eastAsia="zh-CN"/>
        </w:rPr>
      </w:pPr>
      <w:bookmarkStart w:id="5" w:name="_Toc6921"/>
      <w:r>
        <w:rPr>
          <w:rFonts w:ascii="宋体" w:eastAsia="宋体" w:hAnsi="宋体" w:cs="宋体" w:hint="eastAsia"/>
          <w:b/>
          <w:bCs w:val="0"/>
          <w:sz w:val="28"/>
          <w:szCs w:val="28"/>
          <w:lang w:eastAsia="zh-CN"/>
        </w:rPr>
        <w:t>(三)、制度宣导与培训</w:t>
      </w:r>
      <w:bookmarkEnd w:id="5"/>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压送机行业,我们视制度宣导与培训为公司文化建设的基石，为确保员工深入理解和遵守公司规定而采取了一系列有针对性的措施。首先，我们定期组织制度宣讲会，由相关管理人员深入浅出地解读各项制度的背景、目的和具体操作流程。通过生动的案例和互动式的分享，员工更容易理解制度的实质。其次，我们实施了多层次、多形式的培训计划，覆盖各个层级和岗位，确保员工对公司制度的理解水平达到公司期望的标准。通过这些宣导与培训活动,我们旨在营造积极向上的企业氛围，使员工在实际工作中更加规范、高效。培训效果评估与持续改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确保制度宣导与培训的实效性,我们注重对培训效果进行评估，并持续改进培训方案。我们建立了培训效果评估体系，通过定期调研和反馈，了解员工对培训内容的理解情况和应用效果。同时，我们鼓励员工提出改进建议,形成培训的闭环反馈机制。基于评估结果，我们及时调整培训计划,增强培训的针对性和实用性。通过这一过程，我们不仅能够更好地满足员工的学习需求,还能够使公司的文化理念深入人心，为企业的长期发展翼定坚实基础。</w:t>
      </w:r>
    </w:p>
    <w:p>
      <w:pPr>
        <w:pStyle w:val="Heading2"/>
        <w:spacing w:line="480" w:lineRule="auto"/>
        <w:rPr>
          <w:rFonts w:ascii="宋体" w:eastAsia="宋体" w:hAnsi="宋体" w:cs="宋体" w:hint="eastAsia"/>
          <w:bCs w:val="0"/>
          <w:sz w:val="28"/>
          <w:szCs w:val="28"/>
          <w:lang w:eastAsia="zh-CN"/>
        </w:rPr>
      </w:pPr>
      <w:bookmarkStart w:id="6" w:name="_Toc4717"/>
      <w:r>
        <w:rPr>
          <w:rFonts w:ascii="宋体" w:eastAsia="宋体" w:hAnsi="宋体" w:cs="宋体" w:hint="eastAsia"/>
          <w:b/>
          <w:bCs w:val="0"/>
          <w:sz w:val="28"/>
          <w:szCs w:val="28"/>
          <w:lang w:eastAsia="zh-CN"/>
        </w:rPr>
        <w:t>(四)、主要防范措施</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深知制度执行与监督是公司治理的关键环节,直接关系到公司的健康发展和良好运营。为此，我们建立了专门的制度执行团队，负责全面监督各项制度的执行情况。该团队通过定期的内部审核，深入各个部门，全面了解制度执行的情况，并向高层管理层报告执行效果。这有助于及时发现问题，确保公司各项制度得以切实贯彻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员工监督与举报机制：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鼓励员工主动参与制度的监督，为此设立了匿名举报机制。员工可以安全、便捷地通过该机制反映制度执行中的问题，保障了监督渠道的畅通性。这种开放透明的机制有助于发现制度执行中的潜在问题，及时纠正，维护了公司内部的公正性和公平性。</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检查与反馈，确保公司的各项规定得到切实执行。领导的参与和重视为公司的整体治理水平提供了强有力的支持，使制度执行与监督更加有力、有序地推进。通过这一系列的机制和措施，我们不仅加强了公司内部管理，更提升了公司的透明度和规范化程度，为企业的可持续发展创造了有力保障。</w:t>
      </w:r>
    </w:p>
    <w:p>
      <w:pPr>
        <w:pStyle w:val="Heading2"/>
        <w:spacing w:line="480" w:lineRule="auto"/>
        <w:rPr>
          <w:rFonts w:ascii="宋体" w:eastAsia="宋体" w:hAnsi="宋体" w:cs="宋体" w:hint="eastAsia"/>
          <w:bCs w:val="0"/>
          <w:sz w:val="28"/>
          <w:szCs w:val="28"/>
          <w:lang w:eastAsia="zh-CN"/>
        </w:rPr>
      </w:pPr>
      <w:bookmarkStart w:id="7" w:name="_Toc8376"/>
      <w:r>
        <w:rPr>
          <w:rFonts w:ascii="宋体" w:eastAsia="宋体" w:hAnsi="宋体" w:cs="宋体" w:hint="eastAsia"/>
          <w:b/>
          <w:bCs w:val="0"/>
          <w:sz w:val="28"/>
          <w:szCs w:val="28"/>
          <w:lang w:eastAsia="zh-CN"/>
        </w:rPr>
        <w:t>(五)、制度优化与更新</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压送机行业,我们深谙制度的优化与更新是公司持续发展和适应变化的必要环节。为此，我们成立了制度管理委员会，由各相关部门的专业人员组成，负责定期审查公司的各项制度。在审查过程中，我们不仅仅倚重内部专业人员的见解，更注重倾听员工的建议和意见，从各方面汇聚反馈信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制度管理委员会注重与时俱进，密切关注法规和压送机行业标准的变化。通过定期的法规研讨和调研，我们能够及时了解变化趋势，做出相应调整，确保公司制度与法规的完全符合。此外，我们通过与同压送机行业的企业进行经验分享，汲取先进管理理念，使制度更具前瞻性和实效性。</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最重要的是，我们致力于构建一个符合公司实际情况、具有弹性和活力的治理体系。制度的优化与更新不仅仅是为了符合外部要求，更是为了内部更好地激发创新力、提高执行力，以适应市场竞争的激烈变化。通过这一系列持续而有序的优化与更新措施，我们确保了公司制度的灵活性和适应性，为公司的可持续成功打下了坚实的基础。</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8" w:name="_Toc13413"/>
      <w:r>
        <w:rPr>
          <w:rFonts w:ascii="微软雅黑" w:eastAsia="微软雅黑" w:hAnsi="微软雅黑" w:cs="微软雅黑" w:hint="eastAsia"/>
          <w:color w:val="2E54A1" w:themeColor="accent1" w:themeShade="BF"/>
          <w:sz w:val="32"/>
          <w:szCs w:val="32"/>
          <w:lang w:eastAsia="zh-CN"/>
        </w:rPr>
        <w:t>二、制度运行与优化</w:t>
      </w:r>
      <w:bookmarkEnd w:id="8"/>
    </w:p>
    <w:p>
      <w:pPr>
        <w:pStyle w:val="Heading2"/>
        <w:spacing w:line="480" w:lineRule="auto"/>
        <w:rPr>
          <w:rFonts w:ascii="宋体" w:eastAsia="宋体" w:hAnsi="宋体" w:cs="宋体" w:hint="eastAsia"/>
          <w:bCs w:val="0"/>
          <w:sz w:val="28"/>
          <w:szCs w:val="28"/>
          <w:lang w:eastAsia="zh-CN"/>
        </w:rPr>
      </w:pPr>
      <w:bookmarkStart w:id="9" w:name="_Toc10726"/>
      <w:r>
        <w:rPr>
          <w:rFonts w:ascii="宋体" w:eastAsia="宋体" w:hAnsi="宋体" w:cs="宋体" w:hint="eastAsia"/>
          <w:b/>
          <w:bCs w:val="0"/>
          <w:sz w:val="28"/>
          <w:szCs w:val="28"/>
          <w:lang w:eastAsia="zh-CN"/>
        </w:rPr>
        <w:t>(一)、制度执行与监督</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制度执行与监督是确保公司规章制度得到切实贯彻的重要环节。我们特别重视这一过程，通过成立专业的制度执行团队，致力于监察和评估公司各级制度的执行情况。该团队定期进行内部审核，深入各个部门开展审查，全面了解执行效果，并向高层管理层提供详尽的报告,以确保公司的各项规章制度得以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强化监督机制，我们鼓励员工积极参与。通过设立匿名举报机制，我们提供了一个安全、隐蔽的渠道，使员工能够自由反映制度执行中的问题。这种开放的沟通渠道有助于公司及时发现并解决潜在问题，同时也增强了员工对公司治理的信任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审查与交流，高层管理层能够深入了解制度执行的实际情况，并迅速制定必要的改进方案。这种多层次的监督机制不仅有助于维护公司内部秩序，也为公司整体治理水平的不断提升复定坚实基础。</w:t>
      </w:r>
    </w:p>
    <w:p>
      <w:pPr>
        <w:pStyle w:val="Heading2"/>
        <w:spacing w:line="480" w:lineRule="auto"/>
        <w:rPr>
          <w:rFonts w:ascii="宋体" w:eastAsia="宋体" w:hAnsi="宋体" w:cs="宋体" w:hint="eastAsia"/>
          <w:bCs w:val="0"/>
          <w:sz w:val="28"/>
          <w:szCs w:val="28"/>
          <w:lang w:eastAsia="zh-CN"/>
        </w:rPr>
      </w:pPr>
      <w:bookmarkStart w:id="10" w:name="_Toc13114"/>
      <w:r>
        <w:rPr>
          <w:rFonts w:ascii="宋体" w:eastAsia="宋体" w:hAnsi="宋体" w:cs="宋体" w:hint="eastAsia"/>
          <w:b/>
          <w:bCs w:val="0"/>
          <w:sz w:val="28"/>
          <w:szCs w:val="28"/>
          <w:lang w:eastAsia="zh-CN"/>
        </w:rPr>
        <w:t>(二)、制度优化与更新</w:t>
      </w:r>
      <w:bookmarkEnd w:id="10"/>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制度的优化与更新是公司持续发展的重要环节。我们将其视作一项策略任务，通过建立制度管理委员会来推动这一过程。委员会由各个部门的专业人员组成，负责定期审查公司的各项制度。这一审查不仅仅限于内部，还积极吸纳员工的建议和意见，融入外部专业观点，确保审查的全面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适应外部环境的变化和公司内部的发展需求,我们密切关注法规和压送机行业标准的变动。这种灵活性使得我们能够及时调整公司制度，确保其与时俱进。通过持续的制度优化与更新，我们致力于构建一个符合公司实际情况、富有弹性和活力的治理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度更新的过程中，我们注重与员工的沟通与合作。通过定期的培训和沟通会议，我们向员工解释新制度的背景和目的，提供详尽的操作指南，以确保员工能够理解和遵守新的规定。这种共同努力有助于强化员工对制度变化的接受度，为公司长期发展提供更为健康和稳定的制度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1" w:name="_Toc10088"/>
      <w:r>
        <w:rPr>
          <w:rFonts w:ascii="微软雅黑" w:eastAsia="微软雅黑" w:hAnsi="微软雅黑" w:cs="微软雅黑" w:hint="eastAsia"/>
          <w:color w:val="2E54A1" w:themeColor="accent1" w:themeShade="BF"/>
          <w:sz w:val="32"/>
          <w:szCs w:val="32"/>
          <w:lang w:eastAsia="zh-CN"/>
        </w:rPr>
        <w:t>三、压送机行业人力资源管理策略</w:t>
      </w:r>
      <w:bookmarkEnd w:id="11"/>
    </w:p>
    <w:p>
      <w:pPr>
        <w:pStyle w:val="Heading2"/>
        <w:spacing w:line="480" w:lineRule="auto"/>
        <w:rPr>
          <w:rFonts w:ascii="宋体" w:eastAsia="宋体" w:hAnsi="宋体" w:cs="宋体" w:hint="eastAsia"/>
          <w:bCs w:val="0"/>
          <w:sz w:val="28"/>
          <w:szCs w:val="28"/>
          <w:lang w:eastAsia="zh-CN"/>
        </w:rPr>
      </w:pPr>
      <w:bookmarkStart w:id="12" w:name="_Toc29010"/>
      <w:r>
        <w:rPr>
          <w:rFonts w:ascii="宋体" w:eastAsia="宋体" w:hAnsi="宋体" w:cs="宋体" w:hint="eastAsia"/>
          <w:b/>
          <w:bCs w:val="0"/>
          <w:sz w:val="28"/>
          <w:szCs w:val="28"/>
          <w:lang w:eastAsia="zh-CN"/>
        </w:rPr>
        <w:t>(一)、压送机行业人力资源管理原则</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1.择优而用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才招聘中，择优而用是确保企业长期成功的首要原则。通过细致入微的面试和评估流程,我们能够识别并吸引具备适应力、技能娴熟、经验丰富的候选人。这种选择最适合职位需求的方法，将为团队的协同工作和业务目标的实现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注重员工培训与发展是建设富有创造力和创新力团队的关键步骤。我们制定个性化的培训计划，以提高员工的专业技能，并通过提供职业发展通道,激发员工的学习热情,使其在职业生涯中持续进步。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3.公平薪酬体系</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建立公平合理的薪酬体系，是对员工贡献和表现的公正回报。我们致力于确保薪酬结构的透明度，以便员工理解薪酬决策的依据，激发其更高的工作积极性和创造力。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激励机制和奖励制度是激发员工积极性的有效手段。通过设立晋升机会、提供年终奖金、优厚的员工福利等，我们努力确保员工在公司取得显著成就时能够得到公平而有力的回报。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5.平等对待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在招聘、晋升、薪酬等决策中，我们始终坚持平等对待的原则，不受性别、年龄、种族、宗教信仰等因素的干扰。这有助于建立一个公正、平等的工作环境，吸引并留住多样化的人才。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6.工作生活平衡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我们关注员工的工作生活平衡，通过灵活的工作时间和假期政策，帮助员工更好地平衡工作和生活。这种关心有助于提高员工的工作满意度，增强员工对公司的忠诚度。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7.沟通透明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保持沟通的透明度对于员工的投入和理解至关重要。我们建立开放的沟通渠道，及时与员工分享公司的发展战略、目标和变化，以确保员工始终了解公司的方向和决策过程。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8.多元团队</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我们鼓励多元团队的建设，通过招聘具有不同背景、经验和观点的人才，创造一个充满创造力和创新力的工作环境。多元团队有助于更好地适应市场变化，提高公司的灵活性和竞争力。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9.员工参与与反馈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择优而用的原则中，员工参与与反馈是关键的环节。我们鼓励员工积极参与公司决策的过程,通过员工意见收集、定期座谈会等方式，倾听他们的声音，了解他们的需求和期望。这不仅有助于更好地满足员工的个体差异，还增加了员工对公司决策的理解和认同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10.灵活工作制度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培养与发展的过程中，我们致力于建立灵活的工作制度。理解每个员工的工作风格和生活需求,我们提供弹性的工作时间和远程办公选项。这种灵活性有助于员工更好地平衡工作和生活，提高他们的工作效率和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11.精神健康关怀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平薪酬体系的建立不仅涉及物质回报,也关乎员工的整体幸福感。因此，我们注重员工的精神健康。提供心理健康支持、灵活的工作安排以及定期的团队活动，有助于维护员工的心理健康，提高他们的工作积极性和生活品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12.创新激励机制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激励与奖励不仅体现在薪酬上，还包括对员工创新的认可。我们设立创新激励机制，奖励提出创意和优化方案的员工。这激发了员工的创造力，推动公司在不断变化的市场中保持竞争优势。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13.持续学习文化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在平等对待的基础上,我们倡导持续学习的文化。为员工提供不断学习的机会，包括专业培训、知识分享平台等。这有助于员工不断提升自己的专业技能，适应压送机行业和市场的快速变化。</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14.领导力培养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激励与奖励制度中，注重对内部领导力的培养。通过领导力培训计划、mentor制度等，我们培养和提升公司内部的领导层。强大的领导团队是公司持续发展的重要支撑。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15.社会责任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平等对待的原则承载了公司的社会责任。我们将社会责任融入企业文化，通过参与公益活动、环保倡议等方式，使员工参与到社会责任的实践中。这不仅有助于树立公司的良好社会形象，也让员工感到自己是一个更有意义的组织的一部分。</w:t>
      </w:r>
    </w:p>
    <w:p>
      <w:pPr>
        <w:pStyle w:val="Heading2"/>
        <w:spacing w:line="480" w:lineRule="auto"/>
        <w:rPr>
          <w:rFonts w:ascii="宋体" w:eastAsia="宋体" w:hAnsi="宋体" w:cs="宋体" w:hint="eastAsia"/>
          <w:bCs w:val="0"/>
          <w:sz w:val="28"/>
          <w:szCs w:val="28"/>
          <w:lang w:eastAsia="zh-CN"/>
        </w:rPr>
      </w:pPr>
      <w:bookmarkStart w:id="13" w:name="_Toc23395"/>
      <w:r>
        <w:rPr>
          <w:rFonts w:ascii="宋体" w:eastAsia="宋体" w:hAnsi="宋体" w:cs="宋体" w:hint="eastAsia"/>
          <w:b/>
          <w:bCs w:val="0"/>
          <w:sz w:val="28"/>
          <w:szCs w:val="28"/>
          <w:lang w:eastAsia="zh-CN"/>
        </w:rPr>
        <w:t>(二)、压送机行业劳动关系管理</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1.招聘与录用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计压送机行业人员配置方案时,我们首先聚焦于招聘与录用的关键步骤。明确每个职位的技能要求和角色职责,我们通过多渠道的招聘，如招聘网站、社交平台以及校园招聘，寻找适应性强、经验丰富、专业技能突出的候选人。通过细致的面试和评估程序，确保新员工的优质加入，为团队的多元化和协同工作翼定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2.员工培训与发展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素养和创新能力，我们关注员工培训与发展。制定全面的培训计划，结合内外部培训资源、专业课程和团队活动，提高员工的专业技能和团队协作水平。鼓励员工参与职业发展规划，为其提供晋升通道和跨部门学习机会,推动员工在职业生涯中的不断进步。</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3.薪酬与福利管理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公平透明的薪酬与福利管理是吸引和留住优秀人才的关键。建立绩效考核体系，将薪酬与员工贡献直接挂钩，确保员工对薪酬结构的理解和认同。提供丰富多样的福利待遇，包括灵活的工作制度、健康保险和员工活动,关注员工的全面福祉，提升员工对企业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4.绩效激励与奖励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关注绩效激励与奖励机制，我们通过设立明确的绩效评估标准，激发员工的工作积极性。每年的绩效评估中，提供公正的晋升机会、奖金和其他形式的奖励，以回报员工的出色表现，同时建立起积极的工作激励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5.团队建设与沟通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打造一个协调高效的压送机行业团队,我们实施了多层次的团队建设与沟通机制。定期组织团队活动、培训课程和座谈会，促进团队成员之间的相互了解和信任。建立了开放透明的沟通渠道，确保领导与团队之间能够进行有效的信息共享，提高团队的协同工作效率，推动整体业务发展。</w:t>
      </w:r>
    </w:p>
    <w:p>
      <w:pPr>
        <w:pStyle w:val="Heading2"/>
        <w:spacing w:line="480" w:lineRule="auto"/>
        <w:rPr>
          <w:rFonts w:ascii="宋体" w:eastAsia="宋体" w:hAnsi="宋体" w:cs="宋体" w:hint="eastAsia"/>
          <w:bCs w:val="0"/>
          <w:sz w:val="28"/>
          <w:szCs w:val="28"/>
          <w:lang w:eastAsia="zh-CN"/>
        </w:rPr>
      </w:pPr>
      <w:bookmarkStart w:id="14" w:name="_Toc21550"/>
      <w:r>
        <w:rPr>
          <w:rFonts w:ascii="宋体" w:eastAsia="宋体" w:hAnsi="宋体" w:cs="宋体" w:hint="eastAsia"/>
          <w:b/>
          <w:bCs w:val="0"/>
          <w:sz w:val="28"/>
          <w:szCs w:val="28"/>
          <w:lang w:eastAsia="zh-CN"/>
        </w:rPr>
        <w:t>(三)、压送机行业人员配置方案</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1.项目经理：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职责：负责项目的整体规划、执行和监控，协调项目团队的工作，确保项目目标的达成。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技能：项目管理经验、领导能力、沟通协调能力。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2.项目团队成员(根据项目需求而定，可能包括):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业务分析师：负责收集和分析业务需求，协助制定项目计划。</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开发人员：负责系统或产品的开发工作。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测试人员：负责测试和验证产品的功能和质量。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设计师：负责项目相关设计工作，可能包括图形设计、系统架构设计等。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3.技术支持团队：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职责：提供项目实施后的技术支持和维护服务。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技能：技术专业知识、解决问题的能力。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4.财务专员：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职责：负责项目预算的编制和监控，处理财务事务。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技能：财务管理知识、预算编制能力。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5.沟通协调员：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职责：负责内外部沟通，协调项目各方面工作。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技能：良好的沟通能力、团队协作能力。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请注意,具体的人员配置方案应该根据项目的具体情况进行调整和完善。</w:t>
      </w:r>
    </w:p>
    <w:p>
      <w:pPr>
        <w:pStyle w:val="Heading2"/>
        <w:spacing w:line="480" w:lineRule="auto"/>
        <w:rPr>
          <w:rFonts w:ascii="宋体" w:eastAsia="宋体" w:hAnsi="宋体" w:cs="宋体" w:hint="eastAsia"/>
          <w:bCs w:val="0"/>
          <w:sz w:val="28"/>
          <w:szCs w:val="28"/>
          <w:lang w:eastAsia="zh-CN"/>
        </w:rPr>
      </w:pPr>
      <w:bookmarkStart w:id="15" w:name="_Toc22918"/>
      <w:r>
        <w:rPr>
          <w:rFonts w:ascii="宋体" w:eastAsia="宋体" w:hAnsi="宋体" w:cs="宋体" w:hint="eastAsia"/>
          <w:b/>
          <w:bCs w:val="0"/>
          <w:sz w:val="28"/>
          <w:szCs w:val="28"/>
          <w:lang w:eastAsia="zh-CN"/>
        </w:rPr>
        <w:t>(四)、压送机行业员工招聘方案</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需求分析阶段,我们深入了解各部门的工作需求和业务规划，与部门经理和团队领导密切合作。通过详细的职位描述，我们明确每个职位的职责、技能要求和所需经验。这有助于确保招聘计划与公司的长期战略和短期目标保持一致。我们通过员工评估、团队规模评估和未来业务发展预测，量化招聘需求，确保新员工的加入对公司整体业务目标的达成起到积极作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2.制定招聘渠道</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招聘渠道时,我们采取多管齐下的策略,以确保覆盖面广，吸引到多样化的人才。除了利用传统的招聘网站和社交媒体平台，我们还积极参与压送机行业相关的招聘会和专业活动,以建立更紧密的原油行业联系。与此同时，我们与高校建立紧密的合作关系，通过校园招聘和实习项目，吸引优秀的新毕业生。通过这样的多渠道招聘策略，我们确保了招聘过程的多样性和全面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3.招聘流程设计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招聘流程的设计，以确保高效而有序的招聘过程。我们引入了招聘管理系统，通过自动化和信息化的手段，优化了招聘流程的各个环节。从简历筛选、面试安排到最终录用，每个步骤都有明确的流程和标准。我们注重与候选人的沟通，提供实时的反馈，以提升整体招聘体验。通过这样的设计，我们旨在降低招聘周期，吸引更多优秀的候选人加入我们的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4.员工培训计划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新员工能够快速适应公司文化和工作环境,我们制定了全面的员工培训计划。入职培训包括公司历史、价值观和团队文化的介绍，以及基础的工作规范培训。此外，我们提供专业技能培训，以帮助员工提高在特定领域的能力。我们强调团队协作和沟通技能的培养，以促进整个团队的协同工作。培训计划不仅关注新员工，也为现有员工提供定期的职业发展机会,确保每个员工在职业生涯中都能持续学习和成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5.薪酬福利设计</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薪酬福利设计方面，我们根据市场调研和员工需求，制定了灵活而具有竞争力的薪酬体系。我们关注压送机行业薪酬水平，确保员工的薪酬符合市场标准。同时，我们提供全面的福利待遇，包括健康保险、弹性工作制度、员工活动和奖励计划等。这样的薪酬福利体系有助于吸引高素质的人才，并提高员工的工作满意度，增强员工对公司的忠诚度。</w:t>
      </w:r>
    </w:p>
    <w:p>
      <w:pPr>
        <w:pStyle w:val="Heading2"/>
        <w:spacing w:line="480" w:lineRule="auto"/>
        <w:rPr>
          <w:rFonts w:ascii="宋体" w:eastAsia="宋体" w:hAnsi="宋体" w:cs="宋体" w:hint="eastAsia"/>
          <w:bCs w:val="0"/>
          <w:sz w:val="28"/>
          <w:szCs w:val="28"/>
          <w:lang w:eastAsia="zh-CN"/>
        </w:rPr>
      </w:pPr>
      <w:bookmarkStart w:id="16" w:name="_Toc31816"/>
      <w:r>
        <w:rPr>
          <w:rFonts w:ascii="宋体" w:eastAsia="宋体" w:hAnsi="宋体" w:cs="宋体" w:hint="eastAsia"/>
          <w:b/>
          <w:bCs w:val="0"/>
          <w:sz w:val="28"/>
          <w:szCs w:val="28"/>
          <w:lang w:eastAsia="zh-CN"/>
        </w:rPr>
        <w:t>(五)、压送机行业绩效和薪酬管理方案</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1.绩效管理方案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管理是确保员工个体和团队整体能够达到最佳工作水平的关键工具。我们采用全面的绩效管理方案，包括目标设定、定期评估和反馈机制。首先，与员工一起设定明确的工作目标，确保每个人都理解公司的期望和个人职责。定期的评估过程不仅关注成果，还注重员工的行为和发展。我们鼓励员工参与自我评估，促进对个人成长的深刻思考。此外，为了提高绩效管理的透明度，我们建立了开放式的绩效反馈机制，鼓励员工与管理层进行有意义的对话，共同制定未来发展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2.薪酬管理方案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薪酬管理方案旨在建立公正、透明和激励的激励体系。首先，我们根据市场薪酬水平进行详尽的调研，确保我们的薪酬体系具有竞争力。薪酬结构考虑了员工的职位、经验、绩效和市场条件等多方面因素，以确保员工获得公正的回报。我们注重薪酬的激励性，设立了与绩效挂钩的奖励机制，对于表现优异的员工提供额外激励。同时，我们也关注员工的福利待遇，提供全面的福利计划，包括健康保险、带薪休假和培训发展等，以提高员工的整体生活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3.激励与奖励机制</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机制是我们绩效和薪酬管理方案的重要组成部分。我们设立了灵活而有力的激励机制，通过明确的绩效评估，对表现优秀的员工提供额外奖金和晋升机会。激励不仅关注个体，还包括团队和部门水平的表现。我们注重公平，确保激励机制的透明度，使员工能够理解奖励决策的依据。激励计划还包括非金钱方面的奖励，如员工活动、团队建设和专业培训等，以综合提升员工的工作满意度和团队凝聚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4.职业发展计划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业发展计划是我们绩效和薪酬管理方案的关键元素之一。我们致力于为员工提供广阔的职业发展通道，通过内部晋升、横向发展和专业培训等方式，帮助员工不断提升职业能力。我们与员工共同制定个性化的职业发展计划，明确目标和发展方向。此外，我们鼓励员工参与跨部门和跨项目的合作，促进知识交流和技能共享。通过这样的职业发展计划，我们旨在激发员工的学习热情，增强他们在公司内部的归属感和成就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5.沟通与反馈机制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良好的沟通与反馈机制是绩效和薪酬管理的支持系统。我们建立了定期的沟通渠道，包括一对一会议、团队会议和公司大会等。通过这些渠道，员工能够与领导直接沟通，分享工作中的困惑和挑战。我们注重双向反馈，鼓励员工提出改进建议，同时及时向员工提供有针对性的反馈，帮助他们更好地了解自己的工作表现和发展方向。沟通与反馈机制有助于建立开放、透明的工作氛围，提高员工对绩效和薪酬管理的满意度。</w:t>
      </w:r>
    </w:p>
    <w:p>
      <w:pPr>
        <w:pStyle w:val="Heading2"/>
        <w:spacing w:line="480" w:lineRule="auto"/>
        <w:rPr>
          <w:rFonts w:ascii="宋体" w:eastAsia="宋体" w:hAnsi="宋体" w:cs="宋体" w:hint="eastAsia"/>
          <w:bCs w:val="0"/>
          <w:sz w:val="28"/>
          <w:szCs w:val="28"/>
          <w:lang w:eastAsia="zh-CN"/>
        </w:rPr>
      </w:pPr>
      <w:bookmarkStart w:id="17" w:name="_Toc13783"/>
      <w:r>
        <w:rPr>
          <w:rFonts w:ascii="宋体" w:eastAsia="宋体" w:hAnsi="宋体" w:cs="宋体" w:hint="eastAsia"/>
          <w:b/>
          <w:bCs w:val="0"/>
          <w:sz w:val="28"/>
          <w:szCs w:val="28"/>
          <w:lang w:eastAsia="zh-CN"/>
        </w:rPr>
        <w:t>(六)、压送机行业员工福利管理方案</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1.健康保险计划</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我们提供全面的健康保险计划，覆盖员工及其家庭成员。这包括基本的医疗保健、牙科和视力保健。我们致力于为员工提供全方位的健康保障,确保在生病或有医疗需求时能够得到及时且负担得起的医疗服务。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2.带薪休假政策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我们采用灵活的带薪休假政策，鼓励员工在需要时取得休息。这包括年度带薪假期、病假和特殊假期。我们理解员工在工作与生活之间需要平衡，因此提供合理的休假政策，以确保员工的身心健康和工作动力。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3.弹性工作时间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为了更好地满足员工的工作生活平衡需求,我们推行弹性工作时间制度。员工可以根据个人情况调整工作时间，更好地安排工作和生活。这种弹性工作制度有助于提高员工的工作满意度和生产力。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4.学习与发展支持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我们提供全面的学习与发展支持，包括专业培训、进修课程和参与外部研讨会的机会。通过这些学习渠道，员工可以不断提升自己的专业能力，适应压送机行业的发展变化，实现个人职业目标。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5.团队建设活动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为了促进员工之间的合作与团队精神,我们组织各类团队建设活动。这可能包括团队旅行、户外拓展活动、庆祝活动等。这些活动不仅加强了员工之间的联系，也提高了整体工作氛围。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6.职业发展规划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我们为每位员工制定个性化的职业发展规划,与员工共同探讨未来的职业道路和目标。这有助于员工更好地了解自己的职业发展方向，明确发展目标，并制定实现这些目标的计划。</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7.灵活工作安排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我们支持员工采用灵活的工作安排，如远程办公和分时工作。这种灵活性有助于员工更好地平衡工作和生活，提高工作效率，同时为员工创造更加宽松的工作环境。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8.员工福利平台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我们建立了员工福利平台，涵盖各类优惠和福利。从购物、旅游到文化娱乐，员工可以通过平台享受到丰富的福利待遇，增强其对公司的归属感和满意度。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这些员工福利管理方案不仅有助于提高员工的生活质量，还加强了员工对公司的忠诚度和工作积极性。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8" w:name="_Toc13591"/>
      <w:r>
        <w:rPr>
          <w:rFonts w:ascii="微软雅黑" w:eastAsia="微软雅黑" w:hAnsi="微软雅黑" w:cs="微软雅黑" w:hint="eastAsia"/>
          <w:color w:val="2E54A1" w:themeColor="accent1" w:themeShade="BF"/>
          <w:sz w:val="32"/>
          <w:szCs w:val="32"/>
          <w:lang w:eastAsia="zh-CN"/>
        </w:rPr>
        <w:t>四、项目实施与进度安排</w:t>
      </w:r>
      <w:bookmarkEnd w:id="18"/>
    </w:p>
    <w:p>
      <w:pPr>
        <w:pStyle w:val="Heading2"/>
        <w:spacing w:line="480" w:lineRule="auto"/>
        <w:rPr>
          <w:rFonts w:ascii="宋体" w:eastAsia="宋体" w:hAnsi="宋体" w:cs="宋体" w:hint="eastAsia"/>
          <w:bCs w:val="0"/>
          <w:sz w:val="28"/>
          <w:szCs w:val="28"/>
          <w:lang w:eastAsia="zh-CN"/>
        </w:rPr>
      </w:pPr>
      <w:bookmarkStart w:id="19" w:name="_Toc16187"/>
      <w:r>
        <w:rPr>
          <w:rFonts w:ascii="宋体" w:eastAsia="宋体" w:hAnsi="宋体" w:cs="宋体" w:hint="eastAsia"/>
          <w:b/>
          <w:bCs w:val="0"/>
          <w:sz w:val="28"/>
          <w:szCs w:val="28"/>
          <w:lang w:eastAsia="zh-CN"/>
        </w:rPr>
        <w:t>(一)、项目计划与时间节点</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明确目标与任务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项目计划时，首要任务是明确项目的长期和短期目标。这包括确立项目的整体愿景、使命和核心价值观。同时，将项目分解为可管理的任务，明确每个任务的具体目标，确保它们对整个项目的成功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任务分解和依赖关系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将整个项目分解为更小的任务单元，以便更好地管理和掌控。每个任务都应该有清晰的开始和结束时间,以及明确的交付成果。同时，要注意任务之间的依赖关系，确保前置任务完成后，后续任务能够按计划开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资源规划</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项目计划的成功执行离不开充足的资源支持。在这一阶段，需要详细规划项目所需的人力、物力和财力资源。确保项目团队的组成与任务的要求相匹配，同时合理安排预算和物资采购，以保证项目的顺利推进。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时间节点制定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时间节点是项目计划中的里程碑,对整个项目的时间进度进行合理规划至关重要。明确项目开始和结束的时间，设定关键任务的截止日期,确保整个项目能够按照既定计划有序进行。在设定时间节点时，要考虑各项任务的复杂程度、风险因素以及团队的工作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X月X日：项目启动，发布项目计划，团队成员熟悉任务分配。X月X日：完成项目目标细化和任务分解，形成初步任务清单。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X月X日：完成供应商选择和资源规划，确保项目所需资源的可用性。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X月X日：设定项目的关键时间节点，包括开始和结束日期。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X月X日：建立进度监控机制，确保任务按计划有序推进。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进度监控机制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有效的进度监控机制是保障项目按计划进行的关键。利用项目管理工具和技术，实时追踪任务的完成情况，及时发现和解决可能导致项目延误的问题。持续的监控有助于团队对项目进度保持敏感，从而更好地做好调整和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调整优化和团队协作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实施过程中，可能会遇到各种挑战和变化。因此，需要定期评估项目的实际进展，并根据需要进行调整和优化。同时，促进团队之间的协作与沟通，确保信息的畅通和团队成员的协同工作，以保障任务的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决策机制</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制定明确的决策机制是在项目执行过程中迅速应对问题的关键。明确决策的流程和责任人,确保在需要时能够做出及时而明智的决策，以维护项目的正常推进。</w:t>
      </w:r>
    </w:p>
    <w:p>
      <w:pPr>
        <w:pStyle w:val="Heading2"/>
        <w:spacing w:line="480" w:lineRule="auto"/>
        <w:rPr>
          <w:rFonts w:ascii="宋体" w:eastAsia="宋体" w:hAnsi="宋体" w:cs="宋体" w:hint="eastAsia"/>
          <w:bCs w:val="0"/>
          <w:sz w:val="28"/>
          <w:szCs w:val="28"/>
          <w:lang w:eastAsia="zh-CN"/>
        </w:rPr>
      </w:pPr>
      <w:bookmarkStart w:id="20" w:name="_Toc9750"/>
      <w:r>
        <w:rPr>
          <w:rFonts w:ascii="宋体" w:eastAsia="宋体" w:hAnsi="宋体" w:cs="宋体" w:hint="eastAsia"/>
          <w:b/>
          <w:bCs w:val="0"/>
          <w:sz w:val="28"/>
          <w:szCs w:val="28"/>
          <w:lang w:eastAsia="zh-CN"/>
        </w:rPr>
        <w:t>(二)、项目进度安排</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项目启动阶段：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X月X日X月X日：项目启动会议，明确项目目标、范围和团队成员的角色。</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X月X日X月X日：制定项目计划，明确时间节点和关键任务。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项目规划阶段：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X月X日X月X日：完成项目的详细规划，包括目标分解、任务分配和资源规划。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X月X日X月X日：制定风险管理计划，识别潜在风险并制定应对策略。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X月X日X月X日：确定项目的财务管理计划，包括预算编制和资金安排。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项目执行阶段：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X月X日X月X日：开展人力资源培训，确保团队成员了解其任务和项目目标。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X月X日X月X日：开始供应链管理，与供应商建立合作关系，确保资源的及时供应。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X月X日X月X日：进行项目实施，按照任务计划有序推进。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项目监控与调整阶段：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X月X日X月X日：启动项目进度监控机制，及时发现和解决任务推进中的问题。</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X月X日X月X日：定期召开项目进展会议，评估项目的实际进展，并进行调整和优化。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X月X日X月X日：处理项目中出现的风险，采取相应的对策，确保项目不受不良因素影响。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项目收尾阶段：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X月X日X月X日：完成项目的交付物，确保交付符合质量标准。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X月X日X月X日：进行项目总结和验收，收集团队成员的反馈。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X月X日X月X日：形成项目总结报告，记录项目的成功经验和不足之处。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团队协作和信息沟通：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全程：保持团队的高效协作，建立畅通的信息沟通渠道，确保信息的及时传递。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以上时间节点仅为示例，实际项目进度安排需根据项目性质、规模和团队成员的工作效率等因素进行调整。在整个项目实施过程中，不断监控、调整和协作是确保项目按计划进行的关键因素。</w:t>
      </w:r>
    </w:p>
    <w:p>
      <w:pPr>
        <w:pStyle w:val="Heading2"/>
        <w:spacing w:line="480" w:lineRule="auto"/>
        <w:rPr>
          <w:rFonts w:ascii="宋体" w:eastAsia="宋体" w:hAnsi="宋体" w:cs="宋体" w:hint="eastAsia"/>
          <w:bCs w:val="0"/>
          <w:sz w:val="28"/>
          <w:szCs w:val="28"/>
          <w:lang w:eastAsia="zh-CN"/>
        </w:rPr>
      </w:pPr>
      <w:bookmarkStart w:id="21" w:name="_Toc19165"/>
      <w:r>
        <w:rPr>
          <w:rFonts w:ascii="宋体" w:eastAsia="宋体" w:hAnsi="宋体" w:cs="宋体" w:hint="eastAsia"/>
          <w:b/>
          <w:bCs w:val="0"/>
          <w:sz w:val="28"/>
          <w:szCs w:val="28"/>
          <w:lang w:eastAsia="zh-CN"/>
        </w:rPr>
        <w:t>(三)、风险管理与对策</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1.人员变动风险：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风险描述：项目团队成员可能因各种原因离职或调动，导致项目推进受阻。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对策：建立团队备份计划，确保每个关键职位都有备选人选，并进行知识共享和培训，降低人员变动对项目的负面影响。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2.技术难题风险：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风险描述：在项目实施过程中，可能会遇到技术上的难题，导致项目延误。</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sz w:val="24"/>
          <w:szCs w:val="24"/>
          <w:lang w:eastAsia="zh-CN"/>
        </w:rPr>
        <w:t>对策：在项目启动阶段进行充分的技术评估，明确技术难点，并在团队中设置专业技术小组，及时解决技术问题，确保项目按时推进。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3.供应链中断风险：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风险描述：由于供应商问题或其他原因，供应链可能出现中断，影响到项目进度。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对策：建立备用供应商名单，保持与多个供应商的合作关系，确保有备用资源可供调动，以降低供应链中断对项目的不利影响。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4.预算超支风险：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风险描述：项目在实施过程中可能面临预算超支的风险，导致项目无法按计划完成。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对策：制定详细的预算计划，定期进行预算核算，确保项目资金的有效利用，及时发现并处理潜在的超支情况。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5.法律法规变更风险：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风险描述：项目所在地的法律法规可能会发生变更，影响项目的合规性。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对策：设立法务团队，密切关注相关法规的变化，定期进行法律风险评估，确保项目的合法合规性。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6.沟通与协作风险：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风险描述：团队成员之间沟通不畅，信息传递存在误差，导致项目进度不同步。</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宋体" w:eastAsia="宋体" w:hAnsi="宋体" w:cs="宋体" w:hint="eastAsia"/>
          <w:sz w:val="24"/>
          <w:szCs w:val="24"/>
          <w:lang w:eastAsia="zh-CN"/>
        </w:rPr>
        <w:t>对策：建立明确的沟通渠道和协作机制，定期组织团队会议，使用专业的项目管理工具，确保信息畅通，提高团队合作效率。</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2" w:name="_Toc21748"/>
      <w:r>
        <w:rPr>
          <w:rFonts w:ascii="微软雅黑" w:eastAsia="微软雅黑" w:hAnsi="微软雅黑" w:cs="微软雅黑" w:hint="eastAsia"/>
          <w:color w:val="2E54A1" w:themeColor="accent1" w:themeShade="BF"/>
          <w:sz w:val="32"/>
          <w:szCs w:val="32"/>
          <w:lang w:eastAsia="zh-CN"/>
        </w:rPr>
        <w:t>五、制度建设与管理</w:t>
      </w:r>
      <w:bookmarkEnd w:id="22"/>
    </w:p>
    <w:p>
      <w:pPr>
        <w:pStyle w:val="Heading2"/>
        <w:spacing w:line="480" w:lineRule="auto"/>
        <w:rPr>
          <w:rFonts w:ascii="宋体" w:eastAsia="宋体" w:hAnsi="宋体" w:cs="宋体" w:hint="eastAsia"/>
          <w:bCs w:val="0"/>
          <w:sz w:val="28"/>
          <w:szCs w:val="28"/>
          <w:lang w:eastAsia="zh-CN"/>
        </w:rPr>
      </w:pPr>
      <w:bookmarkStart w:id="23" w:name="_Toc26"/>
      <w:r>
        <w:rPr>
          <w:rFonts w:ascii="宋体" w:eastAsia="宋体" w:hAnsi="宋体" w:cs="宋体" w:hint="eastAsia"/>
          <w:b/>
          <w:bCs w:val="0"/>
          <w:sz w:val="28"/>
          <w:szCs w:val="28"/>
          <w:lang w:eastAsia="zh-CN"/>
        </w:rPr>
        <w:t>(一)、公司治理结构</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结构的建设中，我们坚持科学合理的原则，通过精心设计的治理框架，确保公司内部管理层次清晰，权责明晰。通过这一结构，我们在公司的各个层级建立了有效的沟通和反馈机制，使得信息能够迅速传递，决策能够得到及时的执行。高效透明的治理体系是公司健康发展的基石，我们追求创新，不断引入现代治理理念，确保公司在竞争激烈的市场环境中保持灵活性和应变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治理结构的科学建设也在于为公司各层级提供明确的指导和监督机制。通过规范的公司治理程序，我们确保公司各级管理层都能够明白公司的整体战略和目标,以及自身在这个体系中的具体职责。这不仅有助于激发每个管理层的积极性,更有助于实现整个公司的协同运作。同时，监督机制的建立让公司管理更具透明性，确保了决策的合法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在公司治理方面不仅注重结构的完备，更注重其创新性。随着市场和公司自身的发展，我们不断优化治理机制，引入先进的管理理念和方法，以适应不断变化的环境。这种创新性的治理结构使公司能够更好地应对挑战，更灵活地调整战略，更高效地运营。</w:t>
      </w:r>
    </w:p>
    <w:p>
      <w:pPr>
        <w:spacing w:line="480" w:lineRule="auto"/>
        <w:ind w:firstLine="420" w:firstLineChars="0"/>
        <w:rPr>
          <w:rFonts w:ascii="宋体" w:eastAsia="宋体" w:hAnsi="宋体" w:cs="宋体" w:hint="eastAsia"/>
          <w:sz w:val="24"/>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sz w:val="24"/>
          <w:szCs w:val="24"/>
          <w:lang w:eastAsia="zh-CN"/>
        </w:rPr>
        <w:t>在整个公司治理结构建设的过程中,我们将一切努力都用于确保公司能够在不断变化的商业环境中保持竞争力。高效透明、科学创新的治理体系为公司提供了强大的支持，使得我们能够更好地实现公司战略目标，确保公司长期稳健发展。</w:t>
      </w:r>
    </w:p>
    <w:p>
      <w:pPr>
        <w:pStyle w:val="Heading2"/>
        <w:spacing w:line="480" w:lineRule="auto"/>
        <w:rPr>
          <w:rFonts w:ascii="宋体" w:eastAsia="宋体" w:hAnsi="宋体" w:cs="宋体" w:hint="eastAsia"/>
          <w:bCs w:val="0"/>
          <w:sz w:val="28"/>
          <w:szCs w:val="28"/>
          <w:lang w:eastAsia="zh-CN"/>
        </w:rPr>
      </w:pPr>
      <w:bookmarkStart w:id="24" w:name="_Toc19036"/>
      <w:r>
        <w:rPr>
          <w:rFonts w:ascii="宋体" w:eastAsia="宋体" w:hAnsi="宋体" w:cs="宋体" w:hint="eastAsia"/>
          <w:b/>
          <w:bCs w:val="0"/>
          <w:sz w:val="28"/>
          <w:szCs w:val="28"/>
          <w:lang w:eastAsia="zh-CN"/>
        </w:rPr>
        <w:t>(二)、内部控制与审计</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控制与审计在公司的持续稳健经营中扮演着至关重要的角色。我们不仅建立了严谨完善的内部控制制度，还通过科学合理的内部流程和规范来确保公司各项运营活动的合规性和规范性。内部控制的建立不仅仅是为了规遍管理，更是为了预防潜在的风险，保障公司业务的可持续性。通过明确的职责分工和审批流程，我们建立了一个严密的内部控制网络，以确保公司在日常运营中不受到内部瑕疵的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加全面地了解和评估公司的内部运营情况,我们实施定期的内部审计。通过这一审计过程，我们对公司内部控制的有效性进行评估，及时发现潜在的问题并加以解决。内部审计不仅关注业务过程的执行，还关注财务信息的真实性和准确性。通过审计，我们确保公司财务报告的透明度和准确性,提高了决策的科学性和公司的整体运营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控制与审计的相互配合形成了一个相对完备的监督和检查体系。内部控制是日常运营的保障，而审计则是对内控有效性的验证和完善。通过这两者的有机结合，我们能够更全面地把握公司的运营状况，及时纠正存在的问题，降低内部操作风险，确保公司运营活动的正常有序进行。内部控制与审计的不断完善与提升将持续推动公司的持续稳健经营。</w:t>
      </w:r>
    </w:p>
    <w:p>
      <w:pPr>
        <w:pStyle w:val="Heading2"/>
        <w:spacing w:line="480" w:lineRule="auto"/>
        <w:rPr>
          <w:rFonts w:ascii="宋体" w:eastAsia="宋体" w:hAnsi="宋体" w:cs="宋体" w:hint="eastAsia"/>
          <w:bCs w:val="0"/>
          <w:sz w:val="28"/>
          <w:szCs w:val="28"/>
          <w:lang w:eastAsia="zh-CN"/>
        </w:rPr>
      </w:pPr>
      <w:bookmarkStart w:id="25" w:name="_Toc20648"/>
      <w:r>
        <w:rPr>
          <w:rFonts w:ascii="宋体" w:eastAsia="宋体" w:hAnsi="宋体" w:cs="宋体" w:hint="eastAsia"/>
          <w:b/>
          <w:bCs w:val="0"/>
          <w:sz w:val="28"/>
          <w:szCs w:val="28"/>
          <w:lang w:eastAsia="zh-CN"/>
        </w:rPr>
        <w:t>(三)、法律法规合规体系</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https://d.book118.com/785323003012011042</w:t>
        </w:r>
      </w:hyperlink>
    </w:p>
    <w:p>
      <w:pPr>
        <w:spacing w:line="480" w:lineRule="auto"/>
        <w:ind w:firstLine="420" w:firstLineChars="0"/>
        <w:rPr>
          <w:rFonts w:ascii="宋体" w:eastAsia="宋体" w:hAnsi="宋体" w:cs="宋体" w:hint="eastAsia"/>
          <w:sz w:val="24"/>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5EF07D6E"/>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85323003012011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2024-01-13T11:46:50Z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