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黑体" w:eastAsia="黑体" w:hAnsi="黑体"/>
          <w:bCs/>
          <w:color w:val="000000" w:themeColor="text1"/>
          <w:sz w:val="48"/>
          <w:szCs w:val="48"/>
          <w14:textFill>
            <w14:solidFill>
              <w14:schemeClr w14:val="tx1"/>
            </w14:solidFill>
          </w14:textFill>
        </w:rPr>
      </w:pPr>
      <w:bookmarkStart w:id="0" w:name="_Toc148518254"/>
      <w:bookmarkStart w:id="1" w:name="_Toc148518159"/>
      <w:bookmarkStart w:id="2" w:name="_Toc148510531"/>
      <w:bookmarkStart w:id="3" w:name="_Toc148510427"/>
      <w:bookmarkStart w:id="4" w:name="_Toc148520818"/>
      <w:bookmarkStart w:id="5" w:name="_Toc148513585"/>
      <w:bookmarkStart w:id="6" w:name="_Toc148518064"/>
    </w:p>
    <w:p>
      <w:pPr>
        <w:jc w:val="center"/>
        <w:rPr>
          <w:rFonts w:ascii="黑体" w:eastAsia="黑体" w:hAnsi="黑体"/>
          <w:bCs/>
          <w:color w:val="000000" w:themeColor="text1"/>
          <w:sz w:val="48"/>
          <w:szCs w:val="48"/>
          <w14:textFill>
            <w14:solidFill>
              <w14:schemeClr w14:val="tx1"/>
            </w14:solidFill>
          </w14:textFill>
        </w:rPr>
      </w:pPr>
    </w:p>
    <w:p>
      <w:pPr>
        <w:jc w:val="center"/>
        <w:rPr>
          <w:rFonts w:ascii="黑体" w:eastAsia="黑体" w:hAnsi="黑体"/>
          <w:bCs/>
          <w:color w:val="000000" w:themeColor="text1"/>
          <w:sz w:val="48"/>
          <w:szCs w:val="48"/>
          <w14:textFill>
            <w14:solidFill>
              <w14:schemeClr w14:val="tx1"/>
            </w14:solidFill>
          </w14:textFill>
        </w:rPr>
      </w:pPr>
    </w:p>
    <w:p>
      <w:pPr>
        <w:snapToGrid w:val="0"/>
        <w:spacing w:line="360" w:lineRule="auto"/>
        <w:jc w:val="center"/>
        <w:rPr>
          <w:rFonts w:ascii="黑体" w:eastAsia="黑体" w:hAnsi="黑体"/>
          <w:bCs/>
          <w:color w:val="000000" w:themeColor="text1"/>
          <w:sz w:val="48"/>
          <w:szCs w:val="48"/>
          <w14:textFill>
            <w14:solidFill>
              <w14:schemeClr w14:val="tx1"/>
            </w14:solidFill>
          </w14:textFill>
        </w:rPr>
      </w:pPr>
      <w:r>
        <w:rPr>
          <w:rFonts w:ascii="黑体" w:eastAsia="黑体" w:hAnsi="黑体"/>
          <w:bCs/>
          <w:color w:val="000000" w:themeColor="text1"/>
          <w:sz w:val="48"/>
          <w:szCs w:val="48"/>
          <w14:textFill>
            <w14:solidFill>
              <w14:schemeClr w14:val="tx1"/>
            </w14:solidFill>
          </w14:textFill>
        </w:rPr>
        <w:t>储能用</w:t>
      </w:r>
      <w:r>
        <w:rPr>
          <w:rFonts w:ascii="黑体" w:eastAsia="黑体" w:hAnsi="黑体" w:hint="eastAsia"/>
          <w:bCs/>
          <w:color w:val="000000" w:themeColor="text1"/>
          <w:sz w:val="48"/>
          <w:szCs w:val="48"/>
          <w14:textFill>
            <w14:solidFill>
              <w14:schemeClr w14:val="tx1"/>
            </w14:solidFill>
          </w14:textFill>
        </w:rPr>
        <w:t>固态铅</w:t>
      </w:r>
      <w:r>
        <w:rPr>
          <w:rFonts w:ascii="黑体" w:eastAsia="黑体" w:hAnsi="黑体"/>
          <w:bCs/>
          <w:color w:val="000000" w:themeColor="text1"/>
          <w:sz w:val="48"/>
          <w:szCs w:val="48"/>
          <w14:textFill>
            <w14:solidFill>
              <w14:schemeClr w14:val="tx1"/>
            </w14:solidFill>
          </w14:textFill>
        </w:rPr>
        <w:t>电池</w:t>
      </w:r>
      <w:bookmarkEnd w:id="0"/>
      <w:bookmarkEnd w:id="1"/>
      <w:bookmarkEnd w:id="2"/>
      <w:bookmarkEnd w:id="3"/>
      <w:bookmarkEnd w:id="4"/>
      <w:bookmarkEnd w:id="5"/>
      <w:bookmarkEnd w:id="6"/>
    </w:p>
    <w:p>
      <w:pPr>
        <w:snapToGrid w:val="0"/>
        <w:spacing w:line="360" w:lineRule="auto"/>
        <w:jc w:val="center"/>
        <w:rPr>
          <w:rFonts w:eastAsia="黑体"/>
          <w:bCs/>
          <w:color w:val="000000"/>
          <w:sz w:val="28"/>
          <w:szCs w:val="28"/>
        </w:rPr>
      </w:pPr>
      <w:r>
        <w:rPr>
          <w:rFonts w:eastAsia="黑体" w:hint="eastAsia"/>
          <w:bCs/>
          <w:color w:val="000000"/>
          <w:sz w:val="28"/>
          <w:szCs w:val="28"/>
        </w:rPr>
        <w:t>OPzV Acid-free Solid State Battery</w:t>
      </w:r>
    </w:p>
    <w:p>
      <w:pPr>
        <w:pStyle w:val="a2"/>
        <w:tabs>
          <w:tab w:val="center" w:pos="4201"/>
          <w:tab w:val="right" w:leader="dot" w:pos="9298"/>
        </w:tabs>
        <w:ind w:firstLine="0" w:firstLineChars="0"/>
        <w:jc w:val="center"/>
        <w:rPr>
          <w:rFonts w:hint="eastAsia"/>
          <w:bCs/>
        </w:rPr>
      </w:pPr>
      <w:r>
        <w:rPr>
          <w:rFonts w:hint="eastAsia"/>
          <w:bCs/>
          <w:color w:val="000000"/>
        </w:rPr>
        <w:t>（征求意见稿）</w:t>
      </w:r>
    </w:p>
    <w:p>
      <w:pPr>
        <w:pStyle w:val="a22"/>
        <w:rPr>
          <w:color w:val="000000" w:themeColor="text1"/>
          <w14:textFill>
            <w14:solidFill>
              <w14:schemeClr w14:val="tx1"/>
            </w14:solidFill>
          </w14:textFill>
        </w:rPr>
      </w:pPr>
    </w:p>
    <w:p>
      <w:pPr>
        <w:pStyle w:val="a22"/>
        <w:rPr>
          <w:color w:val="000000" w:themeColor="text1"/>
          <w14:textFill>
            <w14:solidFill>
              <w14:schemeClr w14:val="tx1"/>
            </w14:solidFill>
          </w14:textFill>
        </w:rPr>
      </w:pPr>
    </w:p>
    <w:p>
      <w:pPr>
        <w:pStyle w:val="a22"/>
        <w:rPr>
          <w:color w:val="000000" w:themeColor="text1"/>
          <w14:textFill>
            <w14:solidFill>
              <w14:schemeClr w14:val="tx1"/>
            </w14:solidFill>
          </w14:textFill>
        </w:rPr>
      </w:pPr>
    </w:p>
    <w:p>
      <w:pPr>
        <w:pStyle w:val="a22"/>
        <w:rPr>
          <w:color w:val="000000" w:themeColor="text1"/>
          <w14:textFill>
            <w14:solidFill>
              <w14:schemeClr w14:val="tx1"/>
            </w14:solidFill>
          </w14:textFill>
        </w:rPr>
      </w:pPr>
    </w:p>
    <w:p>
      <w:pPr>
        <w:pStyle w:val="a22"/>
        <w:rPr>
          <w:color w:val="000000" w:themeColor="text1"/>
          <w14:textFill>
            <w14:solidFill>
              <w14:schemeClr w14:val="tx1"/>
            </w14:solidFill>
          </w14:textFill>
        </w:rPr>
      </w:pPr>
    </w:p>
    <w:p>
      <w:pPr>
        <w:pStyle w:val="a22"/>
        <w:rPr>
          <w:color w:val="000000" w:themeColor="text1"/>
          <w14:textFill>
            <w14:solidFill>
              <w14:schemeClr w14:val="tx1"/>
            </w14:solidFill>
          </w14:textFill>
        </w:rPr>
      </w:pPr>
    </w:p>
    <w:p>
      <w:pPr>
        <w:pStyle w:val="a22"/>
        <w:rPr>
          <w:color w:val="000000" w:themeColor="text1"/>
          <w14:textFill>
            <w14:solidFill>
              <w14:schemeClr w14:val="tx1"/>
            </w14:solidFill>
          </w14:textFill>
        </w:rPr>
      </w:pPr>
    </w:p>
    <w:p>
      <w:pPr>
        <w:pStyle w:val="a22"/>
        <w:rPr>
          <w:color w:val="000000" w:themeColor="text1"/>
          <w14:textFill>
            <w14:solidFill>
              <w14:schemeClr w14:val="tx1"/>
            </w14:solidFill>
          </w14:textFill>
        </w:rPr>
      </w:pPr>
    </w:p>
    <w:p>
      <w:pPr>
        <w:pStyle w:val="a22"/>
        <w:rPr>
          <w:color w:val="000000" w:themeColor="text1"/>
          <w14:textFill>
            <w14:solidFill>
              <w14:schemeClr w14:val="tx1"/>
            </w14:solidFill>
          </w14:textFill>
        </w:rPr>
      </w:pPr>
    </w:p>
    <w:p>
      <w:pPr>
        <w:pStyle w:val="a22"/>
        <w:rPr>
          <w:color w:val="000000" w:themeColor="text1"/>
          <w14:textFill>
            <w14:solidFill>
              <w14:schemeClr w14:val="tx1"/>
            </w14:solidFill>
          </w14:textFill>
        </w:rPr>
      </w:pPr>
    </w:p>
    <w:p>
      <w:pPr>
        <w:pStyle w:val="a22"/>
        <w:rPr>
          <w:color w:val="000000" w:themeColor="text1"/>
          <w14:textFill>
            <w14:solidFill>
              <w14:schemeClr w14:val="tx1"/>
            </w14:solidFill>
          </w14:textFill>
        </w:rPr>
      </w:pPr>
    </w:p>
    <w:p>
      <w:pPr>
        <w:pStyle w:val="a22"/>
        <w:rPr>
          <w:color w:val="000000" w:themeColor="text1"/>
          <w14:textFill>
            <w14:solidFill>
              <w14:schemeClr w14:val="tx1"/>
            </w14:solidFill>
          </w14:textFill>
        </w:rPr>
      </w:pPr>
    </w:p>
    <w:p>
      <w:pPr>
        <w:pStyle w:val="a22"/>
        <w:rPr>
          <w:color w:val="000000" w:themeColor="text1"/>
          <w14:textFill>
            <w14:solidFill>
              <w14:schemeClr w14:val="tx1"/>
            </w14:solidFill>
          </w14:textFill>
        </w:rPr>
      </w:pPr>
    </w:p>
    <w:p>
      <w:pPr>
        <w:pStyle w:val="a22"/>
        <w:rPr>
          <w:color w:val="000000" w:themeColor="text1"/>
          <w14:textFill>
            <w14:solidFill>
              <w14:schemeClr w14:val="tx1"/>
            </w14:solidFill>
          </w14:textFill>
        </w:rPr>
      </w:pPr>
    </w:p>
    <w:p>
      <w:pPr>
        <w:pStyle w:val="a22"/>
        <w:rPr>
          <w:color w:val="000000" w:themeColor="text1"/>
          <w14:textFill>
            <w14:solidFill>
              <w14:schemeClr w14:val="tx1"/>
            </w14:solidFill>
          </w14:textFill>
        </w:rPr>
      </w:pPr>
    </w:p>
    <w:p>
      <w:pPr>
        <w:pStyle w:val="a22"/>
        <w:rPr>
          <w:color w:val="000000" w:themeColor="text1"/>
          <w14:textFill>
            <w14:solidFill>
              <w14:schemeClr w14:val="tx1"/>
            </w14:solidFill>
          </w14:textFill>
        </w:rPr>
      </w:pPr>
    </w:p>
    <w:p>
      <w:pPr>
        <w:pStyle w:val="a22"/>
        <w:rPr>
          <w:color w:val="000000" w:themeColor="text1"/>
          <w14:textFill>
            <w14:solidFill>
              <w14:schemeClr w14:val="tx1"/>
            </w14:solidFill>
          </w14:textFill>
        </w:rPr>
      </w:pPr>
    </w:p>
    <w:p>
      <w:pPr>
        <w:pStyle w:val="a22"/>
        <w:rPr>
          <w:color w:val="000000" w:themeColor="text1"/>
          <w14:textFill>
            <w14:solidFill>
              <w14:schemeClr w14:val="tx1"/>
            </w14:solidFill>
          </w14:textFill>
        </w:rPr>
      </w:pPr>
    </w:p>
    <w:p>
      <w:pPr>
        <w:spacing w:line="320" w:lineRule="atLeast"/>
        <w:rPr>
          <w:rFonts w:ascii="黑体" w:eastAsia="黑体" w:hAnsi="黑体" w:cs="黑体"/>
          <w:bCs/>
          <w:color w:val="000000" w:themeColor="text1"/>
          <w:sz w:val="28"/>
          <w:szCs w:val="28"/>
          <w14:textFill>
            <w14:solidFill>
              <w14:schemeClr w14:val="tx1"/>
            </w14:solidFill>
          </w14:textFill>
        </w:rPr>
      </w:pPr>
      <w:r>
        <w:rPr>
          <w:rFonts w:ascii="黑体" w:eastAsia="黑体" w:hAnsi="黑体" w:cs="黑体" w:hint="eastAsia"/>
          <w:bCs/>
          <w:color w:val="000000" w:themeColor="text1"/>
          <w:sz w:val="28"/>
          <w:szCs w:val="28"/>
          <w14:textFill>
            <w14:solidFill>
              <w14:schemeClr w14:val="tx1"/>
            </w14:solidFill>
          </w14:textFill>
        </w:rPr>
        <w:t>年月日发布                                              年月日实施</w:t>
      </w:r>
    </w:p>
    <w:p>
      <w:pPr>
        <w:pStyle w:val="a22"/>
        <w:rPr>
          <w:color w:val="000000" w:themeColor="text1"/>
          <w14:textFill>
            <w14:solidFill>
              <w14:schemeClr w14:val="tx1"/>
            </w14:solidFill>
          </w14:textFill>
        </w:rPr>
        <w:sectPr>
          <w:headerReference w:type="even" r:id="rId6"/>
          <w:headerReference w:type="default" r:id="rId7"/>
          <w:footerReference w:type="even" r:id="rId8"/>
          <w:headerReference w:type="first" r:id="rId9"/>
          <w:footerReference w:type="first" r:id="rId10"/>
          <w:pgSz w:w="11907" w:h="16839"/>
          <w:pgMar w:top="1134" w:right="1134" w:bottom="1134" w:left="1418" w:header="1134" w:footer="1134" w:gutter="0"/>
          <w:pgNumType w:fmt="upperRoman" w:start="1"/>
          <w:cols w:num="1" w:space="720"/>
          <w:docGrid w:type="linesAndChars" w:linePitch="303" w:charSpace="0"/>
        </w:sectPr>
      </w:pPr>
      <w:r>
        <w:rPr>
          <w:rFonts w:ascii="黑体" w:eastAsia="黑体" w:hAnsi="黑体" w:cs="黑体"/>
          <w:bCs/>
          <w:color w:val="000000" w:themeColor="text1"/>
          <w:spacing w:val="20"/>
          <w:sz w:val="28"/>
          <w:szCs w:val="28"/>
          <w14:textFill>
            <w14:solidFill>
              <w14:schemeClr w14:val="tx1"/>
            </w14:solidFill>
          </w14:textFill>
        </w:rPr>
        <mc:AlternateContent>
          <mc:Choice Requires="wps">
            <w:drawing>
              <wp:anchor distT="0" distB="0" distL="114300" distR="114300" simplePos="0" relativeHeight="251659264" behindDoc="0" locked="0" layoutInCell="0" allowOverlap="1">
                <wp:simplePos x="0" y="0"/>
                <wp:positionH relativeFrom="column">
                  <wp:posOffset>-46990</wp:posOffset>
                </wp:positionH>
                <wp:positionV relativeFrom="paragraph">
                  <wp:posOffset>11430</wp:posOffset>
                </wp:positionV>
                <wp:extent cx="6000750" cy="0"/>
                <wp:effectExtent l="0" t="0" r="0" b="0"/>
                <wp:wrapNone/>
                <wp:docPr id="6" name="Line 10"/>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000750" cy="0"/>
                        </a:xfrm>
                        <a:prstGeom prst="line">
                          <a:avLst/>
                        </a:prstGeom>
                        <a:noFill/>
                        <a:ln w="9525">
                          <a:solidFill>
                            <a:srgbClr val="000000"/>
                          </a:solidFill>
                          <a:round/>
                        </a:ln>
                        <a:effectLst/>
                      </wps:spPr>
                      <wps:bodyPr/>
                    </wps:wsp>
                  </a:graphicData>
                </a:graphic>
              </wp:anchor>
            </w:drawing>
          </mc:Choice>
          <mc:Fallback>
            <w:pict>
              <v:line id="Line 10" o:spid="_x0000_s1025" style="mso-wrap-distance-bottom:0;mso-wrap-distance-left:9pt;mso-wrap-distance-right:9pt;mso-wrap-distance-top:0;position:absolute;v-text-anchor:top;z-index:251658240" from="-3.7pt,0.9pt" to="468.8pt,0.9pt" o:allowincell="f" fillcolor="this" stroked="t" strokecolor="black" strokeweight="0.75pt">
                <v:stroke joinstyle="round"/>
              </v:line>
            </w:pict>
          </mc:Fallback>
        </mc:AlternateContent>
      </w:r>
      <w:r>
        <w:rPr>
          <w:rFonts w:ascii="黑体" w:eastAsia="黑体" w:hAnsi="黑体" w:cs="黑体" w:hint="eastAsia"/>
          <w:bCs/>
          <w:color w:val="000000" w:themeColor="text1"/>
          <w:sz w:val="28"/>
          <w:szCs w:val="28"/>
          <w14:textFill>
            <w14:solidFill>
              <w14:schemeClr w14:val="tx1"/>
            </w14:solidFill>
          </w14:textFill>
        </w:rPr>
        <w:t>中国化学与物理电源行业协会  发布</w:t>
      </w:r>
      <w:r>
        <w:rPr>
          <w:rFonts w:hint="eastAsia"/>
          <w:color w:val="000000" w:themeColor="text1"/>
          <w14:textFill>
            <w14:solidFill>
              <w14:schemeClr w14:val="tx1"/>
            </w14:solidFill>
          </w14:textFill>
        </w:rPr>
        <w:t xml:space="preserve"> </w:t>
      </w:r>
    </w:p>
    <w:p>
      <w:pPr>
        <w:pStyle w:val="a36"/>
        <w:keepNext/>
        <w:pageBreakBefore/>
        <w:rPr>
          <w:bCs/>
          <w:iCs/>
          <w:color w:val="000000" w:themeColor="text1"/>
          <w14:textFill>
            <w14:solidFill>
              <w14:schemeClr w14:val="tx1"/>
            </w14:solidFill>
          </w14:textFill>
        </w:rPr>
      </w:pPr>
      <w:bookmarkStart w:id="7" w:name="_Toc155426380"/>
      <w:bookmarkStart w:id="8" w:name="_GoBack"/>
      <w:bookmarkEnd w:id="8"/>
      <w:r>
        <w:rPr>
          <w:bCs/>
          <w:iCs/>
          <w:color w:val="000000" w:themeColor="text1"/>
          <w14:textFill>
            <w14:solidFill>
              <w14:schemeClr w14:val="tx1"/>
            </w14:solidFill>
          </w14:textFill>
        </w:rPr>
        <w:t>储</w:t>
      </w:r>
      <w:r>
        <w:rPr>
          <w:rFonts w:hint="eastAsia"/>
          <w:bCs/>
          <w:iCs/>
          <w:color w:val="000000" w:themeColor="text1"/>
          <w14:textFill>
            <w14:solidFill>
              <w14:schemeClr w14:val="tx1"/>
            </w14:solidFill>
          </w14:textFill>
        </w:rPr>
        <w:t xml:space="preserve"> </w:t>
      </w:r>
      <w:r>
        <w:rPr>
          <w:bCs/>
          <w:iCs/>
          <w:color w:val="000000" w:themeColor="text1"/>
          <w14:textFill>
            <w14:solidFill>
              <w14:schemeClr w14:val="tx1"/>
            </w14:solidFill>
          </w14:textFill>
        </w:rPr>
        <w:t>能</w:t>
      </w:r>
      <w:r>
        <w:rPr>
          <w:rFonts w:hint="eastAsia"/>
          <w:bCs/>
          <w:iCs/>
          <w:color w:val="000000" w:themeColor="text1"/>
          <w14:textFill>
            <w14:solidFill>
              <w14:schemeClr w14:val="tx1"/>
            </w14:solidFill>
          </w14:textFill>
        </w:rPr>
        <w:t xml:space="preserve"> </w:t>
      </w:r>
      <w:r>
        <w:rPr>
          <w:bCs/>
          <w:iCs/>
          <w:color w:val="000000" w:themeColor="text1"/>
          <w14:textFill>
            <w14:solidFill>
              <w14:schemeClr w14:val="tx1"/>
            </w14:solidFill>
          </w14:textFill>
        </w:rPr>
        <w:t>用</w:t>
      </w:r>
      <w:r>
        <w:rPr>
          <w:rFonts w:hint="eastAsia"/>
          <w:bCs/>
          <w:iCs/>
          <w:color w:val="000000" w:themeColor="text1"/>
          <w14:textFill>
            <w14:solidFill>
              <w14:schemeClr w14:val="tx1"/>
            </w14:solidFill>
          </w14:textFill>
        </w:rPr>
        <w:t xml:space="preserve"> 固 态 铅 </w:t>
      </w:r>
      <w:r>
        <w:rPr>
          <w:bCs/>
          <w:iCs/>
          <w:color w:val="000000" w:themeColor="text1"/>
          <w14:textFill>
            <w14:solidFill>
              <w14:schemeClr w14:val="tx1"/>
            </w14:solidFill>
          </w14:textFill>
        </w:rPr>
        <w:t>电</w:t>
      </w:r>
      <w:r>
        <w:rPr>
          <w:rFonts w:hint="eastAsia"/>
          <w:bCs/>
          <w:iCs/>
          <w:color w:val="000000" w:themeColor="text1"/>
          <w14:textFill>
            <w14:solidFill>
              <w14:schemeClr w14:val="tx1"/>
            </w14:solidFill>
          </w14:textFill>
        </w:rPr>
        <w:t xml:space="preserve"> </w:t>
      </w:r>
      <w:r>
        <w:rPr>
          <w:bCs/>
          <w:iCs/>
          <w:color w:val="000000" w:themeColor="text1"/>
          <w14:textFill>
            <w14:solidFill>
              <w14:schemeClr w14:val="tx1"/>
            </w14:solidFill>
          </w14:textFill>
        </w:rPr>
        <w:t>池</w:t>
      </w:r>
      <w:bookmarkEnd w:id="7"/>
    </w:p>
    <w:p>
      <w:pPr>
        <w:pStyle w:val="Heading2"/>
      </w:pPr>
      <w:bookmarkStart w:id="9" w:name="_Toc148510430"/>
      <w:bookmarkStart w:id="10" w:name="_Toc155426381"/>
      <w:bookmarkStart w:id="11" w:name="_Toc15279"/>
      <w:bookmarkStart w:id="12" w:name="_Toc148518162"/>
      <w:bookmarkStart w:id="13" w:name="_Toc11972"/>
      <w:bookmarkStart w:id="14" w:name="_Toc148518067"/>
      <w:bookmarkStart w:id="15" w:name="_Toc148510534"/>
      <w:r>
        <w:rPr>
          <w:rFonts w:hint="eastAsia"/>
        </w:rPr>
        <w:t>范围</w:t>
      </w:r>
      <w:bookmarkEnd w:id="9"/>
      <w:bookmarkEnd w:id="10"/>
      <w:bookmarkEnd w:id="11"/>
      <w:bookmarkEnd w:id="12"/>
      <w:bookmarkEnd w:id="13"/>
      <w:bookmarkEnd w:id="14"/>
      <w:bookmarkEnd w:id="15"/>
    </w:p>
    <w:p>
      <w:pPr>
        <w:pStyle w:val="a2"/>
        <w:ind w:firstLine="420"/>
        <w:rPr>
          <w:rFonts w:hAnsi="宋体"/>
          <w:bCs/>
          <w:szCs w:val="21"/>
        </w:rPr>
      </w:pPr>
      <w:bookmarkStart w:id="16" w:name="_Toc338882600"/>
      <w:bookmarkStart w:id="17" w:name="_Toc339737869"/>
      <w:r>
        <w:rPr>
          <w:rFonts w:hAnsi="宋体" w:hint="eastAsia"/>
          <w:bCs/>
          <w:szCs w:val="21"/>
        </w:rPr>
        <w:t>本文件规定了储能用固态铅电池（以下简称蓄电池）的分类、规格和应用条件、技术要求、试验方法、检验规则、包装、标志、运输和贮存。</w:t>
      </w:r>
      <w:bookmarkEnd w:id="16"/>
      <w:bookmarkEnd w:id="17"/>
    </w:p>
    <w:p>
      <w:pPr>
        <w:pStyle w:val="a2"/>
        <w:ind w:firstLine="420"/>
        <w:rPr>
          <w:rFonts w:hAnsi="宋体"/>
          <w:bCs/>
          <w:szCs w:val="21"/>
        </w:rPr>
      </w:pPr>
      <w:r>
        <w:rPr>
          <w:rFonts w:hAnsi="宋体"/>
          <w:bCs/>
          <w:szCs w:val="21"/>
        </w:rPr>
        <w:t>本</w:t>
      </w:r>
      <w:r>
        <w:rPr>
          <w:rFonts w:hAnsi="宋体" w:hint="eastAsia"/>
          <w:bCs/>
          <w:szCs w:val="21"/>
        </w:rPr>
        <w:t>文件适用储能用固态铅电池</w:t>
      </w:r>
      <w:r>
        <w:rPr>
          <w:rFonts w:hAnsi="宋体"/>
          <w:bCs/>
          <w:szCs w:val="21"/>
        </w:rPr>
        <w:t>。</w:t>
      </w:r>
    </w:p>
    <w:p>
      <w:pPr>
        <w:pStyle w:val="Heading2"/>
      </w:pPr>
      <w:bookmarkStart w:id="18" w:name="_Toc8426"/>
      <w:bookmarkStart w:id="19" w:name="_Toc155426382"/>
      <w:bookmarkStart w:id="20" w:name="_Toc148518068"/>
      <w:bookmarkStart w:id="21" w:name="_Toc148510431"/>
      <w:bookmarkStart w:id="22" w:name="_Toc148518163"/>
      <w:bookmarkStart w:id="23" w:name="_Toc148510535"/>
      <w:bookmarkStart w:id="24" w:name="_Toc1702"/>
      <w:r>
        <w:rPr>
          <w:rFonts w:hint="eastAsia"/>
        </w:rPr>
        <w:t>规范性引用文件</w:t>
      </w:r>
      <w:bookmarkEnd w:id="18"/>
      <w:bookmarkEnd w:id="19"/>
      <w:bookmarkEnd w:id="20"/>
      <w:bookmarkEnd w:id="21"/>
      <w:bookmarkEnd w:id="22"/>
      <w:bookmarkEnd w:id="23"/>
      <w:bookmarkEnd w:id="24"/>
    </w:p>
    <w:p>
      <w:pPr>
        <w:pStyle w:val="a2"/>
        <w:ind w:firstLine="420"/>
        <w:rPr>
          <w:rFonts w:hAnsi="宋体"/>
          <w:bCs/>
          <w:szCs w:val="21"/>
        </w:rPr>
      </w:pPr>
      <w:r>
        <w:rPr>
          <w:rFonts w:hAnsi="宋体" w:hint="eastAsia"/>
          <w:bCs/>
          <w:szCs w:val="21"/>
        </w:rPr>
        <w:t>下列文件中的内容通过文中的规范性引用而构成本文件必不可少的条款。其中,注日期的引用文件,仅该日期对应的版本使用于本文件;不注日期的引用文件,其最新版本(包括所有的修改单)适用于本文件。</w:t>
      </w:r>
    </w:p>
    <w:p>
      <w:pPr>
        <w:pStyle w:val="a2"/>
        <w:ind w:firstLine="420"/>
        <w:rPr>
          <w:rFonts w:hAnsi="宋体"/>
          <w:bCs/>
          <w:szCs w:val="21"/>
        </w:rPr>
      </w:pPr>
      <w:r>
        <w:rPr>
          <w:rFonts w:hAnsi="宋体"/>
          <w:bCs/>
          <w:szCs w:val="21"/>
        </w:rPr>
        <w:t>GB/T 19638.1  固定型阀控式铅酸蓄电池 第1部分：技术条件</w:t>
      </w:r>
    </w:p>
    <w:p>
      <w:pPr>
        <w:pStyle w:val="a2"/>
        <w:ind w:firstLine="420"/>
        <w:rPr>
          <w:rFonts w:hAnsi="宋体"/>
          <w:bCs/>
          <w:szCs w:val="21"/>
        </w:rPr>
      </w:pPr>
      <w:r>
        <w:rPr>
          <w:rFonts w:hAnsi="宋体"/>
          <w:bCs/>
          <w:szCs w:val="21"/>
        </w:rPr>
        <w:t>GB/T 19638.2  固定型阀控式铅酸蓄电池 第2部分：产品品种和规格</w:t>
      </w:r>
    </w:p>
    <w:p>
      <w:pPr>
        <w:pStyle w:val="a2"/>
        <w:ind w:firstLine="420"/>
        <w:rPr>
          <w:rFonts w:hAnsi="宋体"/>
          <w:bCs/>
          <w:szCs w:val="21"/>
        </w:rPr>
      </w:pPr>
      <w:r>
        <w:rPr>
          <w:rFonts w:hAnsi="宋体" w:hint="eastAsia"/>
          <w:bCs/>
          <w:szCs w:val="21"/>
        </w:rPr>
        <w:t>GB/T 22473   储能用铅酸蓄电池</w:t>
      </w:r>
    </w:p>
    <w:p>
      <w:pPr>
        <w:pStyle w:val="a2"/>
        <w:ind w:firstLine="420"/>
        <w:rPr>
          <w:rFonts w:hAnsi="宋体"/>
          <w:bCs/>
          <w:szCs w:val="21"/>
        </w:rPr>
      </w:pPr>
      <w:r>
        <w:rPr>
          <w:rFonts w:hAnsi="宋体" w:hint="eastAsia"/>
          <w:bCs/>
          <w:szCs w:val="21"/>
        </w:rPr>
        <w:t>YD/T 1360    通信用阀控式密封胶体蓄电池</w:t>
      </w:r>
    </w:p>
    <w:p>
      <w:pPr>
        <w:pStyle w:val="a2"/>
        <w:ind w:firstLine="420"/>
        <w:rPr>
          <w:rFonts w:hAnsi="宋体"/>
          <w:bCs/>
          <w:szCs w:val="21"/>
        </w:rPr>
      </w:pPr>
      <w:r>
        <w:rPr>
          <w:rFonts w:hAnsi="宋体" w:hint="eastAsia"/>
          <w:bCs/>
          <w:szCs w:val="21"/>
        </w:rPr>
        <w:t>G</w:t>
      </w:r>
      <w:r>
        <w:rPr>
          <w:rFonts w:hAnsi="宋体"/>
          <w:bCs/>
          <w:szCs w:val="21"/>
        </w:rPr>
        <w:t xml:space="preserve">B/T 36280 </w:t>
      </w:r>
      <w:r>
        <w:rPr>
          <w:rFonts w:hAnsi="宋体" w:hint="eastAsia"/>
          <w:bCs/>
          <w:szCs w:val="21"/>
        </w:rPr>
        <w:t xml:space="preserve">  电力储能用铅碳电池</w:t>
      </w:r>
    </w:p>
    <w:p>
      <w:pPr>
        <w:pStyle w:val="a2"/>
        <w:ind w:firstLine="420"/>
        <w:rPr>
          <w:rFonts w:hAnsi="宋体"/>
          <w:bCs/>
          <w:szCs w:val="21"/>
        </w:rPr>
      </w:pPr>
      <w:r>
        <w:rPr>
          <w:rFonts w:hAnsi="宋体"/>
          <w:bCs/>
          <w:szCs w:val="21"/>
        </w:rPr>
        <w:t>GB/T 2</w:t>
      </w:r>
      <w:r>
        <w:rPr>
          <w:rFonts w:hAnsi="宋体" w:hint="eastAsia"/>
          <w:bCs/>
          <w:szCs w:val="21"/>
        </w:rPr>
        <w:t>408</w:t>
      </w:r>
      <w:r>
        <w:rPr>
          <w:rFonts w:hAnsi="宋体"/>
          <w:bCs/>
          <w:szCs w:val="21"/>
        </w:rPr>
        <w:t xml:space="preserve">  </w:t>
      </w:r>
      <w:r>
        <w:rPr>
          <w:rFonts w:hAnsi="宋体" w:hint="eastAsia"/>
          <w:bCs/>
          <w:szCs w:val="21"/>
        </w:rPr>
        <w:t xml:space="preserve">  塑料 燃烧性能的测定水平法和垂直法</w:t>
      </w:r>
    </w:p>
    <w:p>
      <w:pPr>
        <w:pStyle w:val="a2"/>
        <w:ind w:firstLine="420"/>
        <w:rPr>
          <w:rFonts w:hAnsi="宋体"/>
          <w:bCs/>
          <w:szCs w:val="21"/>
        </w:rPr>
      </w:pPr>
      <w:r>
        <w:rPr>
          <w:rFonts w:hAnsi="宋体"/>
          <w:bCs/>
          <w:szCs w:val="21"/>
        </w:rPr>
        <w:t>GB/T 2900.41 电工术语 原电池和蓄电池</w:t>
      </w:r>
    </w:p>
    <w:p>
      <w:pPr>
        <w:pStyle w:val="a2"/>
        <w:ind w:firstLine="420"/>
        <w:rPr>
          <w:rFonts w:hAnsi="宋体"/>
          <w:bCs/>
          <w:szCs w:val="21"/>
        </w:rPr>
      </w:pPr>
      <w:r>
        <w:rPr>
          <w:rFonts w:hAnsi="宋体"/>
          <w:bCs/>
          <w:szCs w:val="21"/>
        </w:rPr>
        <w:t xml:space="preserve">GB/T 5048 </w:t>
      </w:r>
      <w:r>
        <w:rPr>
          <w:rFonts w:hAnsi="宋体" w:hint="eastAsia"/>
          <w:bCs/>
          <w:szCs w:val="21"/>
        </w:rPr>
        <w:t xml:space="preserve"> </w:t>
      </w:r>
      <w:r>
        <w:rPr>
          <w:rFonts w:hAnsi="宋体"/>
          <w:bCs/>
          <w:szCs w:val="21"/>
        </w:rPr>
        <w:t xml:space="preserve"> 防潮包装</w:t>
      </w:r>
    </w:p>
    <w:p>
      <w:pPr>
        <w:pStyle w:val="a2"/>
        <w:ind w:firstLine="420"/>
        <w:rPr>
          <w:rFonts w:hAnsi="宋体"/>
          <w:bCs/>
          <w:szCs w:val="21"/>
        </w:rPr>
      </w:pPr>
      <w:r>
        <w:rPr>
          <w:rFonts w:hAnsi="宋体"/>
          <w:bCs/>
          <w:szCs w:val="21"/>
        </w:rPr>
        <w:t xml:space="preserve">GB/T 8166  </w:t>
      </w:r>
      <w:r>
        <w:rPr>
          <w:rFonts w:hAnsi="宋体" w:hint="eastAsia"/>
          <w:bCs/>
          <w:szCs w:val="21"/>
        </w:rPr>
        <w:t xml:space="preserve"> </w:t>
      </w:r>
      <w:r>
        <w:rPr>
          <w:rFonts w:hAnsi="宋体"/>
          <w:bCs/>
          <w:szCs w:val="21"/>
        </w:rPr>
        <w:t>缓冲包装设计</w:t>
      </w:r>
    </w:p>
    <w:p>
      <w:pPr>
        <w:pStyle w:val="a2"/>
        <w:ind w:firstLine="420"/>
        <w:rPr>
          <w:rFonts w:hAnsi="宋体"/>
          <w:bCs/>
          <w:szCs w:val="21"/>
        </w:rPr>
      </w:pPr>
      <w:r>
        <w:rPr>
          <w:rFonts w:hAnsi="宋体"/>
          <w:bCs/>
          <w:szCs w:val="21"/>
        </w:rPr>
        <w:t xml:space="preserve">GB/T 9969  </w:t>
      </w:r>
      <w:r>
        <w:rPr>
          <w:rFonts w:hAnsi="宋体" w:hint="eastAsia"/>
          <w:bCs/>
          <w:szCs w:val="21"/>
        </w:rPr>
        <w:t xml:space="preserve"> </w:t>
      </w:r>
      <w:r>
        <w:rPr>
          <w:rFonts w:hAnsi="宋体"/>
          <w:bCs/>
          <w:szCs w:val="21"/>
        </w:rPr>
        <w:t>工业产品使用说明书 总则</w:t>
      </w:r>
    </w:p>
    <w:p>
      <w:pPr>
        <w:pStyle w:val="a2"/>
        <w:ind w:firstLine="420"/>
        <w:rPr>
          <w:rFonts w:hAnsi="宋体"/>
          <w:bCs/>
          <w:szCs w:val="21"/>
        </w:rPr>
      </w:pPr>
      <w:r>
        <w:rPr>
          <w:rFonts w:hAnsi="宋体"/>
          <w:bCs/>
          <w:szCs w:val="21"/>
        </w:rPr>
        <w:t>GB/T 13384  机电产品包装通用技术条件</w:t>
      </w:r>
    </w:p>
    <w:p>
      <w:pPr>
        <w:pStyle w:val="a2"/>
        <w:ind w:firstLine="420"/>
        <w:rPr>
          <w:rFonts w:hAnsi="宋体"/>
          <w:bCs/>
          <w:szCs w:val="21"/>
        </w:rPr>
      </w:pPr>
      <w:r>
        <w:rPr>
          <w:rFonts w:hAnsi="宋体"/>
          <w:bCs/>
          <w:szCs w:val="21"/>
        </w:rPr>
        <w:t>GB/T 14436  工业产品保证文件 总则</w:t>
      </w:r>
    </w:p>
    <w:p>
      <w:pPr>
        <w:pStyle w:val="Heading2"/>
      </w:pPr>
      <w:bookmarkStart w:id="25" w:name="_Toc148510536"/>
      <w:bookmarkStart w:id="26" w:name="_Toc148510432"/>
      <w:bookmarkStart w:id="27" w:name="_Toc9619"/>
      <w:bookmarkStart w:id="28" w:name="_Toc155426383"/>
      <w:bookmarkStart w:id="29" w:name="_Toc148518164"/>
      <w:bookmarkStart w:id="30" w:name="_Toc148518069"/>
      <w:r>
        <w:rPr>
          <w:rFonts w:hint="eastAsia"/>
        </w:rPr>
        <w:t>术语、定义、符号和缩略语</w:t>
      </w:r>
      <w:bookmarkEnd w:id="25"/>
      <w:bookmarkEnd w:id="26"/>
      <w:bookmarkEnd w:id="27"/>
      <w:bookmarkEnd w:id="28"/>
      <w:bookmarkEnd w:id="29"/>
      <w:bookmarkEnd w:id="30"/>
    </w:p>
    <w:p>
      <w:pPr>
        <w:pStyle w:val="Heading3"/>
      </w:pPr>
      <w:bookmarkStart w:id="31" w:name="_Toc155426384"/>
      <w:bookmarkStart w:id="32" w:name="_Toc21828"/>
      <w:bookmarkStart w:id="33" w:name="_Toc148510537"/>
      <w:bookmarkStart w:id="34" w:name="_Toc148510433"/>
      <w:bookmarkStart w:id="35" w:name="_Toc148518165"/>
      <w:bookmarkStart w:id="36" w:name="_Toc148518070"/>
      <w:r>
        <w:rPr>
          <w:rFonts w:hint="eastAsia"/>
        </w:rPr>
        <w:t>术语和定义</w:t>
      </w:r>
      <w:bookmarkEnd w:id="31"/>
      <w:bookmarkEnd w:id="32"/>
      <w:bookmarkEnd w:id="33"/>
      <w:bookmarkEnd w:id="34"/>
      <w:bookmarkEnd w:id="35"/>
      <w:bookmarkEnd w:id="36"/>
    </w:p>
    <w:p>
      <w:pPr>
        <w:pStyle w:val="a2"/>
        <w:ind w:firstLine="420"/>
        <w:rPr>
          <w:rFonts w:hAnsi="宋体"/>
          <w:bCs/>
          <w:szCs w:val="21"/>
        </w:rPr>
      </w:pPr>
      <w:r>
        <w:rPr>
          <w:rFonts w:hAnsi="宋体" w:hint="eastAsia"/>
          <w:bCs/>
          <w:szCs w:val="21"/>
        </w:rPr>
        <w:t>GB/T 2900.41界定的以及下列术语和定义适用于本文件。</w:t>
      </w:r>
    </w:p>
    <w:p>
      <w:pPr>
        <w:pStyle w:val="Heading4"/>
        <w:spacing w:before="151" w:after="151"/>
        <w:rPr>
          <w:b/>
        </w:rPr>
      </w:pPr>
      <w:bookmarkStart w:id="37" w:name="_Toc321434172"/>
      <w:bookmarkEnd w:id="37"/>
      <w:bookmarkStart w:id="38" w:name="_Toc339737873"/>
      <w:bookmarkEnd w:id="38"/>
      <w:bookmarkStart w:id="39" w:name="_Toc338882604"/>
      <w:bookmarkEnd w:id="39"/>
      <w:bookmarkStart w:id="40" w:name="_Toc491377404"/>
      <w:bookmarkEnd w:id="40"/>
      <w:bookmarkStart w:id="41" w:name="_Toc322123831"/>
      <w:bookmarkEnd w:id="41"/>
      <w:bookmarkStart w:id="42" w:name="_Toc493721798"/>
      <w:bookmarkEnd w:id="42"/>
      <w:bookmarkStart w:id="43" w:name="_Toc491376970"/>
      <w:bookmarkEnd w:id="43"/>
      <w:bookmarkStart w:id="44" w:name="_Toc492475722"/>
      <w:bookmarkEnd w:id="44"/>
      <w:bookmarkStart w:id="45" w:name="_Toc329981342"/>
      <w:bookmarkEnd w:id="45"/>
      <w:bookmarkStart w:id="46" w:name="_Toc330735952"/>
      <w:bookmarkEnd w:id="46"/>
      <w:bookmarkStart w:id="47" w:name="_Toc148518071"/>
      <w:bookmarkStart w:id="48" w:name="_Toc148510539"/>
      <w:bookmarkStart w:id="49" w:name="_Toc15604"/>
      <w:bookmarkStart w:id="50" w:name="_Toc148510435"/>
      <w:bookmarkStart w:id="51" w:name="_Toc12795"/>
      <w:bookmarkStart w:id="52" w:name="_Toc148518166"/>
      <w:r>
        <w:rPr>
          <w:rFonts w:hint="eastAsia"/>
        </w:rPr>
        <w:t>固态铅电池</w:t>
      </w:r>
      <w:bookmarkEnd w:id="47"/>
      <w:bookmarkEnd w:id="48"/>
      <w:bookmarkEnd w:id="49"/>
      <w:bookmarkEnd w:id="50"/>
      <w:bookmarkEnd w:id="51"/>
      <w:bookmarkEnd w:id="52"/>
    </w:p>
    <w:p>
      <w:pPr>
        <w:pStyle w:val="a2"/>
        <w:ind w:firstLine="420"/>
        <w:rPr>
          <w:rFonts w:hAnsi="宋体"/>
          <w:bCs/>
          <w:szCs w:val="21"/>
        </w:rPr>
      </w:pPr>
      <w:r>
        <w:rPr>
          <w:rFonts w:hAnsi="宋体" w:hint="eastAsia"/>
          <w:bCs/>
          <w:szCs w:val="21"/>
        </w:rPr>
        <w:t>在全生命周期内，电池内部固态电解质在充放电过程中，固态电解质不会发生任何形态变化且固态电解质也不会发生任何液体析出。</w:t>
      </w:r>
    </w:p>
    <w:p>
      <w:pPr>
        <w:pStyle w:val="Heading4"/>
        <w:spacing w:before="151" w:after="151"/>
        <w:rPr>
          <w:b/>
        </w:rPr>
      </w:pPr>
      <w:bookmarkStart w:id="53" w:name="_Toc493721800"/>
      <w:bookmarkEnd w:id="53"/>
      <w:bookmarkStart w:id="54" w:name="_Toc493721801"/>
      <w:bookmarkEnd w:id="54"/>
      <w:bookmarkStart w:id="55" w:name="_Toc491376973"/>
      <w:bookmarkEnd w:id="55"/>
      <w:bookmarkStart w:id="56" w:name="_Toc492475724"/>
      <w:bookmarkEnd w:id="56"/>
      <w:bookmarkStart w:id="57" w:name="_Toc322123832"/>
      <w:bookmarkEnd w:id="57"/>
      <w:bookmarkStart w:id="58" w:name="_Toc491377407"/>
      <w:bookmarkEnd w:id="58"/>
      <w:bookmarkStart w:id="59" w:name="_Toc321434173"/>
      <w:bookmarkEnd w:id="59"/>
      <w:bookmarkStart w:id="60" w:name="_Toc491376972"/>
      <w:bookmarkEnd w:id="60"/>
      <w:bookmarkStart w:id="61" w:name="_Toc492475725"/>
      <w:bookmarkEnd w:id="61"/>
      <w:bookmarkStart w:id="62" w:name="_Toc491377406"/>
      <w:bookmarkEnd w:id="62"/>
      <w:bookmarkStart w:id="63" w:name="_Toc148510437"/>
      <w:bookmarkStart w:id="64" w:name="_Toc148510541"/>
      <w:bookmarkStart w:id="65" w:name="_Toc1262"/>
      <w:bookmarkStart w:id="66" w:name="_Toc148518167"/>
      <w:bookmarkStart w:id="67" w:name="_Toc3335"/>
      <w:bookmarkStart w:id="68" w:name="_Toc148518072"/>
      <w:r>
        <w:rPr>
          <w:rFonts w:hint="eastAsia"/>
        </w:rPr>
        <w:t>标称电压  nominal voltage</w:t>
      </w:r>
      <w:bookmarkEnd w:id="63"/>
      <w:bookmarkEnd w:id="64"/>
      <w:bookmarkEnd w:id="65"/>
      <w:bookmarkEnd w:id="66"/>
      <w:bookmarkEnd w:id="67"/>
      <w:bookmarkEnd w:id="68"/>
    </w:p>
    <w:p>
      <w:pPr>
        <w:pStyle w:val="a2"/>
        <w:ind w:firstLine="420"/>
        <w:rPr>
          <w:rFonts w:hAnsi="宋体"/>
          <w:bCs/>
          <w:szCs w:val="21"/>
        </w:rPr>
      </w:pPr>
      <w:r>
        <w:rPr>
          <w:rFonts w:hAnsi="宋体" w:hint="eastAsia"/>
          <w:bCs/>
          <w:szCs w:val="21"/>
        </w:rPr>
        <w:t>用以标志或识别一种蓄电池或一个电化学体系的适当的电压近似值。</w:t>
      </w:r>
      <w:bookmarkStart w:id="69" w:name="_Toc493721802"/>
      <w:bookmarkEnd w:id="69"/>
    </w:p>
    <w:p>
      <w:pPr>
        <w:pStyle w:val="Heading4"/>
        <w:spacing w:before="151" w:after="151"/>
        <w:rPr>
          <w:b/>
        </w:rPr>
      </w:pPr>
      <w:bookmarkStart w:id="70" w:name="_Toc148510439"/>
      <w:bookmarkStart w:id="71" w:name="_Toc148518168"/>
      <w:bookmarkStart w:id="72" w:name="_Toc148510543"/>
      <w:bookmarkStart w:id="73" w:name="_Toc148518073"/>
      <w:bookmarkStart w:id="74" w:name="_Toc1299"/>
      <w:bookmarkStart w:id="75" w:name="_Toc3471"/>
      <w:r>
        <w:rPr>
          <w:rFonts w:hint="eastAsia"/>
        </w:rPr>
        <w:t>标称容量  nominal capacity</w:t>
      </w:r>
      <w:bookmarkEnd w:id="70"/>
      <w:bookmarkEnd w:id="71"/>
      <w:bookmarkEnd w:id="72"/>
      <w:bookmarkEnd w:id="73"/>
      <w:bookmarkEnd w:id="74"/>
      <w:bookmarkEnd w:id="75"/>
    </w:p>
    <w:p>
      <w:pPr>
        <w:pStyle w:val="a2"/>
        <w:ind w:firstLine="420"/>
        <w:rPr>
          <w:rFonts w:hAnsi="宋体"/>
          <w:bCs/>
          <w:szCs w:val="21"/>
        </w:rPr>
        <w:sectPr>
          <w:headerReference w:type="even" r:id="rId11"/>
          <w:headerReference w:type="default" r:id="rId12"/>
          <w:footerReference w:type="even" r:id="rId13"/>
          <w:footerReference w:type="default" r:id="rId14"/>
          <w:headerReference w:type="first" r:id="rId15"/>
          <w:footerReference w:type="first" r:id="rId16"/>
          <w:pgSz w:w="11907" w:h="16839"/>
          <w:pgMar w:top="1134" w:right="1134" w:bottom="1134" w:left="1418" w:header="1134" w:footer="1134" w:gutter="0"/>
          <w:pgNumType w:start="1"/>
          <w:cols w:num="1" w:space="720"/>
          <w:docGrid w:type="linesAndChars" w:linePitch="303" w:charSpace="0"/>
        </w:sectPr>
      </w:pPr>
      <w:r>
        <w:rPr>
          <w:rFonts w:hAnsi="宋体" w:hint="eastAsia"/>
          <w:bCs/>
          <w:szCs w:val="21"/>
        </w:rPr>
        <w:t>用以标志或识别蓄电池容量的适当的近似值。</w:t>
      </w:r>
      <w:bookmarkStart w:id="76" w:name="_Toc493721803"/>
      <w:bookmarkEnd w:id="76"/>
    </w:p>
    <w:p>
      <w:pPr>
        <w:pStyle w:val="Heading4"/>
        <w:spacing w:before="151" w:after="151"/>
        <w:rPr>
          <w:b/>
        </w:rPr>
      </w:pPr>
      <w:bookmarkStart w:id="77" w:name="_Toc148518169"/>
      <w:bookmarkStart w:id="78" w:name="_Toc25007"/>
      <w:bookmarkStart w:id="79" w:name="_Toc148510441"/>
      <w:bookmarkStart w:id="80" w:name="_Toc11024"/>
      <w:bookmarkStart w:id="81" w:name="_Toc148518074"/>
      <w:bookmarkStart w:id="82" w:name="_Toc148510545"/>
      <w:r>
        <w:rPr>
          <w:rFonts w:hint="eastAsia"/>
        </w:rPr>
        <w:t>额定容量  rated capacity</w:t>
      </w:r>
      <w:bookmarkEnd w:id="77"/>
      <w:bookmarkEnd w:id="78"/>
      <w:bookmarkEnd w:id="79"/>
      <w:bookmarkEnd w:id="80"/>
      <w:bookmarkEnd w:id="81"/>
      <w:bookmarkEnd w:id="82"/>
    </w:p>
    <w:p>
      <w:pPr>
        <w:pStyle w:val="a2"/>
        <w:ind w:firstLine="420"/>
        <w:rPr>
          <w:rFonts w:hAnsi="宋体"/>
          <w:bCs/>
          <w:szCs w:val="21"/>
        </w:rPr>
      </w:pPr>
      <w:r>
        <w:rPr>
          <w:rFonts w:hAnsi="宋体" w:hint="eastAsia"/>
          <w:bCs/>
          <w:szCs w:val="21"/>
        </w:rPr>
        <w:t>在规定条件下测得的并由制造商宣称的蓄电池的容量值。</w:t>
      </w:r>
      <w:bookmarkStart w:id="83" w:name="_Toc493721804"/>
      <w:bookmarkEnd w:id="83"/>
    </w:p>
    <w:p>
      <w:pPr>
        <w:pStyle w:val="Heading4"/>
        <w:spacing w:before="151" w:after="151"/>
        <w:rPr>
          <w:b/>
        </w:rPr>
      </w:pPr>
      <w:bookmarkStart w:id="84" w:name="_Toc148510547"/>
      <w:bookmarkStart w:id="85" w:name="_Toc31207"/>
      <w:bookmarkStart w:id="86" w:name="_Toc148510443"/>
      <w:bookmarkStart w:id="87" w:name="_Toc148518170"/>
      <w:bookmarkStart w:id="88" w:name="_Toc1016"/>
      <w:bookmarkStart w:id="89" w:name="_Toc148518075"/>
      <w:r>
        <w:rPr>
          <w:rFonts w:hint="eastAsia"/>
        </w:rPr>
        <w:t>蓄电池单体  cell</w:t>
      </w:r>
      <w:bookmarkEnd w:id="84"/>
      <w:bookmarkEnd w:id="85"/>
      <w:bookmarkEnd w:id="86"/>
      <w:bookmarkEnd w:id="87"/>
      <w:bookmarkEnd w:id="88"/>
      <w:bookmarkEnd w:id="89"/>
    </w:p>
    <w:p>
      <w:pPr>
        <w:pStyle w:val="a2"/>
        <w:ind w:firstLine="420"/>
        <w:rPr>
          <w:rFonts w:hAnsi="宋体"/>
          <w:bCs/>
          <w:szCs w:val="21"/>
        </w:rPr>
      </w:pPr>
      <w:r>
        <w:rPr>
          <w:rFonts w:hAnsi="宋体" w:hint="eastAsia"/>
          <w:bCs/>
          <w:szCs w:val="21"/>
        </w:rPr>
        <w:t>由极板、电解质、电池槽、端子，通常还有隔离层组成，将化学能转化为电能的基本功能单元。</w:t>
      </w:r>
    </w:p>
    <w:p>
      <w:pPr>
        <w:pStyle w:val="Heading4"/>
        <w:spacing w:before="151" w:after="151"/>
        <w:rPr>
          <w:b/>
        </w:rPr>
      </w:pPr>
      <w:bookmarkStart w:id="90" w:name="_Toc18796"/>
      <w:bookmarkStart w:id="91" w:name="_Toc18193"/>
      <w:bookmarkStart w:id="92" w:name="_Toc148510445"/>
      <w:bookmarkStart w:id="93" w:name="_Toc148510549"/>
      <w:bookmarkStart w:id="94" w:name="_Toc148518076"/>
      <w:bookmarkStart w:id="95" w:name="_Toc148518171"/>
      <w:r>
        <w:rPr>
          <w:rFonts w:hint="eastAsia"/>
        </w:rPr>
        <w:t>电池簇  battery cluster</w:t>
      </w:r>
      <w:bookmarkEnd w:id="90"/>
      <w:bookmarkEnd w:id="91"/>
      <w:bookmarkEnd w:id="92"/>
      <w:bookmarkEnd w:id="93"/>
      <w:bookmarkEnd w:id="94"/>
      <w:bookmarkEnd w:id="95"/>
    </w:p>
    <w:p>
      <w:pPr>
        <w:pStyle w:val="a2"/>
        <w:ind w:firstLine="420"/>
        <w:rPr>
          <w:rFonts w:hAnsi="宋体"/>
          <w:bCs/>
          <w:szCs w:val="21"/>
        </w:rPr>
      </w:pPr>
      <w:r>
        <w:rPr>
          <w:rFonts w:hAnsi="宋体" w:hint="eastAsia"/>
          <w:bCs/>
          <w:szCs w:val="21"/>
        </w:rPr>
        <w:t>由单体电池</w:t>
      </w:r>
      <w:r>
        <w:rPr>
          <w:rFonts w:hAnsi="宋体"/>
          <w:bCs/>
          <w:szCs w:val="21"/>
        </w:rPr>
        <w:t>采用串联、并联或串并联连接方式，且与储能变流器及附属设施连接后实现独立运行的 电池组合体，还宜包括电池管理系统、监测和保护电路、电气和通讯接口等部件。</w:t>
      </w:r>
    </w:p>
    <w:p>
      <w:pPr>
        <w:pStyle w:val="Heading4"/>
        <w:spacing w:before="151" w:after="151"/>
        <w:rPr>
          <w:b/>
        </w:rPr>
      </w:pPr>
      <w:bookmarkStart w:id="96" w:name="_Toc491377408"/>
      <w:bookmarkEnd w:id="96"/>
      <w:bookmarkStart w:id="97" w:name="_Toc493721805"/>
      <w:bookmarkEnd w:id="97"/>
      <w:bookmarkStart w:id="98" w:name="_Toc491376974"/>
      <w:bookmarkEnd w:id="98"/>
      <w:bookmarkStart w:id="99" w:name="_Toc492475726"/>
      <w:bookmarkEnd w:id="99"/>
      <w:bookmarkStart w:id="100" w:name="_Toc11797"/>
      <w:bookmarkStart w:id="101" w:name="_Toc148518077"/>
      <w:bookmarkStart w:id="102" w:name="_Toc148510551"/>
      <w:bookmarkStart w:id="103" w:name="_Toc27504"/>
      <w:bookmarkStart w:id="104" w:name="_Toc148510447"/>
      <w:bookmarkStart w:id="105" w:name="_Toc148518172"/>
      <w:r>
        <w:rPr>
          <w:rFonts w:hint="eastAsia"/>
        </w:rPr>
        <w:t>蓄电池内阻  battery internal resistance</w:t>
      </w:r>
      <w:bookmarkEnd w:id="100"/>
      <w:bookmarkEnd w:id="101"/>
      <w:bookmarkEnd w:id="102"/>
      <w:bookmarkEnd w:id="103"/>
      <w:bookmarkEnd w:id="104"/>
      <w:bookmarkEnd w:id="105"/>
    </w:p>
    <w:p>
      <w:pPr>
        <w:pStyle w:val="a2"/>
        <w:ind w:firstLine="420"/>
        <w:rPr>
          <w:rFonts w:hAnsi="宋体"/>
          <w:bCs/>
          <w:szCs w:val="21"/>
        </w:rPr>
      </w:pPr>
      <w:r>
        <w:rPr>
          <w:rFonts w:hAnsi="宋体" w:hint="eastAsia"/>
          <w:bCs/>
          <w:szCs w:val="21"/>
        </w:rPr>
        <w:t>在规定条件下通过蓄电池的电压与相应的放电电流推导出的单位为欧姆的数值，又被称为表观内阻。蓄电池内阻根据测量方法的不同分为实验室测量内阻和现场测量内阻。</w:t>
      </w:r>
    </w:p>
    <w:p>
      <w:pPr>
        <w:pStyle w:val="a2"/>
        <w:ind w:firstLine="420"/>
        <w:rPr>
          <w:rFonts w:hAnsi="宋体"/>
          <w:bCs/>
          <w:szCs w:val="21"/>
        </w:rPr>
      </w:pPr>
      <w:r>
        <w:rPr>
          <w:rFonts w:hAnsi="宋体"/>
          <w:bCs/>
          <w:szCs w:val="21"/>
        </w:rPr>
        <w:t>注</w:t>
      </w:r>
      <w:r>
        <w:rPr>
          <w:rFonts w:hAnsi="宋体" w:hint="eastAsia"/>
          <w:bCs/>
          <w:szCs w:val="21"/>
        </w:rPr>
        <w:t>1</w:t>
      </w:r>
      <w:r>
        <w:rPr>
          <w:rFonts w:hAnsi="宋体"/>
          <w:bCs/>
          <w:szCs w:val="21"/>
        </w:rPr>
        <w:t>：</w:t>
      </w:r>
      <w:r>
        <w:rPr>
          <w:rFonts w:hAnsi="宋体" w:hint="eastAsia"/>
          <w:bCs/>
          <w:szCs w:val="21"/>
        </w:rPr>
        <w:t>实验室测量</w:t>
      </w:r>
      <w:r>
        <w:rPr>
          <w:rFonts w:hAnsi="宋体"/>
          <w:bCs/>
          <w:szCs w:val="21"/>
        </w:rPr>
        <w:t>内阻</w:t>
      </w:r>
      <w:r>
        <w:rPr>
          <w:rFonts w:hAnsi="宋体" w:hint="eastAsia"/>
          <w:bCs/>
          <w:szCs w:val="21"/>
        </w:rPr>
        <w:t>采用7.3.20规定的方法，测量结果与短路电流的参考值相关</w:t>
      </w:r>
      <w:r>
        <w:rPr>
          <w:rFonts w:hAnsi="宋体"/>
          <w:bCs/>
          <w:szCs w:val="21"/>
        </w:rPr>
        <w:t>。</w:t>
      </w:r>
    </w:p>
    <w:p>
      <w:pPr>
        <w:pStyle w:val="a2"/>
        <w:ind w:firstLine="420"/>
        <w:rPr>
          <w:rFonts w:hAnsi="宋体"/>
          <w:bCs/>
          <w:szCs w:val="21"/>
        </w:rPr>
      </w:pPr>
      <w:r>
        <w:rPr>
          <w:rFonts w:hAnsi="宋体"/>
          <w:bCs/>
          <w:szCs w:val="21"/>
        </w:rPr>
        <w:t>注</w:t>
      </w:r>
      <w:r>
        <w:rPr>
          <w:rFonts w:hAnsi="宋体" w:hint="eastAsia"/>
          <w:bCs/>
          <w:szCs w:val="21"/>
        </w:rPr>
        <w:t>2</w:t>
      </w:r>
      <w:r>
        <w:rPr>
          <w:rFonts w:hAnsi="宋体"/>
          <w:bCs/>
          <w:szCs w:val="21"/>
        </w:rPr>
        <w:t>：</w:t>
      </w:r>
      <w:r>
        <w:rPr>
          <w:rFonts w:hAnsi="宋体" w:hint="eastAsia"/>
          <w:bCs/>
          <w:szCs w:val="21"/>
        </w:rPr>
        <w:t>现场测量内阻的测量仪器为内阻测试仪，测量结果用于辅助评估蓄电池的健康状态，也称为评估内阻。</w:t>
      </w:r>
      <w:bookmarkStart w:id="106" w:name="_Toc493721806"/>
      <w:bookmarkEnd w:id="106"/>
    </w:p>
    <w:p>
      <w:pPr>
        <w:pStyle w:val="Heading4"/>
        <w:spacing w:before="151" w:after="151"/>
        <w:rPr>
          <w:b/>
        </w:rPr>
      </w:pPr>
      <w:bookmarkStart w:id="107" w:name="_Toc148510449"/>
      <w:bookmarkStart w:id="108" w:name="_Toc148510553"/>
      <w:bookmarkStart w:id="109" w:name="_Toc148518173"/>
      <w:bookmarkStart w:id="110" w:name="_Toc148518078"/>
      <w:bookmarkStart w:id="111" w:name="_Toc17817"/>
      <w:bookmarkStart w:id="112" w:name="_Toc7567"/>
      <w:r>
        <w:rPr>
          <w:rFonts w:hint="eastAsia"/>
        </w:rPr>
        <w:t>完全充电  full charge</w:t>
      </w:r>
      <w:bookmarkEnd w:id="107"/>
      <w:bookmarkEnd w:id="108"/>
      <w:bookmarkEnd w:id="109"/>
      <w:bookmarkEnd w:id="110"/>
      <w:bookmarkEnd w:id="111"/>
      <w:bookmarkEnd w:id="112"/>
    </w:p>
    <w:p>
      <w:pPr>
        <w:pStyle w:val="a2"/>
        <w:ind w:firstLine="420"/>
        <w:rPr>
          <w:rFonts w:hAnsi="宋体"/>
          <w:bCs/>
          <w:szCs w:val="21"/>
        </w:rPr>
      </w:pPr>
      <w:r>
        <w:rPr>
          <w:rFonts w:hAnsi="宋体" w:hint="eastAsia"/>
          <w:bCs/>
          <w:szCs w:val="21"/>
        </w:rPr>
        <w:t>蓄电池所有可用的活性物质已经转变为满荷电状态。</w:t>
      </w:r>
      <w:bookmarkStart w:id="113" w:name="_Toc493721807"/>
      <w:bookmarkEnd w:id="113"/>
      <w:bookmarkStart w:id="114" w:name="_Toc492475727"/>
      <w:bookmarkEnd w:id="114"/>
    </w:p>
    <w:p>
      <w:pPr>
        <w:pStyle w:val="Heading4"/>
        <w:spacing w:before="151" w:after="151"/>
        <w:rPr>
          <w:b/>
        </w:rPr>
      </w:pPr>
      <w:bookmarkStart w:id="115" w:name="_Toc24753"/>
      <w:bookmarkStart w:id="116" w:name="_Toc148510451"/>
      <w:bookmarkStart w:id="117" w:name="_Toc148518079"/>
      <w:bookmarkStart w:id="118" w:name="_Toc148518174"/>
      <w:bookmarkStart w:id="119" w:name="_Toc148510555"/>
      <w:bookmarkStart w:id="120" w:name="_Toc322"/>
      <w:r>
        <w:rPr>
          <w:rFonts w:hint="eastAsia"/>
        </w:rPr>
        <w:t>蓄电池组表面温度  surface temperature of battery string</w:t>
      </w:r>
      <w:bookmarkEnd w:id="115"/>
      <w:bookmarkEnd w:id="116"/>
      <w:bookmarkEnd w:id="117"/>
      <w:bookmarkEnd w:id="118"/>
      <w:bookmarkEnd w:id="119"/>
      <w:bookmarkEnd w:id="120"/>
    </w:p>
    <w:p>
      <w:pPr>
        <w:pStyle w:val="a2"/>
        <w:ind w:firstLine="420"/>
        <w:rPr>
          <w:rFonts w:hAnsi="宋体"/>
          <w:bCs/>
          <w:szCs w:val="21"/>
        </w:rPr>
      </w:pPr>
      <w:r>
        <w:rPr>
          <w:rFonts w:hAnsi="宋体" w:hint="eastAsia"/>
          <w:bCs/>
          <w:szCs w:val="21"/>
        </w:rPr>
        <w:t>蓄电池组中</w:t>
      </w:r>
      <w:r>
        <w:rPr>
          <w:rFonts w:hAnsi="宋体"/>
          <w:bCs/>
          <w:szCs w:val="21"/>
        </w:rPr>
        <w:t>每只蓄电池</w:t>
      </w:r>
      <w:r>
        <w:rPr>
          <w:rFonts w:hAnsi="宋体" w:hint="eastAsia"/>
          <w:bCs/>
          <w:szCs w:val="21"/>
        </w:rPr>
        <w:t>负极端子处测量温度的平均值。</w:t>
      </w:r>
    </w:p>
    <w:p>
      <w:pPr>
        <w:pStyle w:val="Heading3"/>
      </w:pPr>
      <w:bookmarkStart w:id="121" w:name="_Toc491377409"/>
      <w:bookmarkEnd w:id="121"/>
      <w:bookmarkStart w:id="122" w:name="_Toc491376975"/>
      <w:bookmarkEnd w:id="122"/>
      <w:bookmarkStart w:id="123" w:name="_Toc492475728"/>
      <w:bookmarkEnd w:id="123"/>
      <w:bookmarkStart w:id="124" w:name="_Toc8367"/>
      <w:bookmarkStart w:id="125" w:name="_Toc148510556"/>
      <w:bookmarkStart w:id="126" w:name="_Toc148518080"/>
      <w:bookmarkStart w:id="127" w:name="_Toc155426385"/>
      <w:bookmarkStart w:id="128" w:name="_Toc5157"/>
      <w:bookmarkStart w:id="129" w:name="_Toc148518175"/>
      <w:bookmarkStart w:id="130" w:name="_Toc148510452"/>
      <w:r>
        <w:rPr>
          <w:rFonts w:hint="eastAsia"/>
        </w:rPr>
        <w:t>符号</w:t>
      </w:r>
      <w:bookmarkEnd w:id="124"/>
      <w:bookmarkEnd w:id="125"/>
      <w:bookmarkEnd w:id="126"/>
      <w:bookmarkEnd w:id="127"/>
      <w:bookmarkEnd w:id="128"/>
      <w:bookmarkEnd w:id="129"/>
      <w:bookmarkEnd w:id="130"/>
    </w:p>
    <w:p>
      <w:pPr>
        <w:pStyle w:val="a2"/>
        <w:ind w:firstLine="420"/>
        <w:rPr>
          <w:rFonts w:hAnsi="宋体"/>
          <w:bCs/>
          <w:szCs w:val="21"/>
        </w:rPr>
      </w:pPr>
      <w:r>
        <w:rPr>
          <w:rFonts w:hAnsi="宋体" w:hint="eastAsia"/>
          <w:bCs/>
          <w:szCs w:val="21"/>
        </w:rPr>
        <w:t>下列符号和缩略语适用于本文件。</w:t>
      </w:r>
    </w:p>
    <w:p>
      <w:pPr>
        <w:pStyle w:val="a2"/>
        <w:ind w:firstLine="420"/>
        <w:rPr>
          <w:rFonts w:hAnsi="宋体"/>
          <w:bCs/>
          <w:szCs w:val="21"/>
        </w:rPr>
      </w:pPr>
      <w:r>
        <w:rPr>
          <w:rFonts w:hAnsi="宋体" w:hint="eastAsia"/>
          <w:bCs/>
          <w:i/>
          <w:szCs w:val="21"/>
        </w:rPr>
        <w:t>C</w:t>
      </w:r>
      <w:r>
        <w:rPr>
          <w:rFonts w:hAnsi="宋体" w:hint="eastAsia"/>
          <w:bCs/>
          <w:i/>
          <w:szCs w:val="21"/>
          <w:vertAlign w:val="subscript"/>
        </w:rPr>
        <w:t>10</w:t>
      </w:r>
      <w:r>
        <w:rPr>
          <w:rFonts w:hAnsi="宋体" w:hint="eastAsia"/>
          <w:bCs/>
          <w:szCs w:val="21"/>
          <w:vertAlign w:val="subscript"/>
        </w:rPr>
        <w:t xml:space="preserve">  ————</w:t>
      </w:r>
      <w:r>
        <w:rPr>
          <w:rFonts w:hAnsi="宋体" w:hint="eastAsia"/>
          <w:bCs/>
          <w:szCs w:val="21"/>
        </w:rPr>
        <w:t>10小时率标称容量，数值为1.00</w:t>
      </w:r>
      <w:r>
        <w:rPr>
          <w:rFonts w:hAnsi="宋体" w:hint="eastAsia"/>
          <w:bCs/>
          <w:i/>
          <w:szCs w:val="21"/>
        </w:rPr>
        <w:t xml:space="preserve"> C</w:t>
      </w:r>
      <w:r>
        <w:rPr>
          <w:rFonts w:hAnsi="宋体" w:hint="eastAsia"/>
          <w:bCs/>
          <w:i/>
          <w:szCs w:val="21"/>
          <w:vertAlign w:val="subscript"/>
        </w:rPr>
        <w:t>10</w:t>
      </w:r>
      <w:r>
        <w:rPr>
          <w:rFonts w:hAnsi="宋体" w:hint="eastAsia"/>
          <w:bCs/>
          <w:szCs w:val="21"/>
        </w:rPr>
        <w:t>，单位为安时（Ah）；</w:t>
      </w:r>
    </w:p>
    <w:p>
      <w:pPr>
        <w:pStyle w:val="a2"/>
        <w:ind w:firstLine="420"/>
        <w:rPr>
          <w:rFonts w:hAnsi="宋体"/>
          <w:bCs/>
          <w:szCs w:val="21"/>
        </w:rPr>
      </w:pPr>
      <w:r>
        <w:rPr>
          <w:rFonts w:hAnsi="宋体" w:hint="eastAsia"/>
          <w:bCs/>
          <w:i/>
          <w:szCs w:val="21"/>
        </w:rPr>
        <w:t>C</w:t>
      </w:r>
      <w:r>
        <w:rPr>
          <w:rFonts w:hAnsi="宋体" w:hint="eastAsia"/>
          <w:bCs/>
          <w:i/>
          <w:szCs w:val="21"/>
          <w:vertAlign w:val="subscript"/>
        </w:rPr>
        <w:t>5</w:t>
      </w:r>
      <w:r>
        <w:rPr>
          <w:rFonts w:hAnsi="宋体" w:hint="eastAsia"/>
          <w:bCs/>
          <w:szCs w:val="21"/>
          <w:vertAlign w:val="subscript"/>
        </w:rPr>
        <w:t xml:space="preserve">   ————</w:t>
      </w:r>
      <w:r>
        <w:rPr>
          <w:rFonts w:hAnsi="宋体" w:hint="eastAsia"/>
          <w:bCs/>
          <w:szCs w:val="21"/>
        </w:rPr>
        <w:t>5小时率标称容量，数值为0.85</w:t>
      </w:r>
      <w:r>
        <w:rPr>
          <w:rFonts w:hAnsi="宋体" w:hint="eastAsia"/>
          <w:bCs/>
          <w:i/>
          <w:szCs w:val="21"/>
        </w:rPr>
        <w:t xml:space="preserve"> C</w:t>
      </w:r>
      <w:r>
        <w:rPr>
          <w:rFonts w:hAnsi="宋体" w:hint="eastAsia"/>
          <w:bCs/>
          <w:i/>
          <w:szCs w:val="21"/>
          <w:vertAlign w:val="subscript"/>
        </w:rPr>
        <w:t>10</w:t>
      </w:r>
      <w:r>
        <w:rPr>
          <w:rFonts w:hAnsi="宋体" w:hint="eastAsia"/>
          <w:bCs/>
          <w:szCs w:val="21"/>
        </w:rPr>
        <w:t>，单位为安时（Ah）；</w:t>
      </w:r>
    </w:p>
    <w:p>
      <w:pPr>
        <w:pStyle w:val="a2"/>
        <w:ind w:firstLine="420"/>
        <w:rPr>
          <w:rFonts w:hAnsi="宋体"/>
          <w:bCs/>
          <w:szCs w:val="21"/>
        </w:rPr>
      </w:pPr>
      <w:r>
        <w:rPr>
          <w:rFonts w:hAnsi="宋体" w:hint="eastAsia"/>
          <w:bCs/>
          <w:i/>
          <w:szCs w:val="21"/>
        </w:rPr>
        <w:t>C</w:t>
      </w:r>
      <w:r>
        <w:rPr>
          <w:rFonts w:hAnsi="宋体" w:hint="eastAsia"/>
          <w:bCs/>
          <w:i/>
          <w:szCs w:val="21"/>
          <w:vertAlign w:val="subscript"/>
        </w:rPr>
        <w:t>3</w:t>
      </w:r>
      <w:r>
        <w:rPr>
          <w:rFonts w:hAnsi="宋体" w:hint="eastAsia"/>
          <w:bCs/>
          <w:szCs w:val="21"/>
          <w:vertAlign w:val="subscript"/>
        </w:rPr>
        <w:t xml:space="preserve">   ————</w:t>
      </w:r>
      <w:r>
        <w:rPr>
          <w:rFonts w:hAnsi="宋体" w:hint="eastAsia"/>
          <w:bCs/>
          <w:szCs w:val="21"/>
        </w:rPr>
        <w:t>3小时率标称容量，数值为0.75</w:t>
      </w:r>
      <w:r>
        <w:rPr>
          <w:rFonts w:hAnsi="宋体" w:hint="eastAsia"/>
          <w:bCs/>
          <w:i/>
          <w:szCs w:val="21"/>
        </w:rPr>
        <w:t xml:space="preserve"> C</w:t>
      </w:r>
      <w:r>
        <w:rPr>
          <w:rFonts w:hAnsi="宋体" w:hint="eastAsia"/>
          <w:bCs/>
          <w:i/>
          <w:szCs w:val="21"/>
          <w:vertAlign w:val="subscript"/>
        </w:rPr>
        <w:t>10</w:t>
      </w:r>
      <w:r>
        <w:rPr>
          <w:rFonts w:hAnsi="宋体" w:hint="eastAsia"/>
          <w:bCs/>
          <w:szCs w:val="21"/>
        </w:rPr>
        <w:t>，单位为安时（Ah）；</w:t>
      </w:r>
    </w:p>
    <w:p>
      <w:pPr>
        <w:pStyle w:val="a2"/>
        <w:ind w:firstLine="420"/>
        <w:rPr>
          <w:rFonts w:hAnsi="宋体"/>
          <w:bCs/>
          <w:szCs w:val="21"/>
        </w:rPr>
      </w:pPr>
      <w:r>
        <w:rPr>
          <w:rFonts w:hAnsi="宋体" w:cs="宋体" w:hint="eastAsia"/>
          <w:bCs/>
          <w:i/>
          <w:szCs w:val="21"/>
        </w:rPr>
        <w:t>C</w:t>
      </w:r>
      <w:r>
        <w:rPr>
          <w:rFonts w:hAnsi="宋体" w:cs="宋体" w:hint="eastAsia"/>
          <w:bCs/>
          <w:i/>
          <w:szCs w:val="21"/>
          <w:vertAlign w:val="subscript"/>
        </w:rPr>
        <w:t>a</w:t>
      </w:r>
      <w:r>
        <w:rPr>
          <w:rFonts w:hAnsi="宋体" w:hint="eastAsia"/>
          <w:bCs/>
          <w:i/>
          <w:szCs w:val="21"/>
        </w:rPr>
        <w:t xml:space="preserve"> </w:t>
      </w:r>
      <w:r>
        <w:rPr>
          <w:rFonts w:hAnsi="宋体" w:hint="eastAsia"/>
          <w:bCs/>
          <w:szCs w:val="21"/>
          <w:vertAlign w:val="subscript"/>
        </w:rPr>
        <w:t>————</w:t>
      </w:r>
      <w:r>
        <w:rPr>
          <w:rFonts w:hAnsi="宋体" w:hint="eastAsia"/>
          <w:bCs/>
          <w:szCs w:val="21"/>
        </w:rPr>
        <w:t>基准温度25℃时容量，单位为安时（Ah）；</w:t>
      </w:r>
    </w:p>
    <w:p>
      <w:pPr>
        <w:pStyle w:val="a2"/>
        <w:ind w:firstLine="420"/>
        <w:rPr>
          <w:rFonts w:hAnsi="宋体"/>
          <w:bCs/>
          <w:i/>
          <w:szCs w:val="21"/>
        </w:rPr>
      </w:pPr>
      <w:r>
        <w:rPr>
          <w:rFonts w:hAnsi="宋体" w:hint="eastAsia"/>
          <w:bCs/>
          <w:szCs w:val="21"/>
        </w:rPr>
        <w:t>C</w:t>
      </w:r>
      <w:r>
        <w:rPr>
          <w:rFonts w:hAnsi="宋体" w:hint="eastAsia"/>
          <w:bCs/>
          <w:szCs w:val="21"/>
          <w:vertAlign w:val="subscript"/>
        </w:rPr>
        <w:t>t————</w:t>
      </w:r>
      <w:r>
        <w:rPr>
          <w:rFonts w:hAnsi="宋体" w:hint="eastAsia"/>
          <w:bCs/>
          <w:szCs w:val="21"/>
        </w:rPr>
        <w:t>放电开始时蓄电池组表面温度为t时的实测容量，单位为安时（Ah）</w:t>
      </w:r>
      <w:r>
        <w:rPr>
          <w:rFonts w:hAnsi="宋体" w:hint="eastAsia"/>
          <w:bCs/>
          <w:i/>
          <w:szCs w:val="21"/>
        </w:rPr>
        <w:t>；</w:t>
      </w:r>
    </w:p>
    <w:p>
      <w:pPr>
        <w:pStyle w:val="a2"/>
        <w:ind w:firstLine="420"/>
        <w:rPr>
          <w:rFonts w:hAnsi="宋体"/>
          <w:bCs/>
          <w:szCs w:val="21"/>
        </w:rPr>
      </w:pPr>
      <w:r>
        <w:rPr>
          <w:rFonts w:hAnsi="宋体" w:cs="宋体" w:hint="eastAsia"/>
          <w:bCs/>
          <w:i/>
          <w:szCs w:val="21"/>
        </w:rPr>
        <w:t>C</w:t>
      </w:r>
      <w:r>
        <w:rPr>
          <w:rFonts w:hAnsi="宋体" w:cs="宋体" w:hint="eastAsia"/>
          <w:bCs/>
          <w:i/>
          <w:szCs w:val="21"/>
          <w:vertAlign w:val="subscript"/>
        </w:rPr>
        <w:t>ast</w:t>
      </w:r>
      <w:r>
        <w:rPr>
          <w:rFonts w:hAnsi="宋体" w:hint="eastAsia"/>
          <w:bCs/>
          <w:szCs w:val="21"/>
          <w:vertAlign w:val="subscript"/>
        </w:rPr>
        <w:t>———</w:t>
      </w:r>
      <w:r>
        <w:rPr>
          <w:rFonts w:hAnsi="宋体" w:hint="eastAsia"/>
          <w:bCs/>
          <w:szCs w:val="21"/>
        </w:rPr>
        <w:t>静止后换算成基准温度25℃时容量，单位为安时（Ah）；</w:t>
      </w:r>
    </w:p>
    <w:p>
      <w:pPr>
        <w:pStyle w:val="a2"/>
        <w:ind w:firstLine="420"/>
        <w:rPr>
          <w:rFonts w:hAnsi="宋体"/>
          <w:bCs/>
          <w:szCs w:val="21"/>
        </w:rPr>
      </w:pPr>
      <w:r>
        <w:rPr>
          <w:rFonts w:hAnsi="宋体" w:hint="eastAsia"/>
          <w:bCs/>
          <w:i/>
          <w:szCs w:val="21"/>
        </w:rPr>
        <w:t>I</w:t>
      </w:r>
      <w:r>
        <w:rPr>
          <w:rFonts w:hAnsi="宋体" w:hint="eastAsia"/>
          <w:bCs/>
          <w:i/>
          <w:szCs w:val="21"/>
          <w:vertAlign w:val="subscript"/>
        </w:rPr>
        <w:t>10</w:t>
      </w:r>
      <w:r>
        <w:rPr>
          <w:rFonts w:hAnsi="宋体" w:hint="eastAsia"/>
          <w:bCs/>
          <w:szCs w:val="21"/>
          <w:vertAlign w:val="subscript"/>
        </w:rPr>
        <w:t xml:space="preserve">   ————</w:t>
      </w:r>
      <w:r>
        <w:rPr>
          <w:rFonts w:hAnsi="宋体" w:hint="eastAsia"/>
          <w:bCs/>
          <w:szCs w:val="21"/>
        </w:rPr>
        <w:t>10小时率放电电流，数值为0.10</w:t>
      </w:r>
      <w:r>
        <w:rPr>
          <w:rFonts w:hAnsi="宋体" w:hint="eastAsia"/>
          <w:bCs/>
          <w:i/>
          <w:szCs w:val="21"/>
        </w:rPr>
        <w:t xml:space="preserve"> C</w:t>
      </w:r>
      <w:r>
        <w:rPr>
          <w:rFonts w:hAnsi="宋体" w:hint="eastAsia"/>
          <w:bCs/>
          <w:i/>
          <w:szCs w:val="21"/>
          <w:vertAlign w:val="subscript"/>
        </w:rPr>
        <w:t>10</w:t>
      </w:r>
      <w:r>
        <w:rPr>
          <w:rFonts w:hAnsi="宋体" w:hint="eastAsia"/>
          <w:bCs/>
          <w:szCs w:val="21"/>
        </w:rPr>
        <w:t>，单位为安培（A）；</w:t>
      </w:r>
    </w:p>
    <w:p>
      <w:pPr>
        <w:pStyle w:val="a2"/>
        <w:ind w:firstLine="420"/>
        <w:rPr>
          <w:rFonts w:hAnsi="宋体"/>
          <w:bCs/>
          <w:szCs w:val="21"/>
        </w:rPr>
      </w:pPr>
      <w:r>
        <w:rPr>
          <w:rFonts w:hAnsi="宋体" w:hint="eastAsia"/>
          <w:bCs/>
          <w:i/>
          <w:szCs w:val="21"/>
        </w:rPr>
        <w:t>I</w:t>
      </w:r>
      <w:r>
        <w:rPr>
          <w:rFonts w:hAnsi="宋体" w:hint="eastAsia"/>
          <w:bCs/>
          <w:i/>
          <w:szCs w:val="21"/>
          <w:vertAlign w:val="subscript"/>
        </w:rPr>
        <w:t xml:space="preserve">5 </w:t>
      </w:r>
      <w:r>
        <w:rPr>
          <w:rFonts w:hAnsi="宋体" w:hint="eastAsia"/>
          <w:bCs/>
          <w:szCs w:val="21"/>
          <w:vertAlign w:val="subscript"/>
        </w:rPr>
        <w:t xml:space="preserve">   ————</w:t>
      </w:r>
      <w:r>
        <w:rPr>
          <w:rFonts w:hAnsi="宋体" w:hint="eastAsia"/>
          <w:bCs/>
          <w:szCs w:val="21"/>
        </w:rPr>
        <w:t>5小时率放电电流，数值为0.17</w:t>
      </w:r>
      <w:r>
        <w:rPr>
          <w:rFonts w:hAnsi="宋体" w:hint="eastAsia"/>
          <w:bCs/>
          <w:i/>
          <w:szCs w:val="21"/>
        </w:rPr>
        <w:t xml:space="preserve"> C</w:t>
      </w:r>
      <w:r>
        <w:rPr>
          <w:rFonts w:hAnsi="宋体" w:hint="eastAsia"/>
          <w:bCs/>
          <w:i/>
          <w:szCs w:val="21"/>
          <w:vertAlign w:val="subscript"/>
        </w:rPr>
        <w:t>10</w:t>
      </w:r>
      <w:r>
        <w:rPr>
          <w:rFonts w:hAnsi="宋体" w:hint="eastAsia"/>
          <w:bCs/>
          <w:szCs w:val="21"/>
        </w:rPr>
        <w:t>，单位为安培（A）；</w:t>
      </w:r>
    </w:p>
    <w:p>
      <w:pPr>
        <w:pStyle w:val="a2"/>
        <w:ind w:firstLine="420"/>
        <w:rPr>
          <w:rFonts w:hAnsi="宋体"/>
          <w:bCs/>
          <w:szCs w:val="21"/>
        </w:rPr>
      </w:pPr>
      <w:r>
        <w:rPr>
          <w:rFonts w:hAnsi="宋体" w:hint="eastAsia"/>
          <w:bCs/>
          <w:i/>
          <w:szCs w:val="21"/>
        </w:rPr>
        <w:t>I</w:t>
      </w:r>
      <w:r>
        <w:rPr>
          <w:rFonts w:hAnsi="宋体" w:hint="eastAsia"/>
          <w:bCs/>
          <w:i/>
          <w:szCs w:val="21"/>
          <w:vertAlign w:val="subscript"/>
        </w:rPr>
        <w:t xml:space="preserve">3 </w:t>
      </w:r>
      <w:r>
        <w:rPr>
          <w:rFonts w:hAnsi="宋体" w:hint="eastAsia"/>
          <w:bCs/>
          <w:szCs w:val="21"/>
          <w:vertAlign w:val="subscript"/>
        </w:rPr>
        <w:t xml:space="preserve">   ————</w:t>
      </w:r>
      <w:r>
        <w:rPr>
          <w:rFonts w:hAnsi="宋体" w:hint="eastAsia"/>
          <w:bCs/>
          <w:szCs w:val="21"/>
        </w:rPr>
        <w:t>4小时率放电电流，数值为0.20</w:t>
      </w:r>
      <w:r>
        <w:rPr>
          <w:rFonts w:hAnsi="宋体" w:hint="eastAsia"/>
          <w:bCs/>
          <w:i/>
          <w:szCs w:val="21"/>
        </w:rPr>
        <w:t>C</w:t>
      </w:r>
      <w:r>
        <w:rPr>
          <w:rFonts w:hAnsi="宋体" w:hint="eastAsia"/>
          <w:bCs/>
          <w:i/>
          <w:szCs w:val="21"/>
          <w:vertAlign w:val="subscript"/>
        </w:rPr>
        <w:t>10</w:t>
      </w:r>
      <w:r>
        <w:rPr>
          <w:rFonts w:hAnsi="宋体" w:hint="eastAsia"/>
          <w:bCs/>
          <w:szCs w:val="21"/>
        </w:rPr>
        <w:t>，单位为安培（A）；</w:t>
      </w:r>
    </w:p>
    <w:p>
      <w:pPr>
        <w:pStyle w:val="a2"/>
        <w:ind w:firstLine="420"/>
        <w:rPr>
          <w:rFonts w:hAnsi="宋体"/>
          <w:bCs/>
          <w:szCs w:val="21"/>
        </w:rPr>
      </w:pPr>
      <w:r>
        <w:rPr>
          <w:rFonts w:hAnsi="宋体" w:hint="eastAsia"/>
          <w:bCs/>
          <w:i/>
          <w:szCs w:val="21"/>
        </w:rPr>
        <w:t>U</w:t>
      </w:r>
      <w:r>
        <w:rPr>
          <w:rFonts w:hAnsi="宋体" w:hint="eastAsia"/>
          <w:bCs/>
          <w:szCs w:val="21"/>
          <w:vertAlign w:val="subscript"/>
        </w:rPr>
        <w:t>————</w:t>
      </w:r>
      <w:r>
        <w:rPr>
          <w:rFonts w:hAnsi="宋体" w:hint="eastAsia"/>
          <w:bCs/>
          <w:szCs w:val="21"/>
        </w:rPr>
        <w:t>蓄电池或蓄电池组的充电电压，单位为伏特（V）。</w:t>
      </w:r>
    </w:p>
    <w:p>
      <w:pPr>
        <w:pStyle w:val="a2"/>
        <w:ind w:firstLine="420"/>
        <w:rPr>
          <w:rFonts w:hAnsi="宋体"/>
          <w:bCs/>
          <w:szCs w:val="21"/>
        </w:rPr>
      </w:pPr>
      <w:r>
        <w:rPr>
          <w:rFonts w:hAnsi="宋体" w:hint="eastAsia"/>
          <w:bCs/>
          <w:szCs w:val="21"/>
        </w:rPr>
        <w:t>Ge    ————168h±0.1h析出的修正气体量，单位为毫升（ml）；</w:t>
      </w:r>
    </w:p>
    <w:p>
      <w:pPr>
        <w:pStyle w:val="a2"/>
        <w:ind w:firstLine="420"/>
        <w:rPr>
          <w:rFonts w:hAnsi="宋体"/>
          <w:bCs/>
          <w:szCs w:val="21"/>
        </w:rPr>
      </w:pPr>
      <w:r>
        <w:rPr>
          <w:rFonts w:hAnsi="宋体" w:hint="eastAsia"/>
          <w:bCs/>
          <w:szCs w:val="21"/>
        </w:rPr>
        <w:t>Ge’ ————48h±0.1h析出的修正气体量，单位为毫升（ml）；</w:t>
      </w:r>
    </w:p>
    <w:p>
      <w:pPr>
        <w:pStyle w:val="a2"/>
        <w:ind w:firstLine="420"/>
        <w:rPr>
          <w:rFonts w:hAnsi="宋体"/>
          <w:bCs/>
          <w:szCs w:val="21"/>
        </w:rPr>
      </w:pPr>
      <w:r>
        <w:rPr>
          <w:rFonts w:hAnsi="宋体" w:hint="eastAsia"/>
          <w:bCs/>
          <w:i/>
          <w:szCs w:val="21"/>
        </w:rPr>
        <w:t>U</w:t>
      </w:r>
      <w:r>
        <w:rPr>
          <w:rFonts w:hAnsi="宋体" w:hint="eastAsia"/>
          <w:bCs/>
          <w:i/>
          <w:szCs w:val="21"/>
          <w:vertAlign w:val="subscript"/>
        </w:rPr>
        <w:t xml:space="preserve">dc   </w:t>
      </w:r>
      <w:r>
        <w:rPr>
          <w:rFonts w:hAnsi="宋体" w:hint="eastAsia"/>
          <w:bCs/>
          <w:szCs w:val="21"/>
          <w:vertAlign w:val="subscript"/>
        </w:rPr>
        <w:t>————</w:t>
      </w:r>
      <w:r>
        <w:rPr>
          <w:rFonts w:hAnsi="宋体" w:hint="eastAsia"/>
          <w:bCs/>
          <w:szCs w:val="21"/>
        </w:rPr>
        <w:t>蓄电池或蓄电池组的直流侧电压，单位为伏特（V）；</w:t>
      </w:r>
    </w:p>
    <w:p>
      <w:pPr>
        <w:pStyle w:val="a2"/>
        <w:ind w:firstLine="420"/>
        <w:rPr>
          <w:rFonts w:hAnsi="宋体"/>
          <w:bCs/>
          <w:szCs w:val="21"/>
        </w:rPr>
      </w:pPr>
      <w:r>
        <w:rPr>
          <w:rFonts w:hAnsi="宋体" w:hint="eastAsia"/>
          <w:bCs/>
          <w:i/>
          <w:szCs w:val="21"/>
        </w:rPr>
        <w:t>R</w:t>
      </w:r>
      <w:r>
        <w:rPr>
          <w:rFonts w:hAnsi="宋体" w:hint="eastAsia"/>
          <w:bCs/>
          <w:i/>
          <w:szCs w:val="21"/>
          <w:vertAlign w:val="subscript"/>
        </w:rPr>
        <w:t xml:space="preserve">rf   </w:t>
      </w:r>
      <w:r>
        <w:rPr>
          <w:rFonts w:hAnsi="宋体" w:hint="eastAsia"/>
          <w:bCs/>
          <w:szCs w:val="21"/>
          <w:vertAlign w:val="subscript"/>
        </w:rPr>
        <w:t xml:space="preserve"> ————</w:t>
      </w:r>
      <w:r>
        <w:rPr>
          <w:rFonts w:hAnsi="宋体" w:hint="eastAsia"/>
          <w:bCs/>
          <w:szCs w:val="21"/>
        </w:rPr>
        <w:t>荷电保持率，单位为百分比（%）；</w:t>
      </w:r>
    </w:p>
    <w:p>
      <w:pPr>
        <w:pStyle w:val="Heading2"/>
        <w:rPr>
          <w:b/>
          <w:bCs/>
        </w:rPr>
      </w:pPr>
      <w:bookmarkStart w:id="131" w:name="_Toc8"/>
      <w:bookmarkStart w:id="132" w:name="_Toc148518176"/>
      <w:bookmarkStart w:id="133" w:name="_Toc148518081"/>
      <w:bookmarkStart w:id="134" w:name="_Toc10055"/>
      <w:bookmarkStart w:id="135" w:name="_Toc155426386"/>
      <w:bookmarkStart w:id="136" w:name="_Toc148510453"/>
      <w:bookmarkStart w:id="137" w:name="_Toc148510557"/>
      <w:r>
        <w:rPr>
          <w:rFonts w:hint="eastAsia"/>
        </w:rPr>
        <w:t>型号编制</w:t>
      </w:r>
      <w:bookmarkEnd w:id="131"/>
      <w:bookmarkEnd w:id="132"/>
      <w:bookmarkEnd w:id="133"/>
      <w:bookmarkEnd w:id="134"/>
      <w:bookmarkEnd w:id="135"/>
      <w:bookmarkEnd w:id="136"/>
      <w:bookmarkEnd w:id="137"/>
    </w:p>
    <w:p>
      <w:pPr>
        <w:pStyle w:val="a2"/>
        <w:ind w:firstLine="420"/>
        <w:rPr>
          <w:rFonts w:hAnsi="宋体"/>
          <w:bCs/>
          <w:szCs w:val="21"/>
        </w:rPr>
      </w:pPr>
      <w:r>
        <w:rPr>
          <w:rFonts w:hAnsi="宋体" w:hint="eastAsia"/>
          <w:bCs/>
          <w:szCs w:val="21"/>
        </w:rPr>
        <w:t>蓄电池型号的编制宜采用以下规则：</w:t>
      </w:r>
    </w:p>
    <w:p>
      <w:pPr>
        <w:pStyle w:val="a2"/>
        <w:ind w:firstLine="420"/>
        <w:rPr>
          <w:rFonts w:hAnsi="宋体"/>
          <w:bCs/>
          <w:szCs w:val="21"/>
        </w:rPr>
        <w:sectPr>
          <w:headerReference w:type="even" r:id="rId17"/>
          <w:headerReference w:type="default" r:id="rId18"/>
          <w:footerReference w:type="even" r:id="rId19"/>
          <w:footerReference w:type="default" r:id="rId20"/>
          <w:headerReference w:type="first" r:id="rId21"/>
          <w:footerReference w:type="first" r:id="rId22"/>
          <w:type w:val="nextPage"/>
          <w:pgSz w:w="11907" w:h="16839"/>
          <w:pgMar w:top="1134" w:right="1134" w:bottom="1134" w:left="1418" w:header="1134" w:footer="1134" w:gutter="0"/>
          <w:pgNumType w:start="2"/>
          <w:cols w:num="1" w:space="720"/>
          <w:titlePg w:val="0"/>
          <w:docGrid w:type="linesAndChars" w:linePitch="303" w:charSpace="0"/>
        </w:sectPr>
      </w:pPr>
    </w:p>
    <w:p>
      <w:pPr>
        <w:pStyle w:val="a2"/>
        <w:ind w:firstLine="420"/>
        <w:rPr>
          <w:rFonts w:hAnsi="宋体"/>
          <w:bCs/>
          <w:szCs w:val="21"/>
        </w:rPr>
      </w:pPr>
    </w:p>
    <w:p>
      <w:pPr>
        <w:pStyle w:val="a2"/>
        <w:ind w:firstLine="3045" w:firstLineChars="1450"/>
        <w:rPr>
          <w:rFonts w:hAnsi="宋体"/>
          <w:bCs/>
          <w:szCs w:val="21"/>
        </w:rPr>
      </w:pPr>
      <w:r>
        <w:rPr>
          <w:rFonts w:hAnsi="宋体" w:hint="eastAsia"/>
          <w:bCs/>
          <w:szCs w:val="21"/>
        </w:rPr>
        <w:t xml:space="preserve">         </w:t>
      </w:r>
      <w:r>
        <w:rPr>
          <w:rFonts w:hAnsi="宋体" w:cs="Arial" w:hint="eastAsia"/>
          <w:bCs/>
          <w:szCs w:val="21"/>
          <w:u w:val="single"/>
        </w:rPr>
        <w:t>OPzV</w:t>
      </w:r>
      <w:r>
        <w:rPr>
          <w:rFonts w:hAnsi="宋体" w:cs="Arial"/>
          <w:bCs/>
          <w:szCs w:val="21"/>
          <w:u w:val="single"/>
        </w:rPr>
        <w:t>□□</w:t>
      </w:r>
      <w:r>
        <w:rPr>
          <w:rFonts w:hAnsi="宋体" w:cs="Arial" w:hint="eastAsia"/>
          <w:bCs/>
          <w:szCs w:val="21"/>
        </w:rPr>
        <w:t>-</w:t>
      </w:r>
      <w:r>
        <w:rPr>
          <w:rFonts w:hAnsi="宋体" w:cs="Arial"/>
          <w:bCs/>
          <w:szCs w:val="21"/>
          <w:u w:val="single"/>
        </w:rPr>
        <w:t>□□□</w:t>
      </w:r>
      <w:r>
        <w:rPr>
          <w:rFonts w:hAnsi="宋体" w:cs="Arial" w:hint="eastAsia"/>
          <w:bCs/>
          <w:szCs w:val="21"/>
        </w:rPr>
        <w:t xml:space="preserve"> </w:t>
      </w:r>
    </w:p>
    <w:p>
      <w:pPr>
        <w:ind w:firstLine="3600" w:firstLineChars="1800"/>
        <w:rPr>
          <w:color w:val="000000" w:themeColor="text1"/>
          <w:sz w:val="20"/>
          <w14:textFill>
            <w14:solidFill>
              <w14:schemeClr w14:val="tx1"/>
            </w14:solidFill>
          </w14:textFill>
        </w:rPr>
      </w:pPr>
      <w:r>
        <w:rPr>
          <w:color w:val="000000" w:themeColor="text1"/>
          <w:sz w:val="20"/>
          <w14:textFill>
            <w14:solidFill>
              <w14:schemeClr w14:val="tx1"/>
            </w14:solidFill>
          </w14:textFill>
        </w:rPr>
        <mc:AlternateContent>
          <mc:Choice Requires="wps">
            <w:drawing>
              <wp:anchor distT="0" distB="0" distL="113665" distR="113665" simplePos="0" relativeHeight="251665408" behindDoc="0" locked="0" layoutInCell="1" allowOverlap="1">
                <wp:simplePos x="0" y="0"/>
                <wp:positionH relativeFrom="column">
                  <wp:posOffset>2933065</wp:posOffset>
                </wp:positionH>
                <wp:positionV relativeFrom="paragraph">
                  <wp:posOffset>70485</wp:posOffset>
                </wp:positionV>
                <wp:extent cx="0" cy="217805"/>
                <wp:effectExtent l="0" t="0" r="19050" b="29845"/>
                <wp:wrapNone/>
                <wp:docPr id="10" name="直线 109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217805"/>
                        </a:xfrm>
                        <a:prstGeom prst="line">
                          <a:avLst/>
                        </a:prstGeom>
                        <a:noFill/>
                        <a:ln w="9525">
                          <a:solidFill>
                            <a:srgbClr val="000000"/>
                          </a:solidFill>
                          <a:round/>
                        </a:ln>
                      </wps:spPr>
                      <wps:bodyPr/>
                    </wps:wsp>
                  </a:graphicData>
                </a:graphic>
              </wp:anchor>
            </w:drawing>
          </mc:Choice>
          <mc:Fallback>
            <w:pict>
              <v:line id="直线 1092" o:spid="_x0000_s1026" style="mso-wrap-distance-bottom:0;mso-wrap-distance-left:8.95pt;mso-wrap-distance-right:8.95pt;mso-wrap-distance-top:0;position:absolute;v-text-anchor:top;z-index:251664384" from="230.95pt,5.55pt" to="230.95pt,22.7pt" fillcolor="this" stroked="t" strokecolor="black" strokeweight="0.75pt">
                <v:stroke joinstyle="round"/>
              </v:line>
            </w:pict>
          </mc:Fallback>
        </mc:AlternateContent>
      </w:r>
      <w:r>
        <w:rPr>
          <w:color w:val="000000" w:themeColor="text1"/>
          <w:sz w:val="20"/>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3390900</wp:posOffset>
                </wp:positionH>
                <wp:positionV relativeFrom="paragraph">
                  <wp:posOffset>95885</wp:posOffset>
                </wp:positionV>
                <wp:extent cx="1270" cy="590550"/>
                <wp:effectExtent l="0" t="0" r="36830" b="19050"/>
                <wp:wrapNone/>
                <wp:docPr id="11" name="直线 1091"/>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1270" cy="590550"/>
                        </a:xfrm>
                        <a:prstGeom prst="line">
                          <a:avLst/>
                        </a:prstGeom>
                        <a:noFill/>
                        <a:ln w="9525">
                          <a:solidFill>
                            <a:srgbClr val="000000"/>
                          </a:solidFill>
                          <a:round/>
                        </a:ln>
                      </wps:spPr>
                      <wps:bodyPr/>
                    </wps:wsp>
                  </a:graphicData>
                </a:graphic>
              </wp:anchor>
            </w:drawing>
          </mc:Choice>
          <mc:Fallback>
            <w:pict>
              <v:line id="直线 1091" o:spid="_x0000_s1027" style="mso-wrap-distance-bottom:0;mso-wrap-distance-left:9pt;mso-wrap-distance-right:9pt;mso-wrap-distance-top:0;position:absolute;v-text-anchor:top;z-index:251662336" from="267pt,7.55pt" to="267.1pt,54.05pt" fillcolor="this" stroked="t" strokecolor="black" strokeweight="0.75pt">
                <v:stroke joinstyle="round"/>
              </v:line>
            </w:pict>
          </mc:Fallback>
        </mc:AlternateContent>
      </w:r>
      <w:r>
        <w:rPr>
          <w:color w:val="000000" w:themeColor="text1"/>
          <w:sz w:val="20"/>
          <w14:textFill>
            <w14:solidFill>
              <w14:schemeClr w14:val="tx1"/>
            </w14:solidFill>
          </w14:textFill>
        </w:rPr>
        <mc:AlternateContent>
          <mc:Choice Requires="wps">
            <w:drawing>
              <wp:anchor distT="0" distB="0" distL="113665" distR="113665" simplePos="0" relativeHeight="251669504" behindDoc="0" locked="0" layoutInCell="1" allowOverlap="1">
                <wp:simplePos x="0" y="0"/>
                <wp:positionH relativeFrom="column">
                  <wp:posOffset>2399665</wp:posOffset>
                </wp:positionH>
                <wp:positionV relativeFrom="paragraph">
                  <wp:posOffset>103505</wp:posOffset>
                </wp:positionV>
                <wp:extent cx="0" cy="0"/>
                <wp:effectExtent l="0" t="0" r="0" b="0"/>
                <wp:wrapNone/>
                <wp:docPr id="9" name="直线 1095"/>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0"/>
                        </a:xfrm>
                        <a:prstGeom prst="line">
                          <a:avLst/>
                        </a:prstGeom>
                        <a:noFill/>
                        <a:ln w="9525">
                          <a:solidFill>
                            <a:srgbClr val="000000"/>
                          </a:solidFill>
                          <a:round/>
                        </a:ln>
                      </wps:spPr>
                      <wps:bodyPr/>
                    </wps:wsp>
                  </a:graphicData>
                </a:graphic>
              </wp:anchor>
            </w:drawing>
          </mc:Choice>
          <mc:Fallback>
            <w:pict>
              <v:line id="直线 1095" o:spid="_x0000_s1028" style="mso-wrap-distance-bottom:0;mso-wrap-distance-left:8.95pt;mso-wrap-distance-right:8.95pt;mso-wrap-distance-top:0;position:absolute;v-text-anchor:top;z-index:251668480" from="188.95pt,8.15pt" to="188.95pt,8.15pt" fillcolor="this" stroked="t" strokecolor="black" strokeweight="0.75pt">
                <v:stroke joinstyle="round"/>
              </v:line>
            </w:pict>
          </mc:Fallback>
        </mc:AlternateContent>
      </w:r>
    </w:p>
    <w:p>
      <w:pPr>
        <w:ind w:right="6195" w:rightChars="2950"/>
        <w:jc w:val="righ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2362200</wp:posOffset>
                </wp:positionH>
                <wp:positionV relativeFrom="paragraph">
                  <wp:posOffset>110490</wp:posOffset>
                </wp:positionV>
                <wp:extent cx="571500" cy="0"/>
                <wp:effectExtent l="0" t="0" r="19050" b="19050"/>
                <wp:wrapNone/>
                <wp:docPr id="8" name="直线 1090"/>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71500" cy="0"/>
                        </a:xfrm>
                        <a:prstGeom prst="line">
                          <a:avLst/>
                        </a:prstGeom>
                        <a:noFill/>
                        <a:ln w="9525">
                          <a:solidFill>
                            <a:srgbClr val="000000"/>
                          </a:solidFill>
                          <a:round/>
                        </a:ln>
                      </wps:spPr>
                      <wps:bodyPr/>
                    </wps:wsp>
                  </a:graphicData>
                </a:graphic>
              </wp:anchor>
            </w:drawing>
          </mc:Choice>
          <mc:Fallback>
            <w:pict>
              <v:line id="直线 1090" o:spid="_x0000_s1029" style="mso-wrap-distance-bottom:0;mso-wrap-distance-left:9pt;mso-wrap-distance-right:9pt;mso-wrap-distance-top:0;position:absolute;v-text-anchor:top;z-index:251660288" from="186pt,8.7pt" to="231pt,8.7pt" fillcolor="this" stroked="t" strokecolor="black" strokeweight="0.75pt">
                <v:stroke joinstyle="round"/>
              </v:line>
            </w:pict>
          </mc:Fallback>
        </mc:AlternateContent>
      </w:r>
      <w:r>
        <w:rPr>
          <w:rFonts w:hint="eastAsia"/>
          <w:color w:val="000000" w:themeColor="text1"/>
          <w:sz w:val="18"/>
          <w:szCs w:val="18"/>
          <w14:textFill>
            <w14:solidFill>
              <w14:schemeClr w14:val="tx1"/>
            </w14:solidFill>
          </w14:textFill>
        </w:rPr>
        <w:t>标称电压标识</w:t>
      </w:r>
    </w:p>
    <w:p>
      <w:pPr>
        <w:ind w:right="6195" w:rightChars="2950"/>
        <w:jc w:val="right"/>
        <w:rPr>
          <w:color w:val="000000" w:themeColor="text1"/>
          <w:sz w:val="18"/>
          <w:szCs w:val="18"/>
          <w14:textFill>
            <w14:solidFill>
              <w14:schemeClr w14:val="tx1"/>
            </w14:solidFill>
          </w14:textFill>
        </w:rPr>
      </w:pPr>
    </w:p>
    <w:p>
      <w:pPr>
        <w:ind w:right="6195" w:rightChars="2950"/>
        <w:jc w:val="righ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2390775</wp:posOffset>
                </wp:positionH>
                <wp:positionV relativeFrom="paragraph">
                  <wp:posOffset>87630</wp:posOffset>
                </wp:positionV>
                <wp:extent cx="986790" cy="0"/>
                <wp:effectExtent l="0" t="0" r="22860" b="19050"/>
                <wp:wrapNone/>
                <wp:docPr id="7" name="直线 109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986790" cy="0"/>
                        </a:xfrm>
                        <a:prstGeom prst="line">
                          <a:avLst/>
                        </a:prstGeom>
                        <a:noFill/>
                        <a:ln w="9525">
                          <a:solidFill>
                            <a:srgbClr val="000000"/>
                          </a:solidFill>
                          <a:round/>
                        </a:ln>
                      </wps:spPr>
                      <wps:bodyPr/>
                    </wps:wsp>
                  </a:graphicData>
                </a:graphic>
              </wp:anchor>
            </w:drawing>
          </mc:Choice>
          <mc:Fallback>
            <w:pict>
              <v:line id="直线 1093" o:spid="_x0000_s1030" style="mso-wrap-distance-bottom:0;mso-wrap-distance-left:9pt;mso-wrap-distance-right:9pt;mso-wrap-distance-top:0;position:absolute;v-text-anchor:top;z-index:251666432" from="188.25pt,6.9pt" to="265.95pt,6.9pt" fillcolor="this" stroked="t" strokecolor="black" strokeweight="0.75pt">
                <v:stroke joinstyle="round"/>
              </v:line>
            </w:pict>
          </mc:Fallback>
        </mc:AlternateContent>
      </w:r>
      <w:r>
        <w:rPr>
          <w:rFonts w:hint="eastAsia"/>
          <w:color w:val="000000" w:themeColor="text1"/>
          <w:sz w:val="18"/>
          <w:szCs w:val="18"/>
          <w14:textFill>
            <w14:solidFill>
              <w14:schemeClr w14:val="tx1"/>
            </w14:solidFill>
          </w14:textFill>
        </w:rPr>
        <w:t>标称容量标识</w:t>
      </w:r>
    </w:p>
    <w:p>
      <w:pPr>
        <w:pStyle w:val="a2"/>
        <w:ind w:firstLine="420"/>
        <w:rPr>
          <w:rFonts w:hAnsi="宋体"/>
          <w:bCs/>
          <w:szCs w:val="21"/>
        </w:rPr>
      </w:pPr>
      <w:r>
        <w:rPr>
          <w:rFonts w:hAnsi="宋体" w:hint="eastAsia"/>
          <w:bCs/>
          <w:szCs w:val="21"/>
        </w:rPr>
        <w:t>示例</w:t>
      </w:r>
      <w:r>
        <w:rPr>
          <w:rFonts w:hAnsi="宋体"/>
          <w:bCs/>
          <w:szCs w:val="21"/>
        </w:rPr>
        <w:t>：</w:t>
      </w:r>
      <w:r>
        <w:rPr>
          <w:rFonts w:hAnsi="宋体" w:hint="eastAsia"/>
          <w:bCs/>
          <w:szCs w:val="21"/>
        </w:rPr>
        <w:t>6个单体串联的标称容量为100Ah的蓄电池的型号可命名为OPzV12-100</w:t>
      </w:r>
      <w:r>
        <w:rPr>
          <w:rFonts w:hAnsi="宋体"/>
          <w:bCs/>
          <w:szCs w:val="21"/>
        </w:rPr>
        <w:t>。</w:t>
      </w:r>
    </w:p>
    <w:p>
      <w:pPr>
        <w:pStyle w:val="Heading2"/>
        <w:rPr>
          <w:b/>
          <w:bCs/>
        </w:rPr>
      </w:pPr>
      <w:bookmarkStart w:id="138" w:name="_Toc148510454"/>
      <w:bookmarkStart w:id="139" w:name="_Toc148510558"/>
      <w:bookmarkStart w:id="140" w:name="_Toc4495"/>
      <w:bookmarkStart w:id="141" w:name="_Toc29268"/>
      <w:bookmarkStart w:id="142" w:name="_Toc155426387"/>
      <w:bookmarkStart w:id="143" w:name="_Toc148518177"/>
      <w:bookmarkStart w:id="144" w:name="_Toc148518082"/>
      <w:r>
        <w:rPr>
          <w:rFonts w:hint="eastAsia"/>
        </w:rPr>
        <w:t>分类、规格和使用条件</w:t>
      </w:r>
      <w:bookmarkEnd w:id="138"/>
      <w:bookmarkEnd w:id="139"/>
      <w:bookmarkEnd w:id="140"/>
      <w:bookmarkEnd w:id="141"/>
      <w:bookmarkEnd w:id="142"/>
      <w:bookmarkEnd w:id="143"/>
      <w:bookmarkEnd w:id="144"/>
    </w:p>
    <w:p>
      <w:pPr>
        <w:pStyle w:val="Heading3"/>
        <w:rPr>
          <w:b/>
        </w:rPr>
      </w:pPr>
      <w:bookmarkStart w:id="145" w:name="_Toc7424"/>
      <w:bookmarkStart w:id="146" w:name="_Toc21749"/>
      <w:bookmarkStart w:id="147" w:name="_Toc155426388"/>
      <w:bookmarkStart w:id="148" w:name="_Toc148518083"/>
      <w:bookmarkStart w:id="149" w:name="_Toc148510559"/>
      <w:bookmarkStart w:id="150" w:name="_Toc148510455"/>
      <w:bookmarkStart w:id="151" w:name="_Toc148518178"/>
      <w:bookmarkStart w:id="152" w:name="_Toc329981345"/>
      <w:bookmarkStart w:id="153" w:name="_Toc321434182"/>
      <w:bookmarkStart w:id="154" w:name="_Toc322123835"/>
      <w:bookmarkStart w:id="155" w:name="_Toc339737876"/>
      <w:bookmarkStart w:id="156" w:name="_Toc330735955"/>
      <w:bookmarkStart w:id="157" w:name="_Toc338882607"/>
      <w:r>
        <w:rPr>
          <w:rFonts w:hint="eastAsia"/>
        </w:rPr>
        <w:t>产品规格</w:t>
      </w:r>
      <w:bookmarkEnd w:id="145"/>
      <w:bookmarkEnd w:id="146"/>
      <w:bookmarkEnd w:id="147"/>
      <w:bookmarkEnd w:id="148"/>
      <w:bookmarkEnd w:id="149"/>
      <w:bookmarkEnd w:id="150"/>
      <w:bookmarkEnd w:id="151"/>
    </w:p>
    <w:p>
      <w:pPr>
        <w:pStyle w:val="a2"/>
        <w:ind w:firstLine="420"/>
        <w:rPr>
          <w:rFonts w:hAnsi="宋体"/>
          <w:bCs/>
          <w:szCs w:val="21"/>
        </w:rPr>
      </w:pPr>
      <w:r>
        <w:rPr>
          <w:rFonts w:hAnsi="宋体" w:hint="eastAsia"/>
          <w:bCs/>
          <w:szCs w:val="21"/>
        </w:rPr>
        <w:t>产品的品种规格如表1所示。</w:t>
      </w:r>
    </w:p>
    <w:p>
      <w:pPr>
        <w:pStyle w:val="a54"/>
        <w:tabs>
          <w:tab w:val="left" w:pos="360"/>
        </w:tabs>
        <w:spacing w:before="152" w:beforeLines="50" w:after="152" w:afterLines="50"/>
        <w:rPr>
          <w:bCs/>
          <w:color w:val="000000" w:themeColor="text1"/>
          <w:szCs w:val="21"/>
          <w14:textFill>
            <w14:solidFill>
              <w14:schemeClr w14:val="tx1"/>
            </w14:solidFill>
          </w14:textFill>
        </w:rPr>
      </w:pPr>
      <w:bookmarkStart w:id="158" w:name="_Toc491378272"/>
      <w:r>
        <w:rPr>
          <w:rFonts w:hint="eastAsia"/>
          <w:bCs/>
          <w:color w:val="000000" w:themeColor="text1"/>
          <w:szCs w:val="21"/>
          <w14:textFill>
            <w14:solidFill>
              <w14:schemeClr w14:val="tx1"/>
            </w14:solidFill>
          </w14:textFill>
        </w:rPr>
        <w:t xml:space="preserve">表 </w:t>
      </w:r>
      <w:r>
        <w:rPr>
          <w:rFonts w:hint="eastAsia"/>
          <w:bCs/>
          <w:color w:val="000000" w:themeColor="text1"/>
          <w:szCs w:val="21"/>
          <w14:textFill>
            <w14:solidFill>
              <w14:schemeClr w14:val="tx1"/>
            </w14:solidFill>
          </w14:textFill>
        </w:rPr>
        <w:fldChar w:fldCharType="begin"/>
      </w:r>
      <w:r>
        <w:rPr>
          <w:rFonts w:hint="eastAsia"/>
          <w:bCs/>
          <w:color w:val="000000" w:themeColor="text1"/>
          <w:szCs w:val="21"/>
          <w14:textFill>
            <w14:solidFill>
              <w14:schemeClr w14:val="tx1"/>
            </w14:solidFill>
          </w14:textFill>
        </w:rPr>
        <w:instrText xml:space="preserve"> SEQ 表 \* ARABIC </w:instrText>
      </w:r>
      <w:r>
        <w:rPr>
          <w:rFonts w:hint="eastAsia"/>
          <w:bCs/>
          <w:color w:val="000000" w:themeColor="text1"/>
          <w:szCs w:val="21"/>
          <w14:textFill>
            <w14:solidFill>
              <w14:schemeClr w14:val="tx1"/>
            </w14:solidFill>
          </w14:textFill>
        </w:rPr>
        <w:fldChar w:fldCharType="separate"/>
      </w:r>
      <w:r>
        <w:rPr>
          <w:rFonts w:hint="eastAsia"/>
          <w:bCs/>
          <w:color w:val="000000" w:themeColor="text1"/>
          <w:szCs w:val="21"/>
          <w14:textFill>
            <w14:solidFill>
              <w14:schemeClr w14:val="tx1"/>
            </w14:solidFill>
          </w14:textFill>
        </w:rPr>
        <w:t>1</w:t>
      </w:r>
      <w:r>
        <w:rPr>
          <w:rFonts w:hint="eastAsia"/>
          <w:bCs/>
          <w:color w:val="000000" w:themeColor="text1"/>
          <w:szCs w:val="21"/>
          <w14:textFill>
            <w14:solidFill>
              <w14:schemeClr w14:val="tx1"/>
            </w14:solidFill>
          </w14:textFill>
        </w:rPr>
        <w:fldChar w:fldCharType="end"/>
      </w:r>
      <w:r>
        <w:rPr>
          <w:rFonts w:hint="eastAsia"/>
          <w:bCs/>
          <w:color w:val="000000" w:themeColor="text1"/>
          <w:szCs w:val="21"/>
          <w14:textFill>
            <w14:solidFill>
              <w14:schemeClr w14:val="tx1"/>
            </w14:solidFill>
          </w14:textFill>
        </w:rPr>
        <w:t xml:space="preserve"> </w:t>
      </w:r>
      <w:r>
        <w:rPr>
          <w:bCs/>
          <w:color w:val="000000" w:themeColor="text1"/>
          <w:szCs w:val="21"/>
          <w14:textFill>
            <w14:solidFill>
              <w14:schemeClr w14:val="tx1"/>
            </w14:solidFill>
          </w14:textFill>
        </w:rPr>
        <w:t xml:space="preserve"> </w:t>
      </w:r>
      <w:r>
        <w:rPr>
          <w:rFonts w:hint="eastAsia"/>
          <w:bCs/>
          <w:color w:val="000000" w:themeColor="text1"/>
          <w:szCs w:val="21"/>
          <w14:textFill>
            <w14:solidFill>
              <w14:schemeClr w14:val="tx1"/>
            </w14:solidFill>
          </w14:textFill>
        </w:rPr>
        <w:t>蓄电池的品种规格</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 w:type="dxa"/>
          <w:bottom w:w="0" w:type="dxa"/>
          <w:right w:w="10" w:type="dxa"/>
        </w:tblCellMar>
      </w:tblPr>
      <w:tblGrid>
        <w:gridCol w:w="1828"/>
        <w:gridCol w:w="1828"/>
        <w:gridCol w:w="2993"/>
        <w:gridCol w:w="909"/>
        <w:gridCol w:w="909"/>
        <w:gridCol w:w="908"/>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 w:type="dxa"/>
            <w:bottom w:w="0" w:type="dxa"/>
            <w:right w:w="10" w:type="dxa"/>
          </w:tblCellMar>
        </w:tblPrEx>
        <w:trPr>
          <w:trHeight w:hRule="exact" w:val="483"/>
          <w:jc w:val="center"/>
        </w:trPr>
        <w:tc>
          <w:tcPr>
            <w:tcW w:w="975" w:type="pct"/>
            <w:vMerge w:val="restar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bookmarkEnd w:id="158"/>
            <w:r>
              <w:rPr>
                <w:rFonts w:cstheme="minorEastAsia" w:hint="eastAsia"/>
                <w:color w:val="000000" w:themeColor="text1"/>
                <w:sz w:val="18"/>
                <w:szCs w:val="18"/>
                <w14:textFill>
                  <w14:solidFill>
                    <w14:schemeClr w14:val="tx1"/>
                  </w14:solidFill>
                </w14:textFill>
              </w:rPr>
              <w:t>型号</w:t>
            </w:r>
          </w:p>
        </w:tc>
        <w:tc>
          <w:tcPr>
            <w:tcW w:w="975" w:type="pct"/>
            <w:vMerge w:val="restart"/>
            <w:shd w:val="clear" w:color="auto" w:fill="FFFFFF"/>
            <w:vAlign w:val="center"/>
          </w:tcPr>
          <w:p>
            <w:pPr>
              <w:pStyle w:val="Other10"/>
              <w:spacing w:after="60"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额定电压/V</w:t>
            </w:r>
          </w:p>
        </w:tc>
        <w:tc>
          <w:tcPr>
            <w:tcW w:w="1596" w:type="pct"/>
            <w:vMerge w:val="restart"/>
            <w:shd w:val="clear" w:color="auto" w:fill="FFFFFF"/>
            <w:vAlign w:val="center"/>
          </w:tcPr>
          <w:p>
            <w:pPr>
              <w:pStyle w:val="Other10"/>
              <w:spacing w:after="60" w:line="310" w:lineRule="exact"/>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10</w:t>
            </w:r>
            <w:r>
              <w:rPr>
                <w:rFonts w:cstheme="minorEastAsia" w:hint="eastAsia"/>
                <w:color w:val="000000" w:themeColor="text1"/>
                <w:sz w:val="18"/>
                <w:szCs w:val="18"/>
                <w:lang w:val="en-US" w:eastAsia="en-US" w:bidi="en-US"/>
                <w14:textFill>
                  <w14:solidFill>
                    <w14:schemeClr w14:val="tx1"/>
                  </w14:solidFill>
                </w14:textFill>
              </w:rPr>
              <w:t>h</w:t>
            </w:r>
            <w:r>
              <w:rPr>
                <w:rFonts w:cstheme="minorEastAsia" w:hint="eastAsia"/>
                <w:color w:val="000000" w:themeColor="text1"/>
                <w:sz w:val="18"/>
                <w:szCs w:val="18"/>
                <w14:textFill>
                  <w14:solidFill>
                    <w14:schemeClr w14:val="tx1"/>
                  </w14:solidFill>
                </w14:textFill>
              </w:rPr>
              <w:t>率额定容量/</w:t>
            </w:r>
            <w:r>
              <w:rPr>
                <w:rFonts w:cstheme="minorEastAsia" w:hint="eastAsia"/>
                <w:color w:val="000000" w:themeColor="text1"/>
                <w:sz w:val="18"/>
                <w:szCs w:val="18"/>
                <w:lang w:val="en-US" w:eastAsia="en-US" w:bidi="en-US"/>
                <w14:textFill>
                  <w14:solidFill>
                    <w14:schemeClr w14:val="tx1"/>
                  </w14:solidFill>
                </w14:textFill>
              </w:rPr>
              <w:t>Ah</w:t>
            </w:r>
          </w:p>
        </w:tc>
        <w:tc>
          <w:tcPr>
            <w:tcW w:w="1454" w:type="pct"/>
            <w:gridSpan w:val="3"/>
            <w:shd w:val="clear" w:color="auto" w:fill="FFFFFF"/>
            <w:vAlign w:val="center"/>
          </w:tcPr>
          <w:p>
            <w:pPr>
              <w:pStyle w:val="Other10"/>
              <w:spacing w:after="80"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最大外形尺寸/</w:t>
            </w:r>
            <w:r>
              <w:rPr>
                <w:rFonts w:cstheme="minorEastAsia" w:hint="eastAsia"/>
                <w:color w:val="000000" w:themeColor="text1"/>
                <w:sz w:val="18"/>
                <w:szCs w:val="18"/>
                <w:lang w:val="en-US" w:eastAsia="en-US" w:bidi="en-US"/>
                <w14:textFill>
                  <w14:solidFill>
                    <w14:schemeClr w14:val="tx1"/>
                  </w14:solidFill>
                </w14:textFill>
              </w:rPr>
              <w:t>mm</w:t>
            </w:r>
          </w:p>
        </w:tc>
      </w:tr>
      <w:tr>
        <w:tblPrEx>
          <w:tblW w:w="5000" w:type="pct"/>
          <w:jc w:val="center"/>
          <w:tblCellMar>
            <w:top w:w="0" w:type="dxa"/>
            <w:left w:w="10" w:type="dxa"/>
            <w:bottom w:w="0" w:type="dxa"/>
            <w:right w:w="10" w:type="dxa"/>
          </w:tblCellMar>
        </w:tblPrEx>
        <w:trPr>
          <w:trHeight w:hRule="exact" w:val="364"/>
          <w:jc w:val="center"/>
        </w:trPr>
        <w:tc>
          <w:tcPr>
            <w:tcW w:w="975" w:type="pct"/>
            <w:vMerge/>
            <w:shd w:val="clear" w:color="auto" w:fill="FFFFFF"/>
            <w:vAlign w:val="center"/>
          </w:tcPr>
          <w:p>
            <w:pPr>
              <w:jc w:val="center"/>
              <w:rPr>
                <w:rFonts w:ascii="宋体" w:hAnsi="宋体" w:cstheme="minorEastAsia"/>
                <w:color w:val="000000" w:themeColor="text1"/>
                <w:sz w:val="18"/>
                <w:szCs w:val="18"/>
                <w14:textFill>
                  <w14:solidFill>
                    <w14:schemeClr w14:val="tx1"/>
                  </w14:solidFill>
                </w14:textFill>
              </w:rPr>
            </w:pPr>
          </w:p>
        </w:tc>
        <w:tc>
          <w:tcPr>
            <w:tcW w:w="975" w:type="pct"/>
            <w:vMerge/>
            <w:shd w:val="clear" w:color="auto" w:fill="FFFFFF"/>
            <w:vAlign w:val="center"/>
          </w:tcPr>
          <w:p>
            <w:pPr>
              <w:jc w:val="center"/>
              <w:rPr>
                <w:rFonts w:ascii="宋体" w:hAnsi="宋体" w:cstheme="minorEastAsia"/>
                <w:color w:val="000000" w:themeColor="text1"/>
                <w:sz w:val="18"/>
                <w:szCs w:val="18"/>
                <w14:textFill>
                  <w14:solidFill>
                    <w14:schemeClr w14:val="tx1"/>
                  </w14:solidFill>
                </w14:textFill>
              </w:rPr>
            </w:pPr>
          </w:p>
        </w:tc>
        <w:tc>
          <w:tcPr>
            <w:tcW w:w="1596" w:type="pct"/>
            <w:vMerge/>
            <w:shd w:val="clear" w:color="auto" w:fill="FFFFFF"/>
            <w:vAlign w:val="center"/>
          </w:tcPr>
          <w:p>
            <w:pPr>
              <w:jc w:val="center"/>
              <w:rPr>
                <w:rFonts w:ascii="宋体" w:hAnsi="宋体" w:cstheme="minorEastAsia"/>
                <w:color w:val="000000" w:themeColor="text1"/>
                <w:sz w:val="18"/>
                <w:szCs w:val="18"/>
                <w14:textFill>
                  <w14:solidFill>
                    <w14:schemeClr w14:val="tx1"/>
                  </w14:solidFill>
                </w14:textFill>
              </w:rPr>
            </w:pP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长</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宽</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高</w:t>
            </w:r>
          </w:p>
        </w:tc>
      </w:tr>
      <w:tr>
        <w:tblPrEx>
          <w:tblW w:w="5000" w:type="pct"/>
          <w:jc w:val="center"/>
          <w:tblCellMar>
            <w:top w:w="0" w:type="dxa"/>
            <w:left w:w="10" w:type="dxa"/>
            <w:bottom w:w="0" w:type="dxa"/>
            <w:right w:w="10" w:type="dxa"/>
          </w:tblCellMar>
        </w:tblPrEx>
        <w:trPr>
          <w:trHeight w:hRule="exact" w:val="360"/>
          <w:jc w:val="center"/>
        </w:trPr>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OPzV12-60</w:t>
            </w:r>
          </w:p>
        </w:tc>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12</w:t>
            </w:r>
          </w:p>
        </w:tc>
        <w:tc>
          <w:tcPr>
            <w:tcW w:w="1596"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60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260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169</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216</w:t>
            </w:r>
          </w:p>
        </w:tc>
      </w:tr>
      <w:tr>
        <w:tblPrEx>
          <w:tblW w:w="5000" w:type="pct"/>
          <w:jc w:val="center"/>
          <w:tblCellMar>
            <w:top w:w="0" w:type="dxa"/>
            <w:left w:w="10" w:type="dxa"/>
            <w:bottom w:w="0" w:type="dxa"/>
            <w:right w:w="10" w:type="dxa"/>
          </w:tblCellMar>
        </w:tblPrEx>
        <w:trPr>
          <w:trHeight w:hRule="exact" w:val="360"/>
          <w:jc w:val="center"/>
        </w:trPr>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OPzV12-80</w:t>
            </w:r>
          </w:p>
        </w:tc>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12</w:t>
            </w:r>
          </w:p>
        </w:tc>
        <w:tc>
          <w:tcPr>
            <w:tcW w:w="1596"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80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328</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172</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220</w:t>
            </w:r>
          </w:p>
        </w:tc>
      </w:tr>
      <w:tr>
        <w:tblPrEx>
          <w:tblW w:w="5000" w:type="pct"/>
          <w:jc w:val="center"/>
          <w:tblCellMar>
            <w:top w:w="0" w:type="dxa"/>
            <w:left w:w="10" w:type="dxa"/>
            <w:bottom w:w="0" w:type="dxa"/>
            <w:right w:w="10" w:type="dxa"/>
          </w:tblCellMar>
        </w:tblPrEx>
        <w:trPr>
          <w:trHeight w:hRule="exact" w:val="360"/>
          <w:jc w:val="center"/>
        </w:trPr>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OPzV12-100</w:t>
            </w:r>
          </w:p>
        </w:tc>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12</w:t>
            </w:r>
          </w:p>
        </w:tc>
        <w:tc>
          <w:tcPr>
            <w:tcW w:w="1596"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100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407</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177</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225</w:t>
            </w:r>
          </w:p>
        </w:tc>
      </w:tr>
      <w:tr>
        <w:tblPrEx>
          <w:tblW w:w="5000" w:type="pct"/>
          <w:jc w:val="center"/>
          <w:tblCellMar>
            <w:top w:w="0" w:type="dxa"/>
            <w:left w:w="10" w:type="dxa"/>
            <w:bottom w:w="0" w:type="dxa"/>
            <w:right w:w="10" w:type="dxa"/>
          </w:tblCellMar>
        </w:tblPrEx>
        <w:trPr>
          <w:trHeight w:hRule="exact" w:val="360"/>
          <w:jc w:val="center"/>
        </w:trPr>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OPzV12-120</w:t>
            </w:r>
          </w:p>
        </w:tc>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12</w:t>
            </w:r>
          </w:p>
        </w:tc>
        <w:tc>
          <w:tcPr>
            <w:tcW w:w="1596"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120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483</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170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241</w:t>
            </w:r>
          </w:p>
        </w:tc>
      </w:tr>
      <w:tr>
        <w:tblPrEx>
          <w:tblW w:w="5000" w:type="pct"/>
          <w:jc w:val="center"/>
          <w:tblCellMar>
            <w:top w:w="0" w:type="dxa"/>
            <w:left w:w="10" w:type="dxa"/>
            <w:bottom w:w="0" w:type="dxa"/>
            <w:right w:w="10" w:type="dxa"/>
          </w:tblCellMar>
        </w:tblPrEx>
        <w:trPr>
          <w:trHeight w:hRule="exact" w:val="360"/>
          <w:jc w:val="center"/>
        </w:trPr>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OPzV12-140</w:t>
            </w:r>
          </w:p>
        </w:tc>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12</w:t>
            </w:r>
          </w:p>
        </w:tc>
        <w:tc>
          <w:tcPr>
            <w:tcW w:w="1596"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140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532</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207</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219</w:t>
            </w:r>
          </w:p>
        </w:tc>
      </w:tr>
      <w:tr>
        <w:tblPrEx>
          <w:tblW w:w="5000" w:type="pct"/>
          <w:jc w:val="center"/>
          <w:tblCellMar>
            <w:top w:w="0" w:type="dxa"/>
            <w:left w:w="10" w:type="dxa"/>
            <w:bottom w:w="0" w:type="dxa"/>
            <w:right w:w="10" w:type="dxa"/>
          </w:tblCellMar>
        </w:tblPrEx>
        <w:trPr>
          <w:trHeight w:hRule="exact" w:val="360"/>
          <w:jc w:val="center"/>
        </w:trPr>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OPzV12-160</w:t>
            </w:r>
          </w:p>
        </w:tc>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12</w:t>
            </w:r>
          </w:p>
        </w:tc>
        <w:tc>
          <w:tcPr>
            <w:tcW w:w="1596"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160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532</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207</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219</w:t>
            </w:r>
          </w:p>
        </w:tc>
      </w:tr>
      <w:tr>
        <w:tblPrEx>
          <w:tblW w:w="5000" w:type="pct"/>
          <w:jc w:val="center"/>
          <w:tblCellMar>
            <w:top w:w="0" w:type="dxa"/>
            <w:left w:w="10" w:type="dxa"/>
            <w:bottom w:w="0" w:type="dxa"/>
            <w:right w:w="10" w:type="dxa"/>
          </w:tblCellMar>
        </w:tblPrEx>
        <w:trPr>
          <w:trHeight w:hRule="exact" w:val="360"/>
          <w:jc w:val="center"/>
        </w:trPr>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OPzV12-180</w:t>
            </w:r>
          </w:p>
        </w:tc>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12</w:t>
            </w:r>
          </w:p>
        </w:tc>
        <w:tc>
          <w:tcPr>
            <w:tcW w:w="1596"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180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522</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240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224</w:t>
            </w:r>
          </w:p>
        </w:tc>
      </w:tr>
      <w:tr>
        <w:tblPrEx>
          <w:tblW w:w="5000" w:type="pct"/>
          <w:jc w:val="center"/>
          <w:tblCellMar>
            <w:top w:w="0" w:type="dxa"/>
            <w:left w:w="10" w:type="dxa"/>
            <w:bottom w:w="0" w:type="dxa"/>
            <w:right w:w="10" w:type="dxa"/>
          </w:tblCellMar>
        </w:tblPrEx>
        <w:trPr>
          <w:trHeight w:hRule="exact" w:val="360"/>
          <w:jc w:val="center"/>
        </w:trPr>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OPzV12-200</w:t>
            </w:r>
          </w:p>
        </w:tc>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12</w:t>
            </w:r>
          </w:p>
        </w:tc>
        <w:tc>
          <w:tcPr>
            <w:tcW w:w="1596"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200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521</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268</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225</w:t>
            </w:r>
          </w:p>
        </w:tc>
      </w:tr>
      <w:tr>
        <w:tblPrEx>
          <w:tblW w:w="5000" w:type="pct"/>
          <w:jc w:val="center"/>
          <w:tblCellMar>
            <w:top w:w="0" w:type="dxa"/>
            <w:left w:w="10" w:type="dxa"/>
            <w:bottom w:w="0" w:type="dxa"/>
            <w:right w:w="10" w:type="dxa"/>
          </w:tblCellMar>
        </w:tblPrEx>
        <w:trPr>
          <w:trHeight w:hRule="exact" w:val="360"/>
          <w:jc w:val="center"/>
        </w:trPr>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OPzV2-200</w:t>
            </w:r>
          </w:p>
        </w:tc>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w:t>
            </w:r>
          </w:p>
        </w:tc>
        <w:tc>
          <w:tcPr>
            <w:tcW w:w="1596"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200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103</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206</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390</w:t>
            </w:r>
          </w:p>
        </w:tc>
      </w:tr>
      <w:tr>
        <w:tblPrEx>
          <w:tblW w:w="5000" w:type="pct"/>
          <w:jc w:val="center"/>
          <w:tblCellMar>
            <w:top w:w="0" w:type="dxa"/>
            <w:left w:w="10" w:type="dxa"/>
            <w:bottom w:w="0" w:type="dxa"/>
            <w:right w:w="10" w:type="dxa"/>
          </w:tblCellMar>
        </w:tblPrEx>
        <w:trPr>
          <w:trHeight w:hRule="exact" w:val="364"/>
          <w:jc w:val="center"/>
        </w:trPr>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OPzV2-250</w:t>
            </w:r>
          </w:p>
        </w:tc>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w:t>
            </w:r>
          </w:p>
        </w:tc>
        <w:tc>
          <w:tcPr>
            <w:tcW w:w="1596"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250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124</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206</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390</w:t>
            </w:r>
          </w:p>
        </w:tc>
      </w:tr>
      <w:tr>
        <w:tblPrEx>
          <w:tblW w:w="5000" w:type="pct"/>
          <w:jc w:val="center"/>
          <w:tblCellMar>
            <w:top w:w="0" w:type="dxa"/>
            <w:left w:w="10" w:type="dxa"/>
            <w:bottom w:w="0" w:type="dxa"/>
            <w:right w:w="10" w:type="dxa"/>
          </w:tblCellMar>
        </w:tblPrEx>
        <w:trPr>
          <w:trHeight w:hRule="exact" w:val="364"/>
          <w:jc w:val="center"/>
        </w:trPr>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OPzV2-300</w:t>
            </w:r>
          </w:p>
        </w:tc>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w:t>
            </w:r>
          </w:p>
        </w:tc>
        <w:tc>
          <w:tcPr>
            <w:tcW w:w="1596"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300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145</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206</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390</w:t>
            </w:r>
          </w:p>
        </w:tc>
      </w:tr>
      <w:tr>
        <w:tblPrEx>
          <w:tblW w:w="5000" w:type="pct"/>
          <w:jc w:val="center"/>
          <w:tblCellMar>
            <w:top w:w="0" w:type="dxa"/>
            <w:left w:w="10" w:type="dxa"/>
            <w:bottom w:w="0" w:type="dxa"/>
            <w:right w:w="10" w:type="dxa"/>
          </w:tblCellMar>
        </w:tblPrEx>
        <w:trPr>
          <w:trHeight w:hRule="exact" w:val="360"/>
          <w:jc w:val="center"/>
        </w:trPr>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OPzV2-350</w:t>
            </w:r>
          </w:p>
        </w:tc>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w:t>
            </w:r>
          </w:p>
        </w:tc>
        <w:tc>
          <w:tcPr>
            <w:tcW w:w="1596"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350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124</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206</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505</w:t>
            </w:r>
          </w:p>
        </w:tc>
      </w:tr>
      <w:tr>
        <w:tblPrEx>
          <w:tblW w:w="5000" w:type="pct"/>
          <w:jc w:val="center"/>
          <w:tblCellMar>
            <w:top w:w="0" w:type="dxa"/>
            <w:left w:w="10" w:type="dxa"/>
            <w:bottom w:w="0" w:type="dxa"/>
            <w:right w:w="10" w:type="dxa"/>
          </w:tblCellMar>
        </w:tblPrEx>
        <w:trPr>
          <w:trHeight w:hRule="exact" w:val="360"/>
          <w:jc w:val="center"/>
        </w:trPr>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OPzV2-420</w:t>
            </w:r>
          </w:p>
        </w:tc>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w:t>
            </w:r>
          </w:p>
        </w:tc>
        <w:tc>
          <w:tcPr>
            <w:tcW w:w="1596"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420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145</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206</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505</w:t>
            </w:r>
          </w:p>
        </w:tc>
      </w:tr>
      <w:tr>
        <w:tblPrEx>
          <w:tblW w:w="5000" w:type="pct"/>
          <w:jc w:val="center"/>
          <w:tblCellMar>
            <w:top w:w="0" w:type="dxa"/>
            <w:left w:w="10" w:type="dxa"/>
            <w:bottom w:w="0" w:type="dxa"/>
            <w:right w:w="10" w:type="dxa"/>
          </w:tblCellMar>
        </w:tblPrEx>
        <w:trPr>
          <w:trHeight w:hRule="exact" w:val="364"/>
          <w:jc w:val="center"/>
        </w:trPr>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OPzV2-500</w:t>
            </w:r>
          </w:p>
        </w:tc>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w:t>
            </w:r>
          </w:p>
        </w:tc>
        <w:tc>
          <w:tcPr>
            <w:tcW w:w="1596"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500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166</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206</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505</w:t>
            </w:r>
          </w:p>
        </w:tc>
      </w:tr>
      <w:tr>
        <w:tblPrEx>
          <w:tblW w:w="5000" w:type="pct"/>
          <w:jc w:val="center"/>
          <w:tblCellMar>
            <w:top w:w="0" w:type="dxa"/>
            <w:left w:w="10" w:type="dxa"/>
            <w:bottom w:w="0" w:type="dxa"/>
            <w:right w:w="10" w:type="dxa"/>
          </w:tblCellMar>
        </w:tblPrEx>
        <w:trPr>
          <w:trHeight w:hRule="exact" w:val="364"/>
          <w:jc w:val="center"/>
        </w:trPr>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OPzV2-600</w:t>
            </w:r>
          </w:p>
        </w:tc>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w:t>
            </w:r>
          </w:p>
        </w:tc>
        <w:tc>
          <w:tcPr>
            <w:tcW w:w="1596"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600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145</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206</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680</w:t>
            </w:r>
          </w:p>
        </w:tc>
      </w:tr>
      <w:tr>
        <w:tblPrEx>
          <w:tblW w:w="5000" w:type="pct"/>
          <w:jc w:val="center"/>
          <w:tblCellMar>
            <w:top w:w="0" w:type="dxa"/>
            <w:left w:w="10" w:type="dxa"/>
            <w:bottom w:w="0" w:type="dxa"/>
            <w:right w:w="10" w:type="dxa"/>
          </w:tblCellMar>
        </w:tblPrEx>
        <w:trPr>
          <w:trHeight w:hRule="exact" w:val="364"/>
          <w:jc w:val="center"/>
        </w:trPr>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OPzV2-770</w:t>
            </w:r>
          </w:p>
        </w:tc>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w:t>
            </w:r>
          </w:p>
        </w:tc>
        <w:tc>
          <w:tcPr>
            <w:tcW w:w="1596"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770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210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254</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505</w:t>
            </w:r>
          </w:p>
        </w:tc>
      </w:tr>
      <w:tr>
        <w:tblPrEx>
          <w:tblW w:w="5000" w:type="pct"/>
          <w:jc w:val="center"/>
          <w:tblCellMar>
            <w:top w:w="0" w:type="dxa"/>
            <w:left w:w="10" w:type="dxa"/>
            <w:bottom w:w="0" w:type="dxa"/>
            <w:right w:w="10" w:type="dxa"/>
          </w:tblCellMar>
        </w:tblPrEx>
        <w:trPr>
          <w:trHeight w:hRule="exact" w:val="364"/>
          <w:jc w:val="center"/>
        </w:trPr>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OPzV2-800</w:t>
            </w:r>
          </w:p>
        </w:tc>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w:t>
            </w:r>
          </w:p>
        </w:tc>
        <w:tc>
          <w:tcPr>
            <w:tcW w:w="1596"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800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191</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210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680</w:t>
            </w:r>
          </w:p>
        </w:tc>
      </w:tr>
      <w:tr>
        <w:tblPrEx>
          <w:tblW w:w="5000" w:type="pct"/>
          <w:jc w:val="center"/>
          <w:tblCellMar>
            <w:top w:w="0" w:type="dxa"/>
            <w:left w:w="10" w:type="dxa"/>
            <w:bottom w:w="0" w:type="dxa"/>
            <w:right w:w="10" w:type="dxa"/>
          </w:tblCellMar>
        </w:tblPrEx>
        <w:trPr>
          <w:trHeight w:hRule="exact" w:val="360"/>
          <w:jc w:val="center"/>
        </w:trPr>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OPzV2-1000</w:t>
            </w:r>
          </w:p>
        </w:tc>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w:t>
            </w:r>
          </w:p>
        </w:tc>
        <w:tc>
          <w:tcPr>
            <w:tcW w:w="1596"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1000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233</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210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680</w:t>
            </w:r>
          </w:p>
        </w:tc>
      </w:tr>
      <w:tr>
        <w:tblPrEx>
          <w:tblW w:w="5000" w:type="pct"/>
          <w:jc w:val="center"/>
          <w:tblCellMar>
            <w:top w:w="0" w:type="dxa"/>
            <w:left w:w="10" w:type="dxa"/>
            <w:bottom w:w="0" w:type="dxa"/>
            <w:right w:w="10" w:type="dxa"/>
          </w:tblCellMar>
        </w:tblPrEx>
        <w:trPr>
          <w:trHeight w:hRule="exact" w:val="364"/>
          <w:jc w:val="center"/>
        </w:trPr>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OPzV2-1200</w:t>
            </w:r>
          </w:p>
        </w:tc>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w:t>
            </w:r>
          </w:p>
        </w:tc>
        <w:tc>
          <w:tcPr>
            <w:tcW w:w="1596"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1200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276</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210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680</w:t>
            </w:r>
          </w:p>
        </w:tc>
      </w:tr>
      <w:tr>
        <w:tblPrEx>
          <w:tblW w:w="5000" w:type="pct"/>
          <w:jc w:val="center"/>
          <w:tblCellMar>
            <w:top w:w="0" w:type="dxa"/>
            <w:left w:w="10" w:type="dxa"/>
            <w:bottom w:w="0" w:type="dxa"/>
            <w:right w:w="10" w:type="dxa"/>
          </w:tblCellMar>
        </w:tblPrEx>
        <w:trPr>
          <w:trHeight w:hRule="exact" w:val="360"/>
          <w:jc w:val="center"/>
        </w:trPr>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OPzV2-1500</w:t>
            </w:r>
          </w:p>
        </w:tc>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w:t>
            </w:r>
          </w:p>
        </w:tc>
        <w:tc>
          <w:tcPr>
            <w:tcW w:w="1596"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1500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275</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210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830</w:t>
            </w:r>
          </w:p>
        </w:tc>
      </w:tr>
      <w:tr>
        <w:tblPrEx>
          <w:tblW w:w="5000" w:type="pct"/>
          <w:jc w:val="center"/>
          <w:tblCellMar>
            <w:top w:w="0" w:type="dxa"/>
            <w:left w:w="10" w:type="dxa"/>
            <w:bottom w:w="0" w:type="dxa"/>
            <w:right w:w="10" w:type="dxa"/>
          </w:tblCellMar>
        </w:tblPrEx>
        <w:trPr>
          <w:trHeight w:hRule="exact" w:val="374"/>
          <w:jc w:val="center"/>
        </w:trPr>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OPzV2-2000</w:t>
            </w:r>
          </w:p>
        </w:tc>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w:t>
            </w:r>
          </w:p>
        </w:tc>
        <w:tc>
          <w:tcPr>
            <w:tcW w:w="1596"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2000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399</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214</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805</w:t>
            </w:r>
          </w:p>
        </w:tc>
      </w:tr>
      <w:tr>
        <w:tblPrEx>
          <w:tblW w:w="5000" w:type="pct"/>
          <w:jc w:val="center"/>
          <w:tblCellMar>
            <w:top w:w="0" w:type="dxa"/>
            <w:left w:w="10" w:type="dxa"/>
            <w:bottom w:w="0" w:type="dxa"/>
            <w:right w:w="10" w:type="dxa"/>
          </w:tblCellMar>
        </w:tblPrEx>
        <w:trPr>
          <w:trHeight w:hRule="exact" w:val="374"/>
          <w:jc w:val="center"/>
        </w:trPr>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OPzV2-2500</w:t>
            </w:r>
          </w:p>
        </w:tc>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w:t>
            </w:r>
          </w:p>
        </w:tc>
        <w:tc>
          <w:tcPr>
            <w:tcW w:w="1596"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2500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487</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212</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805</w:t>
            </w:r>
          </w:p>
        </w:tc>
      </w:tr>
      <w:tr>
        <w:tblPrEx>
          <w:tblW w:w="5000" w:type="pct"/>
          <w:jc w:val="center"/>
          <w:tblCellMar>
            <w:top w:w="0" w:type="dxa"/>
            <w:left w:w="10" w:type="dxa"/>
            <w:bottom w:w="0" w:type="dxa"/>
            <w:right w:w="10" w:type="dxa"/>
          </w:tblCellMar>
        </w:tblPrEx>
        <w:trPr>
          <w:trHeight w:hRule="exact" w:val="374"/>
          <w:jc w:val="center"/>
        </w:trPr>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OPzV2-3000</w:t>
            </w:r>
          </w:p>
        </w:tc>
        <w:tc>
          <w:tcPr>
            <w:tcW w:w="97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w:t>
            </w:r>
          </w:p>
        </w:tc>
        <w:tc>
          <w:tcPr>
            <w:tcW w:w="1596"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3000</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576</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212</w:t>
            </w:r>
          </w:p>
        </w:tc>
        <w:tc>
          <w:tcPr>
            <w:tcW w:w="485" w:type="pct"/>
            <w:shd w:val="clear" w:color="auto" w:fill="FFFFFF"/>
            <w:vAlign w:val="center"/>
          </w:tcPr>
          <w:p>
            <w:pPr>
              <w:pStyle w:val="Other10"/>
              <w:spacing w:line="240" w:lineRule="auto"/>
              <w:ind w:firstLine="0"/>
              <w:jc w:val="center"/>
              <w:rPr>
                <w:rFonts w:cstheme="minorEastAsia"/>
                <w:color w:val="000000" w:themeColor="text1"/>
                <w:sz w:val="18"/>
                <w:szCs w:val="18"/>
                <w14:textFill>
                  <w14:solidFill>
                    <w14:schemeClr w14:val="tx1"/>
                  </w14:solidFill>
                </w14:textFill>
              </w:rPr>
            </w:pPr>
            <w:r>
              <w:rPr>
                <w:rFonts w:cstheme="minorEastAsia" w:hint="eastAsia"/>
                <w:color w:val="000000" w:themeColor="text1"/>
                <w:sz w:val="18"/>
                <w:szCs w:val="18"/>
                <w14:textFill>
                  <w14:solidFill>
                    <w14:schemeClr w14:val="tx1"/>
                  </w14:solidFill>
                </w14:textFill>
              </w:rPr>
              <w:t>805</w:t>
            </w:r>
          </w:p>
        </w:tc>
      </w:tr>
    </w:tbl>
    <w:p>
      <w:pPr>
        <w:sectPr>
          <w:headerReference w:type="even" r:id="rId23"/>
          <w:headerReference w:type="default" r:id="rId24"/>
          <w:footerReference w:type="even" r:id="rId25"/>
          <w:footerReference w:type="default" r:id="rId26"/>
          <w:headerReference w:type="first" r:id="rId27"/>
          <w:footerReference w:type="first" r:id="rId28"/>
          <w:type w:val="nextPage"/>
          <w:pgSz w:w="11907" w:h="16839"/>
          <w:pgMar w:top="1134" w:right="1134" w:bottom="1134" w:left="1418" w:header="1134" w:footer="1134" w:gutter="0"/>
          <w:pgNumType w:start="3"/>
          <w:cols w:num="1" w:space="720"/>
          <w:titlePg w:val="0"/>
          <w:docGrid w:type="linesAndChars" w:linePitch="303" w:charSpace="0"/>
        </w:sectPr>
      </w:pPr>
    </w:p>
    <w:p>
      <w:pPr>
        <w:pStyle w:val="Heading3"/>
        <w:rPr>
          <w:b/>
        </w:rPr>
      </w:pPr>
      <w:bookmarkStart w:id="159" w:name="_Toc155426389"/>
      <w:bookmarkStart w:id="160" w:name="_Toc148518179"/>
      <w:bookmarkStart w:id="161" w:name="_Toc28148"/>
      <w:bookmarkStart w:id="162" w:name="_Toc148510560"/>
      <w:bookmarkStart w:id="163" w:name="_Toc148510456"/>
      <w:bookmarkStart w:id="164" w:name="_Toc20165"/>
      <w:bookmarkStart w:id="165" w:name="_Toc148518084"/>
      <w:r>
        <w:rPr>
          <w:rFonts w:hint="eastAsia"/>
        </w:rPr>
        <w:t>应用</w:t>
      </w:r>
      <w:bookmarkEnd w:id="152"/>
      <w:bookmarkEnd w:id="153"/>
      <w:bookmarkEnd w:id="154"/>
      <w:bookmarkEnd w:id="155"/>
      <w:bookmarkEnd w:id="156"/>
      <w:bookmarkEnd w:id="157"/>
      <w:r>
        <w:rPr>
          <w:rFonts w:hint="eastAsia"/>
        </w:rPr>
        <w:t>条件</w:t>
      </w:r>
      <w:bookmarkEnd w:id="159"/>
      <w:bookmarkEnd w:id="160"/>
      <w:bookmarkEnd w:id="161"/>
      <w:bookmarkEnd w:id="162"/>
      <w:bookmarkEnd w:id="163"/>
      <w:bookmarkEnd w:id="164"/>
      <w:bookmarkEnd w:id="165"/>
    </w:p>
    <w:p>
      <w:pPr>
        <w:pStyle w:val="a2"/>
        <w:ind w:firstLine="420"/>
        <w:rPr>
          <w:rFonts w:hAnsi="宋体"/>
          <w:bCs/>
          <w:szCs w:val="21"/>
        </w:rPr>
      </w:pPr>
      <w:r>
        <w:rPr>
          <w:rFonts w:hAnsi="宋体" w:hint="eastAsia"/>
          <w:bCs/>
          <w:szCs w:val="21"/>
        </w:rPr>
        <w:t>产品的应用条件如表2所示。</w:t>
      </w:r>
    </w:p>
    <w:p>
      <w:pPr>
        <w:pStyle w:val="a54"/>
        <w:tabs>
          <w:tab w:val="left" w:pos="360"/>
        </w:tabs>
        <w:spacing w:before="152" w:beforeLines="50" w:after="152" w:afterLines="50"/>
        <w:rPr>
          <w:bCs/>
          <w:color w:val="000000" w:themeColor="text1"/>
          <w:szCs w:val="21"/>
          <w14:textFill>
            <w14:solidFill>
              <w14:schemeClr w14:val="tx1"/>
            </w14:solidFill>
          </w14:textFill>
        </w:rPr>
      </w:pPr>
      <w:bookmarkStart w:id="166" w:name="_Toc491378273"/>
      <w:r>
        <w:rPr>
          <w:rFonts w:hint="eastAsia"/>
          <w:bCs/>
          <w:color w:val="000000" w:themeColor="text1"/>
          <w:szCs w:val="21"/>
          <w14:textFill>
            <w14:solidFill>
              <w14:schemeClr w14:val="tx1"/>
            </w14:solidFill>
          </w14:textFill>
        </w:rPr>
        <w:t xml:space="preserve">表 </w:t>
      </w:r>
      <w:r>
        <w:rPr>
          <w:rFonts w:hint="eastAsia"/>
          <w:bCs/>
          <w:color w:val="000000" w:themeColor="text1"/>
          <w:szCs w:val="21"/>
          <w14:textFill>
            <w14:solidFill>
              <w14:schemeClr w14:val="tx1"/>
            </w14:solidFill>
          </w14:textFill>
        </w:rPr>
        <w:fldChar w:fldCharType="begin"/>
      </w:r>
      <w:r>
        <w:rPr>
          <w:rFonts w:hint="eastAsia"/>
          <w:bCs/>
          <w:color w:val="000000" w:themeColor="text1"/>
          <w:szCs w:val="21"/>
          <w14:textFill>
            <w14:solidFill>
              <w14:schemeClr w14:val="tx1"/>
            </w14:solidFill>
          </w14:textFill>
        </w:rPr>
        <w:instrText xml:space="preserve"> SEQ 表 \* ARABIC </w:instrText>
      </w:r>
      <w:r>
        <w:rPr>
          <w:rFonts w:hint="eastAsia"/>
          <w:bCs/>
          <w:color w:val="000000" w:themeColor="text1"/>
          <w:szCs w:val="21"/>
          <w14:textFill>
            <w14:solidFill>
              <w14:schemeClr w14:val="tx1"/>
            </w14:solidFill>
          </w14:textFill>
        </w:rPr>
        <w:fldChar w:fldCharType="separate"/>
      </w:r>
      <w:r>
        <w:rPr>
          <w:rFonts w:hint="eastAsia"/>
          <w:bCs/>
          <w:color w:val="000000" w:themeColor="text1"/>
          <w:szCs w:val="21"/>
          <w14:textFill>
            <w14:solidFill>
              <w14:schemeClr w14:val="tx1"/>
            </w14:solidFill>
          </w14:textFill>
        </w:rPr>
        <w:t>2</w:t>
      </w:r>
      <w:r>
        <w:rPr>
          <w:rFonts w:hint="eastAsia"/>
          <w:bCs/>
          <w:color w:val="000000" w:themeColor="text1"/>
          <w:szCs w:val="21"/>
          <w14:textFill>
            <w14:solidFill>
              <w14:schemeClr w14:val="tx1"/>
            </w14:solidFill>
          </w14:textFill>
        </w:rPr>
        <w:fldChar w:fldCharType="end"/>
      </w:r>
      <w:r>
        <w:rPr>
          <w:rFonts w:hint="eastAsia"/>
          <w:bCs/>
          <w:color w:val="000000" w:themeColor="text1"/>
          <w:szCs w:val="21"/>
          <w14:textFill>
            <w14:solidFill>
              <w14:schemeClr w14:val="tx1"/>
            </w14:solidFill>
          </w14:textFill>
        </w:rPr>
        <w:t xml:space="preserve">  蓄电池的应用条件</w:t>
      </w:r>
      <w:bookmarkEnd w:id="166"/>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944"/>
        <w:gridCol w:w="1486"/>
        <w:gridCol w:w="2077"/>
        <w:gridCol w:w="1798"/>
        <w:gridCol w:w="2040"/>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02"/>
        </w:trPr>
        <w:tc>
          <w:tcPr>
            <w:tcW w:w="1040" w:type="pct"/>
            <w:vAlign w:val="center"/>
          </w:tcPr>
          <w:p>
            <w:pPr>
              <w:pStyle w:val="a2"/>
              <w:ind w:firstLine="0" w:firstLineChars="0"/>
              <w:jc w:val="center"/>
              <w:rPr>
                <w:rFonts w:hAnsi="宋体" w:cs="宋体"/>
                <w:bCs/>
                <w:szCs w:val="21"/>
              </w:rPr>
            </w:pPr>
            <w:r>
              <w:rPr>
                <w:rFonts w:hAnsi="宋体" w:cs="宋体" w:hint="eastAsia"/>
                <w:bCs/>
                <w:szCs w:val="21"/>
              </w:rPr>
              <w:t>适宜使用温度</w:t>
            </w:r>
          </w:p>
        </w:tc>
        <w:tc>
          <w:tcPr>
            <w:tcW w:w="795" w:type="pct"/>
            <w:vAlign w:val="center"/>
          </w:tcPr>
          <w:p>
            <w:pPr>
              <w:pStyle w:val="a2"/>
              <w:ind w:firstLine="0" w:firstLineChars="0"/>
              <w:jc w:val="center"/>
              <w:rPr>
                <w:rFonts w:hAnsi="宋体" w:cs="宋体"/>
                <w:bCs/>
                <w:szCs w:val="21"/>
              </w:rPr>
            </w:pPr>
            <w:r>
              <w:rPr>
                <w:rFonts w:hAnsi="宋体" w:cs="宋体" w:hint="eastAsia"/>
                <w:bCs/>
                <w:szCs w:val="21"/>
              </w:rPr>
              <w:t>湿度</w:t>
            </w:r>
          </w:p>
        </w:tc>
        <w:tc>
          <w:tcPr>
            <w:tcW w:w="1111" w:type="pct"/>
            <w:vAlign w:val="center"/>
          </w:tcPr>
          <w:p>
            <w:pPr>
              <w:pStyle w:val="a2"/>
              <w:ind w:firstLine="0" w:firstLineChars="0"/>
              <w:jc w:val="center"/>
              <w:rPr>
                <w:rFonts w:hAnsi="宋体" w:cs="宋体"/>
                <w:bCs/>
                <w:szCs w:val="21"/>
              </w:rPr>
            </w:pPr>
            <w:r>
              <w:rPr>
                <w:rFonts w:hAnsi="宋体" w:cs="宋体" w:hint="eastAsia"/>
                <w:bCs/>
                <w:szCs w:val="21"/>
              </w:rPr>
              <w:t>适宜储运温度</w:t>
            </w:r>
          </w:p>
        </w:tc>
        <w:tc>
          <w:tcPr>
            <w:tcW w:w="962" w:type="pct"/>
            <w:vAlign w:val="center"/>
          </w:tcPr>
          <w:p>
            <w:pPr>
              <w:pStyle w:val="a2"/>
              <w:ind w:firstLine="0" w:firstLineChars="0"/>
              <w:jc w:val="center"/>
              <w:rPr>
                <w:rFonts w:hAnsi="宋体" w:cs="宋体"/>
                <w:bCs/>
                <w:szCs w:val="21"/>
              </w:rPr>
            </w:pPr>
            <w:r>
              <w:rPr>
                <w:rFonts w:hAnsi="宋体" w:cs="宋体" w:hint="eastAsia"/>
                <w:bCs/>
                <w:szCs w:val="21"/>
              </w:rPr>
              <w:t>海拔高度</w:t>
            </w:r>
          </w:p>
        </w:tc>
        <w:tc>
          <w:tcPr>
            <w:tcW w:w="1092" w:type="pct"/>
            <w:vAlign w:val="center"/>
          </w:tcPr>
          <w:p>
            <w:pPr>
              <w:pStyle w:val="a2"/>
              <w:ind w:firstLine="0" w:firstLineChars="0"/>
              <w:jc w:val="center"/>
              <w:rPr>
                <w:rFonts w:hAnsi="宋体" w:cs="宋体"/>
                <w:bCs/>
                <w:szCs w:val="21"/>
              </w:rPr>
            </w:pPr>
            <w:r>
              <w:rPr>
                <w:rFonts w:hAnsi="宋体" w:cs="宋体" w:hint="eastAsia"/>
                <w:bCs/>
                <w:szCs w:val="21"/>
              </w:rPr>
              <w:t>安装使用位置</w:t>
            </w:r>
          </w:p>
        </w:tc>
      </w:tr>
      <w:tr>
        <w:tblPrEx>
          <w:tblW w:w="5000" w:type="pct"/>
          <w:tblInd w:w="0" w:type="dxa"/>
          <w:tblCellMar>
            <w:top w:w="0" w:type="dxa"/>
            <w:left w:w="108" w:type="dxa"/>
            <w:bottom w:w="0" w:type="dxa"/>
            <w:right w:w="108" w:type="dxa"/>
          </w:tblCellMar>
        </w:tblPrEx>
        <w:trPr>
          <w:trHeight w:val="1201"/>
        </w:trPr>
        <w:tc>
          <w:tcPr>
            <w:tcW w:w="1040" w:type="pct"/>
            <w:vAlign w:val="center"/>
          </w:tcPr>
          <w:p>
            <w:pPr>
              <w:pStyle w:val="a2"/>
              <w:ind w:firstLine="0" w:firstLineChars="0"/>
              <w:jc w:val="center"/>
              <w:rPr>
                <w:rFonts w:hAnsi="宋体" w:cs="宋体"/>
                <w:bCs/>
                <w:szCs w:val="21"/>
              </w:rPr>
            </w:pPr>
            <w:r>
              <w:rPr>
                <w:rFonts w:hAnsi="宋体" w:cs="宋体" w:hint="eastAsia"/>
                <w:bCs/>
                <w:szCs w:val="21"/>
              </w:rPr>
              <w:t>-20℃</w:t>
            </w:r>
            <w:r>
              <w:rPr>
                <w:rFonts w:ascii="微软雅黑" w:eastAsia="微软雅黑" w:hAnsi="微软雅黑" w:cs="微软雅黑" w:hint="eastAsia"/>
                <w:bCs/>
                <w:szCs w:val="21"/>
              </w:rPr>
              <w:t>〜</w:t>
            </w:r>
            <w:r>
              <w:rPr>
                <w:rFonts w:hAnsi="宋体" w:cs="宋体" w:hint="eastAsia"/>
                <w:bCs/>
                <w:szCs w:val="21"/>
              </w:rPr>
              <w:t>50℃</w:t>
            </w:r>
          </w:p>
        </w:tc>
        <w:tc>
          <w:tcPr>
            <w:tcW w:w="795" w:type="pct"/>
            <w:vAlign w:val="center"/>
          </w:tcPr>
          <w:p>
            <w:pPr>
              <w:pStyle w:val="a2"/>
              <w:ind w:firstLine="0" w:firstLineChars="0"/>
              <w:jc w:val="center"/>
              <w:rPr>
                <w:rFonts w:hAnsi="宋体" w:cs="宋体"/>
                <w:bCs/>
                <w:szCs w:val="21"/>
              </w:rPr>
            </w:pPr>
            <w:r>
              <w:rPr>
                <w:rFonts w:hAnsi="宋体" w:cs="宋体" w:hint="eastAsia"/>
                <w:bCs/>
                <w:szCs w:val="21"/>
              </w:rPr>
              <w:t>小于90%</w:t>
            </w:r>
          </w:p>
        </w:tc>
        <w:tc>
          <w:tcPr>
            <w:tcW w:w="1111" w:type="pct"/>
            <w:vAlign w:val="center"/>
          </w:tcPr>
          <w:p>
            <w:pPr>
              <w:pStyle w:val="a2"/>
              <w:ind w:firstLine="0" w:firstLineChars="0"/>
              <w:jc w:val="center"/>
              <w:rPr>
                <w:rFonts w:hAnsi="宋体" w:cs="宋体"/>
                <w:bCs/>
                <w:szCs w:val="21"/>
              </w:rPr>
            </w:pPr>
            <w:r>
              <w:rPr>
                <w:rFonts w:hAnsi="宋体" w:cs="宋体" w:hint="eastAsia"/>
                <w:bCs/>
                <w:szCs w:val="21"/>
              </w:rPr>
              <w:t>-20℃</w:t>
            </w:r>
            <w:r>
              <w:rPr>
                <w:rFonts w:ascii="微软雅黑" w:eastAsia="微软雅黑" w:hAnsi="微软雅黑" w:cs="微软雅黑" w:hint="eastAsia"/>
                <w:bCs/>
                <w:szCs w:val="21"/>
              </w:rPr>
              <w:t>〜</w:t>
            </w:r>
            <w:r>
              <w:rPr>
                <w:rFonts w:hAnsi="宋体" w:cs="宋体" w:hint="eastAsia"/>
                <w:bCs/>
                <w:szCs w:val="21"/>
              </w:rPr>
              <w:t>50℃</w:t>
            </w:r>
          </w:p>
        </w:tc>
        <w:tc>
          <w:tcPr>
            <w:tcW w:w="962" w:type="pct"/>
            <w:vAlign w:val="center"/>
          </w:tcPr>
          <w:p>
            <w:pPr>
              <w:pStyle w:val="a2"/>
              <w:ind w:firstLine="0" w:firstLineChars="0"/>
              <w:jc w:val="center"/>
              <w:rPr>
                <w:rFonts w:hAnsi="宋体" w:cs="宋体"/>
                <w:bCs/>
                <w:szCs w:val="21"/>
              </w:rPr>
            </w:pPr>
            <w:r>
              <w:rPr>
                <w:rFonts w:hAnsi="宋体" w:cs="宋体" w:hint="eastAsia"/>
                <w:bCs/>
                <w:szCs w:val="21"/>
              </w:rPr>
              <w:t>不超过4500m</w:t>
            </w:r>
          </w:p>
        </w:tc>
        <w:tc>
          <w:tcPr>
            <w:tcW w:w="1092" w:type="pct"/>
            <w:vAlign w:val="center"/>
          </w:tcPr>
          <w:p>
            <w:pPr>
              <w:pStyle w:val="a2"/>
              <w:ind w:firstLine="0" w:firstLineChars="0"/>
              <w:jc w:val="center"/>
              <w:rPr>
                <w:rFonts w:hAnsi="宋体" w:cs="宋体"/>
                <w:bCs/>
                <w:szCs w:val="21"/>
              </w:rPr>
            </w:pPr>
            <w:r>
              <w:rPr>
                <w:rFonts w:hAnsi="宋体" w:cs="宋体" w:hint="eastAsia"/>
                <w:bCs/>
                <w:szCs w:val="21"/>
              </w:rPr>
              <w:t>室内</w:t>
            </w:r>
          </w:p>
          <w:p>
            <w:pPr>
              <w:pStyle w:val="a2"/>
              <w:ind w:firstLine="0" w:firstLineChars="0"/>
              <w:jc w:val="center"/>
              <w:rPr>
                <w:rFonts w:hAnsi="宋体" w:cs="宋体"/>
                <w:bCs/>
                <w:szCs w:val="21"/>
              </w:rPr>
            </w:pPr>
            <w:r>
              <w:rPr>
                <w:rFonts w:hAnsi="宋体" w:cs="宋体" w:hint="eastAsia"/>
                <w:bCs/>
                <w:szCs w:val="21"/>
              </w:rPr>
              <w:t>室内屏柜内</w:t>
            </w:r>
          </w:p>
          <w:p>
            <w:pPr>
              <w:pStyle w:val="a2"/>
              <w:ind w:firstLine="0" w:firstLineChars="0"/>
              <w:jc w:val="center"/>
              <w:rPr>
                <w:rFonts w:hAnsi="宋体" w:cs="宋体"/>
                <w:bCs/>
                <w:szCs w:val="21"/>
              </w:rPr>
            </w:pPr>
            <w:r>
              <w:rPr>
                <w:rFonts w:hAnsi="宋体" w:cs="宋体" w:hint="eastAsia"/>
                <w:bCs/>
                <w:szCs w:val="21"/>
              </w:rPr>
              <w:t>有温度控制的室外机柜或预制舱内</w:t>
            </w:r>
          </w:p>
        </w:tc>
      </w:tr>
    </w:tbl>
    <w:p>
      <w:pPr>
        <w:pStyle w:val="a2"/>
        <w:ind w:firstLine="420"/>
        <w:rPr>
          <w:rFonts w:hAnsi="宋体"/>
          <w:bCs/>
          <w:szCs w:val="21"/>
        </w:rPr>
      </w:pPr>
    </w:p>
    <w:p>
      <w:pPr>
        <w:pStyle w:val="a2"/>
        <w:ind w:firstLine="420"/>
        <w:rPr>
          <w:rFonts w:hAnsi="宋体"/>
          <w:bCs/>
          <w:szCs w:val="21"/>
        </w:rPr>
      </w:pPr>
      <w:r>
        <w:rPr>
          <w:rFonts w:hAnsi="宋体" w:hint="eastAsia"/>
          <w:bCs/>
          <w:szCs w:val="21"/>
        </w:rPr>
        <w:t>蓄电池在环境温度25℃±5℃条件下正常使用，应达到</w:t>
      </w:r>
      <w:r>
        <w:rPr>
          <w:rFonts w:hAnsi="宋体"/>
          <w:bCs/>
          <w:i/>
          <w:iCs/>
          <w:szCs w:val="21"/>
        </w:rPr>
        <w:t>C</w:t>
      </w:r>
      <w:r>
        <w:rPr>
          <w:rFonts w:hAnsi="宋体"/>
          <w:bCs/>
          <w:i/>
          <w:iCs/>
          <w:szCs w:val="21"/>
          <w:vertAlign w:val="subscript"/>
        </w:rPr>
        <w:t>10</w:t>
      </w:r>
      <w:r>
        <w:rPr>
          <w:rFonts w:hAnsi="宋体" w:hint="eastAsia"/>
          <w:bCs/>
          <w:szCs w:val="21"/>
        </w:rPr>
        <w:t>额定容量。当温度低于上述温度时，蓄电池的</w:t>
      </w:r>
      <w:r>
        <w:rPr>
          <w:rFonts w:hAnsi="宋体"/>
          <w:bCs/>
          <w:i/>
          <w:iCs/>
          <w:szCs w:val="21"/>
        </w:rPr>
        <w:t>C</w:t>
      </w:r>
      <w:r>
        <w:rPr>
          <w:rFonts w:hAnsi="宋体"/>
          <w:bCs/>
          <w:i/>
          <w:iCs/>
          <w:szCs w:val="21"/>
          <w:vertAlign w:val="subscript"/>
        </w:rPr>
        <w:t>10</w:t>
      </w:r>
      <w:r>
        <w:rPr>
          <w:rFonts w:hAnsi="宋体" w:hint="eastAsia"/>
          <w:bCs/>
          <w:szCs w:val="21"/>
        </w:rPr>
        <w:t>容量随温度下降，不同温度下的容量修正系数见表3。</w:t>
      </w:r>
    </w:p>
    <w:p>
      <w:pPr>
        <w:pStyle w:val="a54"/>
        <w:tabs>
          <w:tab w:val="left" w:pos="360"/>
        </w:tabs>
        <w:spacing w:before="152" w:beforeLines="50" w:after="152" w:afterLines="50"/>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表3</w:t>
      </w:r>
      <w:r>
        <w:rPr>
          <w:bCs/>
          <w:color w:val="000000" w:themeColor="text1"/>
          <w:szCs w:val="21"/>
          <w14:textFill>
            <w14:solidFill>
              <w14:schemeClr w14:val="tx1"/>
            </w14:solidFill>
          </w14:textFill>
        </w:rPr>
        <w:t xml:space="preserve">  </w:t>
      </w:r>
      <w:r>
        <w:rPr>
          <w:rFonts w:hint="eastAsia"/>
          <w:bCs/>
          <w:color w:val="000000" w:themeColor="text1"/>
          <w:szCs w:val="21"/>
          <w14:textFill>
            <w14:solidFill>
              <w14:schemeClr w14:val="tx1"/>
            </w14:solidFill>
          </w14:textFill>
        </w:rPr>
        <w:t>不同温度下的容量修正系数（参考考温度20℃）</w:t>
      </w:r>
    </w:p>
    <w:tbl>
      <w:tblPr>
        <w:tblStyle w:val="TableNormal"/>
        <w:tblW w:w="5000" w:type="pct"/>
        <w:jc w:val="center"/>
        <w:tblCellMar>
          <w:top w:w="0" w:type="dxa"/>
          <w:left w:w="10" w:type="dxa"/>
          <w:bottom w:w="0" w:type="dxa"/>
          <w:right w:w="10" w:type="dxa"/>
        </w:tblCellMar>
      </w:tblPr>
      <w:tblGrid>
        <w:gridCol w:w="1123"/>
        <w:gridCol w:w="814"/>
        <w:gridCol w:w="821"/>
        <w:gridCol w:w="829"/>
        <w:gridCol w:w="821"/>
        <w:gridCol w:w="829"/>
        <w:gridCol w:w="821"/>
        <w:gridCol w:w="829"/>
        <w:gridCol w:w="821"/>
        <w:gridCol w:w="830"/>
        <w:gridCol w:w="837"/>
      </w:tblGrid>
      <w:tr>
        <w:tblPrEx>
          <w:tblW w:w="5000" w:type="pct"/>
          <w:jc w:val="center"/>
          <w:tblCellMar>
            <w:top w:w="0" w:type="dxa"/>
            <w:left w:w="10" w:type="dxa"/>
            <w:bottom w:w="0" w:type="dxa"/>
            <w:right w:w="10" w:type="dxa"/>
          </w:tblCellMar>
        </w:tblPrEx>
        <w:trPr>
          <w:trHeight w:hRule="exact" w:val="466"/>
          <w:jc w:val="center"/>
        </w:trPr>
        <w:tc>
          <w:tcPr>
            <w:tcW w:w="599" w:type="pct"/>
            <w:tcBorders>
              <w:top w:val="single" w:sz="4" w:space="0" w:color="auto"/>
              <w:left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产品规格</w:t>
            </w:r>
          </w:p>
        </w:tc>
        <w:tc>
          <w:tcPr>
            <w:tcW w:w="434" w:type="pct"/>
            <w:tcBorders>
              <w:top w:val="single" w:sz="4" w:space="0" w:color="auto"/>
              <w:left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-20℃</w:t>
            </w:r>
          </w:p>
        </w:tc>
        <w:tc>
          <w:tcPr>
            <w:tcW w:w="438" w:type="pct"/>
            <w:tcBorders>
              <w:top w:val="single" w:sz="4" w:space="0" w:color="auto"/>
              <w:left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-10℃</w:t>
            </w:r>
          </w:p>
        </w:tc>
        <w:tc>
          <w:tcPr>
            <w:tcW w:w="442" w:type="pct"/>
            <w:tcBorders>
              <w:top w:val="single" w:sz="4" w:space="0" w:color="auto"/>
              <w:left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0℃</w:t>
            </w:r>
          </w:p>
        </w:tc>
        <w:tc>
          <w:tcPr>
            <w:tcW w:w="438" w:type="pct"/>
            <w:tcBorders>
              <w:top w:val="single" w:sz="4" w:space="0" w:color="auto"/>
              <w:left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5℃</w:t>
            </w:r>
          </w:p>
        </w:tc>
        <w:tc>
          <w:tcPr>
            <w:tcW w:w="442" w:type="pct"/>
            <w:tcBorders>
              <w:top w:val="single" w:sz="4" w:space="0" w:color="auto"/>
              <w:left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10℃</w:t>
            </w:r>
          </w:p>
        </w:tc>
        <w:tc>
          <w:tcPr>
            <w:tcW w:w="438" w:type="pct"/>
            <w:tcBorders>
              <w:top w:val="single" w:sz="4" w:space="0" w:color="auto"/>
              <w:left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20℃</w:t>
            </w:r>
          </w:p>
        </w:tc>
        <w:tc>
          <w:tcPr>
            <w:tcW w:w="442" w:type="pct"/>
            <w:tcBorders>
              <w:top w:val="single" w:sz="4" w:space="0" w:color="auto"/>
              <w:left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25℃</w:t>
            </w:r>
          </w:p>
        </w:tc>
        <w:tc>
          <w:tcPr>
            <w:tcW w:w="438" w:type="pct"/>
            <w:tcBorders>
              <w:top w:val="single" w:sz="4" w:space="0" w:color="auto"/>
              <w:left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30℃</w:t>
            </w:r>
          </w:p>
        </w:tc>
        <w:tc>
          <w:tcPr>
            <w:tcW w:w="442" w:type="pct"/>
            <w:tcBorders>
              <w:top w:val="single" w:sz="4" w:space="0" w:color="auto"/>
              <w:left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40℃</w:t>
            </w:r>
          </w:p>
        </w:tc>
        <w:tc>
          <w:tcPr>
            <w:tcW w:w="446" w:type="pct"/>
            <w:tcBorders>
              <w:top w:val="single" w:sz="4" w:space="0" w:color="auto"/>
              <w:left w:val="single" w:sz="4" w:space="0" w:color="auto"/>
              <w:right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50℃</w:t>
            </w:r>
          </w:p>
        </w:tc>
      </w:tr>
      <w:tr>
        <w:tblPrEx>
          <w:tblW w:w="5000" w:type="pct"/>
          <w:jc w:val="center"/>
          <w:tblCellMar>
            <w:top w:w="0" w:type="dxa"/>
            <w:left w:w="10" w:type="dxa"/>
            <w:bottom w:w="0" w:type="dxa"/>
            <w:right w:w="10" w:type="dxa"/>
          </w:tblCellMar>
        </w:tblPrEx>
        <w:trPr>
          <w:trHeight w:hRule="exact" w:val="433"/>
          <w:jc w:val="center"/>
        </w:trPr>
        <w:tc>
          <w:tcPr>
            <w:tcW w:w="599" w:type="pct"/>
            <w:tcBorders>
              <w:top w:val="single" w:sz="4" w:space="0" w:color="auto"/>
              <w:left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2V</w:t>
            </w:r>
          </w:p>
        </w:tc>
        <w:tc>
          <w:tcPr>
            <w:tcW w:w="434" w:type="pct"/>
            <w:tcBorders>
              <w:top w:val="single" w:sz="4" w:space="0" w:color="auto"/>
              <w:left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50%</w:t>
            </w:r>
          </w:p>
        </w:tc>
        <w:tc>
          <w:tcPr>
            <w:tcW w:w="438" w:type="pct"/>
            <w:tcBorders>
              <w:top w:val="single" w:sz="4" w:space="0" w:color="auto"/>
              <w:left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70%</w:t>
            </w:r>
          </w:p>
        </w:tc>
        <w:tc>
          <w:tcPr>
            <w:tcW w:w="442" w:type="pct"/>
            <w:tcBorders>
              <w:top w:val="single" w:sz="4" w:space="0" w:color="auto"/>
              <w:left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74%</w:t>
            </w:r>
          </w:p>
        </w:tc>
        <w:tc>
          <w:tcPr>
            <w:tcW w:w="438" w:type="pct"/>
            <w:tcBorders>
              <w:top w:val="single" w:sz="4" w:space="0" w:color="auto"/>
              <w:left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80%</w:t>
            </w:r>
          </w:p>
        </w:tc>
        <w:tc>
          <w:tcPr>
            <w:tcW w:w="442" w:type="pct"/>
            <w:tcBorders>
              <w:top w:val="single" w:sz="4" w:space="0" w:color="auto"/>
              <w:left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88%</w:t>
            </w:r>
          </w:p>
        </w:tc>
        <w:tc>
          <w:tcPr>
            <w:tcW w:w="438" w:type="pct"/>
            <w:tcBorders>
              <w:top w:val="single" w:sz="4" w:space="0" w:color="auto"/>
              <w:left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100%</w:t>
            </w:r>
          </w:p>
        </w:tc>
        <w:tc>
          <w:tcPr>
            <w:tcW w:w="442" w:type="pct"/>
            <w:tcBorders>
              <w:top w:val="single" w:sz="4" w:space="0" w:color="auto"/>
              <w:left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101%</w:t>
            </w:r>
          </w:p>
        </w:tc>
        <w:tc>
          <w:tcPr>
            <w:tcW w:w="438" w:type="pct"/>
            <w:tcBorders>
              <w:top w:val="single" w:sz="4" w:space="0" w:color="auto"/>
              <w:left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103%</w:t>
            </w:r>
          </w:p>
        </w:tc>
        <w:tc>
          <w:tcPr>
            <w:tcW w:w="442" w:type="pct"/>
            <w:tcBorders>
              <w:top w:val="single" w:sz="4" w:space="0" w:color="auto"/>
              <w:left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105%</w:t>
            </w:r>
          </w:p>
        </w:tc>
        <w:tc>
          <w:tcPr>
            <w:tcW w:w="446" w:type="pct"/>
            <w:tcBorders>
              <w:top w:val="single" w:sz="4" w:space="0" w:color="auto"/>
              <w:left w:val="single" w:sz="4" w:space="0" w:color="auto"/>
              <w:right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106%</w:t>
            </w:r>
          </w:p>
        </w:tc>
      </w:tr>
      <w:tr>
        <w:tblPrEx>
          <w:tblW w:w="5000" w:type="pct"/>
          <w:jc w:val="center"/>
          <w:tblCellMar>
            <w:top w:w="0" w:type="dxa"/>
            <w:left w:w="10" w:type="dxa"/>
            <w:bottom w:w="0" w:type="dxa"/>
            <w:right w:w="10" w:type="dxa"/>
          </w:tblCellMar>
        </w:tblPrEx>
        <w:trPr>
          <w:trHeight w:hRule="exact" w:val="474"/>
          <w:jc w:val="center"/>
        </w:trPr>
        <w:tc>
          <w:tcPr>
            <w:tcW w:w="599" w:type="pct"/>
            <w:tcBorders>
              <w:top w:val="single" w:sz="4" w:space="0" w:color="auto"/>
              <w:left w:val="single" w:sz="4" w:space="0" w:color="auto"/>
              <w:bottom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6V、12V</w:t>
            </w:r>
          </w:p>
        </w:tc>
        <w:tc>
          <w:tcPr>
            <w:tcW w:w="434" w:type="pct"/>
            <w:tcBorders>
              <w:top w:val="single" w:sz="4" w:space="0" w:color="auto"/>
              <w:left w:val="single" w:sz="4" w:space="0" w:color="auto"/>
              <w:bottom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60%</w:t>
            </w:r>
          </w:p>
        </w:tc>
        <w:tc>
          <w:tcPr>
            <w:tcW w:w="438" w:type="pct"/>
            <w:tcBorders>
              <w:top w:val="single" w:sz="4" w:space="0" w:color="auto"/>
              <w:left w:val="single" w:sz="4" w:space="0" w:color="auto"/>
              <w:bottom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75%</w:t>
            </w:r>
          </w:p>
        </w:tc>
        <w:tc>
          <w:tcPr>
            <w:tcW w:w="442" w:type="pct"/>
            <w:tcBorders>
              <w:top w:val="single" w:sz="4" w:space="0" w:color="auto"/>
              <w:left w:val="single" w:sz="4" w:space="0" w:color="auto"/>
              <w:bottom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80%</w:t>
            </w:r>
          </w:p>
        </w:tc>
        <w:tc>
          <w:tcPr>
            <w:tcW w:w="438" w:type="pct"/>
            <w:tcBorders>
              <w:top w:val="single" w:sz="4" w:space="0" w:color="auto"/>
              <w:left w:val="single" w:sz="4" w:space="0" w:color="auto"/>
              <w:bottom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85%</w:t>
            </w:r>
          </w:p>
        </w:tc>
        <w:tc>
          <w:tcPr>
            <w:tcW w:w="442" w:type="pct"/>
            <w:tcBorders>
              <w:top w:val="single" w:sz="4" w:space="0" w:color="auto"/>
              <w:left w:val="single" w:sz="4" w:space="0" w:color="auto"/>
              <w:bottom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90%</w:t>
            </w:r>
          </w:p>
        </w:tc>
        <w:tc>
          <w:tcPr>
            <w:tcW w:w="438" w:type="pct"/>
            <w:tcBorders>
              <w:top w:val="single" w:sz="4" w:space="0" w:color="auto"/>
              <w:left w:val="single" w:sz="4" w:space="0" w:color="auto"/>
              <w:bottom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100%</w:t>
            </w:r>
          </w:p>
        </w:tc>
        <w:tc>
          <w:tcPr>
            <w:tcW w:w="442" w:type="pct"/>
            <w:tcBorders>
              <w:top w:val="single" w:sz="4" w:space="0" w:color="auto"/>
              <w:left w:val="single" w:sz="4" w:space="0" w:color="auto"/>
              <w:bottom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102%</w:t>
            </w:r>
          </w:p>
        </w:tc>
        <w:tc>
          <w:tcPr>
            <w:tcW w:w="438" w:type="pct"/>
            <w:tcBorders>
              <w:top w:val="single" w:sz="4" w:space="0" w:color="auto"/>
              <w:left w:val="single" w:sz="4" w:space="0" w:color="auto"/>
              <w:bottom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104%</w:t>
            </w:r>
          </w:p>
        </w:tc>
        <w:tc>
          <w:tcPr>
            <w:tcW w:w="442" w:type="pct"/>
            <w:tcBorders>
              <w:top w:val="single" w:sz="4" w:space="0" w:color="auto"/>
              <w:left w:val="single" w:sz="4" w:space="0" w:color="auto"/>
              <w:bottom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106%</w:t>
            </w:r>
          </w:p>
        </w:tc>
        <w:tc>
          <w:tcPr>
            <w:tcW w:w="446" w:type="pct"/>
            <w:tcBorders>
              <w:top w:val="single" w:sz="4" w:space="0" w:color="auto"/>
              <w:left w:val="single" w:sz="4" w:space="0" w:color="auto"/>
              <w:bottom w:val="single" w:sz="4" w:space="0" w:color="auto"/>
              <w:right w:val="single" w:sz="4" w:space="0" w:color="auto"/>
            </w:tcBorders>
            <w:shd w:val="clear" w:color="auto" w:fill="FFFFFF"/>
            <w:vAlign w:val="center"/>
          </w:tcPr>
          <w:p>
            <w:pPr>
              <w:pStyle w:val="a2"/>
              <w:ind w:firstLine="0" w:firstLineChars="0"/>
              <w:jc w:val="center"/>
              <w:rPr>
                <w:rFonts w:hAnsi="宋体" w:cstheme="minorEastAsia"/>
                <w:bCs/>
                <w:szCs w:val="21"/>
              </w:rPr>
            </w:pPr>
            <w:r>
              <w:rPr>
                <w:rFonts w:hAnsi="宋体" w:cstheme="minorEastAsia" w:hint="eastAsia"/>
                <w:bCs/>
                <w:szCs w:val="21"/>
              </w:rPr>
              <w:t>107%</w:t>
            </w:r>
          </w:p>
        </w:tc>
      </w:tr>
    </w:tbl>
    <w:p>
      <w:pPr>
        <w:pStyle w:val="Heading2"/>
        <w:rPr>
          <w:b/>
          <w:bCs/>
        </w:rPr>
      </w:pPr>
      <w:bookmarkStart w:id="167" w:name="_Toc148518180"/>
      <w:bookmarkStart w:id="168" w:name="_Toc27357"/>
      <w:bookmarkStart w:id="169" w:name="_Toc148510561"/>
      <w:bookmarkStart w:id="170" w:name="_Toc20864"/>
      <w:bookmarkStart w:id="171" w:name="_Toc148510457"/>
      <w:bookmarkStart w:id="172" w:name="_Toc148518085"/>
      <w:bookmarkStart w:id="173" w:name="_Toc155426390"/>
      <w:r>
        <w:rPr>
          <w:rFonts w:hint="eastAsia"/>
        </w:rPr>
        <w:t>技术要求</w:t>
      </w:r>
      <w:bookmarkEnd w:id="167"/>
      <w:bookmarkEnd w:id="168"/>
      <w:bookmarkEnd w:id="169"/>
      <w:bookmarkEnd w:id="170"/>
      <w:bookmarkEnd w:id="171"/>
      <w:bookmarkEnd w:id="172"/>
      <w:bookmarkEnd w:id="173"/>
    </w:p>
    <w:p>
      <w:pPr>
        <w:pStyle w:val="Heading3"/>
        <w:rPr>
          <w:b/>
        </w:rPr>
      </w:pPr>
      <w:bookmarkStart w:id="174" w:name="_Toc155426391"/>
      <w:bookmarkStart w:id="175" w:name="_Toc148510458"/>
      <w:bookmarkStart w:id="176" w:name="_Toc15556"/>
      <w:bookmarkStart w:id="177" w:name="_Toc148518086"/>
      <w:bookmarkStart w:id="178" w:name="_Toc148518181"/>
      <w:bookmarkStart w:id="179" w:name="_Toc148510562"/>
      <w:r>
        <w:rPr>
          <w:rFonts w:hint="eastAsia"/>
        </w:rPr>
        <w:t>结构要求</w:t>
      </w:r>
      <w:bookmarkEnd w:id="174"/>
      <w:bookmarkEnd w:id="175"/>
      <w:bookmarkEnd w:id="176"/>
      <w:bookmarkEnd w:id="177"/>
      <w:bookmarkEnd w:id="178"/>
      <w:bookmarkEnd w:id="179"/>
    </w:p>
    <w:p>
      <w:pPr>
        <w:pStyle w:val="Heading4"/>
        <w:spacing w:before="151" w:after="151"/>
      </w:pPr>
      <w:bookmarkStart w:id="180" w:name="_Toc25948"/>
      <w:bookmarkStart w:id="181" w:name="_Toc148510563"/>
      <w:bookmarkStart w:id="182" w:name="_Toc148518087"/>
      <w:bookmarkStart w:id="183" w:name="_Toc148518182"/>
      <w:bookmarkStart w:id="184" w:name="_Toc148510459"/>
      <w:r>
        <w:rPr>
          <w:rFonts w:hint="eastAsia"/>
        </w:rPr>
        <w:t>外观与极性</w:t>
      </w:r>
      <w:bookmarkEnd w:id="180"/>
      <w:bookmarkEnd w:id="181"/>
      <w:bookmarkEnd w:id="182"/>
      <w:bookmarkEnd w:id="183"/>
      <w:bookmarkEnd w:id="184"/>
    </w:p>
    <w:p>
      <w:pPr>
        <w:pStyle w:val="a2"/>
        <w:ind w:firstLine="420"/>
        <w:rPr>
          <w:rFonts w:hAnsi="宋体"/>
          <w:bCs/>
          <w:szCs w:val="21"/>
        </w:rPr>
      </w:pPr>
      <w:r>
        <w:rPr>
          <w:rFonts w:hAnsi="宋体" w:hint="eastAsia"/>
          <w:bCs/>
          <w:szCs w:val="21"/>
        </w:rPr>
        <w:t>单体蓄电池、电池簇及电池系统设备、零部件外观应无变形、漏液、裂纹及污迹，</w:t>
      </w:r>
      <w:r>
        <w:rPr>
          <w:rFonts w:hAnsi="宋体"/>
          <w:bCs/>
          <w:szCs w:val="21"/>
        </w:rPr>
        <w:t>排列整齐、连接可靠,</w:t>
      </w:r>
      <w:r>
        <w:rPr>
          <w:rFonts w:hAnsi="宋体" w:hint="eastAsia"/>
          <w:bCs/>
          <w:szCs w:val="21"/>
        </w:rPr>
        <w:t>且规格、警示标志清晰、正确。</w:t>
      </w:r>
    </w:p>
    <w:p>
      <w:pPr>
        <w:pStyle w:val="a2"/>
        <w:ind w:firstLine="420"/>
        <w:rPr>
          <w:rFonts w:hAnsi="宋体"/>
          <w:bCs/>
          <w:szCs w:val="21"/>
        </w:rPr>
      </w:pPr>
      <w:r>
        <w:rPr>
          <w:rFonts w:hAnsi="宋体" w:hint="eastAsia"/>
          <w:bCs/>
          <w:szCs w:val="21"/>
        </w:rPr>
        <w:t>正负电极极性正确、标志清晰、便于连接</w:t>
      </w:r>
      <w:r>
        <w:rPr>
          <w:rFonts w:hAnsi="宋体"/>
          <w:bCs/>
          <w:szCs w:val="21"/>
        </w:rPr>
        <w:t>。</w:t>
      </w:r>
    </w:p>
    <w:p>
      <w:pPr>
        <w:pStyle w:val="Heading4"/>
        <w:spacing w:before="151" w:after="151"/>
        <w:rPr>
          <w:b/>
        </w:rPr>
      </w:pPr>
      <w:bookmarkStart w:id="185" w:name="_Toc26647"/>
      <w:bookmarkStart w:id="186" w:name="_Toc148518088"/>
      <w:bookmarkStart w:id="187" w:name="_Toc148510460"/>
      <w:bookmarkStart w:id="188" w:name="_Toc148518183"/>
      <w:bookmarkStart w:id="189" w:name="_Toc148510564"/>
      <w:r>
        <w:rPr>
          <w:rFonts w:hint="eastAsia"/>
        </w:rPr>
        <w:t>隔板</w:t>
      </w:r>
      <w:bookmarkEnd w:id="185"/>
      <w:bookmarkEnd w:id="186"/>
      <w:bookmarkEnd w:id="187"/>
      <w:bookmarkEnd w:id="188"/>
      <w:bookmarkEnd w:id="189"/>
    </w:p>
    <w:p>
      <w:pPr>
        <w:pStyle w:val="a2"/>
        <w:ind w:firstLine="420"/>
        <w:rPr>
          <w:rFonts w:hAnsi="宋体"/>
          <w:bCs/>
          <w:szCs w:val="21"/>
        </w:rPr>
      </w:pPr>
      <w:r>
        <w:rPr>
          <w:rFonts w:hAnsi="宋体" w:hint="eastAsia"/>
          <w:bCs/>
          <w:szCs w:val="21"/>
        </w:rPr>
        <w:t>应采用固态铅电池专用</w:t>
      </w:r>
      <w:r>
        <w:rPr>
          <w:rFonts w:hAnsi="宋体"/>
          <w:bCs/>
          <w:szCs w:val="21"/>
        </w:rPr>
        <w:t>PVC</w:t>
      </w:r>
      <w:r>
        <w:rPr>
          <w:rFonts w:hAnsi="宋体" w:hint="eastAsia"/>
          <w:bCs/>
          <w:szCs w:val="21"/>
        </w:rPr>
        <w:t>隔板或符合生产企业规定的隔板。</w:t>
      </w:r>
    </w:p>
    <w:p>
      <w:pPr>
        <w:pStyle w:val="Heading4"/>
        <w:spacing w:before="151" w:after="151"/>
        <w:rPr>
          <w:b/>
        </w:rPr>
      </w:pPr>
      <w:bookmarkStart w:id="190" w:name="_Toc9231"/>
      <w:bookmarkStart w:id="191" w:name="_Toc148510461"/>
      <w:bookmarkStart w:id="192" w:name="_Toc148518089"/>
      <w:bookmarkStart w:id="193" w:name="_Toc148510565"/>
      <w:bookmarkStart w:id="194" w:name="_Toc148518184"/>
      <w:r>
        <w:rPr>
          <w:rFonts w:hint="eastAsia"/>
        </w:rPr>
        <w:t>极板</w:t>
      </w:r>
      <w:bookmarkEnd w:id="190"/>
      <w:bookmarkEnd w:id="191"/>
      <w:bookmarkEnd w:id="192"/>
      <w:bookmarkEnd w:id="193"/>
      <w:bookmarkEnd w:id="194"/>
    </w:p>
    <w:p>
      <w:pPr>
        <w:pStyle w:val="a2"/>
        <w:ind w:firstLine="420"/>
        <w:rPr>
          <w:rFonts w:hAnsi="宋体"/>
          <w:bCs/>
          <w:szCs w:val="21"/>
        </w:rPr>
      </w:pPr>
      <w:r>
        <w:rPr>
          <w:rFonts w:hAnsi="宋体" w:hint="eastAsia"/>
          <w:bCs/>
          <w:szCs w:val="21"/>
        </w:rPr>
        <w:t>固态铅电池应采用管式正极板和涂膏式负极板。</w:t>
      </w:r>
    </w:p>
    <w:p>
      <w:pPr>
        <w:pStyle w:val="a2"/>
        <w:ind w:firstLine="420"/>
        <w:rPr>
          <w:rFonts w:hAnsi="宋体"/>
          <w:bCs/>
          <w:szCs w:val="21"/>
        </w:rPr>
      </w:pPr>
      <w:r>
        <w:rPr>
          <w:rFonts w:hAnsi="宋体" w:hint="eastAsia"/>
          <w:bCs/>
          <w:szCs w:val="21"/>
        </w:rPr>
        <w:t>2</w:t>
      </w:r>
      <w:r>
        <w:rPr>
          <w:rFonts w:hAnsi="宋体"/>
          <w:bCs/>
          <w:szCs w:val="21"/>
        </w:rPr>
        <w:t>V</w:t>
      </w:r>
      <w:r>
        <w:rPr>
          <w:rFonts w:hAnsi="宋体" w:hint="eastAsia"/>
          <w:bCs/>
          <w:szCs w:val="21"/>
        </w:rPr>
        <w:t>蓄电池正极板的厚度不低于8.5mm，1</w:t>
      </w:r>
      <w:r>
        <w:rPr>
          <w:rFonts w:hAnsi="宋体"/>
          <w:bCs/>
          <w:szCs w:val="21"/>
        </w:rPr>
        <w:t>2V</w:t>
      </w:r>
      <w:r>
        <w:rPr>
          <w:rFonts w:hAnsi="宋体" w:hint="eastAsia"/>
          <w:bCs/>
          <w:szCs w:val="21"/>
        </w:rPr>
        <w:t>蓄电池正极板厚度不低于5.</w:t>
      </w:r>
      <w:r>
        <w:rPr>
          <w:rFonts w:hAnsi="宋体"/>
          <w:bCs/>
          <w:szCs w:val="21"/>
        </w:rPr>
        <w:t>0mm</w:t>
      </w:r>
      <w:r>
        <w:rPr>
          <w:rFonts w:hAnsi="宋体" w:hint="eastAsia"/>
          <w:bCs/>
          <w:szCs w:val="21"/>
        </w:rPr>
        <w:t>。</w:t>
      </w:r>
    </w:p>
    <w:p>
      <w:pPr>
        <w:pStyle w:val="Heading4"/>
        <w:spacing w:before="151" w:after="151"/>
        <w:rPr>
          <w:b/>
        </w:rPr>
      </w:pPr>
      <w:bookmarkStart w:id="195" w:name="_Toc148518090"/>
      <w:bookmarkStart w:id="196" w:name="_Toc148518185"/>
      <w:bookmarkStart w:id="197" w:name="_Toc148510566"/>
      <w:bookmarkStart w:id="198" w:name="_Toc13982"/>
      <w:bookmarkStart w:id="199" w:name="_Toc148510462"/>
      <w:r>
        <w:rPr>
          <w:rFonts w:hint="eastAsia"/>
        </w:rPr>
        <w:t>蓄电池槽</w:t>
      </w:r>
      <w:bookmarkEnd w:id="195"/>
      <w:bookmarkEnd w:id="196"/>
      <w:bookmarkEnd w:id="197"/>
      <w:bookmarkEnd w:id="198"/>
      <w:bookmarkEnd w:id="199"/>
    </w:p>
    <w:p>
      <w:pPr>
        <w:pStyle w:val="a2"/>
        <w:ind w:firstLine="420"/>
        <w:rPr>
          <w:rFonts w:hAnsi="宋体"/>
          <w:bCs/>
          <w:szCs w:val="21"/>
        </w:rPr>
      </w:pPr>
      <w:r>
        <w:rPr>
          <w:rFonts w:hAnsi="宋体" w:hint="eastAsia"/>
          <w:bCs/>
          <w:szCs w:val="21"/>
        </w:rPr>
        <w:t>蓄电池槽、盖、安全阀、极柱、极柱封口剂材料应符合产品图纸要求。</w:t>
      </w:r>
    </w:p>
    <w:p>
      <w:pPr>
        <w:pStyle w:val="Heading4"/>
        <w:spacing w:before="151" w:after="151"/>
        <w:rPr>
          <w:b/>
        </w:rPr>
      </w:pPr>
      <w:bookmarkStart w:id="200" w:name="_Toc148510463"/>
      <w:bookmarkStart w:id="201" w:name="_Toc148518186"/>
      <w:bookmarkStart w:id="202" w:name="_Toc148518091"/>
      <w:bookmarkStart w:id="203" w:name="_Toc12985"/>
      <w:bookmarkStart w:id="204" w:name="_Toc148510567"/>
      <w:r>
        <w:rPr>
          <w:rFonts w:hint="eastAsia"/>
        </w:rPr>
        <w:t>固态电解质</w:t>
      </w:r>
      <w:bookmarkEnd w:id="200"/>
      <w:bookmarkEnd w:id="201"/>
      <w:bookmarkEnd w:id="202"/>
      <w:bookmarkEnd w:id="203"/>
      <w:bookmarkEnd w:id="204"/>
    </w:p>
    <w:p>
      <w:pPr>
        <w:pStyle w:val="a2"/>
        <w:ind w:firstLine="420"/>
        <w:rPr>
          <w:rFonts w:hAnsi="宋体"/>
          <w:bCs/>
          <w:szCs w:val="21"/>
        </w:rPr>
      </w:pPr>
      <w:r>
        <w:rPr>
          <w:rFonts w:hAnsi="宋体" w:hint="eastAsia"/>
          <w:bCs/>
          <w:szCs w:val="21"/>
        </w:rPr>
        <w:t>应采用加入纳米级气相二氧化硅等材料的乳化</w:t>
      </w:r>
      <w:r>
        <w:rPr>
          <w:rFonts w:hAnsi="宋体"/>
          <w:bCs/>
          <w:szCs w:val="21"/>
        </w:rPr>
        <w:t>状电解质</w:t>
      </w:r>
      <w:r>
        <w:rPr>
          <w:rFonts w:hAnsi="宋体" w:hint="eastAsia"/>
          <w:bCs/>
          <w:szCs w:val="21"/>
        </w:rPr>
        <w:t>，电解质应符合HG/T2692标准规定。</w:t>
      </w:r>
    </w:p>
    <w:p>
      <w:pPr>
        <w:pStyle w:val="Heading4"/>
        <w:spacing w:before="151" w:after="151"/>
        <w:rPr>
          <w:b/>
        </w:rPr>
      </w:pPr>
      <w:bookmarkStart w:id="205" w:name="_Toc148510568"/>
      <w:bookmarkStart w:id="206" w:name="_Toc148518187"/>
      <w:bookmarkStart w:id="207" w:name="_Toc148510464"/>
      <w:bookmarkStart w:id="208" w:name="_Toc19842"/>
      <w:bookmarkStart w:id="209" w:name="_Toc148518092"/>
      <w:r>
        <w:rPr>
          <w:rFonts w:hint="eastAsia"/>
        </w:rPr>
        <w:t>重量</w:t>
      </w:r>
      <w:bookmarkEnd w:id="205"/>
      <w:bookmarkEnd w:id="206"/>
      <w:bookmarkEnd w:id="207"/>
      <w:bookmarkEnd w:id="208"/>
      <w:bookmarkEnd w:id="209"/>
    </w:p>
    <w:p>
      <w:pPr>
        <w:pStyle w:val="a2"/>
        <w:ind w:firstLine="420"/>
        <w:rPr>
          <w:rFonts w:hAnsi="宋体"/>
          <w:bCs/>
          <w:szCs w:val="21"/>
        </w:rPr>
        <w:sectPr>
          <w:headerReference w:type="even" r:id="rId29"/>
          <w:headerReference w:type="default" r:id="rId30"/>
          <w:footerReference w:type="even" r:id="rId31"/>
          <w:footerReference w:type="default" r:id="rId32"/>
          <w:headerReference w:type="first" r:id="rId33"/>
          <w:footerReference w:type="first" r:id="rId34"/>
          <w:type w:val="nextPage"/>
          <w:pgSz w:w="11907" w:h="16839"/>
          <w:pgMar w:top="1134" w:right="1134" w:bottom="1134" w:left="1418" w:header="1134" w:footer="1134" w:gutter="0"/>
          <w:pgNumType w:start="4"/>
          <w:cols w:num="1" w:space="720"/>
          <w:titlePg w:val="0"/>
          <w:docGrid w:type="linesAndChars" w:linePitch="303" w:charSpace="0"/>
        </w:sectPr>
      </w:pPr>
      <w:r>
        <w:rPr>
          <w:rFonts w:hAnsi="宋体" w:hint="eastAsia"/>
          <w:bCs/>
          <w:szCs w:val="21"/>
        </w:rPr>
        <w:t>蓄电池的重量应不超出同组蓄电池平均值的±5%。</w:t>
      </w:r>
    </w:p>
    <w:p>
      <w:pPr>
        <w:pStyle w:val="Heading4"/>
        <w:spacing w:before="151" w:after="151"/>
        <w:rPr>
          <w:b/>
        </w:rPr>
      </w:pPr>
      <w:bookmarkStart w:id="210" w:name="_Toc148518093"/>
      <w:bookmarkStart w:id="211" w:name="_Toc148518188"/>
      <w:bookmarkStart w:id="212" w:name="_Toc148510465"/>
      <w:bookmarkStart w:id="213" w:name="_Toc148510569"/>
      <w:bookmarkStart w:id="214" w:name="_Toc4236"/>
      <w:r>
        <w:rPr>
          <w:rFonts w:hint="eastAsia"/>
        </w:rPr>
        <w:t>端子</w:t>
      </w:r>
      <w:bookmarkEnd w:id="210"/>
      <w:bookmarkEnd w:id="211"/>
      <w:bookmarkEnd w:id="212"/>
      <w:bookmarkEnd w:id="213"/>
      <w:bookmarkEnd w:id="214"/>
    </w:p>
    <w:p>
      <w:pPr>
        <w:pStyle w:val="a2"/>
        <w:ind w:firstLine="420"/>
        <w:rPr>
          <w:rFonts w:hAnsi="宋体"/>
          <w:bCs/>
          <w:szCs w:val="21"/>
        </w:rPr>
      </w:pPr>
      <w:r>
        <w:rPr>
          <w:rFonts w:hAnsi="宋体" w:hint="eastAsia"/>
          <w:bCs/>
          <w:szCs w:val="21"/>
        </w:rPr>
        <w:t>端子与连接条的接触面应平整光滑、表面无凹凸、毛刺和脏污。</w:t>
      </w:r>
    </w:p>
    <w:p>
      <w:pPr>
        <w:pStyle w:val="a2"/>
        <w:ind w:firstLine="420"/>
        <w:rPr>
          <w:rFonts w:hAnsi="宋体"/>
          <w:bCs/>
          <w:szCs w:val="21"/>
        </w:rPr>
      </w:pPr>
      <w:r>
        <w:rPr>
          <w:rFonts w:hAnsi="宋体" w:hint="eastAsia"/>
          <w:bCs/>
          <w:szCs w:val="21"/>
        </w:rPr>
        <w:t>端子与连接条的连接表面应与蓄电池壳面平行，端子的轴线应与蓄电池壳面垂直。</w:t>
      </w:r>
    </w:p>
    <w:p>
      <w:pPr>
        <w:pStyle w:val="a2"/>
        <w:ind w:firstLine="420"/>
        <w:rPr>
          <w:rFonts w:hAnsi="宋体"/>
          <w:bCs/>
          <w:szCs w:val="21"/>
        </w:rPr>
      </w:pPr>
      <w:r>
        <w:rPr>
          <w:rFonts w:hAnsi="宋体" w:hint="eastAsia"/>
          <w:bCs/>
          <w:szCs w:val="21"/>
        </w:rPr>
        <w:t>2V固态铅电池端子螺栓丝牙的深度应不低于20</w:t>
      </w:r>
      <w:r>
        <w:rPr>
          <w:rFonts w:hAnsi="宋体"/>
          <w:bCs/>
          <w:szCs w:val="21"/>
        </w:rPr>
        <w:t>mm</w:t>
      </w:r>
      <w:r>
        <w:rPr>
          <w:rFonts w:hAnsi="宋体" w:hint="eastAsia"/>
          <w:bCs/>
          <w:szCs w:val="21"/>
        </w:rPr>
        <w:t>，其他电压等级固态铅电池端子螺栓丝牙的深度应不低于16</w:t>
      </w:r>
      <w:r>
        <w:rPr>
          <w:rFonts w:hAnsi="宋体"/>
          <w:bCs/>
          <w:szCs w:val="21"/>
        </w:rPr>
        <w:t>mm</w:t>
      </w:r>
      <w:r>
        <w:rPr>
          <w:rFonts w:hAnsi="宋体" w:hint="eastAsia"/>
          <w:bCs/>
          <w:szCs w:val="21"/>
        </w:rPr>
        <w:t>。</w:t>
      </w:r>
    </w:p>
    <w:p>
      <w:pPr>
        <w:pStyle w:val="Heading4"/>
        <w:spacing w:before="151" w:after="151"/>
        <w:rPr>
          <w:b/>
        </w:rPr>
      </w:pPr>
      <w:bookmarkStart w:id="215" w:name="_Toc148510570"/>
      <w:bookmarkStart w:id="216" w:name="_Toc2860"/>
      <w:bookmarkStart w:id="217" w:name="_Toc148518189"/>
      <w:bookmarkStart w:id="218" w:name="_Toc148518094"/>
      <w:bookmarkStart w:id="219" w:name="_Toc148510466"/>
      <w:r>
        <w:rPr>
          <w:rFonts w:hint="eastAsia"/>
        </w:rPr>
        <w:t>密封性</w:t>
      </w:r>
      <w:bookmarkEnd w:id="215"/>
      <w:bookmarkEnd w:id="216"/>
      <w:bookmarkEnd w:id="217"/>
      <w:bookmarkEnd w:id="218"/>
      <w:bookmarkEnd w:id="219"/>
    </w:p>
    <w:p>
      <w:pPr>
        <w:pStyle w:val="a2"/>
        <w:ind w:firstLine="420"/>
        <w:rPr>
          <w:rFonts w:hAnsi="宋体"/>
          <w:bCs/>
          <w:szCs w:val="21"/>
        </w:rPr>
      </w:pPr>
      <w:r>
        <w:rPr>
          <w:rFonts w:hAnsi="宋体" w:hint="eastAsia"/>
          <w:bCs/>
          <w:szCs w:val="21"/>
        </w:rPr>
        <w:t>固态铅电池2V应能承受35kPa的正压或负压而不破裂、不开胶，压力释放后壳体无残余变形</w:t>
      </w:r>
      <w:r>
        <w:rPr>
          <w:rFonts w:hAnsi="宋体"/>
          <w:bCs/>
          <w:szCs w:val="21"/>
        </w:rPr>
        <w:t>。</w:t>
      </w:r>
    </w:p>
    <w:p>
      <w:pPr>
        <w:pStyle w:val="a2"/>
        <w:ind w:firstLine="420"/>
        <w:rPr>
          <w:rFonts w:hAnsi="宋体"/>
          <w:bCs/>
          <w:szCs w:val="21"/>
        </w:rPr>
      </w:pPr>
      <w:r>
        <w:rPr>
          <w:rFonts w:hAnsi="宋体" w:hint="eastAsia"/>
          <w:bCs/>
          <w:szCs w:val="21"/>
        </w:rPr>
        <w:t>固态铅电池其他标称电压应能承受50kPa的正压或负压而不破裂、不开胶，压力释放后壳体无残余变形。</w:t>
      </w:r>
    </w:p>
    <w:p>
      <w:pPr>
        <w:pStyle w:val="Heading3"/>
        <w:rPr>
          <w:b/>
        </w:rPr>
      </w:pPr>
      <w:bookmarkStart w:id="220" w:name="_Toc148518095"/>
      <w:bookmarkStart w:id="221" w:name="_Toc148510571"/>
      <w:bookmarkStart w:id="222" w:name="_Toc148510467"/>
      <w:bookmarkStart w:id="223" w:name="_Toc22773"/>
      <w:bookmarkStart w:id="224" w:name="_Toc155426392"/>
      <w:bookmarkStart w:id="225" w:name="_Toc148518190"/>
      <w:bookmarkStart w:id="226" w:name="_Toc5704"/>
      <w:r>
        <w:rPr>
          <w:rFonts w:hint="eastAsia"/>
        </w:rPr>
        <w:t>安全性要求</w:t>
      </w:r>
      <w:bookmarkEnd w:id="220"/>
      <w:bookmarkEnd w:id="221"/>
      <w:bookmarkEnd w:id="222"/>
      <w:bookmarkEnd w:id="223"/>
      <w:bookmarkEnd w:id="224"/>
      <w:bookmarkEnd w:id="225"/>
      <w:bookmarkEnd w:id="226"/>
    </w:p>
    <w:p>
      <w:pPr>
        <w:pStyle w:val="Heading4"/>
        <w:spacing w:before="151" w:after="151"/>
        <w:rPr>
          <w:b/>
        </w:rPr>
      </w:pPr>
      <w:bookmarkStart w:id="227" w:name="_Toc148518191"/>
      <w:bookmarkStart w:id="228" w:name="_Toc148510468"/>
      <w:bookmarkStart w:id="229" w:name="_Toc148510572"/>
      <w:bookmarkStart w:id="230" w:name="_Toc148518096"/>
      <w:bookmarkStart w:id="231" w:name="_Toc29037"/>
      <w:r>
        <w:rPr>
          <w:rFonts w:hint="eastAsia"/>
        </w:rPr>
        <w:t>电池单体</w:t>
      </w:r>
      <w:bookmarkEnd w:id="227"/>
      <w:bookmarkEnd w:id="228"/>
      <w:bookmarkEnd w:id="229"/>
      <w:bookmarkEnd w:id="230"/>
      <w:bookmarkEnd w:id="231"/>
    </w:p>
    <w:p>
      <w:pPr>
        <w:pStyle w:val="Heading5"/>
        <w:spacing w:before="151" w:after="151"/>
        <w:rPr>
          <w:b/>
          <w:color w:val="000000" w:themeColor="text1"/>
          <w14:textFill>
            <w14:solidFill>
              <w14:schemeClr w14:val="tx1"/>
            </w14:solidFill>
          </w14:textFill>
        </w:rPr>
      </w:pPr>
      <w:bookmarkStart w:id="232" w:name="_Toc25153"/>
      <w:bookmarkStart w:id="233" w:name="_Toc148510469"/>
      <w:bookmarkStart w:id="234" w:name="_Toc148510573"/>
      <w:bookmarkStart w:id="235" w:name="_Toc148518192"/>
      <w:bookmarkStart w:id="236" w:name="_Toc148518097"/>
      <w:r>
        <w:rPr>
          <w:rFonts w:hint="eastAsia"/>
          <w:color w:val="000000" w:themeColor="text1"/>
          <w14:textFill>
            <w14:solidFill>
              <w14:schemeClr w14:val="tx1"/>
            </w14:solidFill>
          </w14:textFill>
        </w:rPr>
        <w:t>气体析出量</w:t>
      </w:r>
      <w:bookmarkEnd w:id="232"/>
      <w:bookmarkEnd w:id="233"/>
      <w:bookmarkEnd w:id="234"/>
      <w:bookmarkEnd w:id="235"/>
      <w:bookmarkEnd w:id="236"/>
    </w:p>
    <w:p>
      <w:pPr>
        <w:pStyle w:val="a2"/>
        <w:ind w:firstLine="420"/>
        <w:rPr>
          <w:rFonts w:hAnsi="宋体"/>
          <w:bCs/>
          <w:szCs w:val="21"/>
        </w:rPr>
      </w:pPr>
      <w:r>
        <w:rPr>
          <w:rFonts w:hAnsi="宋体"/>
          <w:bCs/>
          <w:szCs w:val="21"/>
        </w:rPr>
        <w:t>蓄电池按</w:t>
      </w:r>
      <w:r>
        <w:rPr>
          <w:rFonts w:hAnsi="宋体" w:hint="eastAsia"/>
          <w:bCs/>
          <w:szCs w:val="21"/>
        </w:rPr>
        <w:t>7</w:t>
      </w:r>
      <w:r>
        <w:rPr>
          <w:rFonts w:hAnsi="宋体"/>
          <w:bCs/>
          <w:szCs w:val="21"/>
        </w:rPr>
        <w:t>.3.6试验，单体蓄电池平均每安时·小时对外释放出的气体量</w:t>
      </w:r>
      <w:r>
        <w:rPr>
          <w:rFonts w:hAnsi="宋体"/>
          <w:bCs/>
          <w:i/>
          <w:szCs w:val="21"/>
        </w:rPr>
        <w:t>G</w:t>
      </w:r>
      <w:r>
        <w:rPr>
          <w:rFonts w:hAnsi="宋体"/>
          <w:bCs/>
          <w:i/>
          <w:szCs w:val="21"/>
          <w:vertAlign w:val="subscript"/>
        </w:rPr>
        <w:t>e</w:t>
      </w:r>
      <w:r>
        <w:rPr>
          <w:rFonts w:hAnsi="宋体"/>
          <w:bCs/>
          <w:szCs w:val="21"/>
        </w:rPr>
        <w:t>、</w:t>
      </w:r>
      <w:r>
        <w:rPr>
          <w:rFonts w:hAnsi="宋体"/>
          <w:bCs/>
          <w:i/>
          <w:szCs w:val="21"/>
        </w:rPr>
        <w:t>G</w:t>
      </w:r>
      <w:r>
        <w:rPr>
          <w:rFonts w:hAnsi="宋体"/>
          <w:bCs/>
          <w:i/>
          <w:szCs w:val="21"/>
          <w:vertAlign w:val="subscript"/>
        </w:rPr>
        <w:t>e</w:t>
      </w:r>
      <w:r>
        <w:rPr>
          <w:rFonts w:hAnsi="宋体"/>
          <w:bCs/>
          <w:i/>
          <w:szCs w:val="21"/>
        </w:rPr>
        <w:t>′</w:t>
      </w:r>
      <w:r>
        <w:rPr>
          <w:rFonts w:hAnsi="宋体"/>
          <w:bCs/>
          <w:szCs w:val="21"/>
        </w:rPr>
        <w:t>在标准状态下应符合下述规定值：</w:t>
      </w:r>
    </w:p>
    <w:p>
      <w:pPr>
        <w:pStyle w:val="a2"/>
        <w:numPr>
          <w:ilvl w:val="0"/>
          <w:numId w:val="11"/>
        </w:numPr>
        <w:ind w:firstLineChars="0"/>
        <w:rPr>
          <w:rFonts w:hAnsi="宋体"/>
          <w:bCs/>
          <w:szCs w:val="21"/>
        </w:rPr>
      </w:pPr>
      <w:r>
        <w:rPr>
          <w:rFonts w:hAnsi="宋体"/>
          <w:bCs/>
          <w:szCs w:val="21"/>
        </w:rPr>
        <w:t>在2</w:t>
      </w:r>
      <w:r>
        <w:rPr>
          <w:rFonts w:hAnsi="宋体" w:hint="eastAsia"/>
          <w:bCs/>
          <w:szCs w:val="21"/>
        </w:rPr>
        <w:t>5</w:t>
      </w:r>
      <w:r>
        <w:rPr>
          <w:rFonts w:hAnsi="宋体"/>
          <w:bCs/>
          <w:szCs w:val="21"/>
        </w:rPr>
        <w:t>℃及单体蓄电池电压为</w:t>
      </w:r>
      <w:r>
        <w:rPr>
          <w:rFonts w:hAnsi="宋体"/>
          <w:bCs/>
          <w:iCs/>
          <w:szCs w:val="21"/>
        </w:rPr>
        <w:t>2.30V</w:t>
      </w:r>
      <w:r>
        <w:rPr>
          <w:rFonts w:hAnsi="宋体" w:hint="eastAsia"/>
          <w:bCs/>
          <w:szCs w:val="21"/>
        </w:rPr>
        <w:t>的充电</w:t>
      </w:r>
      <w:r>
        <w:rPr>
          <w:rFonts w:hAnsi="宋体"/>
          <w:bCs/>
          <w:szCs w:val="21"/>
        </w:rPr>
        <w:t>条件下</w:t>
      </w:r>
      <w:r>
        <w:rPr>
          <w:rFonts w:hAnsi="宋体" w:hint="eastAsia"/>
          <w:bCs/>
          <w:szCs w:val="21"/>
        </w:rPr>
        <w:t>，</w:t>
      </w:r>
      <w:r>
        <w:rPr>
          <w:rFonts w:hAnsi="宋体"/>
          <w:bCs/>
          <w:i/>
          <w:szCs w:val="21"/>
        </w:rPr>
        <w:t>G</w:t>
      </w:r>
      <w:r>
        <w:rPr>
          <w:rFonts w:hAnsi="宋体"/>
          <w:bCs/>
          <w:i/>
          <w:szCs w:val="21"/>
          <w:vertAlign w:val="subscript"/>
        </w:rPr>
        <w:t>e</w:t>
      </w:r>
      <w:r>
        <w:rPr>
          <w:rFonts w:hAnsi="宋体" w:hint="eastAsia"/>
          <w:bCs/>
          <w:szCs w:val="21"/>
        </w:rPr>
        <w:t>应不超过</w:t>
      </w:r>
      <w:r>
        <w:rPr>
          <w:rFonts w:hAnsi="宋体"/>
          <w:bCs/>
          <w:szCs w:val="21"/>
        </w:rPr>
        <w:t>0.04ml；</w:t>
      </w:r>
    </w:p>
    <w:p>
      <w:pPr>
        <w:pStyle w:val="a2"/>
        <w:numPr>
          <w:ilvl w:val="0"/>
          <w:numId w:val="11"/>
        </w:numPr>
        <w:ind w:firstLineChars="0"/>
        <w:rPr>
          <w:rFonts w:hAnsi="宋体"/>
          <w:bCs/>
          <w:szCs w:val="21"/>
        </w:rPr>
      </w:pPr>
      <w:r>
        <w:rPr>
          <w:rFonts w:hAnsi="宋体"/>
          <w:bCs/>
          <w:szCs w:val="21"/>
        </w:rPr>
        <w:t>在2</w:t>
      </w:r>
      <w:r>
        <w:rPr>
          <w:rFonts w:hAnsi="宋体" w:hint="eastAsia"/>
          <w:bCs/>
          <w:szCs w:val="21"/>
        </w:rPr>
        <w:t>5</w:t>
      </w:r>
      <w:r>
        <w:rPr>
          <w:rFonts w:hAnsi="宋体"/>
          <w:bCs/>
          <w:szCs w:val="21"/>
        </w:rPr>
        <w:t>℃及单体蓄电池电压为2.</w:t>
      </w:r>
      <w:r>
        <w:rPr>
          <w:rFonts w:hAnsi="宋体" w:hint="eastAsia"/>
          <w:bCs/>
          <w:szCs w:val="21"/>
        </w:rPr>
        <w:t>4</w:t>
      </w:r>
      <w:r>
        <w:rPr>
          <w:rFonts w:hAnsi="宋体"/>
          <w:bCs/>
          <w:szCs w:val="21"/>
        </w:rPr>
        <w:t>0V</w:t>
      </w:r>
      <w:r>
        <w:rPr>
          <w:rFonts w:hAnsi="宋体" w:hint="eastAsia"/>
          <w:bCs/>
          <w:szCs w:val="21"/>
        </w:rPr>
        <w:t>的均衡</w:t>
      </w:r>
      <w:r>
        <w:rPr>
          <w:rFonts w:hAnsi="宋体"/>
          <w:bCs/>
          <w:szCs w:val="21"/>
        </w:rPr>
        <w:t>充</w:t>
      </w:r>
      <w:r>
        <w:rPr>
          <w:rFonts w:hAnsi="宋体" w:hint="eastAsia"/>
          <w:bCs/>
          <w:szCs w:val="21"/>
        </w:rPr>
        <w:t>电</w:t>
      </w:r>
      <w:r>
        <w:rPr>
          <w:rFonts w:hAnsi="宋体"/>
          <w:bCs/>
          <w:szCs w:val="21"/>
        </w:rPr>
        <w:t>条件下</w:t>
      </w:r>
      <w:r>
        <w:rPr>
          <w:rFonts w:hAnsi="宋体" w:hint="eastAsia"/>
          <w:bCs/>
          <w:szCs w:val="21"/>
        </w:rPr>
        <w:t>，</w:t>
      </w:r>
      <w:r>
        <w:rPr>
          <w:rFonts w:hAnsi="宋体"/>
          <w:bCs/>
          <w:i/>
          <w:szCs w:val="21"/>
        </w:rPr>
        <w:t>G</w:t>
      </w:r>
      <w:r>
        <w:rPr>
          <w:rFonts w:hAnsi="宋体"/>
          <w:bCs/>
          <w:i/>
          <w:szCs w:val="21"/>
          <w:vertAlign w:val="subscript"/>
        </w:rPr>
        <w:t>e</w:t>
      </w:r>
      <w:r>
        <w:rPr>
          <w:rFonts w:hAnsi="宋体"/>
          <w:bCs/>
          <w:i/>
          <w:szCs w:val="21"/>
        </w:rPr>
        <w:t>′</w:t>
      </w:r>
      <w:r>
        <w:rPr>
          <w:rFonts w:hAnsi="宋体" w:hint="eastAsia"/>
          <w:bCs/>
          <w:szCs w:val="21"/>
        </w:rPr>
        <w:t>应不超过</w:t>
      </w:r>
      <w:r>
        <w:rPr>
          <w:rFonts w:hAnsi="宋体"/>
          <w:bCs/>
          <w:szCs w:val="21"/>
        </w:rPr>
        <w:t>1.70ml</w:t>
      </w:r>
      <w:r>
        <w:rPr>
          <w:rFonts w:hAnsi="宋体" w:hint="eastAsia"/>
          <w:bCs/>
          <w:szCs w:val="21"/>
        </w:rPr>
        <w:t>。</w:t>
      </w:r>
    </w:p>
    <w:p>
      <w:pPr>
        <w:pStyle w:val="Heading5"/>
        <w:spacing w:before="151" w:after="151"/>
        <w:rPr>
          <w:b/>
          <w:color w:val="000000" w:themeColor="text1"/>
          <w14:textFill>
            <w14:solidFill>
              <w14:schemeClr w14:val="tx1"/>
            </w14:solidFill>
          </w14:textFill>
        </w:rPr>
      </w:pPr>
      <w:bookmarkStart w:id="237" w:name="_Toc148518193"/>
      <w:bookmarkStart w:id="238" w:name="_Toc148510574"/>
      <w:bookmarkStart w:id="239" w:name="_Toc148510470"/>
      <w:bookmarkStart w:id="240" w:name="_Toc148518098"/>
      <w:bookmarkStart w:id="241" w:name="_Toc25071"/>
      <w:r>
        <w:rPr>
          <w:rFonts w:hint="eastAsia"/>
          <w:color w:val="000000" w:themeColor="text1"/>
          <w14:textFill>
            <w14:solidFill>
              <w14:schemeClr w14:val="tx1"/>
            </w14:solidFill>
          </w14:textFill>
        </w:rPr>
        <w:t>大电流放电</w:t>
      </w:r>
      <w:bookmarkEnd w:id="237"/>
      <w:bookmarkEnd w:id="238"/>
      <w:bookmarkEnd w:id="239"/>
      <w:bookmarkEnd w:id="240"/>
      <w:bookmarkEnd w:id="241"/>
    </w:p>
    <w:p>
      <w:pPr>
        <w:pStyle w:val="a2"/>
        <w:ind w:firstLine="420"/>
        <w:rPr>
          <w:rFonts w:hAnsi="宋体"/>
          <w:bCs/>
          <w:szCs w:val="21"/>
        </w:rPr>
      </w:pPr>
      <w:r>
        <w:rPr>
          <w:rFonts w:hAnsi="宋体"/>
          <w:bCs/>
          <w:szCs w:val="21"/>
        </w:rPr>
        <w:t>蓄电池按</w:t>
      </w:r>
      <w:r>
        <w:rPr>
          <w:rFonts w:hAnsi="宋体" w:hint="eastAsia"/>
          <w:bCs/>
          <w:szCs w:val="21"/>
        </w:rPr>
        <w:t>7.3.7</w:t>
      </w:r>
      <w:r>
        <w:rPr>
          <w:rFonts w:hAnsi="宋体"/>
          <w:bCs/>
          <w:szCs w:val="21"/>
        </w:rPr>
        <w:t>试验，试验后蓄电</w:t>
      </w:r>
      <w:r>
        <w:rPr>
          <w:rFonts w:hAnsi="宋体" w:hint="eastAsia"/>
          <w:bCs/>
          <w:szCs w:val="21"/>
        </w:rPr>
        <w:t>池的开路电压应不低于其标称电压，端子、极柱及汇流排不应熔化或熔断，槽、盖不应熔化或变形。</w:t>
      </w:r>
    </w:p>
    <w:p>
      <w:pPr>
        <w:pStyle w:val="Heading5"/>
        <w:spacing w:before="151" w:after="151"/>
        <w:rPr>
          <w:b/>
          <w:color w:val="000000" w:themeColor="text1"/>
          <w14:textFill>
            <w14:solidFill>
              <w14:schemeClr w14:val="tx1"/>
            </w14:solidFill>
          </w14:textFill>
        </w:rPr>
      </w:pPr>
      <w:bookmarkStart w:id="242" w:name="_Toc148510575"/>
      <w:bookmarkStart w:id="243" w:name="_Toc148518194"/>
      <w:bookmarkStart w:id="244" w:name="_Toc8595"/>
      <w:bookmarkStart w:id="245" w:name="_Toc148510471"/>
      <w:bookmarkStart w:id="246" w:name="_Toc148518099"/>
      <w:r>
        <w:rPr>
          <w:rFonts w:hint="eastAsia"/>
          <w:color w:val="000000" w:themeColor="text1"/>
          <w14:textFill>
            <w14:solidFill>
              <w14:schemeClr w14:val="tx1"/>
            </w14:solidFill>
          </w14:textFill>
        </w:rPr>
        <w:t>防爆能力</w:t>
      </w:r>
      <w:bookmarkEnd w:id="242"/>
      <w:bookmarkEnd w:id="243"/>
      <w:bookmarkEnd w:id="244"/>
      <w:bookmarkEnd w:id="245"/>
      <w:bookmarkEnd w:id="246"/>
    </w:p>
    <w:p>
      <w:pPr>
        <w:pStyle w:val="a2"/>
        <w:ind w:firstLine="420"/>
        <w:rPr>
          <w:rFonts w:hAnsi="宋体"/>
          <w:bCs/>
          <w:szCs w:val="21"/>
        </w:rPr>
      </w:pPr>
      <w:r>
        <w:rPr>
          <w:rFonts w:hAnsi="宋体"/>
          <w:bCs/>
          <w:szCs w:val="21"/>
        </w:rPr>
        <w:t>蓄电池按</w:t>
      </w:r>
      <w:r>
        <w:rPr>
          <w:rFonts w:hAnsi="宋体" w:hint="eastAsia"/>
          <w:bCs/>
          <w:szCs w:val="21"/>
        </w:rPr>
        <w:t>7.3.8</w:t>
      </w:r>
      <w:r>
        <w:rPr>
          <w:rFonts w:hAnsi="宋体"/>
          <w:bCs/>
          <w:szCs w:val="21"/>
        </w:rPr>
        <w:t>试验，</w:t>
      </w:r>
      <w:r>
        <w:rPr>
          <w:rFonts w:hAnsi="宋体" w:hint="eastAsia"/>
          <w:bCs/>
          <w:szCs w:val="21"/>
        </w:rPr>
        <w:t>当外遇明火时其内部不应发生燃烧或爆炸。</w:t>
      </w:r>
    </w:p>
    <w:p>
      <w:pPr>
        <w:pStyle w:val="Heading5"/>
        <w:spacing w:before="151" w:after="151"/>
        <w:rPr>
          <w:b/>
          <w:color w:val="000000" w:themeColor="text1"/>
          <w14:textFill>
            <w14:solidFill>
              <w14:schemeClr w14:val="tx1"/>
            </w14:solidFill>
          </w14:textFill>
        </w:rPr>
      </w:pPr>
      <w:bookmarkStart w:id="247" w:name="_Toc148510576"/>
      <w:bookmarkStart w:id="248" w:name="_Toc148518100"/>
      <w:bookmarkStart w:id="249" w:name="_Toc148518195"/>
      <w:bookmarkStart w:id="250" w:name="_Toc148510472"/>
      <w:bookmarkStart w:id="251" w:name="_Toc18190"/>
      <w:r>
        <w:rPr>
          <w:rFonts w:hint="eastAsia"/>
          <w:color w:val="000000" w:themeColor="text1"/>
          <w14:textFill>
            <w14:solidFill>
              <w14:schemeClr w14:val="tx1"/>
            </w14:solidFill>
          </w14:textFill>
        </w:rPr>
        <w:t>安全阀</w:t>
      </w:r>
      <w:bookmarkEnd w:id="247"/>
      <w:bookmarkEnd w:id="248"/>
      <w:bookmarkEnd w:id="249"/>
      <w:bookmarkEnd w:id="250"/>
      <w:bookmarkEnd w:id="251"/>
    </w:p>
    <w:p>
      <w:pPr>
        <w:pStyle w:val="a2"/>
        <w:ind w:firstLine="420"/>
        <w:rPr>
          <w:rFonts w:hAnsi="宋体"/>
          <w:bCs/>
          <w:szCs w:val="21"/>
        </w:rPr>
      </w:pPr>
      <w:r>
        <w:rPr>
          <w:rFonts w:hAnsi="宋体"/>
          <w:bCs/>
          <w:szCs w:val="21"/>
        </w:rPr>
        <w:t>蓄电池按</w:t>
      </w:r>
      <w:r>
        <w:rPr>
          <w:rFonts w:hAnsi="宋体" w:hint="eastAsia"/>
          <w:bCs/>
          <w:szCs w:val="21"/>
        </w:rPr>
        <w:t>7.3.9</w:t>
      </w:r>
      <w:r>
        <w:rPr>
          <w:rFonts w:hAnsi="宋体"/>
          <w:bCs/>
          <w:szCs w:val="21"/>
        </w:rPr>
        <w:t>试验，</w:t>
      </w:r>
      <w:r>
        <w:rPr>
          <w:rFonts w:hAnsi="宋体" w:hint="eastAsia"/>
          <w:bCs/>
          <w:szCs w:val="21"/>
        </w:rPr>
        <w:t>安全阀应在5kPa～35 kPa的范围内可靠开启，在3kPa～30 kPa的范围内可靠关闭。</w:t>
      </w:r>
    </w:p>
    <w:p>
      <w:pPr>
        <w:pStyle w:val="a2"/>
        <w:ind w:firstLine="420"/>
        <w:rPr>
          <w:rFonts w:hAnsi="宋体"/>
          <w:bCs/>
          <w:szCs w:val="21"/>
        </w:rPr>
      </w:pPr>
      <w:r>
        <w:rPr>
          <w:rFonts w:hAnsi="宋体" w:hint="eastAsia"/>
          <w:bCs/>
          <w:szCs w:val="21"/>
        </w:rPr>
        <w:t>蓄电池开阀压力</w:t>
      </w:r>
      <w:r>
        <w:rPr>
          <w:rFonts w:hAnsi="宋体"/>
          <w:bCs/>
          <w:szCs w:val="21"/>
        </w:rPr>
        <w:t>最高值与最低值的差值应</w:t>
      </w:r>
      <w:r>
        <w:rPr>
          <w:rFonts w:hAnsi="宋体" w:hint="eastAsia"/>
          <w:bCs/>
          <w:szCs w:val="21"/>
        </w:rPr>
        <w:t>不大于10 kPa，蓄电池闭阀压力</w:t>
      </w:r>
      <w:r>
        <w:rPr>
          <w:rFonts w:hAnsi="宋体"/>
          <w:bCs/>
          <w:szCs w:val="21"/>
        </w:rPr>
        <w:t>最高值与最低值的差值应</w:t>
      </w:r>
      <w:r>
        <w:rPr>
          <w:rFonts w:hAnsi="宋体" w:hint="eastAsia"/>
          <w:bCs/>
          <w:szCs w:val="21"/>
        </w:rPr>
        <w:t>不大于10 kPa。</w:t>
      </w:r>
    </w:p>
    <w:p>
      <w:pPr>
        <w:pStyle w:val="Heading5"/>
        <w:spacing w:before="151" w:after="151"/>
        <w:rPr>
          <w:b/>
          <w:color w:val="000000" w:themeColor="text1"/>
          <w14:textFill>
            <w14:solidFill>
              <w14:schemeClr w14:val="tx1"/>
            </w14:solidFill>
          </w14:textFill>
        </w:rPr>
      </w:pPr>
      <w:bookmarkStart w:id="252" w:name="_Toc148510473"/>
      <w:bookmarkStart w:id="253" w:name="_Toc148510577"/>
      <w:bookmarkStart w:id="254" w:name="_Toc2069"/>
      <w:bookmarkStart w:id="255" w:name="_Toc148518196"/>
      <w:bookmarkStart w:id="256" w:name="_Toc148518101"/>
      <w:r>
        <w:rPr>
          <w:rFonts w:hint="eastAsia"/>
          <w:color w:val="000000" w:themeColor="text1"/>
          <w14:textFill>
            <w14:solidFill>
              <w14:schemeClr w14:val="tx1"/>
            </w14:solidFill>
          </w14:textFill>
        </w:rPr>
        <w:t>耐接地短路能力</w:t>
      </w:r>
      <w:bookmarkEnd w:id="252"/>
      <w:bookmarkEnd w:id="253"/>
      <w:bookmarkEnd w:id="254"/>
      <w:bookmarkEnd w:id="255"/>
      <w:bookmarkEnd w:id="256"/>
    </w:p>
    <w:p>
      <w:pPr>
        <w:pStyle w:val="a2"/>
        <w:ind w:firstLine="420"/>
        <w:rPr>
          <w:rFonts w:hAnsi="宋体"/>
          <w:bCs/>
          <w:szCs w:val="21"/>
        </w:rPr>
      </w:pPr>
      <w:r>
        <w:rPr>
          <w:rFonts w:hAnsi="宋体"/>
          <w:bCs/>
          <w:szCs w:val="21"/>
        </w:rPr>
        <w:t>蓄电池按</w:t>
      </w:r>
      <w:r>
        <w:rPr>
          <w:rFonts w:hAnsi="宋体" w:hint="eastAsia"/>
          <w:bCs/>
          <w:szCs w:val="21"/>
        </w:rPr>
        <w:t>7.3.10</w:t>
      </w:r>
      <w:r>
        <w:rPr>
          <w:rFonts w:hAnsi="宋体"/>
          <w:bCs/>
          <w:szCs w:val="21"/>
        </w:rPr>
        <w:t>试验，</w:t>
      </w:r>
      <w:r>
        <w:rPr>
          <w:rFonts w:hAnsi="宋体" w:hint="eastAsia"/>
          <w:bCs/>
          <w:szCs w:val="21"/>
        </w:rPr>
        <w:t>试验过程中对地短路电流不应大于12mA，</w:t>
      </w:r>
      <w:r>
        <w:rPr>
          <w:rFonts w:hAnsi="宋体"/>
          <w:bCs/>
          <w:szCs w:val="21"/>
        </w:rPr>
        <w:t>试验后蓄电池不</w:t>
      </w:r>
      <w:r>
        <w:rPr>
          <w:rFonts w:hAnsi="宋体" w:hint="eastAsia"/>
          <w:bCs/>
          <w:szCs w:val="21"/>
        </w:rPr>
        <w:t>应有渗电解质腐蚀、烧灼迹象，</w:t>
      </w:r>
      <w:r>
        <w:rPr>
          <w:rFonts w:hAnsi="宋体"/>
          <w:bCs/>
          <w:szCs w:val="21"/>
        </w:rPr>
        <w:t>不</w:t>
      </w:r>
      <w:r>
        <w:rPr>
          <w:rFonts w:hAnsi="宋体" w:hint="eastAsia"/>
          <w:bCs/>
          <w:szCs w:val="21"/>
        </w:rPr>
        <w:t>应有槽、盖的碳化区域。</w:t>
      </w:r>
    </w:p>
    <w:p>
      <w:pPr>
        <w:pStyle w:val="Heading5"/>
        <w:spacing w:before="151" w:after="151"/>
        <w:rPr>
          <w:b/>
          <w:color w:val="000000" w:themeColor="text1"/>
          <w14:textFill>
            <w14:solidFill>
              <w14:schemeClr w14:val="tx1"/>
            </w14:solidFill>
          </w14:textFill>
        </w:rPr>
      </w:pPr>
      <w:bookmarkStart w:id="257" w:name="_Toc148518197"/>
      <w:bookmarkStart w:id="258" w:name="_Toc148518102"/>
      <w:bookmarkStart w:id="259" w:name="_Toc21640"/>
      <w:bookmarkStart w:id="260" w:name="_Toc148510578"/>
      <w:bookmarkStart w:id="261" w:name="_Toc148510474"/>
      <w:r>
        <w:rPr>
          <w:rFonts w:hint="eastAsia"/>
          <w:color w:val="000000" w:themeColor="text1"/>
          <w14:textFill>
            <w14:solidFill>
              <w14:schemeClr w14:val="tx1"/>
            </w14:solidFill>
          </w14:textFill>
        </w:rPr>
        <w:t>材料的阻燃能力</w:t>
      </w:r>
      <w:bookmarkEnd w:id="257"/>
      <w:bookmarkEnd w:id="258"/>
      <w:bookmarkEnd w:id="259"/>
      <w:bookmarkEnd w:id="260"/>
      <w:bookmarkEnd w:id="261"/>
    </w:p>
    <w:p>
      <w:pPr>
        <w:pStyle w:val="a2"/>
        <w:ind w:firstLine="420"/>
        <w:rPr>
          <w:rFonts w:hAnsi="宋体"/>
          <w:bCs/>
          <w:szCs w:val="21"/>
        </w:rPr>
      </w:pPr>
      <w:r>
        <w:rPr>
          <w:rFonts w:hAnsi="宋体"/>
          <w:bCs/>
          <w:szCs w:val="21"/>
        </w:rPr>
        <w:t>蓄电池按</w:t>
      </w:r>
      <w:r>
        <w:rPr>
          <w:rFonts w:hAnsi="宋体" w:hint="eastAsia"/>
          <w:bCs/>
          <w:szCs w:val="21"/>
        </w:rPr>
        <w:t>7.3.11</w:t>
      </w:r>
      <w:r>
        <w:rPr>
          <w:rFonts w:hAnsi="宋体"/>
          <w:bCs/>
          <w:szCs w:val="21"/>
        </w:rPr>
        <w:t>试验，</w:t>
      </w:r>
      <w:r>
        <w:rPr>
          <w:rFonts w:hAnsi="宋体" w:hint="eastAsia"/>
          <w:bCs/>
          <w:szCs w:val="21"/>
        </w:rPr>
        <w:t>蓄电池槽、盖应符合GB/T2408中的8.4.1HB（水平级）和9.4V-0（垂直级）的要求。</w:t>
      </w:r>
    </w:p>
    <w:p>
      <w:pPr>
        <w:pStyle w:val="Heading5"/>
        <w:spacing w:before="151" w:after="151"/>
        <w:rPr>
          <w:b/>
          <w:color w:val="000000" w:themeColor="text1"/>
          <w14:textFill>
            <w14:solidFill>
              <w14:schemeClr w14:val="tx1"/>
            </w14:solidFill>
          </w14:textFill>
        </w:rPr>
      </w:pPr>
      <w:bookmarkStart w:id="262" w:name="_Toc148510579"/>
      <w:bookmarkStart w:id="263" w:name="_Toc148518103"/>
      <w:bookmarkStart w:id="264" w:name="_Toc148518198"/>
      <w:bookmarkStart w:id="265" w:name="_Toc5321"/>
      <w:bookmarkStart w:id="266" w:name="_Toc148510475"/>
      <w:r>
        <w:rPr>
          <w:rFonts w:hint="eastAsia"/>
          <w:color w:val="000000" w:themeColor="text1"/>
          <w14:textFill>
            <w14:solidFill>
              <w14:schemeClr w14:val="tx1"/>
            </w14:solidFill>
          </w14:textFill>
        </w:rPr>
        <w:t>抗机械破损能力</w:t>
      </w:r>
      <w:bookmarkEnd w:id="262"/>
      <w:bookmarkEnd w:id="263"/>
      <w:bookmarkEnd w:id="264"/>
      <w:bookmarkEnd w:id="265"/>
      <w:bookmarkEnd w:id="266"/>
    </w:p>
    <w:p>
      <w:pPr>
        <w:pStyle w:val="a2"/>
        <w:ind w:firstLine="420"/>
        <w:rPr>
          <w:rFonts w:hAnsi="宋体"/>
          <w:bCs/>
          <w:szCs w:val="21"/>
        </w:rPr>
        <w:sectPr>
          <w:headerReference w:type="even" r:id="rId35"/>
          <w:headerReference w:type="default" r:id="rId36"/>
          <w:footerReference w:type="even" r:id="rId37"/>
          <w:footerReference w:type="default" r:id="rId38"/>
          <w:headerReference w:type="first" r:id="rId39"/>
          <w:footerReference w:type="first" r:id="rId40"/>
          <w:type w:val="nextPage"/>
          <w:pgSz w:w="11907" w:h="16839"/>
          <w:pgMar w:top="1134" w:right="1134" w:bottom="1134" w:left="1418" w:header="1134" w:footer="1134" w:gutter="0"/>
          <w:pgNumType w:start="5"/>
          <w:cols w:num="1" w:space="720"/>
          <w:titlePg w:val="0"/>
          <w:docGrid w:type="linesAndChars" w:linePitch="303" w:charSpace="0"/>
        </w:sectPr>
      </w:pPr>
      <w:r>
        <w:rPr>
          <w:rFonts w:hAnsi="宋体" w:hint="eastAsia"/>
          <w:bCs/>
          <w:szCs w:val="21"/>
        </w:rPr>
        <w:t>蓄电池按7.3.12</w:t>
      </w:r>
      <w:r>
        <w:rPr>
          <w:rFonts w:hAnsi="宋体"/>
          <w:bCs/>
          <w:szCs w:val="21"/>
        </w:rPr>
        <w:t>试验，</w:t>
      </w:r>
      <w:r>
        <w:rPr>
          <w:rFonts w:hAnsi="宋体" w:hint="eastAsia"/>
          <w:bCs/>
          <w:szCs w:val="21"/>
        </w:rPr>
        <w:t>槽体不应有破损及电解质泄漏。</w:t>
      </w:r>
    </w:p>
    <w:p>
      <w:pPr>
        <w:pStyle w:val="Heading5"/>
        <w:spacing w:before="151" w:after="151"/>
        <w:rPr>
          <w:b/>
          <w:color w:val="000000" w:themeColor="text1"/>
          <w14:textFill>
            <w14:solidFill>
              <w14:schemeClr w14:val="tx1"/>
            </w14:solidFill>
          </w14:textFill>
        </w:rPr>
      </w:pPr>
      <w:bookmarkStart w:id="267" w:name="_Toc148518199"/>
      <w:bookmarkStart w:id="268" w:name="_Toc148518104"/>
      <w:bookmarkStart w:id="269" w:name="_Toc148510580"/>
      <w:bookmarkStart w:id="270" w:name="_Toc148510476"/>
      <w:bookmarkStart w:id="271" w:name="_Toc9896"/>
      <w:r>
        <w:rPr>
          <w:rFonts w:hint="eastAsia"/>
          <w:color w:val="000000" w:themeColor="text1"/>
          <w14:textFill>
            <w14:solidFill>
              <w14:schemeClr w14:val="tx1"/>
            </w14:solidFill>
          </w14:textFill>
        </w:rPr>
        <w:t>耐寒耐热能力</w:t>
      </w:r>
      <w:bookmarkEnd w:id="267"/>
      <w:bookmarkEnd w:id="268"/>
      <w:bookmarkEnd w:id="269"/>
      <w:bookmarkEnd w:id="270"/>
      <w:bookmarkEnd w:id="271"/>
    </w:p>
    <w:p>
      <w:pPr>
        <w:pStyle w:val="a2"/>
        <w:ind w:firstLine="420"/>
        <w:rPr>
          <w:rFonts w:hAnsi="宋体"/>
          <w:bCs/>
          <w:szCs w:val="21"/>
        </w:rPr>
      </w:pPr>
      <w:r>
        <w:rPr>
          <w:rFonts w:hAnsi="宋体"/>
          <w:bCs/>
          <w:szCs w:val="21"/>
        </w:rPr>
        <w:t>蓄电池</w:t>
      </w:r>
      <w:r>
        <w:rPr>
          <w:rFonts w:hAnsi="宋体" w:hint="eastAsia"/>
          <w:bCs/>
          <w:szCs w:val="21"/>
        </w:rPr>
        <w:t>按7.3.13</w:t>
      </w:r>
      <w:r>
        <w:rPr>
          <w:rFonts w:hAnsi="宋体"/>
          <w:bCs/>
          <w:szCs w:val="21"/>
        </w:rPr>
        <w:t>试验，在环境温度为-30℃和+65℃的环境中</w:t>
      </w:r>
      <w:r>
        <w:rPr>
          <w:rFonts w:hAnsi="宋体" w:hint="eastAsia"/>
          <w:bCs/>
          <w:szCs w:val="21"/>
        </w:rPr>
        <w:t>分别</w:t>
      </w:r>
      <w:r>
        <w:rPr>
          <w:rFonts w:hAnsi="宋体"/>
          <w:bCs/>
          <w:szCs w:val="21"/>
        </w:rPr>
        <w:t>贮存6h，试验后槽、盖之间无分离</w:t>
      </w:r>
      <w:r>
        <w:rPr>
          <w:rFonts w:hAnsi="宋体" w:hint="eastAsia"/>
          <w:bCs/>
          <w:szCs w:val="21"/>
        </w:rPr>
        <w:t>迹象</w:t>
      </w:r>
      <w:r>
        <w:rPr>
          <w:rFonts w:hAnsi="宋体"/>
          <w:bCs/>
          <w:szCs w:val="21"/>
        </w:rPr>
        <w:t>，槽盖封合处</w:t>
      </w:r>
      <w:r>
        <w:rPr>
          <w:rFonts w:hAnsi="宋体" w:hint="eastAsia"/>
          <w:bCs/>
          <w:szCs w:val="21"/>
        </w:rPr>
        <w:t>和</w:t>
      </w:r>
      <w:r>
        <w:rPr>
          <w:rFonts w:hAnsi="宋体"/>
          <w:bCs/>
          <w:szCs w:val="21"/>
        </w:rPr>
        <w:t>端子与盖封合处无裂纹</w:t>
      </w:r>
      <w:r>
        <w:rPr>
          <w:rFonts w:hAnsi="宋体" w:hint="eastAsia"/>
          <w:bCs/>
          <w:szCs w:val="21"/>
        </w:rPr>
        <w:t>、渗漏</w:t>
      </w:r>
      <w:r>
        <w:rPr>
          <w:rFonts w:hAnsi="宋体"/>
          <w:bCs/>
          <w:szCs w:val="21"/>
        </w:rPr>
        <w:t>及溢流。</w:t>
      </w:r>
    </w:p>
    <w:p>
      <w:pPr>
        <w:pStyle w:val="Heading4"/>
        <w:spacing w:before="151" w:after="151"/>
        <w:rPr>
          <w:b/>
        </w:rPr>
      </w:pPr>
      <w:bookmarkStart w:id="272" w:name="_Toc148510581"/>
      <w:bookmarkStart w:id="273" w:name="_Toc28375"/>
      <w:bookmarkStart w:id="274" w:name="_Toc148518200"/>
      <w:bookmarkStart w:id="275" w:name="_Toc148510477"/>
      <w:bookmarkStart w:id="276" w:name="_Toc148518105"/>
      <w:r>
        <w:rPr>
          <w:rFonts w:hint="eastAsia"/>
        </w:rPr>
        <w:t>电池簇</w:t>
      </w:r>
      <w:bookmarkEnd w:id="272"/>
      <w:bookmarkEnd w:id="273"/>
      <w:bookmarkEnd w:id="274"/>
      <w:bookmarkEnd w:id="275"/>
      <w:bookmarkEnd w:id="276"/>
    </w:p>
    <w:p>
      <w:pPr>
        <w:pStyle w:val="Heading5"/>
        <w:spacing w:before="151" w:after="151"/>
        <w:rPr>
          <w:b/>
          <w:color w:val="000000" w:themeColor="text1"/>
          <w14:textFill>
            <w14:solidFill>
              <w14:schemeClr w14:val="tx1"/>
            </w14:solidFill>
          </w14:textFill>
        </w:rPr>
      </w:pPr>
      <w:bookmarkStart w:id="277" w:name="_Toc148518106"/>
      <w:bookmarkStart w:id="278" w:name="_Toc31705"/>
      <w:bookmarkStart w:id="279" w:name="_Toc148510582"/>
      <w:bookmarkStart w:id="280" w:name="_Toc148510478"/>
      <w:bookmarkStart w:id="281" w:name="_Toc148518201"/>
      <w:r>
        <w:rPr>
          <w:rFonts w:hint="eastAsia"/>
          <w:color w:val="000000" w:themeColor="text1"/>
          <w14:textFill>
            <w14:solidFill>
              <w14:schemeClr w14:val="tx1"/>
            </w14:solidFill>
          </w14:textFill>
        </w:rPr>
        <w:t>绝缘性能</w:t>
      </w:r>
      <w:bookmarkEnd w:id="277"/>
      <w:bookmarkEnd w:id="278"/>
      <w:bookmarkEnd w:id="279"/>
      <w:bookmarkEnd w:id="280"/>
      <w:bookmarkEnd w:id="281"/>
    </w:p>
    <w:p>
      <w:pPr>
        <w:pStyle w:val="a2"/>
        <w:ind w:firstLine="420"/>
        <w:rPr>
          <w:rFonts w:hAnsi="宋体"/>
          <w:bCs/>
          <w:szCs w:val="21"/>
        </w:rPr>
      </w:pPr>
      <w:r>
        <w:rPr>
          <w:rFonts w:hAnsi="宋体"/>
          <w:bCs/>
          <w:szCs w:val="21"/>
        </w:rPr>
        <w:t>电池簇各部分绝缘性能均不应小于</w:t>
      </w:r>
      <w:r>
        <w:rPr>
          <w:rFonts w:hAnsi="宋体" w:hint="eastAsia"/>
          <w:bCs/>
          <w:szCs w:val="21"/>
        </w:rPr>
        <w:t>2000</w:t>
      </w:r>
      <w:r>
        <w:rPr>
          <w:rFonts w:ascii="微软雅黑" w:eastAsia="微软雅黑" w:hAnsi="微软雅黑" w:cs="微软雅黑" w:hint="eastAsia"/>
          <w:bCs/>
          <w:szCs w:val="21"/>
        </w:rPr>
        <w:t>Ω</w:t>
      </w:r>
      <w:r>
        <w:rPr>
          <w:rFonts w:hAnsi="宋体" w:hint="eastAsia"/>
          <w:bCs/>
          <w:szCs w:val="21"/>
        </w:rPr>
        <w:t>/V。</w:t>
      </w:r>
    </w:p>
    <w:p>
      <w:pPr>
        <w:pStyle w:val="Heading5"/>
        <w:spacing w:before="151" w:after="151"/>
        <w:rPr>
          <w:b/>
          <w:color w:val="000000" w:themeColor="text1"/>
          <w14:textFill>
            <w14:solidFill>
              <w14:schemeClr w14:val="tx1"/>
            </w14:solidFill>
          </w14:textFill>
        </w:rPr>
      </w:pPr>
      <w:r>
        <w:rPr>
          <w:rFonts w:hint="eastAsia"/>
          <w:color w:val="000000" w:themeColor="text1"/>
          <w14:textFill>
            <w14:solidFill>
              <w14:schemeClr w14:val="tx1"/>
            </w14:solidFill>
          </w14:textFill>
        </w:rPr>
        <w:t>耐压性能</w:t>
      </w:r>
    </w:p>
    <w:p>
      <w:pPr>
        <w:pStyle w:val="a2"/>
        <w:ind w:firstLine="420"/>
        <w:rPr>
          <w:rFonts w:hAnsi="宋体"/>
          <w:bCs/>
          <w:szCs w:val="21"/>
        </w:rPr>
      </w:pPr>
      <w:r>
        <w:rPr>
          <w:rFonts w:hAnsi="宋体"/>
          <w:bCs/>
          <w:szCs w:val="21"/>
        </w:rPr>
        <w:t>电池簇不应发生绝缘击穿或闪络现象。</w:t>
      </w:r>
    </w:p>
    <w:p>
      <w:pPr>
        <w:pStyle w:val="Heading4"/>
        <w:spacing w:before="151" w:after="151"/>
        <w:rPr>
          <w:b/>
        </w:rPr>
      </w:pPr>
      <w:r>
        <w:rPr>
          <w:rFonts w:hint="eastAsia"/>
        </w:rPr>
        <w:t>电池系统</w:t>
      </w:r>
    </w:p>
    <w:p>
      <w:pPr>
        <w:pStyle w:val="Heading5"/>
        <w:spacing w:before="151" w:after="151"/>
        <w:rPr>
          <w:b/>
          <w:color w:val="000000" w:themeColor="text1"/>
          <w14:textFill>
            <w14:solidFill>
              <w14:schemeClr w14:val="tx1"/>
            </w14:solidFill>
          </w14:textFill>
        </w:rPr>
      </w:pPr>
      <w:r>
        <w:rPr>
          <w:rFonts w:hint="eastAsia"/>
          <w:color w:val="000000" w:themeColor="text1"/>
          <w14:textFill>
            <w14:solidFill>
              <w14:schemeClr w14:val="tx1"/>
            </w14:solidFill>
          </w14:textFill>
        </w:rPr>
        <w:t>绝缘性能</w:t>
      </w:r>
    </w:p>
    <w:p>
      <w:pPr>
        <w:pStyle w:val="a2"/>
        <w:ind w:firstLine="420"/>
        <w:rPr>
          <w:rFonts w:hAnsi="宋体"/>
          <w:bCs/>
          <w:szCs w:val="21"/>
        </w:rPr>
      </w:pPr>
      <w:r>
        <w:rPr>
          <w:rFonts w:hAnsi="宋体"/>
          <w:bCs/>
          <w:szCs w:val="21"/>
        </w:rPr>
        <w:t>电池簇</w:t>
      </w:r>
      <w:r>
        <w:rPr>
          <w:rFonts w:hAnsi="宋体" w:hint="eastAsia"/>
          <w:bCs/>
          <w:szCs w:val="21"/>
        </w:rPr>
        <w:t>电池系统绝缘性能的较小值不应小于500</w:t>
      </w:r>
      <w:r>
        <w:rPr>
          <w:rFonts w:ascii="微软雅黑" w:eastAsia="微软雅黑" w:hAnsi="微软雅黑" w:cs="微软雅黑" w:hint="eastAsia"/>
          <w:bCs/>
          <w:szCs w:val="21"/>
        </w:rPr>
        <w:t>Ω</w:t>
      </w:r>
      <w:r>
        <w:rPr>
          <w:rFonts w:hAnsi="宋体" w:hint="eastAsia"/>
          <w:bCs/>
          <w:szCs w:val="21"/>
          <w:lang w:bidi="en-US"/>
        </w:rPr>
        <w:t>/V,</w:t>
      </w:r>
      <w:r>
        <w:rPr>
          <w:rFonts w:hAnsi="宋体" w:hint="eastAsia"/>
          <w:bCs/>
          <w:szCs w:val="21"/>
        </w:rPr>
        <w:t>正、负极接口分别对电池系统金属外壳的绝缘性能，按设备标称电压计算不应小于500</w:t>
      </w:r>
      <w:r>
        <w:rPr>
          <w:rFonts w:ascii="微软雅黑" w:eastAsia="微软雅黑" w:hAnsi="微软雅黑" w:cs="微软雅黑" w:hint="eastAsia"/>
          <w:bCs/>
          <w:szCs w:val="21"/>
        </w:rPr>
        <w:t>Ω</w:t>
      </w:r>
      <w:r>
        <w:rPr>
          <w:rFonts w:hAnsi="宋体" w:hint="eastAsia"/>
          <w:bCs/>
          <w:szCs w:val="21"/>
          <w:lang w:bidi="en-US"/>
        </w:rPr>
        <w:t>/V</w:t>
      </w:r>
      <w:r>
        <w:rPr>
          <w:rFonts w:hAnsi="宋体" w:hint="eastAsia"/>
          <w:bCs/>
          <w:szCs w:val="21"/>
          <w:vertAlign w:val="subscript"/>
          <w:lang w:bidi="en-US"/>
        </w:rPr>
        <w:t>o</w:t>
      </w:r>
    </w:p>
    <w:p>
      <w:pPr>
        <w:pStyle w:val="Heading5"/>
        <w:spacing w:before="151" w:after="151"/>
        <w:rPr>
          <w:b/>
          <w:color w:val="000000" w:themeColor="text1"/>
          <w14:textFill>
            <w14:solidFill>
              <w14:schemeClr w14:val="tx1"/>
            </w14:solidFill>
          </w14:textFill>
        </w:rPr>
      </w:pPr>
      <w:r>
        <w:rPr>
          <w:rFonts w:hint="eastAsia"/>
          <w:color w:val="000000" w:themeColor="text1"/>
          <w14:textFill>
            <w14:solidFill>
              <w14:schemeClr w14:val="tx1"/>
            </w14:solidFill>
          </w14:textFill>
        </w:rPr>
        <w:t>耐压性能</w:t>
      </w:r>
    </w:p>
    <w:p>
      <w:pPr>
        <w:pStyle w:val="a2"/>
        <w:ind w:firstLine="420"/>
        <w:rPr>
          <w:rFonts w:hAnsi="宋体"/>
          <w:bCs/>
          <w:szCs w:val="21"/>
        </w:rPr>
      </w:pPr>
      <w:r>
        <w:rPr>
          <w:rFonts w:hAnsi="宋体" w:hint="eastAsia"/>
          <w:bCs/>
          <w:szCs w:val="21"/>
        </w:rPr>
        <w:t xml:space="preserve">电池系统漏电流不应大于1 </w:t>
      </w:r>
      <w:r>
        <w:rPr>
          <w:rFonts w:hAnsi="宋体" w:hint="eastAsia"/>
          <w:bCs/>
          <w:szCs w:val="21"/>
          <w:lang w:bidi="en-US"/>
        </w:rPr>
        <w:t>mA,</w:t>
      </w:r>
      <w:r>
        <w:rPr>
          <w:rFonts w:hAnsi="宋体" w:hint="eastAsia"/>
          <w:bCs/>
          <w:szCs w:val="21"/>
        </w:rPr>
        <w:t>不应发生绝缘击穿或闪络现象。</w:t>
      </w:r>
    </w:p>
    <w:p>
      <w:pPr>
        <w:pStyle w:val="Heading5"/>
        <w:spacing w:before="151" w:after="151"/>
        <w:rPr>
          <w:color w:val="000000" w:themeColor="text1"/>
          <w14:textFill>
            <w14:solidFill>
              <w14:schemeClr w14:val="tx1"/>
            </w14:solidFill>
          </w14:textFill>
        </w:rPr>
      </w:pPr>
      <w:r>
        <w:rPr>
          <w:rFonts w:hint="eastAsia"/>
          <w:color w:val="000000" w:themeColor="text1"/>
          <w14:textFill>
            <w14:solidFill>
              <w14:schemeClr w14:val="tx1"/>
            </w14:solidFill>
          </w14:textFill>
        </w:rPr>
        <w:t>电池管理系统监控与告警保护功能</w:t>
      </w:r>
    </w:p>
    <w:p>
      <w:pPr>
        <w:pStyle w:val="Heading6"/>
        <w:spacing w:before="151" w:after="151"/>
        <w:rPr>
          <w:color w:val="000000" w:themeColor="text1"/>
          <w14:textFill>
            <w14:solidFill>
              <w14:schemeClr w14:val="tx1"/>
            </w14:solidFill>
          </w14:textFill>
        </w:rPr>
      </w:pPr>
      <w:r>
        <w:rPr>
          <w:rFonts w:hint="eastAsia"/>
          <w:color w:val="000000" w:themeColor="text1"/>
          <w14:textFill>
            <w14:solidFill>
              <w14:schemeClr w14:val="tx1"/>
            </w14:solidFill>
          </w14:textFill>
        </w:rPr>
        <w:t>监控功能</w:t>
      </w:r>
    </w:p>
    <w:p>
      <w:pPr>
        <w:pStyle w:val="a2"/>
        <w:ind w:firstLine="420"/>
        <w:rPr>
          <w:rFonts w:hAnsi="宋体"/>
          <w:bCs/>
          <w:szCs w:val="21"/>
        </w:rPr>
      </w:pPr>
      <w:r>
        <w:rPr>
          <w:rFonts w:hAnsi="宋体" w:hint="eastAsia"/>
          <w:bCs/>
          <w:szCs w:val="21"/>
        </w:rPr>
        <w:t>电池管理系统监控系统应显示但不限于下列监测信息：</w:t>
      </w:r>
      <w:bookmarkStart w:id="282" w:name="bookmark95"/>
      <w:bookmarkEnd w:id="282"/>
    </w:p>
    <w:p>
      <w:pPr>
        <w:pStyle w:val="a2"/>
        <w:numPr>
          <w:ilvl w:val="0"/>
          <w:numId w:val="12"/>
        </w:numPr>
        <w:ind w:firstLineChars="0"/>
        <w:rPr>
          <w:rFonts w:hAnsi="宋体"/>
          <w:bCs/>
          <w:szCs w:val="21"/>
        </w:rPr>
      </w:pPr>
      <w:r>
        <w:rPr>
          <w:rFonts w:hAnsi="宋体" w:hint="eastAsia"/>
          <w:bCs/>
          <w:szCs w:val="21"/>
        </w:rPr>
        <w:t>电池系统：电压、电流、通讯状态、充电/放电状态、荷电状态 (SOC)、健康状态(SOH)、绝缘状态、充/放电终止电压设定值、告警电压/电流设定值、保护电压/电流设定值、电池单体最大电压、电池单体最小电压电池单，电池单体最大温度、电池单体最低温度、异常告警状态等；</w:t>
      </w:r>
    </w:p>
    <w:p>
      <w:pPr>
        <w:pStyle w:val="a2"/>
        <w:numPr>
          <w:ilvl w:val="0"/>
          <w:numId w:val="12"/>
        </w:numPr>
        <w:ind w:firstLineChars="0"/>
        <w:rPr>
          <w:rFonts w:hAnsi="宋体"/>
          <w:bCs/>
          <w:szCs w:val="21"/>
        </w:rPr>
      </w:pPr>
      <w:bookmarkStart w:id="283" w:name="bookmark96"/>
      <w:bookmarkEnd w:id="283"/>
      <w:r>
        <w:rPr>
          <w:rFonts w:hAnsi="宋体" w:hint="eastAsia"/>
          <w:bCs/>
          <w:szCs w:val="21"/>
        </w:rPr>
        <w:t>电池簇：电压、电流、通讯状态、充电/放电状态、荷电状态 (SOC)、健康状态(SOH)、绝缘状态、充/放电终止电压设定值、告警电压/电流设定值、保护电压/电流设定值、电池单体最大电压、电池单体最小电压电池单，电池单体最大温度、电池单体最低温度、异常告警状态等；</w:t>
      </w:r>
    </w:p>
    <w:p>
      <w:pPr>
        <w:pStyle w:val="a2"/>
        <w:numPr>
          <w:ilvl w:val="0"/>
          <w:numId w:val="12"/>
        </w:numPr>
        <w:ind w:firstLineChars="0"/>
        <w:rPr>
          <w:rFonts w:hAnsi="宋体"/>
          <w:bCs/>
          <w:szCs w:val="21"/>
        </w:rPr>
      </w:pPr>
      <w:bookmarkStart w:id="284" w:name="bookmark97"/>
      <w:bookmarkEnd w:id="284"/>
      <w:r>
        <w:rPr>
          <w:rFonts w:hAnsi="宋体" w:hint="eastAsia"/>
          <w:bCs/>
          <w:szCs w:val="21"/>
        </w:rPr>
        <w:t>电池单体：电压、温度、充/放电终止电压设定值、告警电压/电流设定值、保护电压/电流设定值、告警温度设定值、保护温度设定值等。</w:t>
      </w:r>
    </w:p>
    <w:p>
      <w:pPr>
        <w:pStyle w:val="Heading6"/>
        <w:spacing w:before="151" w:after="151"/>
        <w:rPr>
          <w:b/>
          <w:color w:val="000000" w:themeColor="text1"/>
          <w14:textFill>
            <w14:solidFill>
              <w14:schemeClr w14:val="tx1"/>
            </w14:solidFill>
          </w14:textFill>
        </w:rPr>
      </w:pPr>
      <w:r>
        <w:rPr>
          <w:rFonts w:hint="eastAsia"/>
          <w:color w:val="000000" w:themeColor="text1"/>
          <w14:textFill>
            <w14:solidFill>
              <w14:schemeClr w14:val="tx1"/>
            </w14:solidFill>
          </w14:textFill>
        </w:rPr>
        <w:t>过压充电告警保护功能</w:t>
      </w:r>
    </w:p>
    <w:p>
      <w:pPr>
        <w:pStyle w:val="a2"/>
        <w:ind w:firstLine="420"/>
        <w:rPr>
          <w:rFonts w:hAnsi="宋体"/>
          <w:bCs/>
          <w:szCs w:val="21"/>
        </w:rPr>
      </w:pPr>
      <w:r>
        <w:rPr>
          <w:rFonts w:hAnsi="宋体"/>
          <w:bCs/>
          <w:szCs w:val="21"/>
        </w:rPr>
        <w:t>电池系统中任一电池单体的电压分别达到充电告警电压限值和充电保护电压限值时，电池管理系统应分别发出过压充电告警信息</w:t>
      </w:r>
      <w:r>
        <w:rPr>
          <w:rFonts w:hAnsi="宋体" w:hint="eastAsia"/>
          <w:bCs/>
          <w:szCs w:val="21"/>
        </w:rPr>
        <w:t>/信号</w:t>
      </w:r>
      <w:r>
        <w:rPr>
          <w:rFonts w:hAnsi="宋体"/>
          <w:bCs/>
          <w:szCs w:val="21"/>
        </w:rPr>
        <w:t>和过压充电保护信息</w:t>
      </w:r>
      <w:r>
        <w:rPr>
          <w:rFonts w:hAnsi="宋体" w:hint="eastAsia"/>
          <w:bCs/>
          <w:szCs w:val="21"/>
        </w:rPr>
        <w:t>/信号</w:t>
      </w:r>
      <w:r>
        <w:rPr>
          <w:rFonts w:hAnsi="宋体"/>
          <w:bCs/>
          <w:szCs w:val="21"/>
        </w:rPr>
        <w:t>。</w:t>
      </w:r>
    </w:p>
    <w:p>
      <w:pPr>
        <w:pStyle w:val="Heading6"/>
        <w:spacing w:before="151" w:after="151"/>
        <w:rPr>
          <w:b/>
          <w:color w:val="000000" w:themeColor="text1"/>
          <w14:textFill>
            <w14:solidFill>
              <w14:schemeClr w14:val="tx1"/>
            </w14:solidFill>
          </w14:textFill>
        </w:rPr>
      </w:pPr>
      <w:r>
        <w:rPr>
          <w:rFonts w:hint="eastAsia"/>
          <w:color w:val="000000" w:themeColor="text1"/>
          <w14:textFill>
            <w14:solidFill>
              <w14:schemeClr w14:val="tx1"/>
            </w14:solidFill>
          </w14:textFill>
        </w:rPr>
        <w:t>过流充电告警保护功能</w:t>
      </w:r>
    </w:p>
    <w:p>
      <w:pPr>
        <w:pStyle w:val="a2"/>
        <w:ind w:firstLine="420"/>
        <w:rPr>
          <w:rFonts w:hAnsi="宋体"/>
          <w:bCs/>
          <w:szCs w:val="21"/>
        </w:rPr>
        <w:sectPr>
          <w:headerReference w:type="even" r:id="rId41"/>
          <w:headerReference w:type="default" r:id="rId42"/>
          <w:footerReference w:type="even" r:id="rId43"/>
          <w:footerReference w:type="default" r:id="rId44"/>
          <w:headerReference w:type="first" r:id="rId45"/>
          <w:footerReference w:type="first" r:id="rId46"/>
          <w:type w:val="nextPage"/>
          <w:pgSz w:w="11907" w:h="16839"/>
          <w:pgMar w:top="1134" w:right="1134" w:bottom="1134" w:left="1418" w:header="1134" w:footer="1134" w:gutter="0"/>
          <w:pgNumType w:start="6"/>
          <w:cols w:num="1" w:space="720"/>
          <w:titlePg w:val="0"/>
          <w:docGrid w:type="linesAndChars" w:linePitch="303" w:charSpace="0"/>
        </w:sectPr>
      </w:pPr>
      <w:r>
        <w:rPr>
          <w:rFonts w:hAnsi="宋体"/>
          <w:bCs/>
          <w:szCs w:val="21"/>
        </w:rPr>
        <w:t>电池系统中任一电池簇的电流分别达到充电告警电流限值和充电保护电流限值时，电池管理系统应分别发出过流充电告警信息和过流充电保护信息</w:t>
      </w:r>
      <w:r>
        <w:rPr>
          <w:rFonts w:hAnsi="宋体" w:hint="eastAsia"/>
          <w:bCs/>
          <w:szCs w:val="21"/>
        </w:rPr>
        <w:t>/信号</w:t>
      </w:r>
      <w:r>
        <w:rPr>
          <w:rFonts w:hAnsi="宋体"/>
          <w:bCs/>
          <w:szCs w:val="21"/>
        </w:rPr>
        <w:t>。</w:t>
      </w:r>
    </w:p>
    <w:p>
      <w:pPr>
        <w:pStyle w:val="Heading6"/>
        <w:spacing w:before="151" w:after="151"/>
        <w:rPr>
          <w:b/>
          <w:color w:val="000000" w:themeColor="text1"/>
          <w14:textFill>
            <w14:solidFill>
              <w14:schemeClr w14:val="tx1"/>
            </w14:solidFill>
          </w14:textFill>
        </w:rPr>
      </w:pPr>
      <w:r>
        <w:rPr>
          <w:rFonts w:hint="eastAsia"/>
          <w:color w:val="000000" w:themeColor="text1"/>
          <w14:textFill>
            <w14:solidFill>
              <w14:schemeClr w14:val="tx1"/>
            </w14:solidFill>
          </w14:textFill>
        </w:rPr>
        <w:t>欠压放电告警保护功能</w:t>
      </w:r>
    </w:p>
    <w:p>
      <w:pPr>
        <w:pStyle w:val="a2"/>
        <w:ind w:firstLine="420"/>
        <w:rPr>
          <w:rFonts w:hAnsi="宋体"/>
          <w:bCs/>
          <w:szCs w:val="21"/>
        </w:rPr>
      </w:pPr>
      <w:r>
        <w:rPr>
          <w:rFonts w:hAnsi="宋体"/>
          <w:bCs/>
          <w:szCs w:val="21"/>
        </w:rPr>
        <w:t>电池系统中任一电池单体的电压分别达到放电告警电压限值和放电保护电压限值时，电池管理系统应分别发出欠压放电告警信息</w:t>
      </w:r>
      <w:r>
        <w:rPr>
          <w:rFonts w:hAnsi="宋体" w:hint="eastAsia"/>
          <w:bCs/>
          <w:szCs w:val="21"/>
        </w:rPr>
        <w:t>/信号</w:t>
      </w:r>
      <w:r>
        <w:rPr>
          <w:rFonts w:hAnsi="宋体"/>
          <w:bCs/>
          <w:szCs w:val="21"/>
        </w:rPr>
        <w:t>和欠压放电保护信息</w:t>
      </w:r>
      <w:r>
        <w:rPr>
          <w:rFonts w:hAnsi="宋体" w:hint="eastAsia"/>
          <w:bCs/>
          <w:szCs w:val="21"/>
        </w:rPr>
        <w:t>/信号</w:t>
      </w:r>
      <w:r>
        <w:rPr>
          <w:rFonts w:hAnsi="宋体"/>
          <w:bCs/>
          <w:szCs w:val="21"/>
        </w:rPr>
        <w:t>。</w:t>
      </w:r>
    </w:p>
    <w:p>
      <w:pPr>
        <w:pStyle w:val="Heading6"/>
        <w:spacing w:before="151" w:after="151"/>
        <w:rPr>
          <w:b/>
          <w:color w:val="000000" w:themeColor="text1"/>
          <w14:textFill>
            <w14:solidFill>
              <w14:schemeClr w14:val="tx1"/>
            </w14:solidFill>
          </w14:textFill>
        </w:rPr>
      </w:pPr>
      <w:r>
        <w:rPr>
          <w:rFonts w:hint="eastAsia"/>
          <w:color w:val="000000" w:themeColor="text1"/>
          <w14:textFill>
            <w14:solidFill>
              <w14:schemeClr w14:val="tx1"/>
            </w14:solidFill>
          </w14:textFill>
        </w:rPr>
        <w:t>过流放电告警保护功能</w:t>
      </w:r>
    </w:p>
    <w:p>
      <w:pPr>
        <w:pStyle w:val="a2"/>
        <w:ind w:firstLine="420"/>
        <w:rPr>
          <w:rFonts w:hAnsi="宋体"/>
          <w:bCs/>
          <w:szCs w:val="21"/>
        </w:rPr>
      </w:pPr>
      <w:r>
        <w:rPr>
          <w:rFonts w:hAnsi="宋体"/>
          <w:bCs/>
          <w:szCs w:val="21"/>
        </w:rPr>
        <w:t>电池系统中任一电池簇的电流分别达到放电告警电流限值和放电保护电流限值时，电池管理系统应分别发出过流放电告警信息</w:t>
      </w:r>
      <w:r>
        <w:rPr>
          <w:rFonts w:hAnsi="宋体" w:hint="eastAsia"/>
          <w:bCs/>
          <w:szCs w:val="21"/>
        </w:rPr>
        <w:t>/信号</w:t>
      </w:r>
      <w:r>
        <w:rPr>
          <w:rFonts w:hAnsi="宋体"/>
          <w:bCs/>
          <w:szCs w:val="21"/>
        </w:rPr>
        <w:t>和过流放电保护信息</w:t>
      </w:r>
      <w:r>
        <w:rPr>
          <w:rFonts w:hAnsi="宋体" w:hint="eastAsia"/>
          <w:bCs/>
          <w:szCs w:val="21"/>
        </w:rPr>
        <w:t>/信号</w:t>
      </w:r>
      <w:r>
        <w:rPr>
          <w:rFonts w:hAnsi="宋体"/>
          <w:bCs/>
          <w:szCs w:val="21"/>
        </w:rPr>
        <w:t>。</w:t>
      </w:r>
    </w:p>
    <w:p>
      <w:pPr>
        <w:pStyle w:val="Heading6"/>
        <w:spacing w:before="151" w:after="151"/>
        <w:rPr>
          <w:b/>
          <w:color w:val="000000" w:themeColor="text1"/>
          <w14:textFill>
            <w14:solidFill>
              <w14:schemeClr w14:val="tx1"/>
            </w14:solidFill>
          </w14:textFill>
        </w:rPr>
      </w:pPr>
      <w:r>
        <w:rPr>
          <w:rFonts w:hint="eastAsia"/>
          <w:color w:val="000000" w:themeColor="text1"/>
          <w14:textFill>
            <w14:solidFill>
              <w14:schemeClr w14:val="tx1"/>
            </w14:solidFill>
          </w14:textFill>
        </w:rPr>
        <w:t>过温告警保护功能</w:t>
      </w:r>
    </w:p>
    <w:p>
      <w:pPr>
        <w:pStyle w:val="a2"/>
        <w:ind w:firstLine="420"/>
        <w:rPr>
          <w:rFonts w:hAnsi="宋体"/>
          <w:bCs/>
          <w:szCs w:val="21"/>
        </w:rPr>
      </w:pPr>
      <w:r>
        <w:rPr>
          <w:rFonts w:hAnsi="宋体"/>
          <w:bCs/>
          <w:szCs w:val="21"/>
        </w:rPr>
        <w:t>电池系统中任一电池单体的温度分别达到告警温度限值和保护温度限值时，电池管理系统应分别发出过温告警信息</w:t>
      </w:r>
      <w:r>
        <w:rPr>
          <w:rFonts w:hAnsi="宋体" w:hint="eastAsia"/>
          <w:bCs/>
          <w:szCs w:val="21"/>
        </w:rPr>
        <w:t>/信号</w:t>
      </w:r>
      <w:r>
        <w:rPr>
          <w:rFonts w:hAnsi="宋体"/>
          <w:bCs/>
          <w:szCs w:val="21"/>
        </w:rPr>
        <w:t>和过温保护信息</w:t>
      </w:r>
      <w:r>
        <w:rPr>
          <w:rFonts w:hAnsi="宋体" w:hint="eastAsia"/>
          <w:bCs/>
          <w:szCs w:val="21"/>
        </w:rPr>
        <w:t>/信号</w:t>
      </w:r>
      <w:r>
        <w:rPr>
          <w:rFonts w:hAnsi="宋体"/>
          <w:bCs/>
          <w:szCs w:val="21"/>
        </w:rPr>
        <w:t>。</w:t>
      </w:r>
    </w:p>
    <w:p>
      <w:pPr>
        <w:pStyle w:val="Heading6"/>
        <w:spacing w:before="151" w:after="151"/>
        <w:rPr>
          <w:b/>
          <w:color w:val="000000" w:themeColor="text1"/>
          <w14:textFill>
            <w14:solidFill>
              <w14:schemeClr w14:val="tx1"/>
            </w14:solidFill>
          </w14:textFill>
        </w:rPr>
      </w:pPr>
      <w:r>
        <w:rPr>
          <w:rFonts w:hint="eastAsia"/>
          <w:color w:val="000000" w:themeColor="text1"/>
          <w14:textFill>
            <w14:solidFill>
              <w14:schemeClr w14:val="tx1"/>
            </w14:solidFill>
          </w14:textFill>
        </w:rPr>
        <w:t>通信功能</w:t>
      </w:r>
    </w:p>
    <w:p>
      <w:pPr>
        <w:pStyle w:val="a2"/>
        <w:ind w:firstLine="420"/>
        <w:rPr>
          <w:rFonts w:hAnsi="宋体"/>
          <w:bCs/>
          <w:szCs w:val="21"/>
        </w:rPr>
      </w:pPr>
      <w:r>
        <w:rPr>
          <w:rFonts w:hAnsi="宋体"/>
          <w:bCs/>
          <w:szCs w:val="21"/>
        </w:rPr>
        <w:t>电池系统应具有通信接口，通讯协议应采用基于</w:t>
      </w:r>
      <w:r>
        <w:rPr>
          <w:rFonts w:hAnsi="宋体" w:cs="宋体"/>
          <w:bCs/>
          <w:szCs w:val="21"/>
          <w:lang w:bidi="en-US"/>
        </w:rPr>
        <w:t>CAN</w:t>
      </w:r>
      <w:r>
        <w:rPr>
          <w:rFonts w:hAnsi="宋体"/>
          <w:bCs/>
          <w:szCs w:val="21"/>
          <w:lang w:bidi="en-US"/>
        </w:rPr>
        <w:t>、Modbus、IEC</w:t>
      </w:r>
      <w:r>
        <w:rPr>
          <w:rFonts w:hAnsi="宋体" w:cs="宋体"/>
          <w:bCs/>
          <w:szCs w:val="21"/>
          <w:lang w:bidi="en-US"/>
        </w:rPr>
        <w:t>101</w:t>
      </w:r>
      <w:r>
        <w:rPr>
          <w:rFonts w:hAnsi="宋体" w:cs="宋体" w:hint="eastAsia"/>
          <w:bCs/>
          <w:szCs w:val="21"/>
          <w:lang w:bidi="en-US"/>
        </w:rPr>
        <w:t>、</w:t>
      </w:r>
      <w:r>
        <w:rPr>
          <w:rFonts w:hAnsi="宋体" w:cs="宋体"/>
          <w:bCs/>
          <w:szCs w:val="21"/>
          <w:lang w:bidi="en-US"/>
        </w:rPr>
        <w:t>IEC104</w:t>
      </w:r>
      <w:r>
        <w:rPr>
          <w:rFonts w:hAnsi="宋体" w:cs="宋体" w:hint="eastAsia"/>
          <w:bCs/>
          <w:szCs w:val="21"/>
          <w:lang w:bidi="en-US"/>
        </w:rPr>
        <w:t>、</w:t>
      </w:r>
      <w:r>
        <w:rPr>
          <w:rFonts w:hAnsi="宋体" w:cs="宋体"/>
          <w:bCs/>
          <w:szCs w:val="21"/>
          <w:lang w:bidi="en-US"/>
        </w:rPr>
        <w:t>IEC61850</w:t>
      </w:r>
      <w:r>
        <w:rPr>
          <w:rFonts w:hAnsi="宋体"/>
          <w:bCs/>
          <w:szCs w:val="21"/>
        </w:rPr>
        <w:t>等通信协议。</w:t>
      </w:r>
    </w:p>
    <w:p>
      <w:pPr>
        <w:pStyle w:val="Heading3"/>
        <w:rPr>
          <w:b/>
        </w:rPr>
      </w:pPr>
      <w:bookmarkStart w:id="285" w:name="_Toc155426393"/>
      <w:bookmarkStart w:id="286" w:name="_Toc31475"/>
      <w:r>
        <w:rPr>
          <w:rFonts w:hint="eastAsia"/>
        </w:rPr>
        <w:t>使用性要求</w:t>
      </w:r>
      <w:bookmarkEnd w:id="285"/>
      <w:bookmarkEnd w:id="286"/>
    </w:p>
    <w:p>
      <w:pPr>
        <w:pStyle w:val="Heading4"/>
        <w:spacing w:before="151" w:after="151"/>
        <w:rPr>
          <w:b/>
        </w:rPr>
      </w:pPr>
      <w:r>
        <w:rPr>
          <w:rFonts w:hint="eastAsia"/>
        </w:rPr>
        <w:t>充电管理</w:t>
      </w:r>
    </w:p>
    <w:p>
      <w:pPr>
        <w:pStyle w:val="a2"/>
        <w:ind w:firstLine="420"/>
        <w:rPr>
          <w:rFonts w:hAnsi="宋体"/>
          <w:bCs/>
          <w:szCs w:val="21"/>
        </w:rPr>
      </w:pPr>
      <w:r>
        <w:rPr>
          <w:rFonts w:hAnsi="宋体" w:hint="eastAsia"/>
          <w:bCs/>
          <w:szCs w:val="21"/>
        </w:rPr>
        <w:t>应在充电管理范围内优先采用制造商推荐的充电参数。</w:t>
      </w:r>
      <w:r>
        <w:rPr>
          <w:rFonts w:hAnsi="宋体"/>
          <w:bCs/>
          <w:szCs w:val="21"/>
        </w:rPr>
        <w:t>如表</w:t>
      </w:r>
      <w:r>
        <w:rPr>
          <w:rFonts w:hAnsi="宋体" w:hint="eastAsia"/>
          <w:bCs/>
          <w:szCs w:val="21"/>
        </w:rPr>
        <w:t>4</w:t>
      </w:r>
      <w:r>
        <w:rPr>
          <w:rFonts w:hAnsi="宋体"/>
          <w:bCs/>
          <w:szCs w:val="21"/>
        </w:rPr>
        <w:t>所示</w:t>
      </w:r>
      <w:r>
        <w:rPr>
          <w:rFonts w:hAnsi="宋体" w:hint="eastAsia"/>
          <w:bCs/>
          <w:szCs w:val="21"/>
        </w:rPr>
        <w:t>。</w:t>
      </w:r>
    </w:p>
    <w:p>
      <w:pPr>
        <w:pStyle w:val="a54"/>
        <w:tabs>
          <w:tab w:val="left" w:pos="360"/>
        </w:tabs>
        <w:spacing w:before="152" w:beforeLines="50" w:after="152" w:afterLines="50"/>
        <w:rPr>
          <w:bCs/>
          <w:color w:val="000000" w:themeColor="text1"/>
          <w:szCs w:val="21"/>
          <w14:textFill>
            <w14:solidFill>
              <w14:schemeClr w14:val="tx1"/>
            </w14:solidFill>
          </w14:textFill>
        </w:rPr>
      </w:pPr>
      <w:bookmarkStart w:id="287" w:name="_Toc491378279"/>
      <w:r>
        <w:rPr>
          <w:rFonts w:hint="eastAsia"/>
          <w:bCs/>
          <w:color w:val="000000" w:themeColor="text1"/>
          <w:szCs w:val="21"/>
          <w14:textFill>
            <w14:solidFill>
              <w14:schemeClr w14:val="tx1"/>
            </w14:solidFill>
          </w14:textFill>
        </w:rPr>
        <w:t>表 4  蓄电池的充电管理</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19"/>
        <w:gridCol w:w="1629"/>
        <w:gridCol w:w="2150"/>
        <w:gridCol w:w="1966"/>
        <w:gridCol w:w="1981"/>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866" w:type="pct"/>
            <w:vAlign w:val="center"/>
          </w:tcPr>
          <w:p>
            <w:pPr>
              <w:pStyle w:val="a2"/>
              <w:ind w:firstLine="0" w:firstLineChars="0"/>
              <w:jc w:val="center"/>
              <w:rPr>
                <w:rFonts w:hAnsi="宋体" w:cs="宋体"/>
                <w:bCs/>
                <w:szCs w:val="21"/>
              </w:rPr>
            </w:pPr>
            <w:r>
              <w:rPr>
                <w:rFonts w:hAnsi="宋体" w:cs="宋体" w:hint="eastAsia"/>
                <w:bCs/>
                <w:szCs w:val="21"/>
              </w:rPr>
              <w:t>类型</w:t>
            </w:r>
          </w:p>
        </w:tc>
        <w:tc>
          <w:tcPr>
            <w:tcW w:w="871" w:type="pct"/>
            <w:vAlign w:val="center"/>
          </w:tcPr>
          <w:p>
            <w:pPr>
              <w:pStyle w:val="a2"/>
              <w:ind w:firstLine="0" w:firstLineChars="0"/>
              <w:jc w:val="center"/>
              <w:rPr>
                <w:rFonts w:hAnsi="宋体" w:cs="宋体"/>
                <w:bCs/>
                <w:szCs w:val="21"/>
              </w:rPr>
            </w:pPr>
            <w:r>
              <w:rPr>
                <w:rFonts w:hAnsi="宋体" w:cs="宋体" w:hint="eastAsia"/>
                <w:bCs/>
                <w:szCs w:val="21"/>
              </w:rPr>
              <w:t>充电电流</w:t>
            </w:r>
          </w:p>
          <w:p>
            <w:pPr>
              <w:pStyle w:val="a2"/>
              <w:ind w:firstLine="0" w:firstLineChars="0"/>
              <w:jc w:val="center"/>
              <w:rPr>
                <w:rFonts w:hAnsi="宋体" w:cs="宋体"/>
                <w:bCs/>
                <w:szCs w:val="21"/>
              </w:rPr>
            </w:pPr>
            <w:r>
              <w:rPr>
                <w:rFonts w:hAnsi="宋体" w:cs="宋体" w:hint="eastAsia"/>
                <w:bCs/>
                <w:szCs w:val="21"/>
              </w:rPr>
              <w:t>A</w:t>
            </w:r>
          </w:p>
        </w:tc>
        <w:tc>
          <w:tcPr>
            <w:tcW w:w="1150" w:type="pct"/>
            <w:vAlign w:val="center"/>
          </w:tcPr>
          <w:p>
            <w:pPr>
              <w:pStyle w:val="a2"/>
              <w:ind w:firstLine="0" w:firstLineChars="0"/>
              <w:jc w:val="center"/>
              <w:rPr>
                <w:rFonts w:hAnsi="宋体" w:cs="宋体"/>
                <w:bCs/>
                <w:szCs w:val="21"/>
              </w:rPr>
            </w:pPr>
            <w:r>
              <w:rPr>
                <w:rFonts w:hAnsi="宋体" w:cs="宋体" w:hint="eastAsia"/>
                <w:bCs/>
                <w:szCs w:val="21"/>
              </w:rPr>
              <w:t>25℃时充电电压</w:t>
            </w:r>
          </w:p>
          <w:p>
            <w:pPr>
              <w:pStyle w:val="a2"/>
              <w:ind w:firstLine="0" w:firstLineChars="0"/>
              <w:jc w:val="center"/>
              <w:rPr>
                <w:rFonts w:hAnsi="宋体" w:cs="宋体"/>
                <w:bCs/>
                <w:szCs w:val="21"/>
              </w:rPr>
            </w:pPr>
            <w:r>
              <w:rPr>
                <w:rFonts w:hAnsi="宋体" w:cs="宋体" w:hint="eastAsia"/>
                <w:bCs/>
                <w:szCs w:val="21"/>
              </w:rPr>
              <w:t>V·单体</w:t>
            </w:r>
          </w:p>
        </w:tc>
        <w:tc>
          <w:tcPr>
            <w:tcW w:w="1052" w:type="pct"/>
            <w:vAlign w:val="center"/>
          </w:tcPr>
          <w:p>
            <w:pPr>
              <w:pStyle w:val="a2"/>
              <w:ind w:firstLine="0" w:firstLineChars="0"/>
              <w:jc w:val="center"/>
              <w:rPr>
                <w:rFonts w:hAnsi="宋体" w:cs="宋体"/>
                <w:bCs/>
                <w:szCs w:val="21"/>
              </w:rPr>
            </w:pPr>
            <w:r>
              <w:rPr>
                <w:rFonts w:hAnsi="宋体" w:cs="宋体" w:hint="eastAsia"/>
                <w:bCs/>
                <w:szCs w:val="21"/>
              </w:rPr>
              <w:t>25℃时均衡充电电压</w:t>
            </w:r>
          </w:p>
          <w:p>
            <w:pPr>
              <w:pStyle w:val="a2"/>
              <w:ind w:firstLine="0" w:firstLineChars="0"/>
              <w:jc w:val="center"/>
              <w:rPr>
                <w:rFonts w:hAnsi="宋体" w:cs="宋体"/>
                <w:bCs/>
                <w:szCs w:val="21"/>
              </w:rPr>
            </w:pPr>
            <w:r>
              <w:rPr>
                <w:rFonts w:hAnsi="宋体" w:cs="宋体" w:hint="eastAsia"/>
                <w:bCs/>
                <w:szCs w:val="21"/>
              </w:rPr>
              <w:t>V·单体</w:t>
            </w:r>
          </w:p>
        </w:tc>
        <w:tc>
          <w:tcPr>
            <w:tcW w:w="1060" w:type="pct"/>
            <w:vAlign w:val="center"/>
          </w:tcPr>
          <w:p>
            <w:pPr>
              <w:pStyle w:val="a2"/>
              <w:ind w:firstLine="0" w:firstLineChars="0"/>
              <w:jc w:val="center"/>
              <w:rPr>
                <w:rFonts w:hAnsi="宋体" w:cs="宋体"/>
                <w:bCs/>
                <w:szCs w:val="21"/>
              </w:rPr>
            </w:pPr>
            <w:r>
              <w:rPr>
                <w:rFonts w:hAnsi="宋体" w:cs="宋体" w:hint="eastAsia"/>
                <w:bCs/>
                <w:szCs w:val="21"/>
              </w:rPr>
              <w:t>充电温度补偿系数</w:t>
            </w:r>
          </w:p>
          <w:p>
            <w:pPr>
              <w:pStyle w:val="a2"/>
              <w:ind w:firstLine="0" w:firstLineChars="0"/>
              <w:jc w:val="center"/>
              <w:rPr>
                <w:rFonts w:hAnsi="宋体" w:cs="宋体"/>
                <w:bCs/>
                <w:szCs w:val="21"/>
              </w:rPr>
            </w:pPr>
            <w:r>
              <w:rPr>
                <w:rFonts w:hAnsi="宋体" w:cs="宋体" w:hint="eastAsia"/>
                <w:bCs/>
                <w:szCs w:val="21"/>
              </w:rPr>
              <w:t>mV/℃·单体</w:t>
            </w:r>
          </w:p>
        </w:tc>
      </w:tr>
      <w:tr>
        <w:tblPrEx>
          <w:tblW w:w="5000" w:type="pct"/>
          <w:tblInd w:w="0" w:type="dxa"/>
          <w:tblCellMar>
            <w:top w:w="0" w:type="dxa"/>
            <w:left w:w="108" w:type="dxa"/>
            <w:bottom w:w="0" w:type="dxa"/>
            <w:right w:w="108" w:type="dxa"/>
          </w:tblCellMar>
        </w:tblPrEx>
        <w:tc>
          <w:tcPr>
            <w:tcW w:w="866" w:type="pct"/>
            <w:vAlign w:val="center"/>
          </w:tcPr>
          <w:p>
            <w:pPr>
              <w:pStyle w:val="a2"/>
              <w:ind w:firstLine="0" w:firstLineChars="0"/>
              <w:jc w:val="center"/>
              <w:rPr>
                <w:rFonts w:hAnsi="宋体" w:cs="宋体"/>
                <w:bCs/>
                <w:szCs w:val="21"/>
              </w:rPr>
            </w:pPr>
            <w:r>
              <w:rPr>
                <w:rFonts w:hAnsi="宋体" w:cs="宋体" w:hint="eastAsia"/>
                <w:bCs/>
                <w:szCs w:val="21"/>
              </w:rPr>
              <w:t>范围</w:t>
            </w:r>
          </w:p>
        </w:tc>
        <w:tc>
          <w:tcPr>
            <w:tcW w:w="871" w:type="pct"/>
            <w:vAlign w:val="center"/>
          </w:tcPr>
          <w:p>
            <w:pPr>
              <w:pStyle w:val="a2"/>
              <w:ind w:firstLine="0" w:firstLineChars="0"/>
              <w:jc w:val="center"/>
              <w:rPr>
                <w:rFonts w:hAnsi="宋体" w:cs="宋体"/>
                <w:bCs/>
                <w:szCs w:val="21"/>
              </w:rPr>
            </w:pPr>
            <w:r>
              <w:rPr>
                <w:rFonts w:hAnsi="宋体" w:cs="宋体" w:hint="eastAsia"/>
                <w:bCs/>
                <w:szCs w:val="21"/>
              </w:rPr>
              <w:t>不大于3.0I</w:t>
            </w:r>
            <w:r>
              <w:rPr>
                <w:rFonts w:hAnsi="宋体" w:cs="宋体" w:hint="eastAsia"/>
                <w:bCs/>
                <w:szCs w:val="21"/>
                <w:vertAlign w:val="subscript"/>
              </w:rPr>
              <w:t>10</w:t>
            </w:r>
          </w:p>
        </w:tc>
        <w:tc>
          <w:tcPr>
            <w:tcW w:w="1150" w:type="pct"/>
            <w:vAlign w:val="center"/>
          </w:tcPr>
          <w:p>
            <w:pPr>
              <w:pStyle w:val="a2"/>
              <w:ind w:firstLine="0" w:firstLineChars="0"/>
              <w:jc w:val="center"/>
              <w:rPr>
                <w:rFonts w:hAnsi="宋体" w:cs="宋体"/>
                <w:bCs/>
                <w:szCs w:val="21"/>
              </w:rPr>
            </w:pPr>
            <w:r>
              <w:rPr>
                <w:rFonts w:hAnsi="宋体" w:cs="宋体" w:hint="eastAsia"/>
                <w:bCs/>
                <w:szCs w:val="21"/>
              </w:rPr>
              <w:t>2.25～2.35</w:t>
            </w:r>
          </w:p>
        </w:tc>
        <w:tc>
          <w:tcPr>
            <w:tcW w:w="1052" w:type="pct"/>
            <w:vAlign w:val="center"/>
          </w:tcPr>
          <w:p>
            <w:pPr>
              <w:pStyle w:val="a2"/>
              <w:ind w:firstLine="0" w:firstLineChars="0"/>
              <w:jc w:val="center"/>
              <w:rPr>
                <w:rFonts w:hAnsi="宋体" w:cs="宋体"/>
                <w:bCs/>
                <w:szCs w:val="21"/>
              </w:rPr>
            </w:pPr>
            <w:r>
              <w:rPr>
                <w:rFonts w:hAnsi="宋体" w:cs="宋体" w:hint="eastAsia"/>
                <w:bCs/>
                <w:szCs w:val="21"/>
              </w:rPr>
              <w:t>2.35～2.45</w:t>
            </w:r>
          </w:p>
        </w:tc>
        <w:tc>
          <w:tcPr>
            <w:tcW w:w="1060" w:type="pct"/>
            <w:vAlign w:val="center"/>
          </w:tcPr>
          <w:p>
            <w:pPr>
              <w:pStyle w:val="a2"/>
              <w:ind w:firstLine="0" w:firstLineChars="0"/>
              <w:jc w:val="center"/>
              <w:rPr>
                <w:rFonts w:hAnsi="宋体" w:cs="宋体"/>
                <w:bCs/>
                <w:szCs w:val="21"/>
              </w:rPr>
            </w:pPr>
            <w:r>
              <w:rPr>
                <w:rFonts w:hAnsi="宋体" w:cs="宋体" w:hint="eastAsia"/>
                <w:bCs/>
                <w:szCs w:val="21"/>
              </w:rPr>
              <w:t>-3～-7</w:t>
            </w:r>
          </w:p>
        </w:tc>
      </w:tr>
      <w:tr>
        <w:tblPrEx>
          <w:tblW w:w="5000" w:type="pct"/>
          <w:tblInd w:w="0" w:type="dxa"/>
          <w:tblCellMar>
            <w:top w:w="0" w:type="dxa"/>
            <w:left w:w="108" w:type="dxa"/>
            <w:bottom w:w="0" w:type="dxa"/>
            <w:right w:w="108" w:type="dxa"/>
          </w:tblCellMar>
        </w:tblPrEx>
        <w:tc>
          <w:tcPr>
            <w:tcW w:w="866" w:type="pct"/>
            <w:vAlign w:val="center"/>
          </w:tcPr>
          <w:p>
            <w:pPr>
              <w:pStyle w:val="a2"/>
              <w:ind w:firstLine="0" w:firstLineChars="0"/>
              <w:jc w:val="center"/>
              <w:rPr>
                <w:rFonts w:hAnsi="宋体" w:cs="宋体"/>
                <w:bCs/>
                <w:szCs w:val="21"/>
              </w:rPr>
            </w:pPr>
            <w:r>
              <w:rPr>
                <w:rFonts w:hAnsi="宋体" w:cs="宋体" w:hint="eastAsia"/>
                <w:bCs/>
                <w:szCs w:val="21"/>
              </w:rPr>
              <w:t>参考值</w:t>
            </w:r>
          </w:p>
        </w:tc>
        <w:tc>
          <w:tcPr>
            <w:tcW w:w="871" w:type="pct"/>
            <w:vAlign w:val="center"/>
          </w:tcPr>
          <w:p>
            <w:pPr>
              <w:pStyle w:val="a2"/>
              <w:ind w:firstLine="0" w:firstLineChars="0"/>
              <w:jc w:val="center"/>
              <w:rPr>
                <w:rFonts w:hAnsi="宋体" w:cs="宋体"/>
                <w:bCs/>
                <w:szCs w:val="21"/>
              </w:rPr>
            </w:pPr>
            <w:r>
              <w:rPr>
                <w:rFonts w:hAnsi="宋体" w:cs="宋体" w:hint="eastAsia"/>
                <w:bCs/>
                <w:szCs w:val="21"/>
              </w:rPr>
              <w:t>2.0I</w:t>
            </w:r>
            <w:r>
              <w:rPr>
                <w:rFonts w:hAnsi="宋体" w:cs="宋体" w:hint="eastAsia"/>
                <w:bCs/>
                <w:szCs w:val="21"/>
                <w:vertAlign w:val="subscript"/>
              </w:rPr>
              <w:t>10</w:t>
            </w:r>
          </w:p>
        </w:tc>
        <w:tc>
          <w:tcPr>
            <w:tcW w:w="1150" w:type="pct"/>
            <w:vAlign w:val="center"/>
          </w:tcPr>
          <w:p>
            <w:pPr>
              <w:pStyle w:val="a2"/>
              <w:ind w:firstLine="0" w:firstLineChars="0"/>
              <w:jc w:val="center"/>
              <w:rPr>
                <w:rFonts w:hAnsi="宋体" w:cs="宋体"/>
                <w:bCs/>
                <w:szCs w:val="21"/>
              </w:rPr>
            </w:pPr>
            <w:r>
              <w:rPr>
                <w:rFonts w:hAnsi="宋体" w:cs="宋体" w:hint="eastAsia"/>
                <w:bCs/>
                <w:szCs w:val="21"/>
              </w:rPr>
              <w:t>2.30</w:t>
            </w:r>
          </w:p>
        </w:tc>
        <w:tc>
          <w:tcPr>
            <w:tcW w:w="1052" w:type="pct"/>
            <w:vAlign w:val="center"/>
          </w:tcPr>
          <w:p>
            <w:pPr>
              <w:pStyle w:val="a2"/>
              <w:ind w:firstLine="0" w:firstLineChars="0"/>
              <w:jc w:val="center"/>
              <w:rPr>
                <w:rFonts w:hAnsi="宋体" w:cs="宋体"/>
                <w:bCs/>
                <w:szCs w:val="21"/>
              </w:rPr>
            </w:pPr>
            <w:r>
              <w:rPr>
                <w:rFonts w:hAnsi="宋体" w:cs="宋体" w:hint="eastAsia"/>
                <w:bCs/>
                <w:szCs w:val="21"/>
              </w:rPr>
              <w:t>2.4</w:t>
            </w:r>
          </w:p>
        </w:tc>
        <w:tc>
          <w:tcPr>
            <w:tcW w:w="1060" w:type="pct"/>
            <w:vAlign w:val="center"/>
          </w:tcPr>
          <w:p>
            <w:pPr>
              <w:pStyle w:val="a2"/>
              <w:ind w:firstLine="0" w:firstLineChars="0"/>
              <w:jc w:val="center"/>
              <w:rPr>
                <w:rFonts w:hAnsi="宋体" w:cs="宋体"/>
                <w:bCs/>
                <w:szCs w:val="21"/>
              </w:rPr>
            </w:pPr>
            <w:r>
              <w:rPr>
                <w:rFonts w:hAnsi="宋体" w:cs="宋体" w:hint="eastAsia"/>
                <w:bCs/>
                <w:szCs w:val="21"/>
              </w:rPr>
              <w:t>-4</w:t>
            </w:r>
          </w:p>
        </w:tc>
      </w:tr>
      <w:bookmarkEnd w:id="287"/>
    </w:tbl>
    <w:p>
      <w:pPr>
        <w:pStyle w:val="a2"/>
        <w:ind w:firstLine="420"/>
        <w:rPr>
          <w:rFonts w:hAnsi="宋体"/>
          <w:bCs/>
          <w:szCs w:val="21"/>
        </w:rPr>
      </w:pPr>
      <w:r>
        <w:rPr>
          <w:rFonts w:hAnsi="宋体" w:hint="eastAsia"/>
          <w:bCs/>
          <w:szCs w:val="21"/>
        </w:rPr>
        <w:t>注：制造商提供的数据无法获得时，可采用参考值</w:t>
      </w:r>
      <w:r>
        <w:rPr>
          <w:rFonts w:hAnsi="宋体"/>
          <w:bCs/>
          <w:szCs w:val="21"/>
        </w:rPr>
        <w:t>。</w:t>
      </w:r>
    </w:p>
    <w:p>
      <w:pPr>
        <w:pStyle w:val="Heading4"/>
        <w:spacing w:before="151" w:after="151"/>
        <w:rPr>
          <w:b/>
        </w:rPr>
      </w:pPr>
      <w:r>
        <w:rPr>
          <w:rFonts w:hint="eastAsia"/>
        </w:rPr>
        <w:t>容量性能</w:t>
      </w:r>
    </w:p>
    <w:p>
      <w:pPr>
        <w:pStyle w:val="a2"/>
        <w:ind w:firstLine="420"/>
        <w:rPr>
          <w:rFonts w:hAnsi="宋体"/>
          <w:bCs/>
          <w:szCs w:val="21"/>
        </w:rPr>
      </w:pPr>
      <w:bookmarkStart w:id="288" w:name="_Toc491378280"/>
      <w:r>
        <w:rPr>
          <w:rFonts w:hAnsi="宋体"/>
          <w:bCs/>
          <w:szCs w:val="21"/>
        </w:rPr>
        <w:t>蓄电池组按</w:t>
      </w:r>
      <w:r>
        <w:rPr>
          <w:rFonts w:hAnsi="宋体" w:hint="eastAsia"/>
          <w:bCs/>
          <w:szCs w:val="21"/>
        </w:rPr>
        <w:t>7</w:t>
      </w:r>
      <w:r>
        <w:rPr>
          <w:rFonts w:hAnsi="宋体"/>
          <w:bCs/>
          <w:szCs w:val="21"/>
        </w:rPr>
        <w:t>.3.14试验，在第一次循环时10h率容量应不低于0.95</w:t>
      </w:r>
      <w:r>
        <w:rPr>
          <w:rFonts w:hAnsi="宋体"/>
          <w:bCs/>
          <w:i/>
          <w:szCs w:val="21"/>
        </w:rPr>
        <w:t>C</w:t>
      </w:r>
      <w:r>
        <w:rPr>
          <w:rFonts w:hAnsi="宋体"/>
          <w:bCs/>
          <w:i/>
          <w:szCs w:val="21"/>
          <w:vertAlign w:val="subscript"/>
        </w:rPr>
        <w:t>10</w:t>
      </w:r>
      <w:r>
        <w:rPr>
          <w:rFonts w:hAnsi="宋体"/>
          <w:bCs/>
          <w:szCs w:val="21"/>
        </w:rPr>
        <w:t>，第3次循环时应达到</w:t>
      </w:r>
      <w:r>
        <w:rPr>
          <w:rFonts w:hAnsi="宋体" w:hint="eastAsia"/>
          <w:bCs/>
          <w:szCs w:val="21"/>
        </w:rPr>
        <w:t>1.0</w:t>
      </w:r>
      <w:r>
        <w:rPr>
          <w:rFonts w:hAnsi="宋体"/>
          <w:bCs/>
          <w:i/>
          <w:szCs w:val="21"/>
        </w:rPr>
        <w:t>C</w:t>
      </w:r>
      <w:r>
        <w:rPr>
          <w:rFonts w:hAnsi="宋体"/>
          <w:bCs/>
          <w:i/>
          <w:szCs w:val="21"/>
          <w:vertAlign w:val="subscript"/>
        </w:rPr>
        <w:t>10</w:t>
      </w:r>
      <w:r>
        <w:rPr>
          <w:rFonts w:hAnsi="宋体"/>
          <w:bCs/>
          <w:szCs w:val="21"/>
        </w:rPr>
        <w:t>；5小时率容量应达到</w:t>
      </w:r>
      <w:r>
        <w:rPr>
          <w:rFonts w:hAnsi="宋体" w:hint="eastAsia"/>
          <w:bCs/>
          <w:szCs w:val="21"/>
        </w:rPr>
        <w:t>1.0</w:t>
      </w:r>
      <w:r>
        <w:rPr>
          <w:rFonts w:hAnsi="宋体" w:hint="eastAsia"/>
          <w:bCs/>
          <w:i/>
          <w:szCs w:val="21"/>
        </w:rPr>
        <w:t>C</w:t>
      </w:r>
      <w:r>
        <w:rPr>
          <w:rFonts w:hAnsi="宋体" w:hint="eastAsia"/>
          <w:bCs/>
          <w:i/>
          <w:szCs w:val="21"/>
          <w:vertAlign w:val="subscript"/>
        </w:rPr>
        <w:t>5</w:t>
      </w:r>
      <w:r>
        <w:rPr>
          <w:rFonts w:hAnsi="宋体"/>
          <w:bCs/>
          <w:szCs w:val="21"/>
        </w:rPr>
        <w:t>；3小时率容量应达到</w:t>
      </w:r>
      <w:r>
        <w:rPr>
          <w:rFonts w:hAnsi="宋体" w:hint="eastAsia"/>
          <w:bCs/>
          <w:szCs w:val="21"/>
        </w:rPr>
        <w:t>1.0</w:t>
      </w:r>
      <w:r>
        <w:rPr>
          <w:rFonts w:hAnsi="宋体" w:hint="eastAsia"/>
          <w:bCs/>
          <w:i/>
          <w:szCs w:val="21"/>
        </w:rPr>
        <w:t>C</w:t>
      </w:r>
      <w:r>
        <w:rPr>
          <w:rFonts w:hAnsi="宋体" w:hint="eastAsia"/>
          <w:bCs/>
          <w:i/>
          <w:szCs w:val="21"/>
          <w:vertAlign w:val="subscript"/>
        </w:rPr>
        <w:t>3</w:t>
      </w:r>
      <w:r>
        <w:rPr>
          <w:rFonts w:hAnsi="宋体"/>
          <w:bCs/>
          <w:szCs w:val="21"/>
        </w:rPr>
        <w:t>。</w:t>
      </w:r>
    </w:p>
    <w:p>
      <w:pPr>
        <w:pStyle w:val="a2"/>
        <w:ind w:firstLine="420"/>
        <w:rPr>
          <w:rFonts w:hAnsi="宋体"/>
          <w:bCs/>
          <w:szCs w:val="21"/>
        </w:rPr>
      </w:pPr>
      <w:r>
        <w:rPr>
          <w:rFonts w:hAnsi="宋体"/>
          <w:bCs/>
          <w:szCs w:val="21"/>
        </w:rPr>
        <w:t>不同放电率的放电电流和放电终止电压应符合表</w:t>
      </w:r>
      <w:r>
        <w:rPr>
          <w:rFonts w:hAnsi="宋体" w:hint="eastAsia"/>
          <w:bCs/>
          <w:szCs w:val="21"/>
        </w:rPr>
        <w:t>5</w:t>
      </w:r>
      <w:r>
        <w:rPr>
          <w:rFonts w:hAnsi="宋体"/>
          <w:bCs/>
          <w:szCs w:val="21"/>
        </w:rPr>
        <w:t>规定。</w:t>
      </w:r>
    </w:p>
    <w:p>
      <w:pPr>
        <w:pStyle w:val="a2"/>
        <w:ind w:firstLine="420"/>
        <w:rPr>
          <w:rFonts w:hAnsi="宋体"/>
          <w:bCs/>
          <w:szCs w:val="21"/>
        </w:rPr>
      </w:pPr>
    </w:p>
    <w:p>
      <w:pPr>
        <w:pStyle w:val="a2"/>
        <w:ind w:firstLine="420"/>
        <w:rPr>
          <w:rFonts w:hAnsi="宋体"/>
          <w:bCs/>
          <w:szCs w:val="21"/>
        </w:rPr>
      </w:pPr>
    </w:p>
    <w:p>
      <w:pPr>
        <w:pStyle w:val="a2"/>
        <w:ind w:firstLine="420"/>
        <w:rPr>
          <w:rFonts w:hAnsi="宋体"/>
          <w:bCs/>
          <w:szCs w:val="21"/>
        </w:rPr>
      </w:pPr>
    </w:p>
    <w:p>
      <w:pPr>
        <w:pStyle w:val="a54"/>
        <w:tabs>
          <w:tab w:val="left" w:pos="360"/>
        </w:tabs>
        <w:spacing w:before="152" w:beforeLines="50" w:after="152" w:afterLines="50"/>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表 5  蓄电池的容量性能参数</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91"/>
        <w:gridCol w:w="1501"/>
        <w:gridCol w:w="1505"/>
        <w:gridCol w:w="1623"/>
        <w:gridCol w:w="3225"/>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798" w:type="pct"/>
            <w:vMerge w:val="restart"/>
            <w:vAlign w:val="center"/>
          </w:tcPr>
          <w:p>
            <w:pPr>
              <w:pStyle w:val="a2"/>
              <w:ind w:firstLine="0" w:firstLineChars="0"/>
              <w:jc w:val="center"/>
              <w:rPr>
                <w:rFonts w:hAnsi="宋体" w:cs="宋体"/>
                <w:bCs/>
                <w:szCs w:val="21"/>
              </w:rPr>
            </w:pPr>
            <w:bookmarkEnd w:id="288"/>
            <w:r>
              <w:rPr>
                <w:rFonts w:hAnsi="宋体" w:cs="宋体" w:hint="eastAsia"/>
                <w:bCs/>
                <w:szCs w:val="21"/>
              </w:rPr>
              <w:t>放电率</w:t>
            </w:r>
          </w:p>
        </w:tc>
        <w:tc>
          <w:tcPr>
            <w:tcW w:w="803" w:type="pct"/>
            <w:vMerge w:val="restart"/>
            <w:vAlign w:val="center"/>
          </w:tcPr>
          <w:p>
            <w:pPr>
              <w:pStyle w:val="a2"/>
              <w:ind w:firstLine="0" w:firstLineChars="0"/>
              <w:jc w:val="center"/>
              <w:rPr>
                <w:rFonts w:hAnsi="宋体" w:cs="宋体"/>
                <w:bCs/>
                <w:szCs w:val="21"/>
              </w:rPr>
            </w:pPr>
            <w:r>
              <w:rPr>
                <w:rFonts w:hAnsi="宋体" w:cs="宋体" w:hint="eastAsia"/>
                <w:bCs/>
                <w:szCs w:val="21"/>
              </w:rPr>
              <w:t>放电电流</w:t>
            </w:r>
          </w:p>
          <w:p>
            <w:pPr>
              <w:pStyle w:val="a2"/>
              <w:ind w:firstLine="0" w:firstLineChars="0"/>
              <w:jc w:val="center"/>
              <w:rPr>
                <w:rFonts w:hAnsi="宋体" w:cs="宋体"/>
                <w:bCs/>
                <w:szCs w:val="21"/>
              </w:rPr>
            </w:pPr>
            <w:r>
              <w:rPr>
                <w:rFonts w:hAnsi="宋体" w:cs="宋体" w:hint="eastAsia"/>
                <w:bCs/>
                <w:szCs w:val="21"/>
              </w:rPr>
              <w:t>A</w:t>
            </w:r>
          </w:p>
        </w:tc>
        <w:tc>
          <w:tcPr>
            <w:tcW w:w="805" w:type="pct"/>
            <w:vMerge w:val="restart"/>
            <w:vAlign w:val="center"/>
          </w:tcPr>
          <w:p>
            <w:pPr>
              <w:pStyle w:val="a2"/>
              <w:ind w:firstLine="0" w:firstLineChars="0"/>
              <w:jc w:val="center"/>
              <w:rPr>
                <w:rFonts w:hAnsi="宋体" w:cs="宋体"/>
                <w:bCs/>
                <w:szCs w:val="21"/>
              </w:rPr>
            </w:pPr>
            <w:r>
              <w:rPr>
                <w:rFonts w:hAnsi="宋体" w:cs="宋体" w:hint="eastAsia"/>
                <w:bCs/>
                <w:szCs w:val="21"/>
              </w:rPr>
              <w:t>容量</w:t>
            </w:r>
          </w:p>
          <w:p>
            <w:pPr>
              <w:pStyle w:val="a2"/>
              <w:ind w:firstLine="0" w:firstLineChars="0"/>
              <w:jc w:val="center"/>
              <w:rPr>
                <w:rFonts w:hAnsi="宋体" w:cs="宋体"/>
                <w:bCs/>
                <w:szCs w:val="21"/>
              </w:rPr>
            </w:pPr>
            <w:r>
              <w:rPr>
                <w:rFonts w:hAnsi="宋体" w:cs="宋体" w:hint="eastAsia"/>
                <w:bCs/>
                <w:szCs w:val="21"/>
              </w:rPr>
              <w:t>Ah</w:t>
            </w:r>
          </w:p>
        </w:tc>
        <w:tc>
          <w:tcPr>
            <w:tcW w:w="2594" w:type="pct"/>
            <w:gridSpan w:val="2"/>
            <w:vAlign w:val="center"/>
          </w:tcPr>
          <w:p>
            <w:pPr>
              <w:pStyle w:val="a2"/>
              <w:ind w:firstLine="0" w:firstLineChars="0"/>
              <w:jc w:val="center"/>
              <w:rPr>
                <w:rFonts w:hAnsi="宋体" w:cs="宋体"/>
                <w:bCs/>
                <w:szCs w:val="21"/>
              </w:rPr>
            </w:pPr>
            <w:r>
              <w:rPr>
                <w:rFonts w:hAnsi="宋体" w:cs="宋体" w:hint="eastAsia"/>
                <w:bCs/>
                <w:szCs w:val="21"/>
              </w:rPr>
              <w:t>放电终止电V</w:t>
            </w:r>
          </w:p>
        </w:tc>
      </w:tr>
      <w:tr>
        <w:tblPrEx>
          <w:tblW w:w="5000" w:type="pct"/>
          <w:tblInd w:w="0" w:type="dxa"/>
          <w:tblCellMar>
            <w:top w:w="0" w:type="dxa"/>
            <w:left w:w="108" w:type="dxa"/>
            <w:bottom w:w="0" w:type="dxa"/>
            <w:right w:w="108" w:type="dxa"/>
          </w:tblCellMar>
        </w:tblPrEx>
        <w:tc>
          <w:tcPr>
            <w:tcW w:w="798" w:type="pct"/>
            <w:vMerge/>
            <w:vAlign w:val="center"/>
          </w:tcPr>
          <w:p>
            <w:pPr>
              <w:pStyle w:val="a2"/>
              <w:ind w:firstLine="0" w:firstLineChars="0"/>
              <w:jc w:val="center"/>
              <w:rPr>
                <w:rFonts w:hAnsi="宋体" w:cs="宋体"/>
                <w:sz w:val="18"/>
                <w:szCs w:val="18"/>
              </w:rPr>
            </w:pPr>
          </w:p>
        </w:tc>
        <w:tc>
          <w:tcPr>
            <w:tcW w:w="803" w:type="pct"/>
            <w:vMerge/>
            <w:vAlign w:val="center"/>
          </w:tcPr>
          <w:p>
            <w:pPr>
              <w:pStyle w:val="a2"/>
              <w:ind w:firstLine="0" w:firstLineChars="0"/>
              <w:jc w:val="center"/>
              <w:rPr>
                <w:rFonts w:hAnsi="宋体" w:cs="宋体"/>
                <w:sz w:val="18"/>
                <w:szCs w:val="18"/>
              </w:rPr>
            </w:pPr>
          </w:p>
        </w:tc>
        <w:tc>
          <w:tcPr>
            <w:tcW w:w="805" w:type="pct"/>
            <w:vMerge/>
            <w:vAlign w:val="center"/>
          </w:tcPr>
          <w:p>
            <w:pPr>
              <w:pStyle w:val="a2"/>
              <w:ind w:firstLine="0" w:firstLineChars="0"/>
              <w:jc w:val="center"/>
              <w:rPr>
                <w:rFonts w:hAnsi="宋体" w:cs="宋体"/>
                <w:sz w:val="18"/>
                <w:szCs w:val="18"/>
              </w:rPr>
            </w:pPr>
          </w:p>
        </w:tc>
        <w:tc>
          <w:tcPr>
            <w:tcW w:w="868" w:type="pct"/>
            <w:vAlign w:val="center"/>
          </w:tcPr>
          <w:p>
            <w:pPr>
              <w:pStyle w:val="a2"/>
              <w:ind w:firstLine="0" w:firstLineChars="0"/>
              <w:jc w:val="center"/>
              <w:rPr>
                <w:rFonts w:hAnsi="宋体" w:cs="宋体"/>
                <w:bCs/>
                <w:szCs w:val="21"/>
              </w:rPr>
            </w:pPr>
            <w:r>
              <w:rPr>
                <w:rFonts w:hAnsi="宋体" w:cs="宋体" w:hint="eastAsia"/>
                <w:bCs/>
                <w:szCs w:val="21"/>
              </w:rPr>
              <w:t>标称电压为2V</w:t>
            </w:r>
          </w:p>
        </w:tc>
        <w:tc>
          <w:tcPr>
            <w:tcW w:w="1726" w:type="pct"/>
            <w:vAlign w:val="center"/>
          </w:tcPr>
          <w:p>
            <w:pPr>
              <w:pStyle w:val="a2"/>
              <w:widowControl w:val="0"/>
              <w:ind w:firstLine="0" w:firstLineChars="0"/>
              <w:jc w:val="center"/>
              <w:rPr>
                <w:rFonts w:hAnsi="宋体" w:cs="宋体"/>
                <w:bCs/>
                <w:kern w:val="2"/>
                <w:szCs w:val="21"/>
              </w:rPr>
            </w:pPr>
            <w:r>
              <w:rPr>
                <w:rFonts w:hAnsi="宋体" w:cs="宋体" w:hint="eastAsia"/>
                <w:bCs/>
                <w:szCs w:val="21"/>
              </w:rPr>
              <w:t>标称电压为12V</w:t>
            </w:r>
          </w:p>
        </w:tc>
      </w:tr>
      <w:tr>
        <w:tblPrEx>
          <w:tblW w:w="5000" w:type="pct"/>
          <w:tblInd w:w="0" w:type="dxa"/>
          <w:tblCellMar>
            <w:top w:w="0" w:type="dxa"/>
            <w:left w:w="108" w:type="dxa"/>
            <w:bottom w:w="0" w:type="dxa"/>
            <w:right w:w="108" w:type="dxa"/>
          </w:tblCellMar>
        </w:tblPrEx>
        <w:trPr>
          <w:trHeight w:val="20"/>
        </w:trPr>
        <w:tc>
          <w:tcPr>
            <w:tcW w:w="798" w:type="pct"/>
            <w:vAlign w:val="center"/>
          </w:tcPr>
          <w:p>
            <w:pPr>
              <w:pStyle w:val="a2"/>
              <w:ind w:firstLine="0" w:firstLineChars="0"/>
              <w:jc w:val="center"/>
              <w:rPr>
                <w:rFonts w:hAnsi="宋体" w:cs="宋体"/>
                <w:bCs/>
                <w:szCs w:val="21"/>
              </w:rPr>
            </w:pPr>
            <w:r>
              <w:rPr>
                <w:rFonts w:hAnsi="宋体" w:cs="宋体" w:hint="eastAsia"/>
                <w:bCs/>
                <w:szCs w:val="21"/>
              </w:rPr>
              <w:t>4小时率</w:t>
            </w:r>
          </w:p>
        </w:tc>
        <w:tc>
          <w:tcPr>
            <w:tcW w:w="803" w:type="pct"/>
            <w:vAlign w:val="center"/>
          </w:tcPr>
          <w:p>
            <w:pPr>
              <w:pStyle w:val="a2"/>
              <w:ind w:firstLine="0" w:firstLineChars="0"/>
              <w:jc w:val="center"/>
              <w:rPr>
                <w:rFonts w:hAnsi="宋体" w:cs="宋体"/>
                <w:bCs/>
                <w:szCs w:val="21"/>
              </w:rPr>
            </w:pPr>
            <w:r>
              <w:rPr>
                <w:rFonts w:hAnsi="宋体" w:cs="宋体" w:hint="eastAsia"/>
                <w:bCs/>
                <w:szCs w:val="21"/>
              </w:rPr>
              <w:t>2.0</w:t>
            </w:r>
            <w:r>
              <w:rPr>
                <w:rFonts w:hAnsi="宋体" w:cs="宋体"/>
                <w:bCs/>
                <w:i/>
                <w:iCs/>
                <w:szCs w:val="21"/>
              </w:rPr>
              <w:t>I</w:t>
            </w:r>
            <w:r>
              <w:rPr>
                <w:rFonts w:hAnsi="宋体" w:cs="宋体"/>
                <w:bCs/>
                <w:i/>
                <w:iCs/>
                <w:szCs w:val="21"/>
                <w:vertAlign w:val="subscript"/>
              </w:rPr>
              <w:t>10</w:t>
            </w:r>
          </w:p>
        </w:tc>
        <w:tc>
          <w:tcPr>
            <w:tcW w:w="805" w:type="pct"/>
            <w:vAlign w:val="center"/>
          </w:tcPr>
          <w:p>
            <w:pPr>
              <w:pStyle w:val="a2"/>
              <w:ind w:firstLine="0" w:firstLineChars="0"/>
              <w:jc w:val="center"/>
              <w:rPr>
                <w:rFonts w:hAnsi="宋体" w:cs="宋体"/>
                <w:bCs/>
                <w:szCs w:val="21"/>
              </w:rPr>
            </w:pPr>
            <w:r>
              <w:rPr>
                <w:rFonts w:hAnsi="宋体" w:cs="宋体" w:hint="eastAsia"/>
                <w:bCs/>
                <w:szCs w:val="21"/>
              </w:rPr>
              <w:t>0.8</w:t>
            </w:r>
            <w:r>
              <w:rPr>
                <w:rFonts w:hAnsi="宋体" w:cs="宋体" w:hint="eastAsia"/>
                <w:bCs/>
                <w:i/>
                <w:szCs w:val="21"/>
              </w:rPr>
              <w:t>C</w:t>
            </w:r>
            <w:r>
              <w:rPr>
                <w:rFonts w:hAnsi="宋体" w:cs="宋体" w:hint="eastAsia"/>
                <w:bCs/>
                <w:i/>
                <w:szCs w:val="21"/>
                <w:vertAlign w:val="subscript"/>
              </w:rPr>
              <w:t>10</w:t>
            </w:r>
          </w:p>
        </w:tc>
        <w:tc>
          <w:tcPr>
            <w:tcW w:w="868" w:type="pct"/>
            <w:vAlign w:val="center"/>
          </w:tcPr>
          <w:p>
            <w:pPr>
              <w:pStyle w:val="a2"/>
              <w:ind w:firstLine="0" w:firstLineChars="0"/>
              <w:jc w:val="center"/>
              <w:rPr>
                <w:rFonts w:hAnsi="宋体" w:cs="宋体"/>
                <w:bCs/>
                <w:szCs w:val="21"/>
              </w:rPr>
            </w:pPr>
            <w:r>
              <w:rPr>
                <w:rFonts w:hAnsi="宋体" w:cs="宋体" w:hint="eastAsia"/>
                <w:bCs/>
                <w:szCs w:val="21"/>
              </w:rPr>
              <w:t>1.75</w:t>
            </w:r>
          </w:p>
        </w:tc>
        <w:tc>
          <w:tcPr>
            <w:tcW w:w="1726" w:type="pct"/>
            <w:vAlign w:val="center"/>
          </w:tcPr>
          <w:p>
            <w:pPr>
              <w:pStyle w:val="a2"/>
              <w:ind w:firstLine="0" w:firstLineChars="0"/>
              <w:jc w:val="center"/>
              <w:rPr>
                <w:rFonts w:hAnsi="宋体" w:cs="宋体"/>
                <w:bCs/>
                <w:szCs w:val="21"/>
              </w:rPr>
            </w:pPr>
            <w:r>
              <w:rPr>
                <w:rFonts w:hAnsi="宋体" w:cs="宋体" w:hint="eastAsia"/>
                <w:bCs/>
                <w:szCs w:val="21"/>
              </w:rPr>
              <w:t>10.5</w:t>
            </w:r>
          </w:p>
        </w:tc>
      </w:tr>
      <w:tr>
        <w:tblPrEx>
          <w:tblW w:w="5000" w:type="pct"/>
          <w:tblInd w:w="0" w:type="dxa"/>
          <w:tblCellMar>
            <w:top w:w="0" w:type="dxa"/>
            <w:left w:w="108" w:type="dxa"/>
            <w:bottom w:w="0" w:type="dxa"/>
            <w:right w:w="108" w:type="dxa"/>
          </w:tblCellMar>
        </w:tblPrEx>
        <w:trPr>
          <w:trHeight w:val="20"/>
        </w:trPr>
        <w:tc>
          <w:tcPr>
            <w:tcW w:w="798" w:type="pct"/>
            <w:vAlign w:val="center"/>
          </w:tcPr>
          <w:p>
            <w:pPr>
              <w:pStyle w:val="a2"/>
              <w:ind w:firstLine="0" w:firstLineChars="0"/>
              <w:jc w:val="center"/>
              <w:rPr>
                <w:rFonts w:hAnsi="宋体" w:cs="宋体"/>
                <w:bCs/>
                <w:szCs w:val="21"/>
              </w:rPr>
            </w:pPr>
            <w:r>
              <w:rPr>
                <w:rFonts w:hAnsi="宋体" w:cs="宋体" w:hint="eastAsia"/>
                <w:bCs/>
                <w:szCs w:val="21"/>
              </w:rPr>
              <w:t>5小时率</w:t>
            </w:r>
          </w:p>
        </w:tc>
        <w:tc>
          <w:tcPr>
            <w:tcW w:w="803" w:type="pct"/>
            <w:vAlign w:val="center"/>
          </w:tcPr>
          <w:p>
            <w:pPr>
              <w:pStyle w:val="a2"/>
              <w:ind w:firstLine="0" w:firstLineChars="0"/>
              <w:jc w:val="center"/>
              <w:rPr>
                <w:rFonts w:hAnsi="宋体" w:cs="宋体"/>
                <w:bCs/>
                <w:szCs w:val="21"/>
              </w:rPr>
            </w:pPr>
            <w:r>
              <w:rPr>
                <w:rFonts w:hAnsi="宋体" w:cs="宋体" w:hint="eastAsia"/>
                <w:bCs/>
                <w:szCs w:val="21"/>
              </w:rPr>
              <w:t>1.7</w:t>
            </w:r>
            <w:r>
              <w:rPr>
                <w:rFonts w:hAnsi="宋体" w:cs="宋体"/>
                <w:bCs/>
                <w:i/>
                <w:iCs/>
                <w:szCs w:val="21"/>
              </w:rPr>
              <w:t>I</w:t>
            </w:r>
            <w:r>
              <w:rPr>
                <w:rFonts w:hAnsi="宋体" w:cs="宋体"/>
                <w:bCs/>
                <w:i/>
                <w:iCs/>
                <w:szCs w:val="21"/>
                <w:vertAlign w:val="subscript"/>
              </w:rPr>
              <w:t>10</w:t>
            </w:r>
          </w:p>
        </w:tc>
        <w:tc>
          <w:tcPr>
            <w:tcW w:w="805" w:type="pct"/>
            <w:vAlign w:val="center"/>
          </w:tcPr>
          <w:p>
            <w:pPr>
              <w:pStyle w:val="a2"/>
              <w:ind w:firstLine="0" w:firstLineChars="0"/>
              <w:jc w:val="center"/>
              <w:rPr>
                <w:rFonts w:hAnsi="宋体" w:cs="宋体"/>
                <w:bCs/>
                <w:szCs w:val="21"/>
              </w:rPr>
            </w:pPr>
            <w:r>
              <w:rPr>
                <w:rFonts w:hAnsi="宋体" w:cs="宋体" w:hint="eastAsia"/>
                <w:bCs/>
                <w:szCs w:val="21"/>
              </w:rPr>
              <w:t>0.85</w:t>
            </w:r>
            <w:r>
              <w:rPr>
                <w:rFonts w:hAnsi="宋体" w:cs="宋体" w:hint="eastAsia"/>
                <w:bCs/>
                <w:i/>
                <w:szCs w:val="21"/>
              </w:rPr>
              <w:t>C</w:t>
            </w:r>
            <w:r>
              <w:rPr>
                <w:rFonts w:hAnsi="宋体" w:cs="宋体" w:hint="eastAsia"/>
                <w:bCs/>
                <w:i/>
                <w:szCs w:val="21"/>
                <w:vertAlign w:val="subscript"/>
              </w:rPr>
              <w:t>10</w:t>
            </w:r>
          </w:p>
        </w:tc>
        <w:tc>
          <w:tcPr>
            <w:tcW w:w="868" w:type="pct"/>
            <w:vAlign w:val="center"/>
          </w:tcPr>
          <w:p>
            <w:pPr>
              <w:pStyle w:val="a2"/>
              <w:ind w:firstLine="0" w:firstLineChars="0"/>
              <w:jc w:val="center"/>
              <w:rPr>
                <w:rFonts w:hAnsi="宋体" w:cs="宋体"/>
                <w:bCs/>
                <w:szCs w:val="21"/>
              </w:rPr>
            </w:pPr>
            <w:r>
              <w:rPr>
                <w:rFonts w:hAnsi="宋体" w:cs="宋体" w:hint="eastAsia"/>
                <w:bCs/>
                <w:szCs w:val="21"/>
              </w:rPr>
              <w:t>1.75</w:t>
            </w:r>
          </w:p>
        </w:tc>
        <w:tc>
          <w:tcPr>
            <w:tcW w:w="1726" w:type="pct"/>
            <w:vAlign w:val="center"/>
          </w:tcPr>
          <w:p>
            <w:pPr>
              <w:pStyle w:val="a2"/>
              <w:ind w:firstLine="0" w:firstLineChars="0"/>
              <w:jc w:val="center"/>
              <w:rPr>
                <w:rFonts w:hAnsi="宋体" w:cs="宋体"/>
                <w:bCs/>
                <w:szCs w:val="21"/>
              </w:rPr>
            </w:pPr>
            <w:r>
              <w:rPr>
                <w:rFonts w:hAnsi="宋体" w:cs="宋体" w:hint="eastAsia"/>
                <w:bCs/>
                <w:szCs w:val="21"/>
              </w:rPr>
              <w:t>10.5</w:t>
            </w:r>
          </w:p>
        </w:tc>
      </w:tr>
      <w:tr>
        <w:tblPrEx>
          <w:tblW w:w="5000" w:type="pct"/>
          <w:tblInd w:w="0" w:type="dxa"/>
          <w:tblCellMar>
            <w:top w:w="0" w:type="dxa"/>
            <w:left w:w="108" w:type="dxa"/>
            <w:bottom w:w="0" w:type="dxa"/>
            <w:right w:w="108" w:type="dxa"/>
          </w:tblCellMar>
        </w:tblPrEx>
        <w:trPr>
          <w:trHeight w:val="20"/>
        </w:trPr>
        <w:tc>
          <w:tcPr>
            <w:tcW w:w="798" w:type="pct"/>
            <w:vAlign w:val="center"/>
          </w:tcPr>
          <w:p>
            <w:pPr>
              <w:pStyle w:val="a2"/>
              <w:ind w:firstLine="0" w:firstLineChars="0"/>
              <w:jc w:val="center"/>
              <w:rPr>
                <w:rFonts w:hAnsi="宋体" w:cs="宋体"/>
                <w:bCs/>
                <w:szCs w:val="21"/>
              </w:rPr>
            </w:pPr>
            <w:r>
              <w:rPr>
                <w:rFonts w:hAnsi="宋体" w:cs="宋体" w:hint="eastAsia"/>
                <w:bCs/>
                <w:szCs w:val="21"/>
              </w:rPr>
              <w:t>10小时率</w:t>
            </w:r>
          </w:p>
        </w:tc>
        <w:tc>
          <w:tcPr>
            <w:tcW w:w="803" w:type="pct"/>
            <w:vAlign w:val="center"/>
          </w:tcPr>
          <w:p>
            <w:pPr>
              <w:pStyle w:val="a2"/>
              <w:ind w:firstLine="0" w:firstLineChars="0"/>
              <w:jc w:val="center"/>
              <w:rPr>
                <w:rFonts w:hAnsi="宋体" w:cs="宋体"/>
                <w:bCs/>
                <w:szCs w:val="21"/>
              </w:rPr>
            </w:pPr>
            <w:r>
              <w:rPr>
                <w:rFonts w:hAnsi="宋体" w:cs="宋体" w:hint="eastAsia"/>
                <w:bCs/>
                <w:szCs w:val="21"/>
              </w:rPr>
              <w:t>1.0</w:t>
            </w:r>
            <w:r>
              <w:rPr>
                <w:rFonts w:hAnsi="宋体" w:cs="宋体"/>
                <w:bCs/>
                <w:i/>
                <w:iCs/>
                <w:szCs w:val="21"/>
              </w:rPr>
              <w:t>I</w:t>
            </w:r>
            <w:r>
              <w:rPr>
                <w:rFonts w:hAnsi="宋体" w:cs="宋体"/>
                <w:bCs/>
                <w:i/>
                <w:iCs/>
                <w:szCs w:val="21"/>
                <w:vertAlign w:val="subscript"/>
              </w:rPr>
              <w:t>10</w:t>
            </w:r>
          </w:p>
        </w:tc>
        <w:tc>
          <w:tcPr>
            <w:tcW w:w="805" w:type="pct"/>
            <w:vAlign w:val="center"/>
          </w:tcPr>
          <w:p>
            <w:pPr>
              <w:pStyle w:val="a2"/>
              <w:ind w:firstLine="0" w:firstLineChars="0"/>
              <w:jc w:val="center"/>
              <w:rPr>
                <w:rFonts w:hAnsi="宋体" w:cs="宋体"/>
                <w:bCs/>
                <w:szCs w:val="21"/>
              </w:rPr>
            </w:pPr>
            <w:r>
              <w:rPr>
                <w:rFonts w:hAnsi="宋体" w:cs="宋体" w:hint="eastAsia"/>
                <w:bCs/>
                <w:szCs w:val="21"/>
              </w:rPr>
              <w:t>1.00</w:t>
            </w:r>
            <w:r>
              <w:rPr>
                <w:rFonts w:hAnsi="宋体" w:cs="宋体" w:hint="eastAsia"/>
                <w:bCs/>
                <w:i/>
                <w:szCs w:val="21"/>
              </w:rPr>
              <w:t>C</w:t>
            </w:r>
            <w:r>
              <w:rPr>
                <w:rFonts w:hAnsi="宋体" w:cs="宋体" w:hint="eastAsia"/>
                <w:bCs/>
                <w:i/>
                <w:szCs w:val="21"/>
                <w:vertAlign w:val="subscript"/>
              </w:rPr>
              <w:t>10</w:t>
            </w:r>
          </w:p>
        </w:tc>
        <w:tc>
          <w:tcPr>
            <w:tcW w:w="868" w:type="pct"/>
            <w:vAlign w:val="center"/>
          </w:tcPr>
          <w:p>
            <w:pPr>
              <w:pStyle w:val="a2"/>
              <w:ind w:firstLine="0" w:firstLineChars="0"/>
              <w:jc w:val="center"/>
              <w:rPr>
                <w:rFonts w:hAnsi="宋体" w:cs="宋体"/>
                <w:bCs/>
                <w:szCs w:val="21"/>
              </w:rPr>
            </w:pPr>
            <w:r>
              <w:rPr>
                <w:rFonts w:hAnsi="宋体" w:cs="宋体" w:hint="eastAsia"/>
                <w:bCs/>
                <w:szCs w:val="21"/>
              </w:rPr>
              <w:t>1.80</w:t>
            </w:r>
          </w:p>
        </w:tc>
        <w:tc>
          <w:tcPr>
            <w:tcW w:w="1726" w:type="pct"/>
            <w:vAlign w:val="center"/>
          </w:tcPr>
          <w:p>
            <w:pPr>
              <w:pStyle w:val="a2"/>
              <w:ind w:firstLine="0" w:firstLineChars="0"/>
              <w:jc w:val="center"/>
              <w:rPr>
                <w:rFonts w:hAnsi="宋体" w:cs="宋体"/>
                <w:bCs/>
                <w:szCs w:val="21"/>
              </w:rPr>
            </w:pPr>
            <w:r>
              <w:rPr>
                <w:rFonts w:hAnsi="宋体" w:cs="宋体" w:hint="eastAsia"/>
                <w:bCs/>
                <w:szCs w:val="21"/>
              </w:rPr>
              <w:t>10.8</w:t>
            </w:r>
          </w:p>
        </w:tc>
      </w:tr>
    </w:tbl>
    <w:p>
      <w:pPr>
        <w:sectPr>
          <w:headerReference w:type="even" r:id="rId47"/>
          <w:headerReference w:type="default" r:id="rId48"/>
          <w:footerReference w:type="even" r:id="rId49"/>
          <w:footerReference w:type="default" r:id="rId50"/>
          <w:headerReference w:type="first" r:id="rId51"/>
          <w:footerReference w:type="first" r:id="rId52"/>
          <w:type w:val="nextPage"/>
          <w:pgSz w:w="11907" w:h="16839"/>
          <w:pgMar w:top="1134" w:right="1134" w:bottom="1134" w:left="1418" w:header="1134" w:footer="1134" w:gutter="0"/>
          <w:pgNumType w:start="7"/>
          <w:cols w:num="1" w:space="720"/>
          <w:titlePg w:val="0"/>
          <w:docGrid w:type="linesAndChars" w:linePitch="303" w:charSpace="0"/>
        </w:sectPr>
      </w:pPr>
    </w:p>
    <w:p>
      <w:pPr>
        <w:pStyle w:val="Heading4"/>
        <w:spacing w:before="151" w:after="151"/>
        <w:rPr>
          <w:b/>
        </w:rPr>
      </w:pPr>
      <w:r>
        <w:rPr>
          <w:rFonts w:hint="eastAsia"/>
        </w:rPr>
        <w:t>荷电保持性能</w:t>
      </w:r>
    </w:p>
    <w:p>
      <w:pPr>
        <w:pStyle w:val="a2"/>
        <w:ind w:firstLine="420"/>
        <w:rPr>
          <w:rFonts w:hAnsi="宋体"/>
          <w:bCs/>
          <w:szCs w:val="21"/>
        </w:rPr>
      </w:pPr>
      <w:r>
        <w:rPr>
          <w:rFonts w:hAnsi="宋体" w:hint="eastAsia"/>
          <w:bCs/>
          <w:szCs w:val="21"/>
        </w:rPr>
        <w:t>蓄电池组按7</w:t>
      </w:r>
      <w:r>
        <w:rPr>
          <w:rFonts w:hAnsi="宋体"/>
          <w:bCs/>
          <w:szCs w:val="21"/>
        </w:rPr>
        <w:t>.3.15</w:t>
      </w:r>
      <w:r>
        <w:rPr>
          <w:rFonts w:hAnsi="宋体" w:hint="eastAsia"/>
          <w:bCs/>
          <w:szCs w:val="21"/>
        </w:rPr>
        <w:t>试验，贮存28天后其荷电保持率</w:t>
      </w:r>
      <w:r>
        <w:rPr>
          <w:rFonts w:hAnsi="宋体" w:hint="eastAsia"/>
          <w:bCs/>
          <w:i/>
          <w:szCs w:val="21"/>
        </w:rPr>
        <w:t>R</w:t>
      </w:r>
      <w:r>
        <w:rPr>
          <w:rFonts w:hAnsi="宋体" w:hint="eastAsia"/>
          <w:bCs/>
          <w:i/>
          <w:szCs w:val="21"/>
          <w:vertAlign w:val="subscript"/>
        </w:rPr>
        <w:t>rf</w:t>
      </w:r>
      <w:r>
        <w:rPr>
          <w:rFonts w:hAnsi="宋体" w:hint="eastAsia"/>
          <w:bCs/>
          <w:szCs w:val="21"/>
        </w:rPr>
        <w:t>应不低于96%。</w:t>
      </w:r>
    </w:p>
    <w:p>
      <w:pPr>
        <w:pStyle w:val="Heading4"/>
        <w:spacing w:before="151" w:after="151"/>
        <w:rPr>
          <w:b/>
        </w:rPr>
      </w:pPr>
      <w:r>
        <w:rPr>
          <w:rFonts w:hint="eastAsia"/>
        </w:rPr>
        <w:t>再充电性能</w:t>
      </w:r>
    </w:p>
    <w:p>
      <w:pPr>
        <w:pStyle w:val="a2"/>
        <w:ind w:firstLine="420"/>
        <w:rPr>
          <w:rFonts w:hAnsi="宋体"/>
          <w:bCs/>
          <w:szCs w:val="21"/>
        </w:rPr>
      </w:pPr>
      <w:r>
        <w:rPr>
          <w:rFonts w:hAnsi="宋体" w:hint="eastAsia"/>
          <w:bCs/>
          <w:szCs w:val="21"/>
        </w:rPr>
        <w:t>蓄电池按7</w:t>
      </w:r>
      <w:r>
        <w:rPr>
          <w:rFonts w:hAnsi="宋体"/>
          <w:bCs/>
          <w:szCs w:val="21"/>
        </w:rPr>
        <w:t>.3.16</w:t>
      </w:r>
      <w:r>
        <w:rPr>
          <w:rFonts w:hAnsi="宋体" w:hint="eastAsia"/>
          <w:bCs/>
          <w:szCs w:val="21"/>
        </w:rPr>
        <w:t>试验，</w:t>
      </w:r>
      <w:r>
        <w:rPr>
          <w:rFonts w:hAnsi="宋体"/>
          <w:bCs/>
          <w:i/>
          <w:szCs w:val="21"/>
        </w:rPr>
        <w:t>U</w:t>
      </w:r>
      <w:r>
        <w:rPr>
          <w:rFonts w:hAnsi="宋体" w:hint="eastAsia"/>
          <w:bCs/>
          <w:szCs w:val="21"/>
        </w:rPr>
        <w:t>（</w:t>
      </w:r>
      <w:r>
        <w:rPr>
          <w:rFonts w:hAnsi="宋体"/>
          <w:bCs/>
          <w:szCs w:val="21"/>
        </w:rPr>
        <w:t>V）</w:t>
      </w:r>
      <w:r>
        <w:rPr>
          <w:rFonts w:hAnsi="宋体" w:hint="eastAsia"/>
          <w:bCs/>
          <w:szCs w:val="21"/>
        </w:rPr>
        <w:t>恒压充电24h的再充电能力因素</w:t>
      </w:r>
      <w:r>
        <w:rPr>
          <w:rFonts w:hAnsi="宋体" w:hint="eastAsia"/>
          <w:bCs/>
          <w:i/>
          <w:szCs w:val="21"/>
        </w:rPr>
        <w:t>R</w:t>
      </w:r>
      <w:r>
        <w:rPr>
          <w:rFonts w:hAnsi="宋体" w:hint="eastAsia"/>
          <w:bCs/>
          <w:i/>
          <w:szCs w:val="21"/>
          <w:vertAlign w:val="subscript"/>
        </w:rPr>
        <w:t>bf24h</w:t>
      </w:r>
      <w:r>
        <w:rPr>
          <w:rFonts w:hAnsi="宋体" w:hint="eastAsia"/>
          <w:bCs/>
          <w:szCs w:val="21"/>
        </w:rPr>
        <w:t>应不低于85%，恒压充电168h的再充电能力因素</w:t>
      </w:r>
      <w:r>
        <w:rPr>
          <w:rFonts w:hAnsi="宋体" w:hint="eastAsia"/>
          <w:bCs/>
          <w:i/>
          <w:szCs w:val="21"/>
        </w:rPr>
        <w:t>R</w:t>
      </w:r>
      <w:r>
        <w:rPr>
          <w:rFonts w:hAnsi="宋体" w:hint="eastAsia"/>
          <w:bCs/>
          <w:i/>
          <w:szCs w:val="21"/>
          <w:vertAlign w:val="subscript"/>
        </w:rPr>
        <w:t>bf</w:t>
      </w:r>
      <w:r>
        <w:rPr>
          <w:rFonts w:hAnsi="宋体" w:hint="eastAsia"/>
          <w:bCs/>
          <w:szCs w:val="21"/>
        </w:rPr>
        <w:t>168h应不低于100%。</w:t>
      </w:r>
    </w:p>
    <w:p>
      <w:pPr>
        <w:pStyle w:val="Heading4"/>
        <w:spacing w:before="151" w:after="151"/>
        <w:rPr>
          <w:b/>
        </w:rPr>
      </w:pPr>
      <w:r>
        <w:rPr>
          <w:rFonts w:hint="eastAsia"/>
        </w:rPr>
        <w:t>低温敏感性</w:t>
      </w:r>
    </w:p>
    <w:p>
      <w:pPr>
        <w:pStyle w:val="a2"/>
        <w:ind w:firstLine="420"/>
        <w:rPr>
          <w:rFonts w:hAnsi="宋体"/>
          <w:bCs/>
          <w:szCs w:val="21"/>
        </w:rPr>
      </w:pPr>
      <w:r>
        <w:rPr>
          <w:rFonts w:hAnsi="宋体"/>
          <w:bCs/>
          <w:szCs w:val="21"/>
        </w:rPr>
        <w:t>蓄电池</w:t>
      </w:r>
      <w:r>
        <w:rPr>
          <w:rFonts w:hAnsi="宋体" w:hint="eastAsia"/>
          <w:bCs/>
          <w:szCs w:val="21"/>
        </w:rPr>
        <w:t>按7</w:t>
      </w:r>
      <w:r>
        <w:rPr>
          <w:rFonts w:hAnsi="宋体"/>
          <w:bCs/>
          <w:szCs w:val="21"/>
        </w:rPr>
        <w:t>.3.17</w:t>
      </w:r>
      <w:r>
        <w:rPr>
          <w:rFonts w:hAnsi="宋体" w:hint="eastAsia"/>
          <w:bCs/>
          <w:szCs w:val="21"/>
        </w:rPr>
        <w:t>试</w:t>
      </w:r>
      <w:r>
        <w:rPr>
          <w:rFonts w:hAnsi="宋体"/>
          <w:bCs/>
          <w:szCs w:val="21"/>
        </w:rPr>
        <w:t>验时，10h率放电容量应</w:t>
      </w:r>
      <w:r>
        <w:rPr>
          <w:rFonts w:hAnsi="宋体" w:hint="eastAsia"/>
          <w:bCs/>
          <w:szCs w:val="21"/>
        </w:rPr>
        <w:t>≥</w:t>
      </w:r>
      <w:r>
        <w:rPr>
          <w:rFonts w:hAnsi="宋体"/>
          <w:bCs/>
          <w:szCs w:val="21"/>
        </w:rPr>
        <w:t>0.9C</w:t>
      </w:r>
      <w:r>
        <w:rPr>
          <w:rFonts w:hAnsi="宋体"/>
          <w:bCs/>
          <w:szCs w:val="21"/>
          <w:vertAlign w:val="subscript"/>
        </w:rPr>
        <w:t>10</w:t>
      </w:r>
      <w:r>
        <w:rPr>
          <w:rFonts w:hAnsi="宋体" w:hint="eastAsia"/>
          <w:bCs/>
          <w:szCs w:val="21"/>
        </w:rPr>
        <w:t>；</w:t>
      </w:r>
      <w:r>
        <w:rPr>
          <w:rFonts w:hAnsi="宋体"/>
          <w:bCs/>
          <w:szCs w:val="21"/>
        </w:rPr>
        <w:t>外观不应有破裂、过度膨胀及槽与盖分离现象</w:t>
      </w:r>
      <w:r>
        <w:rPr>
          <w:rFonts w:hAnsi="宋体" w:hint="eastAsia"/>
          <w:bCs/>
          <w:szCs w:val="21"/>
        </w:rPr>
        <w:t>。</w:t>
      </w:r>
    </w:p>
    <w:p>
      <w:pPr>
        <w:pStyle w:val="Heading4"/>
        <w:spacing w:before="151" w:after="151"/>
        <w:rPr>
          <w:b/>
        </w:rPr>
      </w:pPr>
      <w:r>
        <w:rPr>
          <w:rFonts w:hint="eastAsia"/>
        </w:rPr>
        <w:t>蓄电池间连接性能</w:t>
      </w:r>
    </w:p>
    <w:p>
      <w:pPr>
        <w:pStyle w:val="a2"/>
        <w:ind w:firstLine="420"/>
        <w:rPr>
          <w:rFonts w:hAnsi="宋体"/>
          <w:bCs/>
          <w:szCs w:val="21"/>
        </w:rPr>
      </w:pPr>
      <w:r>
        <w:rPr>
          <w:rFonts w:hAnsi="宋体"/>
          <w:bCs/>
          <w:szCs w:val="21"/>
        </w:rPr>
        <w:t>电池</w:t>
      </w:r>
      <w:r>
        <w:rPr>
          <w:rFonts w:hAnsi="宋体" w:hint="eastAsia"/>
          <w:bCs/>
          <w:szCs w:val="21"/>
        </w:rPr>
        <w:t>簇</w:t>
      </w:r>
      <w:r>
        <w:rPr>
          <w:rFonts w:hAnsi="宋体"/>
          <w:bCs/>
          <w:szCs w:val="21"/>
        </w:rPr>
        <w:t>按</w:t>
      </w:r>
      <w:r>
        <w:rPr>
          <w:rFonts w:hAnsi="宋体" w:hint="eastAsia"/>
          <w:bCs/>
          <w:szCs w:val="21"/>
        </w:rPr>
        <w:t>7</w:t>
      </w:r>
      <w:r>
        <w:rPr>
          <w:rFonts w:hAnsi="宋体"/>
          <w:bCs/>
          <w:szCs w:val="21"/>
        </w:rPr>
        <w:t>.3.18试验，</w:t>
      </w:r>
      <w:r>
        <w:rPr>
          <w:rFonts w:hAnsi="宋体" w:hint="eastAsia"/>
          <w:bCs/>
          <w:szCs w:val="21"/>
        </w:rPr>
        <w:t>布置在同一平面的蓄电池间</w:t>
      </w:r>
      <w:r>
        <w:rPr>
          <w:rFonts w:hAnsi="宋体"/>
          <w:bCs/>
          <w:szCs w:val="21"/>
        </w:rPr>
        <w:t>连接条电压降应不大于</w:t>
      </w:r>
      <w:r>
        <w:rPr>
          <w:rFonts w:hAnsi="宋体" w:hint="eastAsia"/>
          <w:bCs/>
          <w:szCs w:val="21"/>
        </w:rPr>
        <w:t>10</w:t>
      </w:r>
      <w:r>
        <w:rPr>
          <w:rFonts w:hAnsi="宋体"/>
          <w:bCs/>
          <w:szCs w:val="21"/>
        </w:rPr>
        <w:t>mV。</w:t>
      </w:r>
    </w:p>
    <w:p>
      <w:pPr>
        <w:pStyle w:val="Heading3"/>
        <w:rPr>
          <w:b/>
        </w:rPr>
      </w:pPr>
      <w:bookmarkStart w:id="289" w:name="_Toc16301"/>
      <w:bookmarkStart w:id="290" w:name="_Toc155426394"/>
      <w:r>
        <w:rPr>
          <w:rFonts w:hint="eastAsia"/>
        </w:rPr>
        <w:t>电气一致性要求</w:t>
      </w:r>
      <w:bookmarkEnd w:id="289"/>
      <w:bookmarkEnd w:id="290"/>
    </w:p>
    <w:p>
      <w:pPr>
        <w:pStyle w:val="Heading4"/>
        <w:spacing w:before="151" w:after="151"/>
        <w:rPr>
          <w:b/>
        </w:rPr>
      </w:pPr>
      <w:r>
        <w:rPr>
          <w:rFonts w:hint="eastAsia"/>
        </w:rPr>
        <w:t>端电压均衡性</w:t>
      </w:r>
    </w:p>
    <w:p>
      <w:pPr>
        <w:pStyle w:val="a2"/>
        <w:ind w:firstLine="420"/>
        <w:rPr>
          <w:rFonts w:hAnsi="宋体"/>
          <w:bCs/>
          <w:szCs w:val="21"/>
        </w:rPr>
      </w:pPr>
      <w:bookmarkStart w:id="291" w:name="_Hlk135722142"/>
      <w:r>
        <w:rPr>
          <w:rFonts w:hAnsi="宋体"/>
          <w:bCs/>
          <w:szCs w:val="21"/>
        </w:rPr>
        <w:t>电池</w:t>
      </w:r>
      <w:r>
        <w:rPr>
          <w:rFonts w:hAnsi="宋体" w:hint="eastAsia"/>
          <w:bCs/>
          <w:szCs w:val="21"/>
        </w:rPr>
        <w:t>簇</w:t>
      </w:r>
      <w:r>
        <w:rPr>
          <w:rFonts w:hAnsi="宋体"/>
          <w:bCs/>
          <w:szCs w:val="21"/>
        </w:rPr>
        <w:t>按</w:t>
      </w:r>
      <w:r>
        <w:rPr>
          <w:rFonts w:hAnsi="宋体" w:hint="eastAsia"/>
          <w:bCs/>
          <w:szCs w:val="21"/>
        </w:rPr>
        <w:t>7</w:t>
      </w:r>
      <w:r>
        <w:rPr>
          <w:rFonts w:hAnsi="宋体"/>
          <w:bCs/>
          <w:szCs w:val="21"/>
        </w:rPr>
        <w:t>.3.19试验</w:t>
      </w:r>
      <w:r>
        <w:rPr>
          <w:rFonts w:hAnsi="宋体" w:hint="eastAsia"/>
          <w:bCs/>
          <w:szCs w:val="21"/>
        </w:rPr>
        <w:t>，电池簇电压一致性应符合下列要求</w:t>
      </w:r>
    </w:p>
    <w:p>
      <w:pPr>
        <w:pStyle w:val="a2"/>
        <w:ind w:firstLine="420"/>
        <w:rPr>
          <w:rFonts w:hAnsi="宋体"/>
          <w:bCs/>
          <w:szCs w:val="21"/>
        </w:rPr>
      </w:pPr>
      <w:r>
        <w:rPr>
          <w:rFonts w:hAnsi="宋体"/>
          <w:bCs/>
          <w:szCs w:val="21"/>
        </w:rPr>
        <w:t>A）</w:t>
      </w:r>
      <w:r>
        <w:rPr>
          <w:rFonts w:hAnsi="宋体" w:hint="eastAsia"/>
          <w:bCs/>
          <w:szCs w:val="21"/>
        </w:rPr>
        <w:t>电池簇开路时，电池之间的端电压差值不应大于</w:t>
      </w:r>
      <w:bookmarkStart w:id="292" w:name="_Hlk135721940"/>
      <w:r>
        <w:rPr>
          <w:rFonts w:hAnsi="宋体" w:hint="eastAsia"/>
          <w:bCs/>
          <w:szCs w:val="21"/>
        </w:rPr>
        <w:t>3</w:t>
      </w:r>
      <w:r>
        <w:rPr>
          <w:rFonts w:hAnsi="宋体"/>
          <w:bCs/>
          <w:szCs w:val="21"/>
        </w:rPr>
        <w:t>0mV</w:t>
      </w:r>
      <w:r>
        <w:rPr>
          <w:rFonts w:hAnsi="宋体" w:hint="eastAsia"/>
          <w:bCs/>
          <w:szCs w:val="21"/>
        </w:rPr>
        <w:t>（2</w:t>
      </w:r>
      <w:r>
        <w:rPr>
          <w:rFonts w:hAnsi="宋体"/>
          <w:bCs/>
          <w:szCs w:val="21"/>
        </w:rPr>
        <w:t>V</w:t>
      </w:r>
      <w:r>
        <w:rPr>
          <w:rFonts w:hAnsi="宋体" w:hint="eastAsia"/>
          <w:bCs/>
          <w:szCs w:val="21"/>
        </w:rPr>
        <w:t>）、1</w:t>
      </w:r>
      <w:r>
        <w:rPr>
          <w:rFonts w:hAnsi="宋体"/>
          <w:bCs/>
          <w:szCs w:val="21"/>
        </w:rPr>
        <w:t>00mV(12V)</w:t>
      </w:r>
      <w:bookmarkEnd w:id="292"/>
      <w:r>
        <w:rPr>
          <w:rFonts w:hAnsi="宋体" w:hint="eastAsia"/>
          <w:bCs/>
          <w:szCs w:val="21"/>
        </w:rPr>
        <w:t>；</w:t>
      </w:r>
    </w:p>
    <w:p>
      <w:pPr>
        <w:pStyle w:val="a2"/>
        <w:ind w:firstLine="420"/>
        <w:rPr>
          <w:rFonts w:hAnsi="宋体"/>
          <w:bCs/>
          <w:szCs w:val="21"/>
        </w:rPr>
      </w:pPr>
      <w:r>
        <w:rPr>
          <w:rFonts w:hAnsi="宋体" w:hint="eastAsia"/>
          <w:bCs/>
          <w:szCs w:val="21"/>
        </w:rPr>
        <w:t>B）电池簇放电时，电池之间的端电压差值不应大于</w:t>
      </w:r>
      <w:r>
        <w:rPr>
          <w:rFonts w:hAnsi="宋体"/>
          <w:bCs/>
          <w:szCs w:val="21"/>
        </w:rPr>
        <w:t>200mV</w:t>
      </w:r>
      <w:r>
        <w:rPr>
          <w:rFonts w:hAnsi="宋体" w:hint="eastAsia"/>
          <w:bCs/>
          <w:szCs w:val="21"/>
        </w:rPr>
        <w:t>（2</w:t>
      </w:r>
      <w:r>
        <w:rPr>
          <w:rFonts w:hAnsi="宋体"/>
          <w:bCs/>
          <w:szCs w:val="21"/>
        </w:rPr>
        <w:t>V</w:t>
      </w:r>
      <w:r>
        <w:rPr>
          <w:rFonts w:hAnsi="宋体" w:hint="eastAsia"/>
          <w:bCs/>
          <w:szCs w:val="21"/>
        </w:rPr>
        <w:t>）、</w:t>
      </w:r>
      <w:r>
        <w:rPr>
          <w:rFonts w:hAnsi="宋体"/>
          <w:bCs/>
          <w:szCs w:val="21"/>
        </w:rPr>
        <w:t>600mV(12V)</w:t>
      </w:r>
      <w:r>
        <w:rPr>
          <w:rFonts w:hAnsi="宋体" w:hint="eastAsia"/>
          <w:bCs/>
          <w:szCs w:val="21"/>
        </w:rPr>
        <w:t>。</w:t>
      </w:r>
    </w:p>
    <w:bookmarkEnd w:id="291"/>
    <w:p>
      <w:pPr>
        <w:pStyle w:val="Heading4"/>
        <w:spacing w:before="151" w:after="151"/>
        <w:rPr>
          <w:b/>
        </w:rPr>
      </w:pPr>
      <w:r>
        <w:rPr>
          <w:rFonts w:hint="eastAsia"/>
        </w:rPr>
        <w:t>内阻</w:t>
      </w:r>
    </w:p>
    <w:p>
      <w:pPr>
        <w:pStyle w:val="a2"/>
        <w:ind w:firstLine="420"/>
        <w:rPr>
          <w:rFonts w:hAnsi="宋体"/>
          <w:bCs/>
          <w:szCs w:val="21"/>
        </w:rPr>
      </w:pPr>
      <w:r>
        <w:rPr>
          <w:rFonts w:hAnsi="宋体"/>
          <w:bCs/>
          <w:szCs w:val="21"/>
        </w:rPr>
        <w:t>蓄电池组按</w:t>
      </w:r>
      <w:r>
        <w:rPr>
          <w:rFonts w:hAnsi="宋体" w:hint="eastAsia"/>
          <w:bCs/>
          <w:szCs w:val="21"/>
        </w:rPr>
        <w:t>7</w:t>
      </w:r>
      <w:r>
        <w:rPr>
          <w:rFonts w:hAnsi="宋体"/>
          <w:bCs/>
          <w:szCs w:val="21"/>
        </w:rPr>
        <w:t>.3.20试验，同组蓄电池内阻</w:t>
      </w:r>
      <w:r>
        <w:rPr>
          <w:rFonts w:hAnsi="宋体" w:hint="eastAsia"/>
          <w:bCs/>
          <w:szCs w:val="21"/>
        </w:rPr>
        <w:t>与平均值的</w:t>
      </w:r>
      <w:r>
        <w:rPr>
          <w:rFonts w:hAnsi="宋体"/>
          <w:bCs/>
          <w:szCs w:val="21"/>
        </w:rPr>
        <w:t>偏差应不超过±10%</w:t>
      </w:r>
      <w:r>
        <w:rPr>
          <w:rFonts w:hAnsi="宋体" w:hint="eastAsia"/>
          <w:bCs/>
          <w:szCs w:val="21"/>
        </w:rPr>
        <w:t>，内阻上限宜由用户与制造商协商确定</w:t>
      </w:r>
      <w:r>
        <w:rPr>
          <w:rFonts w:hAnsi="宋体"/>
          <w:bCs/>
          <w:szCs w:val="21"/>
        </w:rPr>
        <w:t>。</w:t>
      </w:r>
    </w:p>
    <w:p>
      <w:pPr>
        <w:pStyle w:val="Heading3"/>
        <w:rPr>
          <w:b/>
        </w:rPr>
      </w:pPr>
      <w:bookmarkStart w:id="293" w:name="_Toc4047"/>
      <w:bookmarkStart w:id="294" w:name="_Toc155426395"/>
      <w:r>
        <w:rPr>
          <w:rFonts w:hint="eastAsia"/>
        </w:rPr>
        <w:t>耐久性要求</w:t>
      </w:r>
      <w:bookmarkEnd w:id="293"/>
      <w:bookmarkEnd w:id="294"/>
    </w:p>
    <w:p>
      <w:pPr>
        <w:pStyle w:val="Heading4"/>
        <w:spacing w:before="151" w:after="151"/>
        <w:rPr>
          <w:b/>
        </w:rPr>
      </w:pPr>
      <w:r>
        <w:rPr>
          <w:rFonts w:hint="eastAsia"/>
        </w:rPr>
        <w:t>加速寿命试验一</w:t>
      </w:r>
    </w:p>
    <w:p>
      <w:pPr>
        <w:pStyle w:val="a2"/>
        <w:ind w:firstLine="420"/>
        <w:rPr>
          <w:rFonts w:hAnsi="宋体"/>
          <w:bCs/>
          <w:szCs w:val="21"/>
        </w:rPr>
      </w:pPr>
      <w:r>
        <w:rPr>
          <w:rFonts w:hAnsi="宋体" w:hint="eastAsia"/>
          <w:bCs/>
          <w:szCs w:val="21"/>
        </w:rPr>
        <w:t>蓄电池按 7</w:t>
      </w:r>
      <w:r>
        <w:rPr>
          <w:rFonts w:hAnsi="宋体"/>
          <w:bCs/>
          <w:szCs w:val="21"/>
        </w:rPr>
        <w:t>.3.21</w:t>
      </w:r>
      <w:r>
        <w:rPr>
          <w:rFonts w:hAnsi="宋体" w:hint="eastAsia"/>
          <w:bCs/>
          <w:szCs w:val="21"/>
        </w:rPr>
        <w:t>试验时，蓄电池放电容量衰减不大于首次容量的 25% 。</w:t>
      </w:r>
    </w:p>
    <w:p>
      <w:pPr>
        <w:pStyle w:val="Heading4"/>
        <w:spacing w:before="151" w:after="151"/>
        <w:rPr>
          <w:b/>
        </w:rPr>
      </w:pPr>
      <w:r>
        <w:rPr>
          <w:rFonts w:hint="eastAsia"/>
        </w:rPr>
        <w:t>加速寿命试验二</w:t>
      </w:r>
    </w:p>
    <w:p>
      <w:pPr>
        <w:pStyle w:val="a2"/>
        <w:ind w:firstLine="420"/>
        <w:rPr>
          <w:rFonts w:hAnsi="宋体"/>
          <w:bCs/>
          <w:szCs w:val="21"/>
        </w:rPr>
      </w:pPr>
      <w:r>
        <w:rPr>
          <w:rFonts w:hAnsi="宋体" w:hint="eastAsia"/>
          <w:bCs/>
          <w:szCs w:val="21"/>
        </w:rPr>
        <w:t>蓄电池按 7</w:t>
      </w:r>
      <w:r>
        <w:rPr>
          <w:rFonts w:hAnsi="宋体"/>
          <w:bCs/>
          <w:szCs w:val="21"/>
        </w:rPr>
        <w:t>.3.22</w:t>
      </w:r>
      <w:r>
        <w:rPr>
          <w:rFonts w:hAnsi="宋体" w:hint="eastAsia"/>
          <w:bCs/>
          <w:szCs w:val="21"/>
        </w:rPr>
        <w:t xml:space="preserve">试验时，对于2V蓄电池循环次数应不低于 </w:t>
      </w:r>
      <w:r>
        <w:rPr>
          <w:rFonts w:hAnsi="宋体"/>
          <w:bCs/>
          <w:szCs w:val="21"/>
        </w:rPr>
        <w:t>20</w:t>
      </w:r>
      <w:r>
        <w:rPr>
          <w:rFonts w:hAnsi="宋体" w:hint="eastAsia"/>
          <w:bCs/>
          <w:szCs w:val="21"/>
        </w:rPr>
        <w:t>00 次，其他电压等级的蓄电池循环次数应不低于</w:t>
      </w:r>
      <w:r>
        <w:rPr>
          <w:rFonts w:hAnsi="宋体"/>
          <w:bCs/>
          <w:szCs w:val="21"/>
        </w:rPr>
        <w:t>12</w:t>
      </w:r>
      <w:r>
        <w:rPr>
          <w:rFonts w:hAnsi="宋体" w:hint="eastAsia"/>
          <w:bCs/>
          <w:szCs w:val="21"/>
        </w:rPr>
        <w:t>00次。</w:t>
      </w:r>
    </w:p>
    <w:p>
      <w:pPr>
        <w:pStyle w:val="a2"/>
        <w:ind w:firstLine="420"/>
        <w:rPr>
          <w:rFonts w:hAnsi="宋体"/>
          <w:bCs/>
          <w:szCs w:val="21"/>
        </w:rPr>
      </w:pPr>
      <w:r>
        <w:rPr>
          <w:rFonts w:hAnsi="宋体" w:hint="eastAsia"/>
          <w:bCs/>
          <w:szCs w:val="21"/>
        </w:rPr>
        <w:t>注：上述循环能力耐久性试验为加速寿命试验，可任选其一进行试验。</w:t>
      </w:r>
    </w:p>
    <w:p>
      <w:pPr>
        <w:pStyle w:val="Heading4"/>
        <w:spacing w:before="151" w:after="151"/>
        <w:rPr>
          <w:b/>
        </w:rPr>
      </w:pPr>
      <w:r>
        <w:rPr>
          <w:rFonts w:hint="eastAsia"/>
        </w:rPr>
        <w:t>过放电敏感性</w:t>
      </w:r>
    </w:p>
    <w:p>
      <w:pPr>
        <w:pStyle w:val="a2"/>
        <w:ind w:firstLine="420"/>
        <w:rPr>
          <w:rFonts w:hAnsi="宋体"/>
          <w:bCs/>
          <w:szCs w:val="21"/>
        </w:rPr>
      </w:pPr>
      <w:r>
        <w:rPr>
          <w:rFonts w:hAnsi="宋体"/>
          <w:bCs/>
          <w:szCs w:val="21"/>
        </w:rPr>
        <w:t>蓄电池按</w:t>
      </w:r>
      <w:r>
        <w:rPr>
          <w:rFonts w:hAnsi="宋体" w:hint="eastAsia"/>
          <w:bCs/>
          <w:szCs w:val="21"/>
        </w:rPr>
        <w:t>7</w:t>
      </w:r>
      <w:r>
        <w:rPr>
          <w:rFonts w:hAnsi="宋体"/>
          <w:bCs/>
          <w:szCs w:val="21"/>
        </w:rPr>
        <w:t>.3.23试验</w:t>
      </w:r>
      <w:r>
        <w:rPr>
          <w:rFonts w:hAnsi="宋体" w:hint="eastAsia"/>
          <w:bCs/>
          <w:szCs w:val="21"/>
        </w:rPr>
        <w:t>，充电168h过程中负极端子表面温度不超出60℃，充电后10h率</w:t>
      </w:r>
      <w:r>
        <w:rPr>
          <w:rFonts w:hAnsi="宋体"/>
          <w:bCs/>
          <w:szCs w:val="21"/>
        </w:rPr>
        <w:t>容量Cao</w:t>
      </w:r>
      <w:r>
        <w:rPr>
          <w:rFonts w:hAnsi="宋体" w:hint="eastAsia"/>
          <w:bCs/>
          <w:szCs w:val="21"/>
        </w:rPr>
        <w:t>c</w:t>
      </w:r>
      <w:r>
        <w:rPr>
          <w:rFonts w:hAnsi="宋体"/>
          <w:bCs/>
          <w:szCs w:val="21"/>
        </w:rPr>
        <w:t>应不低于</w:t>
      </w:r>
      <w:r>
        <w:rPr>
          <w:rFonts w:hAnsi="宋体" w:hint="eastAsia"/>
          <w:bCs/>
          <w:szCs w:val="21"/>
        </w:rPr>
        <w:t>标称容量的10</w:t>
      </w:r>
      <w:r>
        <w:rPr>
          <w:rFonts w:hAnsi="宋体"/>
          <w:bCs/>
          <w:szCs w:val="21"/>
        </w:rPr>
        <w:t>0%。</w:t>
      </w:r>
    </w:p>
    <w:p>
      <w:pPr>
        <w:pStyle w:val="Heading4"/>
        <w:spacing w:before="151" w:after="151"/>
        <w:rPr>
          <w:b/>
        </w:rPr>
      </w:pPr>
      <w:r>
        <w:rPr>
          <w:rFonts w:hint="eastAsia"/>
        </w:rPr>
        <w:t>热失控敏感性</w:t>
      </w:r>
    </w:p>
    <w:p>
      <w:pPr>
        <w:pStyle w:val="a2"/>
        <w:ind w:firstLine="420"/>
        <w:rPr>
          <w:rFonts w:hAnsi="宋体"/>
          <w:bCs/>
          <w:szCs w:val="21"/>
        </w:rPr>
      </w:pPr>
      <w:r>
        <w:rPr>
          <w:rFonts w:hAnsi="宋体"/>
          <w:bCs/>
          <w:szCs w:val="21"/>
        </w:rPr>
        <w:t>蓄电池按</w:t>
      </w:r>
      <w:r>
        <w:rPr>
          <w:rFonts w:hAnsi="宋体" w:hint="eastAsia"/>
          <w:bCs/>
          <w:szCs w:val="21"/>
        </w:rPr>
        <w:t>7</w:t>
      </w:r>
      <w:r>
        <w:rPr>
          <w:rFonts w:hAnsi="宋体"/>
          <w:bCs/>
          <w:szCs w:val="21"/>
        </w:rPr>
        <w:t>.3.24试验，</w:t>
      </w:r>
      <w:r>
        <w:rPr>
          <w:rFonts w:hAnsi="宋体" w:hint="eastAsia"/>
          <w:bCs/>
          <w:szCs w:val="21"/>
        </w:rPr>
        <w:t>充电168h过程中负极端子表面温度不超出60℃，每24h之间电流的增长率</w:t>
      </w:r>
      <w:r>
        <w:rPr>
          <w:rFonts w:ascii="微软雅黑" w:eastAsia="微软雅黑" w:hAnsi="微软雅黑" w:cs="微软雅黑" w:hint="eastAsia"/>
          <w:bCs/>
          <w:i/>
          <w:szCs w:val="21"/>
        </w:rPr>
        <w:t>∆</w:t>
      </w:r>
      <w:r>
        <w:rPr>
          <w:rFonts w:hAnsi="宋体" w:hint="eastAsia"/>
          <w:bCs/>
          <w:i/>
          <w:szCs w:val="21"/>
        </w:rPr>
        <w:t>I</w:t>
      </w:r>
      <w:r>
        <w:rPr>
          <w:rFonts w:hAnsi="宋体" w:hint="eastAsia"/>
          <w:bCs/>
          <w:szCs w:val="21"/>
        </w:rPr>
        <w:t>应不超出50%。</w:t>
      </w:r>
    </w:p>
    <w:p>
      <w:pPr>
        <w:pStyle w:val="Heading4"/>
        <w:spacing w:before="151" w:after="151"/>
        <w:rPr>
          <w:b/>
        </w:rPr>
      </w:pPr>
      <w:r>
        <w:rPr>
          <w:rFonts w:hint="eastAsia"/>
        </w:rPr>
        <w:t>标志、标记耐久性</w:t>
      </w:r>
    </w:p>
    <w:p>
      <w:pPr>
        <w:pStyle w:val="a2"/>
        <w:ind w:firstLine="420"/>
        <w:rPr>
          <w:rFonts w:hAnsi="宋体"/>
          <w:bCs/>
          <w:szCs w:val="21"/>
        </w:rPr>
        <w:sectPr>
          <w:headerReference w:type="even" r:id="rId53"/>
          <w:headerReference w:type="default" r:id="rId54"/>
          <w:footerReference w:type="even" r:id="rId55"/>
          <w:footerReference w:type="default" r:id="rId56"/>
          <w:headerReference w:type="first" r:id="rId57"/>
          <w:footerReference w:type="first" r:id="rId58"/>
          <w:type w:val="nextPage"/>
          <w:pgSz w:w="11907" w:h="16839"/>
          <w:pgMar w:top="1134" w:right="1134" w:bottom="1134" w:left="1418" w:header="1134" w:footer="1134" w:gutter="0"/>
          <w:pgNumType w:start="8"/>
          <w:cols w:num="1" w:space="720"/>
          <w:titlePg w:val="0"/>
          <w:docGrid w:type="linesAndChars" w:linePitch="303" w:charSpace="0"/>
        </w:sectPr>
      </w:pPr>
      <w:r>
        <w:rPr>
          <w:rFonts w:hAnsi="宋体"/>
          <w:bCs/>
          <w:szCs w:val="21"/>
        </w:rPr>
        <w:t>蓄电池按</w:t>
      </w:r>
      <w:r>
        <w:rPr>
          <w:rFonts w:hAnsi="宋体" w:hint="eastAsia"/>
          <w:bCs/>
          <w:szCs w:val="21"/>
        </w:rPr>
        <w:t>7</w:t>
      </w:r>
      <w:r>
        <w:rPr>
          <w:rFonts w:hAnsi="宋体"/>
          <w:bCs/>
          <w:szCs w:val="21"/>
        </w:rPr>
        <w:t>.3.25试验，</w:t>
      </w:r>
      <w:r>
        <w:rPr>
          <w:rFonts w:hAnsi="宋体" w:hint="eastAsia"/>
          <w:bCs/>
          <w:szCs w:val="21"/>
        </w:rPr>
        <w:t>标志、标记应耐久显示</w:t>
      </w:r>
      <w:r>
        <w:rPr>
          <w:rFonts w:hAnsi="宋体"/>
          <w:bCs/>
          <w:szCs w:val="21"/>
        </w:rPr>
        <w:t>。</w:t>
      </w:r>
    </w:p>
    <w:p>
      <w:pPr>
        <w:pStyle w:val="Heading2"/>
        <w:rPr>
          <w:b/>
          <w:bCs/>
        </w:rPr>
      </w:pPr>
      <w:bookmarkStart w:id="295" w:name="_Toc155426396"/>
      <w:bookmarkStart w:id="296" w:name="_Toc10534"/>
      <w:r>
        <w:rPr>
          <w:rFonts w:hint="eastAsia"/>
        </w:rPr>
        <w:t>试验方法</w:t>
      </w:r>
      <w:bookmarkEnd w:id="295"/>
      <w:bookmarkEnd w:id="296"/>
    </w:p>
    <w:p>
      <w:pPr>
        <w:pStyle w:val="Heading3"/>
        <w:rPr>
          <w:b/>
        </w:rPr>
      </w:pPr>
      <w:bookmarkStart w:id="297" w:name="_Toc155426397"/>
      <w:bookmarkStart w:id="298" w:name="_Toc20956"/>
      <w:r>
        <w:rPr>
          <w:rFonts w:hint="eastAsia"/>
        </w:rPr>
        <w:t>测量仪器</w:t>
      </w:r>
      <w:bookmarkEnd w:id="297"/>
      <w:bookmarkEnd w:id="298"/>
    </w:p>
    <w:p>
      <w:pPr>
        <w:pStyle w:val="Heading4"/>
        <w:spacing w:before="151" w:after="151"/>
        <w:rPr>
          <w:b/>
        </w:rPr>
      </w:pPr>
      <w:r>
        <w:rPr>
          <w:rFonts w:hint="eastAsia"/>
        </w:rPr>
        <w:t>仪器要求</w:t>
      </w:r>
    </w:p>
    <w:p>
      <w:pPr>
        <w:pStyle w:val="a2"/>
        <w:ind w:firstLine="420"/>
        <w:rPr>
          <w:rFonts w:hAnsi="宋体"/>
          <w:bCs/>
          <w:szCs w:val="21"/>
        </w:rPr>
      </w:pPr>
      <w:r>
        <w:rPr>
          <w:rFonts w:hAnsi="宋体"/>
          <w:bCs/>
          <w:szCs w:val="21"/>
        </w:rPr>
        <w:t>所用</w:t>
      </w:r>
      <w:r>
        <w:rPr>
          <w:rFonts w:hAnsi="宋体" w:hint="eastAsia"/>
          <w:bCs/>
          <w:szCs w:val="21"/>
        </w:rPr>
        <w:t>测量仪器</w:t>
      </w:r>
      <w:r>
        <w:rPr>
          <w:rFonts w:hAnsi="宋体"/>
          <w:bCs/>
          <w:szCs w:val="21"/>
        </w:rPr>
        <w:t>的量程应满足测量需要，仪</w:t>
      </w:r>
      <w:r>
        <w:rPr>
          <w:rFonts w:hAnsi="宋体" w:hint="eastAsia"/>
          <w:bCs/>
          <w:szCs w:val="21"/>
        </w:rPr>
        <w:t>器</w:t>
      </w:r>
      <w:r>
        <w:rPr>
          <w:rFonts w:hAnsi="宋体"/>
          <w:bCs/>
          <w:szCs w:val="21"/>
        </w:rPr>
        <w:t>引入的扩展不确定度（包含概率</w:t>
      </w:r>
      <w:r>
        <w:rPr>
          <w:rFonts w:hAnsi="宋体"/>
          <w:bCs/>
          <w:i/>
          <w:szCs w:val="21"/>
        </w:rPr>
        <w:t>p</w:t>
      </w:r>
      <w:r>
        <w:rPr>
          <w:rFonts w:hAnsi="宋体"/>
          <w:bCs/>
          <w:szCs w:val="21"/>
        </w:rPr>
        <w:t>=0.95）应不大于被测量允差绝对值的1/3。</w:t>
      </w:r>
    </w:p>
    <w:p>
      <w:pPr>
        <w:pStyle w:val="Heading4"/>
        <w:spacing w:before="151" w:after="151"/>
        <w:rPr>
          <w:b/>
        </w:rPr>
      </w:pPr>
      <w:r>
        <w:rPr>
          <w:rFonts w:hint="eastAsia"/>
        </w:rPr>
        <w:t>内阻测量</w:t>
      </w:r>
    </w:p>
    <w:p>
      <w:pPr>
        <w:pStyle w:val="a2"/>
        <w:ind w:firstLine="420"/>
        <w:rPr>
          <w:rFonts w:hAnsi="宋体"/>
          <w:bCs/>
          <w:szCs w:val="21"/>
        </w:rPr>
      </w:pPr>
      <w:r>
        <w:rPr>
          <w:rFonts w:hAnsi="宋体" w:hint="eastAsia"/>
          <w:bCs/>
          <w:szCs w:val="21"/>
        </w:rPr>
        <w:t>测量对地短路电流和实验室测量内阻的仪器应具有0.1级精度或6位半显示。</w:t>
      </w:r>
    </w:p>
    <w:p>
      <w:pPr>
        <w:pStyle w:val="Heading4"/>
        <w:spacing w:before="151" w:after="151"/>
        <w:rPr>
          <w:b/>
        </w:rPr>
      </w:pPr>
      <w:r>
        <w:t>电流测量</w:t>
      </w:r>
    </w:p>
    <w:p>
      <w:pPr>
        <w:pStyle w:val="a2"/>
        <w:ind w:firstLine="420"/>
        <w:rPr>
          <w:rFonts w:hAnsi="宋体"/>
          <w:bCs/>
          <w:szCs w:val="21"/>
        </w:rPr>
      </w:pPr>
      <w:r>
        <w:rPr>
          <w:rFonts w:hAnsi="宋体"/>
          <w:bCs/>
          <w:szCs w:val="21"/>
        </w:rPr>
        <w:t>电流测量用的仪表准确度等级应不低于0.5级。</w:t>
      </w:r>
    </w:p>
    <w:p>
      <w:pPr>
        <w:pStyle w:val="Heading4"/>
        <w:spacing w:before="151" w:after="151"/>
        <w:rPr>
          <w:b/>
        </w:rPr>
      </w:pPr>
      <w:r>
        <w:t>温度测量</w:t>
      </w:r>
    </w:p>
    <w:p>
      <w:pPr>
        <w:pStyle w:val="a2"/>
        <w:ind w:firstLine="420"/>
        <w:rPr>
          <w:rFonts w:hAnsi="宋体"/>
          <w:bCs/>
          <w:szCs w:val="21"/>
        </w:rPr>
      </w:pPr>
      <w:r>
        <w:rPr>
          <w:rFonts w:hAnsi="宋体"/>
          <w:bCs/>
          <w:szCs w:val="21"/>
        </w:rPr>
        <w:t>温度测量用的温度计应具有适当的量程，其分度值应不大于1℃,精度应不低于0.5℃。</w:t>
      </w:r>
    </w:p>
    <w:p>
      <w:pPr>
        <w:pStyle w:val="Heading4"/>
        <w:spacing w:before="151" w:after="151"/>
        <w:rPr>
          <w:b/>
        </w:rPr>
      </w:pPr>
      <w:r>
        <w:t>时间测量</w:t>
      </w:r>
    </w:p>
    <w:p>
      <w:pPr>
        <w:pStyle w:val="a2"/>
        <w:ind w:firstLine="420"/>
        <w:rPr>
          <w:rFonts w:hAnsi="宋体"/>
          <w:bCs/>
          <w:szCs w:val="21"/>
        </w:rPr>
      </w:pPr>
      <w:r>
        <w:rPr>
          <w:rFonts w:hAnsi="宋体"/>
          <w:bCs/>
          <w:szCs w:val="21"/>
        </w:rPr>
        <w:t>时间测量用的仪表应按时、分、秒分度，至少应具</w:t>
      </w:r>
      <w:r>
        <w:rPr>
          <w:rFonts w:hAnsi="宋体"/>
          <w:bCs/>
          <w:spacing w:val="-9"/>
          <w:szCs w:val="21"/>
        </w:rPr>
        <w:t>有±1%的准确度。</w:t>
      </w:r>
    </w:p>
    <w:p>
      <w:pPr>
        <w:pStyle w:val="Heading4"/>
        <w:spacing w:before="151" w:after="151"/>
        <w:rPr>
          <w:b/>
        </w:rPr>
      </w:pPr>
      <w:r>
        <w:t>尺寸测量</w:t>
      </w:r>
    </w:p>
    <w:p>
      <w:pPr>
        <w:pStyle w:val="a2"/>
        <w:ind w:firstLine="420"/>
        <w:rPr>
          <w:rFonts w:hAnsi="宋体"/>
          <w:bCs/>
          <w:szCs w:val="21"/>
        </w:rPr>
      </w:pPr>
      <w:r>
        <w:rPr>
          <w:rFonts w:hAnsi="宋体"/>
          <w:bCs/>
          <w:szCs w:val="21"/>
        </w:rPr>
        <w:t>尺寸测量用的量具，其分度值应不大于1</w:t>
      </w:r>
      <w:r>
        <w:rPr>
          <w:rFonts w:hAnsi="宋体"/>
          <w:bCs/>
          <w:spacing w:val="-13"/>
          <w:szCs w:val="21"/>
        </w:rPr>
        <w:t xml:space="preserve"> </w:t>
      </w:r>
      <w:r>
        <w:rPr>
          <w:rFonts w:hAnsi="宋体"/>
          <w:bCs/>
          <w:szCs w:val="21"/>
        </w:rPr>
        <w:t>mm。</w:t>
      </w:r>
    </w:p>
    <w:p>
      <w:pPr>
        <w:pStyle w:val="Heading4"/>
        <w:spacing w:before="151" w:after="151"/>
        <w:rPr>
          <w:b/>
        </w:rPr>
      </w:pPr>
      <w:r>
        <w:t>密封性能测量</w:t>
      </w:r>
    </w:p>
    <w:p>
      <w:pPr>
        <w:pStyle w:val="a2"/>
        <w:ind w:firstLine="420"/>
        <w:rPr>
          <w:rFonts w:hAnsi="宋体"/>
          <w:bCs/>
          <w:szCs w:val="21"/>
        </w:rPr>
      </w:pPr>
      <w:r>
        <w:rPr>
          <w:rFonts w:hAnsi="宋体"/>
          <w:bCs/>
          <w:szCs w:val="21"/>
        </w:rPr>
        <w:t>密封性能测量用的仪表，精度应不低于0.2</w:t>
      </w:r>
      <w:r>
        <w:rPr>
          <w:rFonts w:hAnsi="宋体"/>
          <w:bCs/>
          <w:spacing w:val="5"/>
          <w:szCs w:val="21"/>
        </w:rPr>
        <w:t>5级。</w:t>
      </w:r>
    </w:p>
    <w:p>
      <w:pPr>
        <w:pStyle w:val="Heading3"/>
        <w:rPr>
          <w:b/>
        </w:rPr>
      </w:pPr>
      <w:bookmarkStart w:id="299" w:name="_Toc948"/>
      <w:bookmarkStart w:id="300" w:name="_Toc155426398"/>
      <w:r>
        <w:rPr>
          <w:rFonts w:hint="eastAsia"/>
        </w:rPr>
        <w:t>试验前的准备</w:t>
      </w:r>
      <w:bookmarkEnd w:id="299"/>
      <w:bookmarkEnd w:id="300"/>
    </w:p>
    <w:p>
      <w:pPr>
        <w:pStyle w:val="Heading4"/>
        <w:spacing w:before="151" w:after="151"/>
        <w:rPr>
          <w:b/>
        </w:rPr>
      </w:pPr>
      <w:r>
        <w:rPr>
          <w:rFonts w:hint="eastAsia"/>
        </w:rPr>
        <w:t>样品要求</w:t>
      </w:r>
    </w:p>
    <w:p>
      <w:pPr>
        <w:pStyle w:val="a2"/>
        <w:ind w:firstLine="420"/>
        <w:rPr>
          <w:rFonts w:hAnsi="宋体"/>
          <w:bCs/>
          <w:szCs w:val="21"/>
        </w:rPr>
      </w:pPr>
      <w:r>
        <w:rPr>
          <w:rFonts w:hAnsi="宋体" w:hint="eastAsia"/>
          <w:bCs/>
          <w:szCs w:val="21"/>
        </w:rPr>
        <w:t>样品应是近三个月内生产的合格产品，贮存条件应符合</w:t>
      </w:r>
      <w:r>
        <w:rPr>
          <w:rFonts w:hAnsi="宋体"/>
          <w:bCs/>
          <w:szCs w:val="21"/>
        </w:rPr>
        <w:t>10.7的规定</w:t>
      </w:r>
      <w:r>
        <w:rPr>
          <w:rFonts w:hAnsi="宋体" w:hint="eastAsia"/>
          <w:bCs/>
          <w:szCs w:val="21"/>
        </w:rPr>
        <w:t>，检验前应将其完全充电。</w:t>
      </w:r>
    </w:p>
    <w:p>
      <w:pPr>
        <w:pStyle w:val="Heading4"/>
        <w:spacing w:before="151" w:after="151"/>
        <w:rPr>
          <w:b/>
        </w:rPr>
      </w:pPr>
      <w:r>
        <w:rPr>
          <w:rFonts w:hint="eastAsia"/>
        </w:rPr>
        <w:t>充电要求</w:t>
      </w:r>
    </w:p>
    <w:p>
      <w:pPr>
        <w:pStyle w:val="a2"/>
        <w:ind w:firstLine="420"/>
        <w:rPr>
          <w:rFonts w:hAnsi="宋体"/>
          <w:bCs/>
          <w:szCs w:val="21"/>
        </w:rPr>
      </w:pPr>
      <w:r>
        <w:rPr>
          <w:rFonts w:hAnsi="宋体"/>
          <w:bCs/>
          <w:szCs w:val="21"/>
        </w:rPr>
        <w:t>样品在25</w:t>
      </w:r>
      <w:r>
        <w:rPr>
          <w:rFonts w:hAnsi="宋体" w:hint="eastAsia"/>
          <w:bCs/>
          <w:szCs w:val="21"/>
        </w:rPr>
        <w:t>℃±</w:t>
      </w:r>
      <w:r>
        <w:rPr>
          <w:rFonts w:hAnsi="宋体"/>
          <w:bCs/>
          <w:szCs w:val="21"/>
        </w:rPr>
        <w:t>5</w:t>
      </w:r>
      <w:r>
        <w:rPr>
          <w:rFonts w:hAnsi="宋体" w:hint="eastAsia"/>
          <w:bCs/>
          <w:szCs w:val="21"/>
        </w:rPr>
        <w:t>℃环境温度下</w:t>
      </w:r>
      <w:r>
        <w:rPr>
          <w:rFonts w:hAnsi="宋体"/>
          <w:bCs/>
          <w:szCs w:val="21"/>
        </w:rPr>
        <w:t>，以每单体2.4V限压、1.0</w:t>
      </w:r>
      <w:r>
        <w:rPr>
          <w:rFonts w:hAnsi="宋体"/>
          <w:bCs/>
          <w:i/>
          <w:iCs/>
          <w:szCs w:val="21"/>
        </w:rPr>
        <w:t>I</w:t>
      </w:r>
      <w:r>
        <w:rPr>
          <w:rFonts w:hAnsi="宋体"/>
          <w:bCs/>
          <w:i/>
          <w:iCs/>
          <w:szCs w:val="21"/>
          <w:vertAlign w:val="subscript"/>
        </w:rPr>
        <w:t>10</w:t>
      </w:r>
      <w:r>
        <w:rPr>
          <w:rFonts w:hAnsi="宋体"/>
          <w:bCs/>
          <w:szCs w:val="21"/>
        </w:rPr>
        <w:t>限流，充电至电流在3h内不大于0.1</w:t>
      </w:r>
      <w:r>
        <w:rPr>
          <w:rFonts w:hAnsi="宋体"/>
          <w:bCs/>
          <w:i/>
          <w:iCs/>
          <w:szCs w:val="21"/>
        </w:rPr>
        <w:t>I</w:t>
      </w:r>
      <w:r>
        <w:rPr>
          <w:rFonts w:hAnsi="宋体"/>
          <w:bCs/>
          <w:i/>
          <w:iCs/>
          <w:szCs w:val="21"/>
          <w:vertAlign w:val="subscript"/>
        </w:rPr>
        <w:t>10</w:t>
      </w:r>
      <w:r>
        <w:rPr>
          <w:rFonts w:hAnsi="宋体"/>
          <w:bCs/>
          <w:szCs w:val="21"/>
        </w:rPr>
        <w:t>，认为样品已经完全充电。</w:t>
      </w:r>
    </w:p>
    <w:p>
      <w:pPr>
        <w:pStyle w:val="Heading4"/>
        <w:spacing w:before="151" w:after="151"/>
        <w:rPr>
          <w:b/>
        </w:rPr>
      </w:pPr>
      <w:r>
        <w:rPr>
          <w:rFonts w:hint="eastAsia"/>
        </w:rPr>
        <w:t>试验要求</w:t>
      </w:r>
    </w:p>
    <w:p>
      <w:pPr>
        <w:pStyle w:val="a2"/>
        <w:ind w:firstLine="420"/>
        <w:rPr>
          <w:rFonts w:hAnsi="宋体"/>
          <w:bCs/>
          <w:szCs w:val="21"/>
        </w:rPr>
      </w:pPr>
      <w:r>
        <w:rPr>
          <w:rFonts w:hAnsi="宋体" w:hint="eastAsia"/>
          <w:bCs/>
          <w:szCs w:val="21"/>
        </w:rPr>
        <w:t>样品在试验前或试验过程中，不应进行任何维护。</w:t>
      </w:r>
    </w:p>
    <w:p>
      <w:pPr>
        <w:pStyle w:val="Heading3"/>
        <w:rPr>
          <w:b/>
        </w:rPr>
      </w:pPr>
      <w:bookmarkStart w:id="301" w:name="_Toc2993"/>
      <w:bookmarkStart w:id="302" w:name="_Toc155426399"/>
      <w:r>
        <w:rPr>
          <w:rFonts w:hint="eastAsia"/>
        </w:rPr>
        <w:t>电池单体试验</w:t>
      </w:r>
      <w:bookmarkEnd w:id="301"/>
      <w:bookmarkEnd w:id="302"/>
    </w:p>
    <w:p>
      <w:pPr>
        <w:pStyle w:val="Heading4"/>
        <w:spacing w:before="151" w:after="151"/>
        <w:rPr>
          <w:b/>
        </w:rPr>
      </w:pPr>
      <w:bookmarkStart w:id="303" w:name="_Toc30432"/>
      <w:r>
        <w:rPr>
          <w:rFonts w:hint="eastAsia"/>
        </w:rPr>
        <w:t>外观与极性检查</w:t>
      </w:r>
      <w:bookmarkEnd w:id="303"/>
    </w:p>
    <w:p>
      <w:pPr>
        <w:pStyle w:val="a2"/>
        <w:ind w:firstLine="420"/>
        <w:rPr>
          <w:rFonts w:hAnsi="宋体"/>
          <w:bCs/>
          <w:szCs w:val="21"/>
        </w:rPr>
      </w:pPr>
      <w:r>
        <w:rPr>
          <w:rFonts w:hAnsi="宋体"/>
          <w:bCs/>
          <w:szCs w:val="21"/>
        </w:rPr>
        <w:t>目视检查蓄电池的</w:t>
      </w:r>
      <w:r>
        <w:rPr>
          <w:rFonts w:hAnsi="宋体" w:hint="eastAsia"/>
          <w:bCs/>
          <w:szCs w:val="21"/>
        </w:rPr>
        <w:t>外观与极性</w:t>
      </w:r>
      <w:r>
        <w:rPr>
          <w:rFonts w:hAnsi="宋体"/>
          <w:bCs/>
          <w:szCs w:val="21"/>
        </w:rPr>
        <w:t>，应符合</w:t>
      </w:r>
      <w:r>
        <w:rPr>
          <w:rFonts w:hAnsi="宋体" w:hint="eastAsia"/>
          <w:bCs/>
          <w:szCs w:val="21"/>
        </w:rPr>
        <w:t>6</w:t>
      </w:r>
      <w:r>
        <w:rPr>
          <w:rFonts w:hAnsi="宋体"/>
          <w:bCs/>
          <w:szCs w:val="21"/>
        </w:rPr>
        <w:t>.1.1的要求。</w:t>
      </w:r>
    </w:p>
    <w:p>
      <w:pPr>
        <w:pStyle w:val="Heading4"/>
        <w:spacing w:before="151" w:after="151"/>
        <w:rPr>
          <w:b/>
        </w:rPr>
      </w:pPr>
      <w:bookmarkStart w:id="304" w:name="_Toc22736"/>
      <w:r>
        <w:rPr>
          <w:rFonts w:hint="eastAsia"/>
        </w:rPr>
        <w:t>内部检查</w:t>
      </w:r>
      <w:bookmarkEnd w:id="304"/>
    </w:p>
    <w:p>
      <w:pPr>
        <w:pStyle w:val="a2"/>
        <w:ind w:firstLine="420"/>
        <w:rPr>
          <w:rFonts w:hAnsi="宋体"/>
          <w:bCs/>
          <w:szCs w:val="21"/>
        </w:rPr>
      </w:pPr>
      <w:r>
        <w:rPr>
          <w:rFonts w:hAnsi="宋体" w:hint="eastAsia"/>
          <w:bCs/>
          <w:szCs w:val="21"/>
        </w:rPr>
        <w:t>7.3.2.1</w:t>
      </w:r>
      <w:r>
        <w:rPr>
          <w:rFonts w:hAnsi="宋体"/>
          <w:bCs/>
          <w:szCs w:val="21"/>
        </w:rPr>
        <w:t>目视检查蓄电池的隔板，应符合</w:t>
      </w:r>
      <w:r>
        <w:rPr>
          <w:rFonts w:hAnsi="宋体" w:hint="eastAsia"/>
          <w:bCs/>
          <w:szCs w:val="21"/>
        </w:rPr>
        <w:t>6</w:t>
      </w:r>
      <w:r>
        <w:rPr>
          <w:rFonts w:hAnsi="宋体"/>
          <w:bCs/>
          <w:szCs w:val="21"/>
        </w:rPr>
        <w:t>.1.2的要求。</w:t>
      </w:r>
    </w:p>
    <w:p>
      <w:pPr>
        <w:pStyle w:val="a2"/>
        <w:ind w:firstLine="420"/>
        <w:rPr>
          <w:rFonts w:hAnsi="宋体"/>
          <w:bCs/>
          <w:szCs w:val="21"/>
        </w:rPr>
      </w:pPr>
      <w:r>
        <w:rPr>
          <w:rFonts w:hAnsi="宋体" w:hint="eastAsia"/>
          <w:bCs/>
          <w:szCs w:val="21"/>
        </w:rPr>
        <w:t>7.3.2.2</w:t>
      </w:r>
      <w:r>
        <w:rPr>
          <w:rFonts w:hAnsi="宋体"/>
          <w:bCs/>
          <w:szCs w:val="21"/>
        </w:rPr>
        <w:t>目视检查蓄电池的极板，应符合</w:t>
      </w:r>
      <w:r>
        <w:rPr>
          <w:rFonts w:hAnsi="宋体" w:hint="eastAsia"/>
          <w:bCs/>
          <w:szCs w:val="21"/>
        </w:rPr>
        <w:t>6</w:t>
      </w:r>
      <w:r>
        <w:rPr>
          <w:rFonts w:hAnsi="宋体"/>
          <w:bCs/>
          <w:szCs w:val="21"/>
        </w:rPr>
        <w:t>.1.</w:t>
      </w:r>
      <w:r>
        <w:rPr>
          <w:rFonts w:hAnsi="宋体" w:hint="eastAsia"/>
          <w:bCs/>
          <w:szCs w:val="21"/>
        </w:rPr>
        <w:t>3</w:t>
      </w:r>
      <w:r>
        <w:rPr>
          <w:rFonts w:hAnsi="宋体"/>
          <w:bCs/>
          <w:szCs w:val="21"/>
        </w:rPr>
        <w:t>的要求。</w:t>
      </w:r>
      <w:r>
        <w:rPr>
          <w:rFonts w:hAnsi="宋体"/>
          <w:bCs/>
          <w:szCs w:val="21"/>
        </w:rPr>
        <w:br/>
      </w:r>
      <w:r>
        <w:rPr>
          <w:rFonts w:hAnsi="宋体"/>
          <w:bCs/>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9" w:history="1">
        <w:r>
          <w:rPr>
            <w:rFonts w:ascii="SimSun" w:eastAsia="SimSun" w:hAnsi="SimSun" w:cs="SimSun"/>
            <w:b/>
            <w:bCs/>
            <w:color w:val="0000EE"/>
            <w:kern w:val="0"/>
            <w:sz w:val="30"/>
            <w:szCs w:val="30"/>
            <w:u w:val="single" w:color="0000EE"/>
          </w:rPr>
          <w:t>https://d.book118.com/785341124334011042</w:t>
        </w:r>
      </w:hyperlink>
    </w:p>
    <w:p>
      <w:pPr>
        <w:pStyle w:val="a2"/>
        <w:ind w:firstLine="420"/>
        <w:rPr>
          <w:rFonts w:hAnsi="宋体"/>
          <w:bCs/>
          <w:szCs w:val="21"/>
        </w:rPr>
      </w:pPr>
    </w:p>
    <w:sectPr>
      <w:headerReference w:type="even" r:id="rId60"/>
      <w:headerReference w:type="default" r:id="rId61"/>
      <w:footerReference w:type="even" r:id="rId62"/>
      <w:footerReference w:type="default" r:id="rId63"/>
      <w:headerReference w:type="first" r:id="rId64"/>
      <w:footerReference w:type="first" r:id="rId65"/>
      <w:type w:val="nextPage"/>
      <w:pgSz w:w="11907" w:h="16839"/>
      <w:pgMar w:top="1134" w:right="1134" w:bottom="1134" w:left="1418" w:header="1134" w:footer="1134" w:gutter="0"/>
      <w:pgNumType w:start="9"/>
      <w:cols w:num="1" w:space="720"/>
      <w:titlePg w:val="0"/>
      <w:docGrid w:type="linesAndChars"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Impact">
    <w:panose1 w:val="020B0806030902050204"/>
    <w:charset w:val="00"/>
    <w:family w:val="swiss"/>
    <w:pitch w:val="default"/>
    <w:sig w:usb0="00000287" w:usb1="00000000" w:usb2="00000000" w:usb3="00000000" w:csb0="2000009F" w:csb1="DFD7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roman"/>
    <w:pitch w:val="default"/>
    <w:sig w:usb0="00000000" w:usb1="0000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12065" b="14605"/>
              <wp:wrapNone/>
              <wp:docPr id="23"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txbx>
                      <w:txbxContent>
                        <w:p>
                          <w:pPr>
                            <w:pStyle w:val="Footer"/>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50" type="#_x0000_t202" style="width:2in;height:2in;margin-top:0;margin-left:0;mso-position-horizontal:right;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28</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71450" cy="131445"/>
              <wp:effectExtent l="0" t="0" r="12700" b="14605"/>
              <wp:wrapNone/>
              <wp:docPr id="24"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71450" cy="131445"/>
                      </a:xfrm>
                      <a:prstGeom prst="rect">
                        <a:avLst/>
                      </a:prstGeom>
                      <a:noFill/>
                      <a:ln w="6350">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49" type="#_x0000_t202" style="width:13.5pt;height:10.35pt;margin-top:0;margin-left:0;mso-position-horizontal:right;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0" w:rightChars="0"/>
      <w:jc w:val="left"/>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0" w:rightChars="0"/>
      <w:rPr>
        <w:rFonts w:ascii="宋体" w:hAnsi="宋体"/>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71450" cy="131445"/>
              <wp:effectExtent l="0" t="0" r="12700" b="14605"/>
              <wp:wrapNone/>
              <wp:docPr id="546394584"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71450" cy="131445"/>
                      </a:xfrm>
                      <a:prstGeom prst="rect">
                        <a:avLst/>
                      </a:prstGeom>
                      <a:noFill/>
                      <a:ln w="6350">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51" type="#_x0000_t202" style="width:13.5pt;height:10.35pt;margin-top:0;margin-left:0;mso-position-horizontal:right;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0" w:rightChars="0"/>
      <w:jc w:val="left"/>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0" w:rightChars="0"/>
      <w:rPr>
        <w:rFonts w:ascii="宋体" w:hAnsi="宋体"/>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71450" cy="131445"/>
              <wp:effectExtent l="0" t="0" r="12700" b="14605"/>
              <wp:wrapNone/>
              <wp:docPr id="1966325958"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71450" cy="131445"/>
                      </a:xfrm>
                      <a:prstGeom prst="rect">
                        <a:avLst/>
                      </a:prstGeom>
                      <a:noFill/>
                      <a:ln w="6350">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52" type="#_x0000_t202" style="width:13.5pt;height:10.35pt;margin-top:0;margin-left:0;mso-position-horizontal:right;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0" w:rightChars="0"/>
      <w:jc w:val="left"/>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0" w:rightChars="0"/>
      <w:rPr>
        <w:rFonts w:ascii="宋体" w:hAnsi="宋体"/>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posOffset>0</wp:posOffset>
              </wp:positionV>
              <wp:extent cx="171450" cy="131445"/>
              <wp:effectExtent l="0" t="0" r="12700" b="14605"/>
              <wp:wrapNone/>
              <wp:docPr id="971191944"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71450" cy="131445"/>
                      </a:xfrm>
                      <a:prstGeom prst="rect">
                        <a:avLst/>
                      </a:prstGeom>
                      <a:noFill/>
                      <a:ln w="6350">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53" type="#_x0000_t202" style="width:13.5pt;height:10.35pt;margin-top:0;margin-left:0;mso-position-horizontal:right;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0" w:rightChars="0"/>
      <w:jc w:val="left"/>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0" w:rightChars="0"/>
      <w:rPr>
        <w:rFonts w:ascii="宋体" w:hAnsi="宋体"/>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right</wp:align>
              </wp:positionH>
              <wp:positionV relativeFrom="paragraph">
                <wp:posOffset>0</wp:posOffset>
              </wp:positionV>
              <wp:extent cx="171450" cy="131445"/>
              <wp:effectExtent l="0" t="0" r="12700" b="14605"/>
              <wp:wrapNone/>
              <wp:docPr id="1486500560"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71450" cy="131445"/>
                      </a:xfrm>
                      <a:prstGeom prst="rect">
                        <a:avLst/>
                      </a:prstGeom>
                      <a:noFill/>
                      <a:ln w="6350">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54" type="#_x0000_t202" style="width:13.5pt;height:10.35pt;margin-top:0;margin-left:0;mso-position-horizontal:right;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0" w:rightChars="0"/>
      <w:jc w:val="left"/>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0" w:rightChars="0"/>
      <w:rPr>
        <w:rFonts w:ascii="宋体" w:hAnsi="宋体"/>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1552" behindDoc="0" locked="0" layoutInCell="1" allowOverlap="1">
              <wp:simplePos x="0" y="0"/>
              <wp:positionH relativeFrom="margin">
                <wp:align>right</wp:align>
              </wp:positionH>
              <wp:positionV relativeFrom="paragraph">
                <wp:posOffset>0</wp:posOffset>
              </wp:positionV>
              <wp:extent cx="171450" cy="131445"/>
              <wp:effectExtent l="0" t="0" r="12700" b="14605"/>
              <wp:wrapNone/>
              <wp:docPr id="248341607"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71450" cy="131445"/>
                      </a:xfrm>
                      <a:prstGeom prst="rect">
                        <a:avLst/>
                      </a:prstGeom>
                      <a:noFill/>
                      <a:ln w="6350">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55" type="#_x0000_t202" style="width:13.5pt;height:10.35pt;margin-top:0;margin-left:0;mso-position-horizontal:right;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0" w:rightChars="0"/>
      <w:jc w:val="left"/>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0" w:rightChars="0"/>
      <w:rPr>
        <w:rFonts w:ascii="宋体" w:hAnsi="宋体"/>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3600" behindDoc="0" locked="0" layoutInCell="1" allowOverlap="1">
              <wp:simplePos x="0" y="0"/>
              <wp:positionH relativeFrom="margin">
                <wp:align>right</wp:align>
              </wp:positionH>
              <wp:positionV relativeFrom="paragraph">
                <wp:posOffset>0</wp:posOffset>
              </wp:positionV>
              <wp:extent cx="171450" cy="131445"/>
              <wp:effectExtent l="0" t="0" r="12700" b="14605"/>
              <wp:wrapNone/>
              <wp:docPr id="718867192"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71450" cy="131445"/>
                      </a:xfrm>
                      <a:prstGeom prst="rect">
                        <a:avLst/>
                      </a:prstGeom>
                      <a:noFill/>
                      <a:ln w="6350">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56" type="#_x0000_t202" style="width:13.5pt;height:10.35pt;margin-top:0;margin-left:0;mso-position-horizontal:right;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0" w:rightChars="0"/>
      <w:jc w:val="left"/>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0" w:rightChars="0"/>
      <w:rPr>
        <w:rFonts w:ascii="宋体" w:hAnsi="宋体"/>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5648" behindDoc="0" locked="0" layoutInCell="1" allowOverlap="1">
              <wp:simplePos x="0" y="0"/>
              <wp:positionH relativeFrom="margin">
                <wp:align>right</wp:align>
              </wp:positionH>
              <wp:positionV relativeFrom="paragraph">
                <wp:posOffset>0</wp:posOffset>
              </wp:positionV>
              <wp:extent cx="171450" cy="131445"/>
              <wp:effectExtent l="0" t="0" r="12700" b="14605"/>
              <wp:wrapNone/>
              <wp:docPr id="243466754"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71450" cy="131445"/>
                      </a:xfrm>
                      <a:prstGeom prst="rect">
                        <a:avLst/>
                      </a:prstGeom>
                      <a:noFill/>
                      <a:ln w="6350">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57" type="#_x0000_t202" style="width:13.5pt;height:10.35pt;margin-top:0;margin-left:0;mso-position-horizontal:right;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0" w:rightChars="0"/>
      <w:jc w:val="left"/>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0" w:rightChars="0"/>
      <w:rPr>
        <w:rFonts w:ascii="宋体" w:hAnsi="宋体"/>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7696" behindDoc="0" locked="0" layoutInCell="1" allowOverlap="1">
              <wp:simplePos x="0" y="0"/>
              <wp:positionH relativeFrom="margin">
                <wp:align>right</wp:align>
              </wp:positionH>
              <wp:positionV relativeFrom="paragraph">
                <wp:posOffset>0</wp:posOffset>
              </wp:positionV>
              <wp:extent cx="171450" cy="131445"/>
              <wp:effectExtent l="0" t="0" r="12700" b="14605"/>
              <wp:wrapNone/>
              <wp:docPr id="1368163287"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71450" cy="131445"/>
                      </a:xfrm>
                      <a:prstGeom prst="rect">
                        <a:avLst/>
                      </a:prstGeom>
                      <a:noFill/>
                      <a:ln w="6350">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58" type="#_x0000_t202" style="width:13.5pt;height:10.35pt;margin-top:0;margin-left:0;mso-position-horizontal:right;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0" w:rightChars="0"/>
      <w:jc w:val="left"/>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0" w:rightChars="0"/>
      <w:rPr>
        <w:rFonts w:ascii="宋体" w:hAnsi="宋体"/>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9744" behindDoc="0" locked="0" layoutInCell="1" allowOverlap="1">
              <wp:simplePos x="0" y="0"/>
              <wp:positionH relativeFrom="margin">
                <wp:align>right</wp:align>
              </wp:positionH>
              <wp:positionV relativeFrom="paragraph">
                <wp:posOffset>0</wp:posOffset>
              </wp:positionV>
              <wp:extent cx="171450" cy="131445"/>
              <wp:effectExtent l="0" t="0" r="12700" b="14605"/>
              <wp:wrapNone/>
              <wp:docPr id="348853736"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71450" cy="131445"/>
                      </a:xfrm>
                      <a:prstGeom prst="rect">
                        <a:avLst/>
                      </a:prstGeom>
                      <a:noFill/>
                      <a:ln w="6350">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59" type="#_x0000_t202" style="width:13.5pt;height:10.35pt;margin-top:0;margin-left:0;mso-position-horizontal:right;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8"/>
    </w:pPr>
    <w:r>
      <w:t>DB51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2" w:color="auto"/>
      </w:pBdr>
      <w:jc w:val="both"/>
      <w:rPr>
        <w:rFonts w:ascii="黑体" w:eastAsia="黑体" w:hAnsi="黑体" w:cs="黑体"/>
        <w:kern w:val="44"/>
        <w:sz w:val="21"/>
        <w:szCs w:val="21"/>
      </w:rPr>
    </w:pPr>
    <w:r>
      <w:rPr>
        <w:rFonts w:ascii="黑体" w:eastAsia="黑体" w:hAnsi="黑体" w:cs="黑体" w:hint="eastAsia"/>
        <w:kern w:val="44"/>
        <w:sz w:val="21"/>
        <w:szCs w:val="21"/>
      </w:rPr>
      <w:t xml:space="preserve">ICS </w:t>
    </w:r>
  </w:p>
  <w:p>
    <w:pPr>
      <w:pStyle w:val="Header"/>
      <w:pBdr>
        <w:bottom w:val="single" w:sz="4" w:space="12" w:color="auto"/>
      </w:pBdr>
      <w:jc w:val="both"/>
      <w:rPr>
        <w:rFonts w:ascii="Calibri" w:hAnsi="Impact"/>
        <w:kern w:val="44"/>
        <w:sz w:val="21"/>
        <w:szCs w:val="21"/>
      </w:rPr>
    </w:pPr>
    <w:r>
      <w:rPr>
        <w:rFonts w:ascii="黑体" w:eastAsia="黑体" w:hAnsi="黑体" w:cs="黑体" w:hint="eastAsia"/>
        <w:kern w:val="44"/>
        <w:sz w:val="21"/>
        <w:szCs w:val="21"/>
      </w:rPr>
      <w:t>CCS</w:t>
    </w:r>
    <w:r>
      <w:rPr>
        <w:rFonts w:ascii="Calibri" w:hAnsi="Impact" w:hint="eastAsia"/>
        <w:kern w:val="44"/>
        <w:sz w:val="21"/>
        <w:szCs w:val="21"/>
      </w:rPr>
      <w:t xml:space="preserve"> </w:t>
    </w:r>
  </w:p>
  <w:p>
    <w:pPr>
      <w:pStyle w:val="Header"/>
      <w:pBdr>
        <w:bottom w:val="single" w:sz="4" w:space="12" w:color="auto"/>
      </w:pBdr>
      <w:rPr>
        <w:rFonts w:ascii="Impact" w:hAnsi="Impact"/>
        <w:b/>
        <w:bCs/>
        <w:kern w:val="44"/>
        <w:sz w:val="44"/>
        <w:szCs w:val="44"/>
      </w:rPr>
    </w:pPr>
  </w:p>
  <w:p>
    <w:pPr>
      <w:pStyle w:val="Header"/>
      <w:pBdr>
        <w:bottom w:val="single" w:sz="4" w:space="12" w:color="auto"/>
      </w:pBdr>
      <w:rPr>
        <w:b/>
        <w:sz w:val="48"/>
      </w:rPr>
    </w:pPr>
  </w:p>
  <w:p>
    <w:pPr>
      <w:pStyle w:val="Header"/>
      <w:pBdr>
        <w:bottom w:val="single" w:sz="4" w:space="12" w:color="auto"/>
      </w:pBdr>
      <w:rPr>
        <w:rFonts w:ascii="黑体" w:eastAsia="黑体" w:hAnsi="黑体" w:cs="黑体"/>
        <w:bCs/>
        <w:sz w:val="84"/>
        <w:szCs w:val="84"/>
      </w:rPr>
    </w:pPr>
    <w:r>
      <w:rPr>
        <w:rFonts w:ascii="黑体" w:eastAsia="黑体" w:hAnsi="黑体" w:cs="黑体" w:hint="eastAsia"/>
        <w:bCs/>
        <w:sz w:val="84"/>
        <w:szCs w:val="84"/>
      </w:rPr>
      <w:t>团  体  标  准</w:t>
    </w:r>
  </w:p>
  <w:p>
    <w:pPr>
      <w:pStyle w:val="Header"/>
      <w:pBdr>
        <w:bottom w:val="single" w:sz="4" w:space="12" w:color="auto"/>
      </w:pBdr>
      <w:wordWrap w:val="0"/>
      <w:spacing w:before="120" w:after="120"/>
      <w:ind w:firstLine="1950"/>
      <w:jc w:val="right"/>
      <w:rPr>
        <w:rFonts w:ascii="黑体" w:eastAsia="黑体" w:hAnsi="黑体" w:cs="黑体"/>
        <w:sz w:val="28"/>
        <w:szCs w:val="28"/>
      </w:rPr>
    </w:pPr>
    <w:r>
      <w:rPr>
        <w:rFonts w:ascii="黑体" w:eastAsia="黑体" w:hAnsi="黑体" w:cs="黑体" w:hint="eastAsia"/>
        <w:sz w:val="28"/>
        <w:szCs w:val="28"/>
      </w:rPr>
      <w:t>J/CIAPS-20230001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9"/>
    </w:pPr>
    <w: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 w:val="clear" w:pos="8306"/>
      </w:tabs>
      <w:jc w:val="both"/>
      <w:rPr>
        <w:rFonts w:ascii="黑体" w:eastAsia="黑体" w:hAnsi="黑体" w:cs="黑体"/>
        <w:sz w:val="21"/>
        <w:szCs w:val="21"/>
      </w:rPr>
    </w:pPr>
    <w:r>
      <w:rPr>
        <w:rFonts w:ascii="黑体" w:eastAsia="黑体" w:hAnsi="黑体" w:cs="黑体"/>
        <w:sz w:val="21"/>
        <w:szCs w:val="21"/>
      </w:rPr>
      <w:t>CIAPS-20230001</w:t>
    </w:r>
  </w:p>
  <w:p>
    <w:pPr>
      <w:pStyle w:val="a8"/>
      <w:jc w:val="both"/>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 w:val="clear" w:pos="8306"/>
      </w:tabs>
      <w:jc w:val="right"/>
      <w:rPr>
        <w:rFonts w:ascii="黑体" w:eastAsia="黑体" w:hAnsi="黑体" w:cs="黑体"/>
        <w:sz w:val="21"/>
        <w:szCs w:val="21"/>
      </w:rPr>
    </w:pPr>
    <w:r>
      <w:rPr>
        <w:rFonts w:ascii="黑体" w:eastAsia="黑体" w:hAnsi="黑体" w:cs="黑体"/>
        <w:sz w:val="21"/>
        <w:szCs w:val="21"/>
      </w:rPr>
      <w:t>CIAPS-20230001</w:t>
    </w:r>
  </w:p>
  <w:p>
    <w:pPr>
      <w:pStyle w:val="Header"/>
      <w:pBdr>
        <w:bottom w:val="none" w:sz="0" w:space="0" w:color="auto"/>
      </w:pBdr>
      <w:tabs>
        <w:tab w:val="clear" w:pos="4153"/>
        <w:tab w:val="clear" w:pos="8306"/>
      </w:tabs>
      <w:jc w:val="righ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9"/>
    </w:pPr>
    <w: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 w:val="clear" w:pos="8306"/>
      </w:tabs>
      <w:jc w:val="both"/>
      <w:rPr>
        <w:rFonts w:ascii="黑体" w:eastAsia="黑体" w:hAnsi="黑体" w:cs="黑体"/>
        <w:sz w:val="21"/>
        <w:szCs w:val="21"/>
      </w:rPr>
    </w:pPr>
    <w:r>
      <w:rPr>
        <w:rFonts w:ascii="黑体" w:eastAsia="黑体" w:hAnsi="黑体" w:cs="黑体"/>
        <w:sz w:val="21"/>
        <w:szCs w:val="21"/>
      </w:rPr>
      <w:t>CIAPS-20230001</w:t>
    </w:r>
  </w:p>
  <w:p>
    <w:pPr>
      <w:pStyle w:val="a8"/>
      <w:jc w:val="both"/>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 w:val="clear" w:pos="8306"/>
      </w:tabs>
      <w:jc w:val="right"/>
      <w:rPr>
        <w:rFonts w:ascii="黑体" w:eastAsia="黑体" w:hAnsi="黑体" w:cs="黑体"/>
        <w:sz w:val="21"/>
        <w:szCs w:val="21"/>
      </w:rPr>
    </w:pPr>
    <w:r>
      <w:rPr>
        <w:rFonts w:ascii="黑体" w:eastAsia="黑体" w:hAnsi="黑体" w:cs="黑体"/>
        <w:sz w:val="21"/>
        <w:szCs w:val="21"/>
      </w:rPr>
      <w:t>CIAPS-20230001</w:t>
    </w:r>
  </w:p>
  <w:p>
    <w:pPr>
      <w:pStyle w:val="Header"/>
      <w:pBdr>
        <w:bottom w:val="none" w:sz="0" w:space="0" w:color="auto"/>
      </w:pBdr>
      <w:tabs>
        <w:tab w:val="clear" w:pos="4153"/>
        <w:tab w:val="clear" w:pos="8306"/>
      </w:tabs>
      <w:jc w:val="right"/>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9"/>
    </w:pPr>
    <w: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 w:val="clear" w:pos="8306"/>
      </w:tabs>
      <w:jc w:val="both"/>
      <w:rPr>
        <w:rFonts w:ascii="黑体" w:eastAsia="黑体" w:hAnsi="黑体" w:cs="黑体"/>
        <w:sz w:val="21"/>
        <w:szCs w:val="21"/>
      </w:rPr>
    </w:pPr>
    <w:r>
      <w:rPr>
        <w:rFonts w:ascii="黑体" w:eastAsia="黑体" w:hAnsi="黑体" w:cs="黑体"/>
        <w:sz w:val="21"/>
        <w:szCs w:val="21"/>
      </w:rPr>
      <w:t>CIAPS-20230001</w:t>
    </w:r>
  </w:p>
  <w:p>
    <w:pPr>
      <w:pStyle w:val="a8"/>
      <w:jc w:val="both"/>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 w:val="clear" w:pos="8306"/>
      </w:tabs>
      <w:jc w:val="right"/>
      <w:rPr>
        <w:rFonts w:ascii="黑体" w:eastAsia="黑体" w:hAnsi="黑体" w:cs="黑体"/>
        <w:sz w:val="21"/>
        <w:szCs w:val="21"/>
      </w:rPr>
    </w:pPr>
    <w:r>
      <w:rPr>
        <w:rFonts w:ascii="黑体" w:eastAsia="黑体" w:hAnsi="黑体" w:cs="黑体"/>
        <w:sz w:val="21"/>
        <w:szCs w:val="21"/>
      </w:rPr>
      <w:t>CIAPS-20230001</w:t>
    </w:r>
  </w:p>
  <w:p>
    <w:pPr>
      <w:pStyle w:val="Header"/>
      <w:pBdr>
        <w:bottom w:val="none" w:sz="0" w:space="0" w:color="auto"/>
      </w:pBdr>
      <w:tabs>
        <w:tab w:val="clear" w:pos="4153"/>
        <w:tab w:val="clear" w:pos="8306"/>
      </w:tabs>
      <w:jc w:val="right"/>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9"/>
    </w:pPr>
    <w: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 w:val="clear" w:pos="8306"/>
      </w:tabs>
      <w:jc w:val="both"/>
      <w:rPr>
        <w:rFonts w:ascii="黑体" w:eastAsia="黑体" w:hAnsi="黑体" w:cs="黑体"/>
        <w:sz w:val="21"/>
        <w:szCs w:val="21"/>
      </w:rPr>
    </w:pPr>
    <w:r>
      <w:rPr>
        <w:rFonts w:ascii="黑体" w:eastAsia="黑体" w:hAnsi="黑体" w:cs="黑体"/>
        <w:sz w:val="21"/>
        <w:szCs w:val="21"/>
      </w:rPr>
      <w:t>CIAPS-20230001</w:t>
    </w:r>
  </w:p>
  <w:p>
    <w:pPr>
      <w:pStyle w:val="a8"/>
      <w:jc w:val="both"/>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 w:val="clear" w:pos="8306"/>
      </w:tabs>
      <w:jc w:val="right"/>
      <w:rPr>
        <w:rFonts w:ascii="黑体" w:eastAsia="黑体" w:hAnsi="黑体" w:cs="黑体"/>
        <w:sz w:val="21"/>
        <w:szCs w:val="21"/>
      </w:rPr>
    </w:pPr>
    <w:r>
      <w:rPr>
        <w:rFonts w:ascii="黑体" w:eastAsia="黑体" w:hAnsi="黑体" w:cs="黑体"/>
        <w:sz w:val="21"/>
        <w:szCs w:val="21"/>
      </w:rPr>
      <w:t>CIAPS-20230001</w:t>
    </w:r>
  </w:p>
  <w:p>
    <w:pPr>
      <w:pStyle w:val="Header"/>
      <w:pBdr>
        <w:bottom w:val="none" w:sz="0" w:space="0" w:color="auto"/>
      </w:pBdr>
      <w:tabs>
        <w:tab w:val="clear" w:pos="4153"/>
        <w:tab w:val="clear" w:pos="8306"/>
      </w:tabs>
      <w:jc w:val="right"/>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9"/>
    </w:pPr>
    <w: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 w:val="clear" w:pos="8306"/>
      </w:tabs>
      <w:jc w:val="both"/>
      <w:rPr>
        <w:rFonts w:ascii="黑体" w:eastAsia="黑体" w:hAnsi="黑体" w:cs="黑体"/>
        <w:sz w:val="21"/>
        <w:szCs w:val="21"/>
      </w:rPr>
    </w:pPr>
    <w:r>
      <w:rPr>
        <w:rFonts w:ascii="黑体" w:eastAsia="黑体" w:hAnsi="黑体" w:cs="黑体"/>
        <w:sz w:val="21"/>
        <w:szCs w:val="21"/>
      </w:rPr>
      <w:t>CIAPS-20230001</w:t>
    </w:r>
  </w:p>
  <w:p>
    <w:pPr>
      <w:pStyle w:val="a8"/>
      <w:jc w:val="both"/>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 w:val="clear" w:pos="8306"/>
      </w:tabs>
      <w:jc w:val="right"/>
      <w:rPr>
        <w:rFonts w:ascii="黑体" w:eastAsia="黑体" w:hAnsi="黑体" w:cs="黑体"/>
        <w:sz w:val="21"/>
        <w:szCs w:val="21"/>
      </w:rPr>
    </w:pPr>
    <w:r>
      <w:rPr>
        <w:rFonts w:ascii="黑体" w:eastAsia="黑体" w:hAnsi="黑体" w:cs="黑体"/>
        <w:sz w:val="21"/>
        <w:szCs w:val="21"/>
      </w:rPr>
      <w:t>CIAPS-20230001</w:t>
    </w:r>
  </w:p>
  <w:p>
    <w:pPr>
      <w:pStyle w:val="Header"/>
      <w:pBdr>
        <w:bottom w:val="none" w:sz="0" w:space="0" w:color="auto"/>
      </w:pBdr>
      <w:tabs>
        <w:tab w:val="clear" w:pos="4153"/>
        <w:tab w:val="clear" w:pos="8306"/>
      </w:tabs>
      <w:jc w:val="right"/>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9"/>
    </w:pPr>
    <w:r>
      <w:t xml:space="preserve">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 w:val="clear" w:pos="8306"/>
      </w:tabs>
      <w:jc w:val="both"/>
      <w:rPr>
        <w:rFonts w:ascii="黑体" w:eastAsia="黑体" w:hAnsi="黑体" w:cs="黑体"/>
        <w:sz w:val="21"/>
        <w:szCs w:val="21"/>
      </w:rPr>
    </w:pPr>
    <w:r>
      <w:rPr>
        <w:rFonts w:ascii="黑体" w:eastAsia="黑体" w:hAnsi="黑体" w:cs="黑体"/>
        <w:sz w:val="21"/>
        <w:szCs w:val="21"/>
      </w:rPr>
      <w:t>CIAPS-20230001</w:t>
    </w:r>
  </w:p>
  <w:p>
    <w:pPr>
      <w:pStyle w:val="a8"/>
      <w:jc w:val="both"/>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 w:val="clear" w:pos="8306"/>
      </w:tabs>
      <w:jc w:val="right"/>
      <w:rPr>
        <w:rFonts w:ascii="黑体" w:eastAsia="黑体" w:hAnsi="黑体" w:cs="黑体"/>
        <w:sz w:val="21"/>
        <w:szCs w:val="21"/>
      </w:rPr>
    </w:pPr>
    <w:r>
      <w:rPr>
        <w:rFonts w:ascii="黑体" w:eastAsia="黑体" w:hAnsi="黑体" w:cs="黑体"/>
        <w:sz w:val="21"/>
        <w:szCs w:val="21"/>
      </w:rPr>
      <w:t>CIAPS-20230001</w:t>
    </w:r>
  </w:p>
  <w:p>
    <w:pPr>
      <w:pStyle w:val="Header"/>
      <w:pBdr>
        <w:bottom w:val="none" w:sz="0" w:space="0" w:color="auto"/>
      </w:pBdr>
      <w:tabs>
        <w:tab w:val="clear" w:pos="4153"/>
        <w:tab w:val="clear" w:pos="8306"/>
      </w:tabs>
      <w:jc w:val="right"/>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9"/>
    </w:pPr>
    <w: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 w:val="clear" w:pos="8306"/>
      </w:tabs>
      <w:jc w:val="both"/>
      <w:rPr>
        <w:rFonts w:ascii="黑体" w:eastAsia="黑体" w:hAnsi="黑体" w:cs="黑体"/>
        <w:sz w:val="21"/>
        <w:szCs w:val="21"/>
      </w:rPr>
    </w:pPr>
    <w:r>
      <w:rPr>
        <w:rFonts w:ascii="黑体" w:eastAsia="黑体" w:hAnsi="黑体" w:cs="黑体"/>
        <w:sz w:val="21"/>
        <w:szCs w:val="21"/>
      </w:rPr>
      <w:t>CIAPS-20230001</w:t>
    </w:r>
  </w:p>
  <w:p>
    <w:pPr>
      <w:pStyle w:val="a8"/>
      <w:jc w:val="both"/>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 w:val="clear" w:pos="8306"/>
      </w:tabs>
      <w:jc w:val="right"/>
      <w:rPr>
        <w:rFonts w:ascii="黑体" w:eastAsia="黑体" w:hAnsi="黑体" w:cs="黑体"/>
        <w:sz w:val="21"/>
        <w:szCs w:val="21"/>
      </w:rPr>
    </w:pPr>
    <w:r>
      <w:rPr>
        <w:rFonts w:ascii="黑体" w:eastAsia="黑体" w:hAnsi="黑体" w:cs="黑体"/>
        <w:sz w:val="21"/>
        <w:szCs w:val="21"/>
      </w:rPr>
      <w:t>CIAPS-20230001</w:t>
    </w:r>
  </w:p>
  <w:p>
    <w:pPr>
      <w:pStyle w:val="Header"/>
      <w:pBdr>
        <w:bottom w:val="none" w:sz="0" w:space="0" w:color="auto"/>
      </w:pBdr>
      <w:tabs>
        <w:tab w:val="clear" w:pos="4153"/>
        <w:tab w:val="clear" w:pos="8306"/>
      </w:tabs>
      <w:jc w:val="right"/>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9"/>
    </w:pPr>
    <w:r>
      <w:t xml:space="preserve">  </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 w:val="clear" w:pos="8306"/>
      </w:tabs>
      <w:jc w:val="both"/>
      <w:rPr>
        <w:rFonts w:ascii="黑体" w:eastAsia="黑体" w:hAnsi="黑体" w:cs="黑体"/>
        <w:sz w:val="21"/>
        <w:szCs w:val="21"/>
      </w:rPr>
    </w:pPr>
    <w:r>
      <w:rPr>
        <w:rFonts w:ascii="黑体" w:eastAsia="黑体" w:hAnsi="黑体" w:cs="黑体"/>
        <w:sz w:val="21"/>
        <w:szCs w:val="21"/>
      </w:rPr>
      <w:t>CIAPS-20230001</w:t>
    </w:r>
  </w:p>
  <w:p>
    <w:pPr>
      <w:pStyle w:val="a8"/>
      <w:jc w:val="both"/>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 w:val="clear" w:pos="8306"/>
      </w:tabs>
      <w:jc w:val="right"/>
      <w:rPr>
        <w:rFonts w:ascii="黑体" w:eastAsia="黑体" w:hAnsi="黑体" w:cs="黑体"/>
        <w:sz w:val="21"/>
        <w:szCs w:val="21"/>
      </w:rPr>
    </w:pPr>
    <w:r>
      <w:rPr>
        <w:rFonts w:ascii="黑体" w:eastAsia="黑体" w:hAnsi="黑体" w:cs="黑体"/>
        <w:sz w:val="21"/>
        <w:szCs w:val="21"/>
      </w:rPr>
      <w:t>CIAPS-20230001</w:t>
    </w:r>
  </w:p>
  <w:p>
    <w:pPr>
      <w:pStyle w:val="Header"/>
      <w:pBdr>
        <w:bottom w:val="none" w:sz="0" w:space="0" w:color="auto"/>
      </w:pBdr>
      <w:tabs>
        <w:tab w:val="clear" w:pos="4153"/>
        <w:tab w:val="clear" w:pos="8306"/>
      </w:tabs>
      <w:jc w:val="right"/>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9"/>
    </w:pPr>
    <w:r>
      <w:t xml:space="preserve">  </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 w:val="clear" w:pos="8306"/>
      </w:tabs>
      <w:jc w:val="both"/>
      <w:rPr>
        <w:rFonts w:ascii="黑体" w:eastAsia="黑体" w:hAnsi="黑体" w:cs="黑体"/>
        <w:sz w:val="21"/>
        <w:szCs w:val="21"/>
      </w:rPr>
    </w:pPr>
    <w:r>
      <w:rPr>
        <w:rFonts w:ascii="黑体" w:eastAsia="黑体" w:hAnsi="黑体" w:cs="黑体"/>
        <w:sz w:val="21"/>
        <w:szCs w:val="21"/>
      </w:rPr>
      <w:t>CIAPS-20230001</w:t>
    </w:r>
  </w:p>
  <w:p>
    <w:pPr>
      <w:pStyle w:val="a8"/>
      <w:jc w:val="both"/>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lear" w:pos="4153"/>
        <w:tab w:val="clear" w:pos="8306"/>
      </w:tabs>
      <w:jc w:val="right"/>
      <w:rPr>
        <w:rFonts w:ascii="黑体" w:eastAsia="黑体" w:hAnsi="黑体" w:cs="黑体"/>
        <w:sz w:val="21"/>
        <w:szCs w:val="21"/>
      </w:rPr>
    </w:pPr>
    <w:r>
      <w:rPr>
        <w:rFonts w:ascii="黑体" w:eastAsia="黑体" w:hAnsi="黑体" w:cs="黑体"/>
        <w:sz w:val="21"/>
        <w:szCs w:val="21"/>
      </w:rPr>
      <w:t>CIAPS-20230001</w:t>
    </w:r>
  </w:p>
  <w:p>
    <w:pPr>
      <w:pStyle w:val="Header"/>
      <w:pBdr>
        <w:bottom w:val="none" w:sz="0" w:space="0" w:color="auto"/>
      </w:pBdr>
      <w:tabs>
        <w:tab w:val="clear" w:pos="4153"/>
        <w:tab w:val="clear" w:pos="8306"/>
      </w:tabs>
      <w:jc w:val="right"/>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9"/>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0A15CD"/>
    <w:multiLevelType w:val="multilevel"/>
    <w:tmpl w:val="040A15CD"/>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decimal"/>
      <w:isLgl/>
      <w:suff w:val="nothing"/>
      <w:lvlText w:val="%2　"/>
      <w:lvlJc w:val="left"/>
      <w:pPr>
        <w:ind w:left="0" w:firstLine="0"/>
      </w:pPr>
      <w:rPr>
        <w:rFonts w:ascii="黑体" w:eastAsia="黑体" w:hAnsi="Times New Roman" w:hint="eastAsia"/>
        <w:b w:val="0"/>
        <w:i w:val="0"/>
        <w:snapToGrid/>
        <w:spacing w:val="0"/>
        <w:w w:val="100"/>
        <w:kern w:val="21"/>
        <w:sz w:val="21"/>
      </w:rPr>
    </w:lvl>
    <w:lvl w:ilvl="2">
      <w:start w:val="1"/>
      <w:numFmt w:val="decimal"/>
      <w:pStyle w:val="a53"/>
      <w:suff w:val="nothing"/>
      <w:lvlText w:val="%1%2.%3　"/>
      <w:lvlJc w:val="left"/>
      <w:pPr>
        <w:ind w:left="0" w:firstLine="0"/>
      </w:pPr>
      <w:rPr>
        <w:rFonts w:ascii="黑体" w:eastAsia="黑体" w:hAnsi="Times New Roman" w:hint="eastAsia"/>
        <w:b w:val="0"/>
        <w:i w:val="0"/>
        <w:sz w:val="21"/>
      </w:rPr>
    </w:lvl>
    <w:lvl w:ilvl="3">
      <w:start w:val="1"/>
      <w:numFmt w:val="decimal"/>
      <w:pStyle w:val="a12"/>
      <w:suff w:val="nothing"/>
      <w:lvlText w:val="%1%2.%3.%4　"/>
      <w:lvlJc w:val="left"/>
      <w:pPr>
        <w:ind w:left="0" w:firstLine="0"/>
      </w:pPr>
      <w:rPr>
        <w:rFonts w:ascii="黑体" w:eastAsia="黑体" w:hAnsi="Times New Roman" w:hint="eastAsia"/>
        <w:b w:val="0"/>
        <w:i w:val="0"/>
        <w:sz w:val="21"/>
      </w:rPr>
    </w:lvl>
    <w:lvl w:ilvl="4">
      <w:start w:val="1"/>
      <w:numFmt w:val="decimal"/>
      <w:pStyle w:val="a41"/>
      <w:suff w:val="nothing"/>
      <w:lvlText w:val="%1%2.%3.%4.%5　"/>
      <w:lvlJc w:val="left"/>
      <w:pPr>
        <w:ind w:left="0" w:firstLine="0"/>
      </w:pPr>
      <w:rPr>
        <w:rFonts w:ascii="黑体" w:eastAsia="黑体" w:hAnsi="Times New Roman" w:hint="eastAsia"/>
        <w:b w:val="0"/>
        <w:i w:val="0"/>
        <w:sz w:val="21"/>
      </w:rPr>
    </w:lvl>
    <w:lvl w:ilvl="5">
      <w:start w:val="1"/>
      <w:numFmt w:val="decimal"/>
      <w:pStyle w:val="a46"/>
      <w:suff w:val="nothing"/>
      <w:lvlText w:val="%1%2.%3.%4.%5.%6　"/>
      <w:lvlJc w:val="left"/>
      <w:pPr>
        <w:ind w:left="0" w:firstLine="0"/>
      </w:pPr>
      <w:rPr>
        <w:rFonts w:ascii="黑体" w:eastAsia="黑体" w:hAnsi="Times New Roman" w:hint="eastAsia"/>
        <w:b w:val="0"/>
        <w:i w:val="0"/>
        <w:sz w:val="21"/>
      </w:rPr>
    </w:lvl>
    <w:lvl w:ilvl="6">
      <w:start w:val="1"/>
      <w:numFmt w:val="decimal"/>
      <w:pStyle w:val="a52"/>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
    <w:nsid w:val="04A31A3D"/>
    <w:multiLevelType w:val="multilevel"/>
    <w:tmpl w:val="04A31A3D"/>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nsid w:val="080603FE"/>
    <w:multiLevelType w:val="multilevel"/>
    <w:tmpl w:val="080603FE"/>
    <w:lvl w:ilvl="0">
      <w:start w:val="1"/>
      <w:numFmt w:val="lowerLetter"/>
      <w:lvlText w:val="%1)"/>
      <w:lvlJc w:val="left"/>
      <w:pPr>
        <w:ind w:left="84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AE367E9"/>
    <w:multiLevelType w:val="multilevel"/>
    <w:tmpl w:val="0AE367E9"/>
    <w:lvl w:ilvl="0">
      <w:start w:val="1"/>
      <w:numFmt w:val="none"/>
      <w:pStyle w:val="a43"/>
      <w:lvlText w:val="%1示例"/>
      <w:lvlJc w:val="left"/>
      <w:pPr>
        <w:tabs>
          <w:tab w:val="left" w:pos="1120"/>
        </w:tabs>
        <w:ind w:left="0" w:firstLine="400"/>
      </w:pPr>
      <w:rPr>
        <w:rFonts w:ascii="宋体" w:eastAsia="宋体"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19E06CF4"/>
    <w:multiLevelType w:val="multilevel"/>
    <w:tmpl w:val="19E06CF4"/>
    <w:lvl w:ilvl="0">
      <w:start w:val="1"/>
      <w:numFmt w:val="decimal"/>
      <w:lvlText w:val="%1)"/>
      <w:lvlJc w:val="left"/>
      <w:pPr>
        <w:ind w:left="1260" w:hanging="4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5">
    <w:nsid w:val="24E21BB7"/>
    <w:multiLevelType w:val="multilevel"/>
    <w:tmpl w:val="24E21BB7"/>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nsid w:val="26EC55DA"/>
    <w:multiLevelType w:val="multilevel"/>
    <w:tmpl w:val="26EC55DA"/>
    <w:lvl w:ilvl="0">
      <w:start w:val="1"/>
      <w:numFmt w:val="lowerLetter"/>
      <w:lvlText w:val="%1)"/>
      <w:lvlJc w:val="left"/>
      <w:pPr>
        <w:ind w:left="84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2B84103B"/>
    <w:multiLevelType w:val="multilevel"/>
    <w:tmpl w:val="2B84103B"/>
    <w:lvl w:ilvl="0">
      <w:start w:val="1"/>
      <w:numFmt w:val="lowerLetter"/>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8">
    <w:nsid w:val="2C5917C3"/>
    <w:multiLevelType w:val="multilevel"/>
    <w:tmpl w:val="2C5917C3"/>
    <w:lvl w:ilvl="0">
      <w:start w:val="1"/>
      <w:numFmt w:val="none"/>
      <w:pStyle w:val="a59"/>
      <w:suff w:val="nothing"/>
      <w:lvlText w:val="%1——"/>
      <w:lvlJc w:val="left"/>
      <w:pPr>
        <w:ind w:left="833" w:hanging="408"/>
      </w:pPr>
      <w:rPr>
        <w:rFonts w:hint="eastAsia"/>
        <w:lang w:val="en-US"/>
      </w:rPr>
    </w:lvl>
    <w:lvl w:ilvl="1">
      <w:start w:val="1"/>
      <w:numFmt w:val="bullet"/>
      <w:pStyle w:val="a60"/>
      <w:lvlText w:val=""/>
      <w:lvlJc w:val="left"/>
      <w:pPr>
        <w:tabs>
          <w:tab w:val="left" w:pos="760"/>
        </w:tabs>
        <w:ind w:left="1264" w:hanging="413"/>
      </w:pPr>
      <w:rPr>
        <w:rFonts w:ascii="Symbol" w:hAnsi="Symbol" w:hint="default"/>
        <w:color w:val="auto"/>
      </w:rPr>
    </w:lvl>
    <w:lvl w:ilvl="2">
      <w:start w:val="1"/>
      <w:numFmt w:val="bullet"/>
      <w:pStyle w:val="a61"/>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9">
    <w:nsid w:val="335E4E69"/>
    <w:multiLevelType w:val="multilevel"/>
    <w:tmpl w:val="335E4E69"/>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nsid w:val="33E052F7"/>
    <w:multiLevelType w:val="multilevel"/>
    <w:tmpl w:val="33E052F7"/>
    <w:lvl w:ilvl="0">
      <w:start w:val="1"/>
      <w:numFmt w:val="lowerLetter"/>
      <w:lvlText w:val="%1)"/>
      <w:lvlJc w:val="left"/>
      <w:pPr>
        <w:ind w:left="1260" w:hanging="4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1">
    <w:nsid w:val="407E65F9"/>
    <w:multiLevelType w:val="multilevel"/>
    <w:tmpl w:val="407E65F9"/>
    <w:lvl w:ilvl="0">
      <w:start w:val="1"/>
      <w:numFmt w:val="none"/>
      <w:pStyle w:val="a35"/>
      <w:lvlText w:val="%1·　"/>
      <w:lvlJc w:val="left"/>
      <w:pPr>
        <w:tabs>
          <w:tab w:val="left" w:pos="1140"/>
        </w:tabs>
        <w:ind w:left="737" w:hanging="317"/>
      </w:pPr>
      <w:rPr>
        <w:rFonts w:ascii="宋体" w:eastAsia="宋体" w:hAnsi="Times New Roman" w:hint="eastAsia"/>
        <w:b w:val="0"/>
        <w:i w:val="0"/>
        <w:sz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2">
    <w:nsid w:val="44A24914"/>
    <w:multiLevelType w:val="multilevel"/>
    <w:tmpl w:val="44A24914"/>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nsid w:val="462E13D6"/>
    <w:multiLevelType w:val="multilevel"/>
    <w:tmpl w:val="462E13D6"/>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nsid w:val="491859A0"/>
    <w:multiLevelType w:val="multilevel"/>
    <w:tmpl w:val="491859A0"/>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nsid w:val="496E4D7B"/>
    <w:multiLevelType w:val="multilevel"/>
    <w:tmpl w:val="496E4D7B"/>
    <w:lvl w:ilvl="0">
      <w:start w:val="1"/>
      <w:numFmt w:val="none"/>
      <w:pStyle w:val="a57"/>
      <w:lvlText w:val="%1注"/>
      <w:lvlJc w:val="left"/>
      <w:pPr>
        <w:tabs>
          <w:tab w:val="left" w:pos="900"/>
        </w:tabs>
        <w:ind w:left="900" w:hanging="50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5B883496"/>
    <w:multiLevelType w:val="multilevel"/>
    <w:tmpl w:val="5B883496"/>
    <w:lvl w:ilvl="0">
      <w:start w:val="1"/>
      <w:numFmt w:val="lowerLetter"/>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17">
    <w:nsid w:val="657D3FBC"/>
    <w:multiLevelType w:val="multilevel"/>
    <w:tmpl w:val="657D3FBC"/>
    <w:lvl w:ilvl="0">
      <w:start w:val="1"/>
      <w:numFmt w:val="upperLetter"/>
      <w:pStyle w:val="a23"/>
      <w:suff w:val="nothing"/>
      <w:lvlText w:val="附　录　%1"/>
      <w:lvlJc w:val="left"/>
      <w:pPr>
        <w:ind w:left="0" w:firstLine="0"/>
      </w:pPr>
      <w:rPr>
        <w:rFonts w:ascii="黑体" w:eastAsia="黑体" w:hAnsi="Times New Roman" w:hint="eastAsia"/>
        <w:b w:val="0"/>
        <w:i w:val="0"/>
        <w:sz w:val="21"/>
      </w:rPr>
    </w:lvl>
    <w:lvl w:ilvl="1">
      <w:start w:val="1"/>
      <w:numFmt w:val="decimal"/>
      <w:pStyle w:val="a25"/>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26"/>
      <w:suff w:val="nothing"/>
      <w:lvlText w:val="%1.%2.%3　"/>
      <w:lvlJc w:val="left"/>
      <w:pPr>
        <w:ind w:left="0" w:firstLine="0"/>
      </w:pPr>
      <w:rPr>
        <w:rFonts w:ascii="黑体" w:eastAsia="黑体" w:hAnsi="Times New Roman" w:hint="eastAsia"/>
        <w:b w:val="0"/>
        <w:i w:val="0"/>
        <w:sz w:val="21"/>
      </w:rPr>
    </w:lvl>
    <w:lvl w:ilvl="3">
      <w:start w:val="1"/>
      <w:numFmt w:val="decimal"/>
      <w:pStyle w:val="a27"/>
      <w:suff w:val="nothing"/>
      <w:lvlText w:val="%1.%2.%3.%4　"/>
      <w:lvlJc w:val="left"/>
      <w:pPr>
        <w:ind w:left="0" w:firstLine="0"/>
      </w:pPr>
      <w:rPr>
        <w:rFonts w:ascii="黑体" w:eastAsia="黑体" w:hAnsi="Times New Roman" w:hint="eastAsia"/>
        <w:b w:val="0"/>
        <w:i w:val="0"/>
        <w:sz w:val="21"/>
      </w:rPr>
    </w:lvl>
    <w:lvl w:ilvl="4">
      <w:start w:val="1"/>
      <w:numFmt w:val="decimal"/>
      <w:pStyle w:val="a28"/>
      <w:suff w:val="nothing"/>
      <w:lvlText w:val="%1.%2.%3.%4.%5　"/>
      <w:lvlJc w:val="left"/>
      <w:pPr>
        <w:ind w:left="0" w:firstLine="0"/>
      </w:pPr>
      <w:rPr>
        <w:rFonts w:ascii="黑体" w:eastAsia="黑体" w:hAnsi="Times New Roman" w:hint="eastAsia"/>
        <w:b w:val="0"/>
        <w:i w:val="0"/>
        <w:sz w:val="21"/>
      </w:rPr>
    </w:lvl>
    <w:lvl w:ilvl="5">
      <w:start w:val="1"/>
      <w:numFmt w:val="decimal"/>
      <w:pStyle w:val="a29"/>
      <w:suff w:val="nothing"/>
      <w:lvlText w:val="%1.%2.%3.%4.%5.%6　"/>
      <w:lvlJc w:val="left"/>
      <w:pPr>
        <w:ind w:left="0" w:firstLine="0"/>
      </w:pPr>
      <w:rPr>
        <w:rFonts w:ascii="黑体" w:eastAsia="黑体" w:hAnsi="Times New Roman" w:hint="eastAsia"/>
        <w:b w:val="0"/>
        <w:i w:val="0"/>
        <w:sz w:val="21"/>
      </w:rPr>
    </w:lvl>
    <w:lvl w:ilvl="6">
      <w:start w:val="1"/>
      <w:numFmt w:val="decimal"/>
      <w:pStyle w:val="a31"/>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8">
    <w:nsid w:val="69482E91"/>
    <w:multiLevelType w:val="multilevel"/>
    <w:tmpl w:val="69482E91"/>
    <w:lvl w:ilvl="0">
      <w:start w:val="1"/>
      <w:numFmt w:val="decimal"/>
      <w:pStyle w:val="Heading1"/>
      <w:isLgl/>
      <w:suff w:val="nothing"/>
      <w:lvlText w:val="%1　"/>
      <w:lvlJc w:val="left"/>
      <w:pPr>
        <w:ind w:left="0" w:firstLine="0"/>
      </w:pPr>
      <w:rPr>
        <w:rFonts w:hint="eastAsia"/>
      </w:rPr>
    </w:lvl>
    <w:lvl w:ilvl="1">
      <w:start w:val="1"/>
      <w:numFmt w:val="decimal"/>
      <w:pStyle w:val="Heading2"/>
      <w:isLgl/>
      <w:suff w:val="nothing"/>
      <w:lvlText w:val="%2　"/>
      <w:lvlJc w:val="left"/>
      <w:pPr>
        <w:ind w:left="0" w:firstLine="0"/>
      </w:pPr>
      <w:rPr>
        <w:rFonts w:ascii="黑体" w:eastAsia="黑体" w:hAnsi="黑体" w:hint="eastAsia"/>
        <w:b w:val="0"/>
        <w:bCs w:val="0"/>
      </w:rPr>
    </w:lvl>
    <w:lvl w:ilvl="2">
      <w:start w:val="1"/>
      <w:numFmt w:val="decimal"/>
      <w:pStyle w:val="Heading3"/>
      <w:isLgl/>
      <w:suff w:val="nothing"/>
      <w:lvlText w:val="%2.%3　"/>
      <w:lvlJc w:val="left"/>
      <w:pPr>
        <w:ind w:left="0" w:firstLine="0"/>
      </w:pPr>
      <w:rPr>
        <w:rFonts w:hint="eastAsia"/>
        <w:b w:val="0"/>
        <w:bCs w:val="0"/>
      </w:rPr>
    </w:lvl>
    <w:lvl w:ilvl="3">
      <w:start w:val="1"/>
      <w:numFmt w:val="decimal"/>
      <w:pStyle w:val="Heading4"/>
      <w:isLgl/>
      <w:suff w:val="nothing"/>
      <w:lvlText w:val="%2.%3.%4　"/>
      <w:lvlJc w:val="left"/>
      <w:pPr>
        <w:ind w:left="0" w:firstLine="0"/>
      </w:pPr>
      <w:rPr>
        <w:rFonts w:hint="eastAsia"/>
        <w:b w:val="0"/>
        <w:bCs w:val="0"/>
      </w:rPr>
    </w:lvl>
    <w:lvl w:ilvl="4">
      <w:start w:val="1"/>
      <w:numFmt w:val="decimal"/>
      <w:pStyle w:val="Heading5"/>
      <w:isLgl/>
      <w:suff w:val="nothing"/>
      <w:lvlText w:val="%2.%3.%4.%5　"/>
      <w:lvlJc w:val="left"/>
      <w:pPr>
        <w:ind w:left="0" w:firstLine="0"/>
      </w:pPr>
      <w:rPr>
        <w:rFonts w:hint="eastAsia"/>
        <w:b w:val="0"/>
        <w:bCs w:val="0"/>
        <w:sz w:val="21"/>
        <w:szCs w:val="21"/>
      </w:rPr>
    </w:lvl>
    <w:lvl w:ilvl="5">
      <w:start w:val="1"/>
      <w:numFmt w:val="decimal"/>
      <w:pStyle w:val="Heading6"/>
      <w:suff w:val="nothing"/>
      <w:lvlText w:val="%2.%3.%4.%5.%6　"/>
      <w:lvlJc w:val="left"/>
      <w:pPr>
        <w:ind w:left="3260" w:hanging="1134"/>
      </w:pPr>
      <w:rPr>
        <w:rFonts w:hint="eastAsia"/>
        <w:b w:val="0"/>
        <w:bCs w:val="0"/>
      </w:rPr>
    </w:lvl>
    <w:lvl w:ilvl="6">
      <w:start w:val="1"/>
      <w:numFmt w:val="decimal"/>
      <w:suff w:val="nothing"/>
      <w:lvlText w:val="%1.%2.%3.%4.%5.%6.%7"/>
      <w:lvlJc w:val="left"/>
      <w:pPr>
        <w:ind w:left="3827" w:hanging="1276"/>
      </w:pPr>
      <w:rPr>
        <w:rFonts w:hint="eastAsia"/>
      </w:rPr>
    </w:lvl>
    <w:lvl w:ilvl="7">
      <w:start w:val="1"/>
      <w:numFmt w:val="decimal"/>
      <w:suff w:val="nothing"/>
      <w:lvlText w:val="%1.%2.%3.%4.%5.%6.%7.%8"/>
      <w:lvlJc w:val="left"/>
      <w:pPr>
        <w:ind w:left="4394" w:hanging="1418"/>
      </w:pPr>
      <w:rPr>
        <w:rFonts w:hint="eastAsia"/>
      </w:rPr>
    </w:lvl>
    <w:lvl w:ilvl="8">
      <w:start w:val="1"/>
      <w:numFmt w:val="decimal"/>
      <w:suff w:val="nothing"/>
      <w:lvlText w:val="%1.%2.%3.%4.%5.%6.%7.%8.%9"/>
      <w:lvlJc w:val="left"/>
      <w:pPr>
        <w:ind w:left="5102" w:hanging="1700"/>
      </w:pPr>
      <w:rPr>
        <w:rFonts w:hint="eastAsia"/>
      </w:rPr>
    </w:lvl>
  </w:abstractNum>
  <w:abstractNum w:abstractNumId="19">
    <w:nsid w:val="6CEA2025"/>
    <w:multiLevelType w:val="multilevel"/>
    <w:tmpl w:val="6CEA2025"/>
    <w:lvl w:ilvl="0">
      <w:start w:val="1"/>
      <w:numFmt w:val="none"/>
      <w:pStyle w:val="a10"/>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2415"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lang w:eastAsia="zh-CN"/>
      </w:rPr>
    </w:lvl>
    <w:lvl w:ilvl="4">
      <w:start w:val="1"/>
      <w:numFmt w:val="decimal"/>
      <w:suff w:val="nothing"/>
      <w:lvlText w:val="%1%2.%3.%4.%5　"/>
      <w:lvlJc w:val="left"/>
      <w:pPr>
        <w:ind w:left="993"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0">
    <w:nsid w:val="6DB61B5C"/>
    <w:multiLevelType w:val="multilevel"/>
    <w:tmpl w:val="6DB61B5C"/>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nsid w:val="6DBF04F4"/>
    <w:multiLevelType w:val="multilevel"/>
    <w:tmpl w:val="6DBF04F4"/>
    <w:lvl w:ilvl="0">
      <w:start w:val="1"/>
      <w:numFmt w:val="none"/>
      <w:pStyle w:val="a56"/>
      <w:lvlText w:val="%1注："/>
      <w:lvlJc w:val="left"/>
      <w:pPr>
        <w:tabs>
          <w:tab w:val="left" w:pos="1140"/>
        </w:tabs>
        <w:ind w:left="840" w:hanging="42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2">
    <w:nsid w:val="72CE1411"/>
    <w:multiLevelType w:val="multilevel"/>
    <w:tmpl w:val="72CE1411"/>
    <w:lvl w:ilvl="0">
      <w:start w:val="1"/>
      <w:numFmt w:val="lowerLetter"/>
      <w:lvlText w:val="%1)"/>
      <w:lvlJc w:val="left"/>
      <w:pPr>
        <w:ind w:left="84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76933334"/>
    <w:multiLevelType w:val="multilevel"/>
    <w:tmpl w:val="76933334"/>
    <w:lvl w:ilvl="0">
      <w:start w:val="1"/>
      <w:numFmt w:val="none"/>
      <w:pStyle w:val="a34"/>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7F3575A4"/>
    <w:multiLevelType w:val="multilevel"/>
    <w:tmpl w:val="7F3575A4"/>
    <w:lvl w:ilvl="0">
      <w:start w:val="1"/>
      <w:numFmt w:val="lowerLetter"/>
      <w:lvlText w:val="%1)"/>
      <w:lvlJc w:val="left"/>
      <w:pPr>
        <w:ind w:left="84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7FC85D74"/>
    <w:multiLevelType w:val="multilevel"/>
    <w:tmpl w:val="7FC85D74"/>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18"/>
  </w:num>
  <w:num w:numId="2">
    <w:abstractNumId w:val="19"/>
  </w:num>
  <w:num w:numId="3">
    <w:abstractNumId w:val="0"/>
  </w:num>
  <w:num w:numId="4">
    <w:abstractNumId w:val="17"/>
  </w:num>
  <w:num w:numId="5">
    <w:abstractNumId w:val="23"/>
  </w:num>
  <w:num w:numId="6">
    <w:abstractNumId w:val="11"/>
  </w:num>
  <w:num w:numId="7">
    <w:abstractNumId w:val="3"/>
  </w:num>
  <w:num w:numId="8">
    <w:abstractNumId w:val="21"/>
  </w:num>
  <w:num w:numId="9">
    <w:abstractNumId w:val="15"/>
  </w:num>
  <w:num w:numId="10">
    <w:abstractNumId w:val="8"/>
  </w:num>
  <w:num w:numId="11">
    <w:abstractNumId w:val="24"/>
  </w:num>
  <w:num w:numId="12">
    <w:abstractNumId w:val="1"/>
  </w:num>
  <w:num w:numId="13">
    <w:abstractNumId w:val="16"/>
  </w:num>
  <w:num w:numId="14">
    <w:abstractNumId w:val="7"/>
  </w:num>
  <w:num w:numId="15">
    <w:abstractNumId w:val="10"/>
  </w:num>
  <w:num w:numId="16">
    <w:abstractNumId w:val="9"/>
  </w:num>
  <w:num w:numId="17">
    <w:abstractNumId w:val="4"/>
  </w:num>
  <w:num w:numId="18">
    <w:abstractNumId w:val="25"/>
  </w:num>
  <w:num w:numId="19">
    <w:abstractNumId w:val="5"/>
  </w:num>
  <w:num w:numId="20">
    <w:abstractNumId w:val="20"/>
  </w:num>
  <w:num w:numId="21">
    <w:abstractNumId w:val="13"/>
  </w:num>
  <w:num w:numId="22">
    <w:abstractNumId w:val="22"/>
  </w:num>
  <w:num w:numId="23">
    <w:abstractNumId w:val="2"/>
  </w:num>
  <w:num w:numId="24">
    <w:abstractNumId w:val="14"/>
  </w:num>
  <w:num w:numId="25">
    <w:abstractNumId w:val="12"/>
  </w:num>
  <w:num w:numId="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attachedTemplate r:id="rId1"/>
  <w:defaultTabStop w:val="420"/>
  <w:evenAndOddHeaders/>
  <w:drawingGridHorizontalSpacing w:val="105"/>
  <w:drawingGridVerticalSpacing w:val="303"/>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5D7"/>
    <w:rsid w:val="00001377"/>
    <w:rsid w:val="00003AC6"/>
    <w:rsid w:val="00004808"/>
    <w:rsid w:val="0000661E"/>
    <w:rsid w:val="00006814"/>
    <w:rsid w:val="0000716B"/>
    <w:rsid w:val="00010393"/>
    <w:rsid w:val="00010E2E"/>
    <w:rsid w:val="000116F5"/>
    <w:rsid w:val="000117C2"/>
    <w:rsid w:val="00015378"/>
    <w:rsid w:val="00015AE7"/>
    <w:rsid w:val="00017EC9"/>
    <w:rsid w:val="00022616"/>
    <w:rsid w:val="000235BF"/>
    <w:rsid w:val="00024AC3"/>
    <w:rsid w:val="00024B17"/>
    <w:rsid w:val="0002558D"/>
    <w:rsid w:val="00025823"/>
    <w:rsid w:val="0003222D"/>
    <w:rsid w:val="0003353B"/>
    <w:rsid w:val="00036B88"/>
    <w:rsid w:val="00037A45"/>
    <w:rsid w:val="00040537"/>
    <w:rsid w:val="00040C6A"/>
    <w:rsid w:val="000419B8"/>
    <w:rsid w:val="00043090"/>
    <w:rsid w:val="0004375E"/>
    <w:rsid w:val="00044B6A"/>
    <w:rsid w:val="00044E29"/>
    <w:rsid w:val="00044E96"/>
    <w:rsid w:val="00050172"/>
    <w:rsid w:val="00050721"/>
    <w:rsid w:val="000507A8"/>
    <w:rsid w:val="000536ED"/>
    <w:rsid w:val="00053D96"/>
    <w:rsid w:val="00054A6B"/>
    <w:rsid w:val="00054B17"/>
    <w:rsid w:val="00057B80"/>
    <w:rsid w:val="00057C3B"/>
    <w:rsid w:val="00062501"/>
    <w:rsid w:val="00062AE8"/>
    <w:rsid w:val="00063ECC"/>
    <w:rsid w:val="00064555"/>
    <w:rsid w:val="0006474A"/>
    <w:rsid w:val="00066C9B"/>
    <w:rsid w:val="00066E81"/>
    <w:rsid w:val="00066FF6"/>
    <w:rsid w:val="000702D7"/>
    <w:rsid w:val="000717FB"/>
    <w:rsid w:val="00071DD9"/>
    <w:rsid w:val="000732AF"/>
    <w:rsid w:val="00074311"/>
    <w:rsid w:val="00074983"/>
    <w:rsid w:val="000806C9"/>
    <w:rsid w:val="00083FAE"/>
    <w:rsid w:val="00084992"/>
    <w:rsid w:val="00085CEE"/>
    <w:rsid w:val="00086AF1"/>
    <w:rsid w:val="00087A65"/>
    <w:rsid w:val="000926C5"/>
    <w:rsid w:val="00094142"/>
    <w:rsid w:val="000943CE"/>
    <w:rsid w:val="00094D48"/>
    <w:rsid w:val="00097344"/>
    <w:rsid w:val="000A1344"/>
    <w:rsid w:val="000A6C88"/>
    <w:rsid w:val="000A6FBF"/>
    <w:rsid w:val="000A7265"/>
    <w:rsid w:val="000B25AC"/>
    <w:rsid w:val="000B2925"/>
    <w:rsid w:val="000B6FA9"/>
    <w:rsid w:val="000C1514"/>
    <w:rsid w:val="000C268A"/>
    <w:rsid w:val="000C3BF3"/>
    <w:rsid w:val="000C4B6B"/>
    <w:rsid w:val="000C538D"/>
    <w:rsid w:val="000C6164"/>
    <w:rsid w:val="000C6FDC"/>
    <w:rsid w:val="000D15AA"/>
    <w:rsid w:val="000D161B"/>
    <w:rsid w:val="000D1F86"/>
    <w:rsid w:val="000D32B7"/>
    <w:rsid w:val="000D4A52"/>
    <w:rsid w:val="000D69EE"/>
    <w:rsid w:val="000E463A"/>
    <w:rsid w:val="000E4F64"/>
    <w:rsid w:val="000E5174"/>
    <w:rsid w:val="000E534A"/>
    <w:rsid w:val="000E567B"/>
    <w:rsid w:val="000E61E6"/>
    <w:rsid w:val="000E69D5"/>
    <w:rsid w:val="000F2403"/>
    <w:rsid w:val="000F57F3"/>
    <w:rsid w:val="0010010D"/>
    <w:rsid w:val="001005C5"/>
    <w:rsid w:val="0010185F"/>
    <w:rsid w:val="001019E3"/>
    <w:rsid w:val="00101D9B"/>
    <w:rsid w:val="001043EB"/>
    <w:rsid w:val="001059F2"/>
    <w:rsid w:val="00106A44"/>
    <w:rsid w:val="00106D16"/>
    <w:rsid w:val="001100DF"/>
    <w:rsid w:val="00111C23"/>
    <w:rsid w:val="00111CB2"/>
    <w:rsid w:val="00112396"/>
    <w:rsid w:val="001148CC"/>
    <w:rsid w:val="0011498B"/>
    <w:rsid w:val="0011721B"/>
    <w:rsid w:val="001172D5"/>
    <w:rsid w:val="001232F1"/>
    <w:rsid w:val="00125B69"/>
    <w:rsid w:val="00126D4F"/>
    <w:rsid w:val="00133C91"/>
    <w:rsid w:val="00135FBA"/>
    <w:rsid w:val="00136FDB"/>
    <w:rsid w:val="001406B3"/>
    <w:rsid w:val="001420AF"/>
    <w:rsid w:val="001429BA"/>
    <w:rsid w:val="00143CFA"/>
    <w:rsid w:val="001447DD"/>
    <w:rsid w:val="00145CC0"/>
    <w:rsid w:val="001503CD"/>
    <w:rsid w:val="001534E2"/>
    <w:rsid w:val="00154DEC"/>
    <w:rsid w:val="00154FB3"/>
    <w:rsid w:val="00156C23"/>
    <w:rsid w:val="00160250"/>
    <w:rsid w:val="00160579"/>
    <w:rsid w:val="00160808"/>
    <w:rsid w:val="0016082B"/>
    <w:rsid w:val="00162CA0"/>
    <w:rsid w:val="00162FE4"/>
    <w:rsid w:val="001634CA"/>
    <w:rsid w:val="00165F6B"/>
    <w:rsid w:val="001666DC"/>
    <w:rsid w:val="001678D9"/>
    <w:rsid w:val="0017106D"/>
    <w:rsid w:val="00173498"/>
    <w:rsid w:val="0017528C"/>
    <w:rsid w:val="001754EC"/>
    <w:rsid w:val="00175F66"/>
    <w:rsid w:val="00176CA5"/>
    <w:rsid w:val="00177270"/>
    <w:rsid w:val="00180626"/>
    <w:rsid w:val="00181C66"/>
    <w:rsid w:val="00182B50"/>
    <w:rsid w:val="00183782"/>
    <w:rsid w:val="00186CCA"/>
    <w:rsid w:val="00187890"/>
    <w:rsid w:val="0019065D"/>
    <w:rsid w:val="00192B84"/>
    <w:rsid w:val="00193FCE"/>
    <w:rsid w:val="00195534"/>
    <w:rsid w:val="0019736E"/>
    <w:rsid w:val="001974CA"/>
    <w:rsid w:val="001A222B"/>
    <w:rsid w:val="001A63C4"/>
    <w:rsid w:val="001B0EA9"/>
    <w:rsid w:val="001B124B"/>
    <w:rsid w:val="001B14AC"/>
    <w:rsid w:val="001B27A2"/>
    <w:rsid w:val="001B2BD7"/>
    <w:rsid w:val="001B2C64"/>
    <w:rsid w:val="001B50B6"/>
    <w:rsid w:val="001B5442"/>
    <w:rsid w:val="001B547D"/>
    <w:rsid w:val="001B5D7A"/>
    <w:rsid w:val="001B5F22"/>
    <w:rsid w:val="001B6E9F"/>
    <w:rsid w:val="001B79BD"/>
    <w:rsid w:val="001C41F9"/>
    <w:rsid w:val="001C5221"/>
    <w:rsid w:val="001C57D7"/>
    <w:rsid w:val="001C5F0E"/>
    <w:rsid w:val="001C62A6"/>
    <w:rsid w:val="001D0847"/>
    <w:rsid w:val="001D0ABD"/>
    <w:rsid w:val="001D0E62"/>
    <w:rsid w:val="001D0EFA"/>
    <w:rsid w:val="001D0FA8"/>
    <w:rsid w:val="001D1C17"/>
    <w:rsid w:val="001D3E48"/>
    <w:rsid w:val="001D41BF"/>
    <w:rsid w:val="001D44BA"/>
    <w:rsid w:val="001D5740"/>
    <w:rsid w:val="001D7A31"/>
    <w:rsid w:val="001E11C6"/>
    <w:rsid w:val="001E2857"/>
    <w:rsid w:val="001E4AA7"/>
    <w:rsid w:val="001E4D83"/>
    <w:rsid w:val="001E5287"/>
    <w:rsid w:val="001E622C"/>
    <w:rsid w:val="001E7CA0"/>
    <w:rsid w:val="001F0B02"/>
    <w:rsid w:val="001F1782"/>
    <w:rsid w:val="001F27CF"/>
    <w:rsid w:val="001F32C5"/>
    <w:rsid w:val="001F49E1"/>
    <w:rsid w:val="001F5234"/>
    <w:rsid w:val="001F5A02"/>
    <w:rsid w:val="0020081F"/>
    <w:rsid w:val="0020147B"/>
    <w:rsid w:val="00201BB5"/>
    <w:rsid w:val="002030A0"/>
    <w:rsid w:val="0020358D"/>
    <w:rsid w:val="00204551"/>
    <w:rsid w:val="002048FC"/>
    <w:rsid w:val="002114E5"/>
    <w:rsid w:val="002116FE"/>
    <w:rsid w:val="002138CD"/>
    <w:rsid w:val="0021431B"/>
    <w:rsid w:val="00215427"/>
    <w:rsid w:val="00216EC8"/>
    <w:rsid w:val="00217F91"/>
    <w:rsid w:val="00220256"/>
    <w:rsid w:val="00221817"/>
    <w:rsid w:val="00221D11"/>
    <w:rsid w:val="00223B6D"/>
    <w:rsid w:val="00224D26"/>
    <w:rsid w:val="00226578"/>
    <w:rsid w:val="00227819"/>
    <w:rsid w:val="0023165E"/>
    <w:rsid w:val="0023172B"/>
    <w:rsid w:val="00234164"/>
    <w:rsid w:val="0023507A"/>
    <w:rsid w:val="00237BD3"/>
    <w:rsid w:val="002412B3"/>
    <w:rsid w:val="00241CD1"/>
    <w:rsid w:val="00242751"/>
    <w:rsid w:val="00245C4A"/>
    <w:rsid w:val="002472E9"/>
    <w:rsid w:val="0025001B"/>
    <w:rsid w:val="002501A3"/>
    <w:rsid w:val="00251193"/>
    <w:rsid w:val="00251BD6"/>
    <w:rsid w:val="0025291C"/>
    <w:rsid w:val="00252979"/>
    <w:rsid w:val="00253E3A"/>
    <w:rsid w:val="00255C03"/>
    <w:rsid w:val="00255D83"/>
    <w:rsid w:val="00256B7B"/>
    <w:rsid w:val="002570A5"/>
    <w:rsid w:val="00260B9D"/>
    <w:rsid w:val="00261423"/>
    <w:rsid w:val="0026217F"/>
    <w:rsid w:val="00262A5F"/>
    <w:rsid w:val="0026359D"/>
    <w:rsid w:val="00263643"/>
    <w:rsid w:val="00264124"/>
    <w:rsid w:val="002648A7"/>
    <w:rsid w:val="0026533A"/>
    <w:rsid w:val="00265CED"/>
    <w:rsid w:val="00266026"/>
    <w:rsid w:val="002664E0"/>
    <w:rsid w:val="00272CF1"/>
    <w:rsid w:val="00272EED"/>
    <w:rsid w:val="002733C1"/>
    <w:rsid w:val="00274210"/>
    <w:rsid w:val="002743A0"/>
    <w:rsid w:val="00274D22"/>
    <w:rsid w:val="00274D44"/>
    <w:rsid w:val="00274F63"/>
    <w:rsid w:val="00277912"/>
    <w:rsid w:val="00280141"/>
    <w:rsid w:val="00281395"/>
    <w:rsid w:val="0029129D"/>
    <w:rsid w:val="00291372"/>
    <w:rsid w:val="00291805"/>
    <w:rsid w:val="002918A9"/>
    <w:rsid w:val="00294782"/>
    <w:rsid w:val="00296C8C"/>
    <w:rsid w:val="002A0074"/>
    <w:rsid w:val="002A15B9"/>
    <w:rsid w:val="002A3789"/>
    <w:rsid w:val="002A615D"/>
    <w:rsid w:val="002A62B2"/>
    <w:rsid w:val="002A6AC3"/>
    <w:rsid w:val="002B04C8"/>
    <w:rsid w:val="002B28AD"/>
    <w:rsid w:val="002B2B76"/>
    <w:rsid w:val="002B2BFC"/>
    <w:rsid w:val="002B376E"/>
    <w:rsid w:val="002B6684"/>
    <w:rsid w:val="002B6ADF"/>
    <w:rsid w:val="002C1035"/>
    <w:rsid w:val="002C2839"/>
    <w:rsid w:val="002C28AC"/>
    <w:rsid w:val="002C29B6"/>
    <w:rsid w:val="002C31BC"/>
    <w:rsid w:val="002C3740"/>
    <w:rsid w:val="002C4F2C"/>
    <w:rsid w:val="002C4FBB"/>
    <w:rsid w:val="002C535B"/>
    <w:rsid w:val="002C5C71"/>
    <w:rsid w:val="002C6296"/>
    <w:rsid w:val="002C6607"/>
    <w:rsid w:val="002D0096"/>
    <w:rsid w:val="002D00ED"/>
    <w:rsid w:val="002D0B4E"/>
    <w:rsid w:val="002D1F4B"/>
    <w:rsid w:val="002D55EC"/>
    <w:rsid w:val="002D5A27"/>
    <w:rsid w:val="002D6739"/>
    <w:rsid w:val="002D6D29"/>
    <w:rsid w:val="002E1C1D"/>
    <w:rsid w:val="002E1CCF"/>
    <w:rsid w:val="002E2E52"/>
    <w:rsid w:val="002E3008"/>
    <w:rsid w:val="002E6135"/>
    <w:rsid w:val="002E664C"/>
    <w:rsid w:val="002E6ADF"/>
    <w:rsid w:val="002F08FB"/>
    <w:rsid w:val="002F0EB5"/>
    <w:rsid w:val="002F2594"/>
    <w:rsid w:val="002F3222"/>
    <w:rsid w:val="002F3670"/>
    <w:rsid w:val="002F4D23"/>
    <w:rsid w:val="002F545C"/>
    <w:rsid w:val="002F564B"/>
    <w:rsid w:val="002F5D9C"/>
    <w:rsid w:val="003012FC"/>
    <w:rsid w:val="00301E77"/>
    <w:rsid w:val="00303ED8"/>
    <w:rsid w:val="0030417F"/>
    <w:rsid w:val="00304889"/>
    <w:rsid w:val="00304AFB"/>
    <w:rsid w:val="00305750"/>
    <w:rsid w:val="0030593C"/>
    <w:rsid w:val="0031105D"/>
    <w:rsid w:val="0031137C"/>
    <w:rsid w:val="00312979"/>
    <w:rsid w:val="00313F7F"/>
    <w:rsid w:val="003151F2"/>
    <w:rsid w:val="00316102"/>
    <w:rsid w:val="0031694C"/>
    <w:rsid w:val="00324355"/>
    <w:rsid w:val="00324FB6"/>
    <w:rsid w:val="003318CE"/>
    <w:rsid w:val="003328C3"/>
    <w:rsid w:val="00332C74"/>
    <w:rsid w:val="00334C24"/>
    <w:rsid w:val="003351DE"/>
    <w:rsid w:val="0033635F"/>
    <w:rsid w:val="00336528"/>
    <w:rsid w:val="00341F9B"/>
    <w:rsid w:val="00344C76"/>
    <w:rsid w:val="00344D3D"/>
    <w:rsid w:val="003455E4"/>
    <w:rsid w:val="00346838"/>
    <w:rsid w:val="00346A7E"/>
    <w:rsid w:val="00346D57"/>
    <w:rsid w:val="0034755F"/>
    <w:rsid w:val="0035051B"/>
    <w:rsid w:val="0035253A"/>
    <w:rsid w:val="00354933"/>
    <w:rsid w:val="0035496A"/>
    <w:rsid w:val="003559D4"/>
    <w:rsid w:val="003605C7"/>
    <w:rsid w:val="00361DE7"/>
    <w:rsid w:val="003646F9"/>
    <w:rsid w:val="00364B68"/>
    <w:rsid w:val="003678CF"/>
    <w:rsid w:val="00371212"/>
    <w:rsid w:val="003736EC"/>
    <w:rsid w:val="00373F9A"/>
    <w:rsid w:val="003747AB"/>
    <w:rsid w:val="003768BC"/>
    <w:rsid w:val="00376BA6"/>
    <w:rsid w:val="003800A4"/>
    <w:rsid w:val="003831B5"/>
    <w:rsid w:val="00383424"/>
    <w:rsid w:val="00384554"/>
    <w:rsid w:val="00386CC8"/>
    <w:rsid w:val="003905A8"/>
    <w:rsid w:val="003909FF"/>
    <w:rsid w:val="00390FCB"/>
    <w:rsid w:val="00391717"/>
    <w:rsid w:val="00392A56"/>
    <w:rsid w:val="00392B80"/>
    <w:rsid w:val="0039415B"/>
    <w:rsid w:val="00394A93"/>
    <w:rsid w:val="00394C08"/>
    <w:rsid w:val="00395D62"/>
    <w:rsid w:val="003A561E"/>
    <w:rsid w:val="003A79CD"/>
    <w:rsid w:val="003B3CE1"/>
    <w:rsid w:val="003B5AF8"/>
    <w:rsid w:val="003B5D6A"/>
    <w:rsid w:val="003B6D9D"/>
    <w:rsid w:val="003B78B7"/>
    <w:rsid w:val="003C0203"/>
    <w:rsid w:val="003C3BAF"/>
    <w:rsid w:val="003C3EC2"/>
    <w:rsid w:val="003C43FD"/>
    <w:rsid w:val="003C7256"/>
    <w:rsid w:val="003D0E77"/>
    <w:rsid w:val="003D0E83"/>
    <w:rsid w:val="003D19D2"/>
    <w:rsid w:val="003D352E"/>
    <w:rsid w:val="003D3AA8"/>
    <w:rsid w:val="003D44E9"/>
    <w:rsid w:val="003E01B1"/>
    <w:rsid w:val="003E15EA"/>
    <w:rsid w:val="003E384D"/>
    <w:rsid w:val="003E5DEE"/>
    <w:rsid w:val="003E7018"/>
    <w:rsid w:val="003E7AD5"/>
    <w:rsid w:val="003F0472"/>
    <w:rsid w:val="003F0D6D"/>
    <w:rsid w:val="003F1222"/>
    <w:rsid w:val="003F26FB"/>
    <w:rsid w:val="003F4C83"/>
    <w:rsid w:val="003F4EB8"/>
    <w:rsid w:val="003F5216"/>
    <w:rsid w:val="003F55F5"/>
    <w:rsid w:val="003F604E"/>
    <w:rsid w:val="003F6ED9"/>
    <w:rsid w:val="0040062C"/>
    <w:rsid w:val="004018CB"/>
    <w:rsid w:val="00402701"/>
    <w:rsid w:val="00402D4B"/>
    <w:rsid w:val="00403CBF"/>
    <w:rsid w:val="004057F1"/>
    <w:rsid w:val="004059D0"/>
    <w:rsid w:val="00405B32"/>
    <w:rsid w:val="00410117"/>
    <w:rsid w:val="004118AF"/>
    <w:rsid w:val="00411983"/>
    <w:rsid w:val="00411A0C"/>
    <w:rsid w:val="00411EA7"/>
    <w:rsid w:val="00412FC4"/>
    <w:rsid w:val="00413CA9"/>
    <w:rsid w:val="00415EA5"/>
    <w:rsid w:val="00416698"/>
    <w:rsid w:val="00420D05"/>
    <w:rsid w:val="0042131D"/>
    <w:rsid w:val="0042224F"/>
    <w:rsid w:val="00422272"/>
    <w:rsid w:val="00422BEC"/>
    <w:rsid w:val="004232C5"/>
    <w:rsid w:val="00427A52"/>
    <w:rsid w:val="00427A79"/>
    <w:rsid w:val="00432872"/>
    <w:rsid w:val="00433894"/>
    <w:rsid w:val="00434AD2"/>
    <w:rsid w:val="00436E7B"/>
    <w:rsid w:val="004371B0"/>
    <w:rsid w:val="0043751F"/>
    <w:rsid w:val="0044051C"/>
    <w:rsid w:val="00441827"/>
    <w:rsid w:val="00442863"/>
    <w:rsid w:val="00444DC5"/>
    <w:rsid w:val="0044752B"/>
    <w:rsid w:val="00451FC9"/>
    <w:rsid w:val="00452157"/>
    <w:rsid w:val="00460958"/>
    <w:rsid w:val="00461041"/>
    <w:rsid w:val="004640DA"/>
    <w:rsid w:val="00464A15"/>
    <w:rsid w:val="00465A11"/>
    <w:rsid w:val="0046621F"/>
    <w:rsid w:val="004663F4"/>
    <w:rsid w:val="004710F3"/>
    <w:rsid w:val="0047391D"/>
    <w:rsid w:val="00475ED8"/>
    <w:rsid w:val="00476E90"/>
    <w:rsid w:val="004772C7"/>
    <w:rsid w:val="004813D6"/>
    <w:rsid w:val="004821B1"/>
    <w:rsid w:val="004830B0"/>
    <w:rsid w:val="0048313F"/>
    <w:rsid w:val="00483600"/>
    <w:rsid w:val="00483602"/>
    <w:rsid w:val="00483D6E"/>
    <w:rsid w:val="0048488E"/>
    <w:rsid w:val="00485321"/>
    <w:rsid w:val="004854E7"/>
    <w:rsid w:val="0048641C"/>
    <w:rsid w:val="00487625"/>
    <w:rsid w:val="00490109"/>
    <w:rsid w:val="0049244D"/>
    <w:rsid w:val="00496F3F"/>
    <w:rsid w:val="004975CC"/>
    <w:rsid w:val="00497EEA"/>
    <w:rsid w:val="004A3861"/>
    <w:rsid w:val="004A45EC"/>
    <w:rsid w:val="004A4B21"/>
    <w:rsid w:val="004A6437"/>
    <w:rsid w:val="004A6516"/>
    <w:rsid w:val="004B0322"/>
    <w:rsid w:val="004B1087"/>
    <w:rsid w:val="004B245C"/>
    <w:rsid w:val="004B3763"/>
    <w:rsid w:val="004B6259"/>
    <w:rsid w:val="004B7213"/>
    <w:rsid w:val="004C2B09"/>
    <w:rsid w:val="004C34EC"/>
    <w:rsid w:val="004C58E9"/>
    <w:rsid w:val="004C5C05"/>
    <w:rsid w:val="004D0388"/>
    <w:rsid w:val="004D1050"/>
    <w:rsid w:val="004D19EC"/>
    <w:rsid w:val="004D2576"/>
    <w:rsid w:val="004D343A"/>
    <w:rsid w:val="004D3899"/>
    <w:rsid w:val="004D3EB6"/>
    <w:rsid w:val="004D53F0"/>
    <w:rsid w:val="004D5EFA"/>
    <w:rsid w:val="004D6346"/>
    <w:rsid w:val="004D69B8"/>
    <w:rsid w:val="004D71D3"/>
    <w:rsid w:val="004E07B3"/>
    <w:rsid w:val="004E115B"/>
    <w:rsid w:val="004E15F7"/>
    <w:rsid w:val="004E1898"/>
    <w:rsid w:val="004E3A1E"/>
    <w:rsid w:val="004E4929"/>
    <w:rsid w:val="004E4EF3"/>
    <w:rsid w:val="004F0708"/>
    <w:rsid w:val="004F2139"/>
    <w:rsid w:val="004F4EA2"/>
    <w:rsid w:val="004F5131"/>
    <w:rsid w:val="004F5821"/>
    <w:rsid w:val="004F5E4A"/>
    <w:rsid w:val="00500906"/>
    <w:rsid w:val="00504A62"/>
    <w:rsid w:val="005051AA"/>
    <w:rsid w:val="0050647B"/>
    <w:rsid w:val="00512141"/>
    <w:rsid w:val="0051479D"/>
    <w:rsid w:val="00516B2A"/>
    <w:rsid w:val="0051727B"/>
    <w:rsid w:val="0051772D"/>
    <w:rsid w:val="00520BC0"/>
    <w:rsid w:val="00521064"/>
    <w:rsid w:val="005216AF"/>
    <w:rsid w:val="0052278D"/>
    <w:rsid w:val="0052341D"/>
    <w:rsid w:val="00524916"/>
    <w:rsid w:val="00525641"/>
    <w:rsid w:val="00530672"/>
    <w:rsid w:val="0053145D"/>
    <w:rsid w:val="00531B6B"/>
    <w:rsid w:val="00531DAD"/>
    <w:rsid w:val="005349CE"/>
    <w:rsid w:val="00536B72"/>
    <w:rsid w:val="00540F45"/>
    <w:rsid w:val="005425FD"/>
    <w:rsid w:val="005437F6"/>
    <w:rsid w:val="00544496"/>
    <w:rsid w:val="00546044"/>
    <w:rsid w:val="0054654D"/>
    <w:rsid w:val="0054698B"/>
    <w:rsid w:val="00546A80"/>
    <w:rsid w:val="005532AC"/>
    <w:rsid w:val="0055475A"/>
    <w:rsid w:val="00555E87"/>
    <w:rsid w:val="00557972"/>
    <w:rsid w:val="00557F1E"/>
    <w:rsid w:val="0056042A"/>
    <w:rsid w:val="00560C80"/>
    <w:rsid w:val="00560F22"/>
    <w:rsid w:val="0056129A"/>
    <w:rsid w:val="005631B3"/>
    <w:rsid w:val="005635CC"/>
    <w:rsid w:val="00565DE9"/>
    <w:rsid w:val="005672FE"/>
    <w:rsid w:val="00567F90"/>
    <w:rsid w:val="00571498"/>
    <w:rsid w:val="005714D5"/>
    <w:rsid w:val="00571B7E"/>
    <w:rsid w:val="005746BD"/>
    <w:rsid w:val="00575712"/>
    <w:rsid w:val="005760F7"/>
    <w:rsid w:val="005771F3"/>
    <w:rsid w:val="00580644"/>
    <w:rsid w:val="00580A5E"/>
    <w:rsid w:val="00581686"/>
    <w:rsid w:val="00582438"/>
    <w:rsid w:val="0058381F"/>
    <w:rsid w:val="005863B0"/>
    <w:rsid w:val="005876BF"/>
    <w:rsid w:val="00587AD4"/>
    <w:rsid w:val="00587CAA"/>
    <w:rsid w:val="00590B28"/>
    <w:rsid w:val="0059378C"/>
    <w:rsid w:val="00593C5B"/>
    <w:rsid w:val="00594A3C"/>
    <w:rsid w:val="005978A5"/>
    <w:rsid w:val="005979EC"/>
    <w:rsid w:val="005A081E"/>
    <w:rsid w:val="005A2550"/>
    <w:rsid w:val="005A25DE"/>
    <w:rsid w:val="005A4483"/>
    <w:rsid w:val="005A4CCC"/>
    <w:rsid w:val="005A6EFC"/>
    <w:rsid w:val="005A7DF7"/>
    <w:rsid w:val="005B0547"/>
    <w:rsid w:val="005B202A"/>
    <w:rsid w:val="005B4CA0"/>
    <w:rsid w:val="005B6486"/>
    <w:rsid w:val="005C0191"/>
    <w:rsid w:val="005C08FE"/>
    <w:rsid w:val="005C1F9A"/>
    <w:rsid w:val="005C21D6"/>
    <w:rsid w:val="005C6092"/>
    <w:rsid w:val="005C6A40"/>
    <w:rsid w:val="005C7D9E"/>
    <w:rsid w:val="005D00AF"/>
    <w:rsid w:val="005D0850"/>
    <w:rsid w:val="005D0ED7"/>
    <w:rsid w:val="005D2230"/>
    <w:rsid w:val="005D29A4"/>
    <w:rsid w:val="005D43C2"/>
    <w:rsid w:val="005D6AA7"/>
    <w:rsid w:val="005E156F"/>
    <w:rsid w:val="005E26E5"/>
    <w:rsid w:val="005E2D63"/>
    <w:rsid w:val="005E35C0"/>
    <w:rsid w:val="005E3931"/>
    <w:rsid w:val="005E43EE"/>
    <w:rsid w:val="005E44B9"/>
    <w:rsid w:val="005E4838"/>
    <w:rsid w:val="005E48D0"/>
    <w:rsid w:val="005E4D2E"/>
    <w:rsid w:val="005E63DE"/>
    <w:rsid w:val="005F02CA"/>
    <w:rsid w:val="005F05CC"/>
    <w:rsid w:val="005F1322"/>
    <w:rsid w:val="005F5658"/>
    <w:rsid w:val="005F6E5C"/>
    <w:rsid w:val="005F7D7A"/>
    <w:rsid w:val="00600757"/>
    <w:rsid w:val="00600E6F"/>
    <w:rsid w:val="00600F5D"/>
    <w:rsid w:val="0060523A"/>
    <w:rsid w:val="0060586E"/>
    <w:rsid w:val="00606572"/>
    <w:rsid w:val="0060664D"/>
    <w:rsid w:val="0060708B"/>
    <w:rsid w:val="006118BB"/>
    <w:rsid w:val="00612A0C"/>
    <w:rsid w:val="00617238"/>
    <w:rsid w:val="00620A91"/>
    <w:rsid w:val="00621EA0"/>
    <w:rsid w:val="0062388D"/>
    <w:rsid w:val="00623B2C"/>
    <w:rsid w:val="0062686D"/>
    <w:rsid w:val="00627A0C"/>
    <w:rsid w:val="00630A51"/>
    <w:rsid w:val="006322A1"/>
    <w:rsid w:val="006333DE"/>
    <w:rsid w:val="00635C8F"/>
    <w:rsid w:val="00636BD3"/>
    <w:rsid w:val="0064006F"/>
    <w:rsid w:val="00640E6C"/>
    <w:rsid w:val="0064292E"/>
    <w:rsid w:val="00642EF0"/>
    <w:rsid w:val="00643752"/>
    <w:rsid w:val="00643786"/>
    <w:rsid w:val="00644648"/>
    <w:rsid w:val="00645341"/>
    <w:rsid w:val="006458E7"/>
    <w:rsid w:val="00650254"/>
    <w:rsid w:val="00651831"/>
    <w:rsid w:val="00651B2A"/>
    <w:rsid w:val="00652FBD"/>
    <w:rsid w:val="006602BC"/>
    <w:rsid w:val="00660C59"/>
    <w:rsid w:val="006616CF"/>
    <w:rsid w:val="00661C7B"/>
    <w:rsid w:val="0066483A"/>
    <w:rsid w:val="00665028"/>
    <w:rsid w:val="006651B5"/>
    <w:rsid w:val="006679F3"/>
    <w:rsid w:val="006719D4"/>
    <w:rsid w:val="006734D3"/>
    <w:rsid w:val="006739D0"/>
    <w:rsid w:val="00673F6B"/>
    <w:rsid w:val="00674E4D"/>
    <w:rsid w:val="00675636"/>
    <w:rsid w:val="006769C4"/>
    <w:rsid w:val="00680671"/>
    <w:rsid w:val="00680D64"/>
    <w:rsid w:val="006812CC"/>
    <w:rsid w:val="00684F08"/>
    <w:rsid w:val="006863DB"/>
    <w:rsid w:val="0068705E"/>
    <w:rsid w:val="00690FB0"/>
    <w:rsid w:val="00693EF0"/>
    <w:rsid w:val="0069426E"/>
    <w:rsid w:val="00695D78"/>
    <w:rsid w:val="00695DD5"/>
    <w:rsid w:val="00696E0D"/>
    <w:rsid w:val="006A08A4"/>
    <w:rsid w:val="006A1461"/>
    <w:rsid w:val="006A1625"/>
    <w:rsid w:val="006A1FE9"/>
    <w:rsid w:val="006A43DF"/>
    <w:rsid w:val="006A6A1E"/>
    <w:rsid w:val="006A7E17"/>
    <w:rsid w:val="006B1A6B"/>
    <w:rsid w:val="006B2137"/>
    <w:rsid w:val="006B2475"/>
    <w:rsid w:val="006B47F3"/>
    <w:rsid w:val="006B52EB"/>
    <w:rsid w:val="006B6859"/>
    <w:rsid w:val="006B751C"/>
    <w:rsid w:val="006B7DE3"/>
    <w:rsid w:val="006C083C"/>
    <w:rsid w:val="006C10B4"/>
    <w:rsid w:val="006C4DC7"/>
    <w:rsid w:val="006C56E7"/>
    <w:rsid w:val="006C5B6C"/>
    <w:rsid w:val="006D0009"/>
    <w:rsid w:val="006D148B"/>
    <w:rsid w:val="006D2245"/>
    <w:rsid w:val="006D2296"/>
    <w:rsid w:val="006D229D"/>
    <w:rsid w:val="006D3545"/>
    <w:rsid w:val="006D3D5A"/>
    <w:rsid w:val="006D6D7E"/>
    <w:rsid w:val="006D6F6D"/>
    <w:rsid w:val="006D735F"/>
    <w:rsid w:val="006D7503"/>
    <w:rsid w:val="006E0A56"/>
    <w:rsid w:val="006E2251"/>
    <w:rsid w:val="006E254B"/>
    <w:rsid w:val="006E3AC1"/>
    <w:rsid w:val="006E3E6E"/>
    <w:rsid w:val="006E52AE"/>
    <w:rsid w:val="006E56DD"/>
    <w:rsid w:val="006E6731"/>
    <w:rsid w:val="006E6961"/>
    <w:rsid w:val="006E6A15"/>
    <w:rsid w:val="006E7037"/>
    <w:rsid w:val="006F22BC"/>
    <w:rsid w:val="006F3F02"/>
    <w:rsid w:val="006F6787"/>
    <w:rsid w:val="006F7B2D"/>
    <w:rsid w:val="00700233"/>
    <w:rsid w:val="007007C5"/>
    <w:rsid w:val="00701D61"/>
    <w:rsid w:val="0070240D"/>
    <w:rsid w:val="0070427E"/>
    <w:rsid w:val="00705740"/>
    <w:rsid w:val="00705988"/>
    <w:rsid w:val="0070605D"/>
    <w:rsid w:val="00707423"/>
    <w:rsid w:val="007075BE"/>
    <w:rsid w:val="00711488"/>
    <w:rsid w:val="00716C86"/>
    <w:rsid w:val="007217B1"/>
    <w:rsid w:val="00722E56"/>
    <w:rsid w:val="00722F1A"/>
    <w:rsid w:val="00722F9F"/>
    <w:rsid w:val="007230F2"/>
    <w:rsid w:val="0072320C"/>
    <w:rsid w:val="0072558B"/>
    <w:rsid w:val="00726C03"/>
    <w:rsid w:val="00726DF3"/>
    <w:rsid w:val="00730086"/>
    <w:rsid w:val="00731BAF"/>
    <w:rsid w:val="00731CDC"/>
    <w:rsid w:val="00731F58"/>
    <w:rsid w:val="00732050"/>
    <w:rsid w:val="00732418"/>
    <w:rsid w:val="007326E6"/>
    <w:rsid w:val="0073280B"/>
    <w:rsid w:val="00733209"/>
    <w:rsid w:val="00735030"/>
    <w:rsid w:val="00735D37"/>
    <w:rsid w:val="007374E5"/>
    <w:rsid w:val="00737DCF"/>
    <w:rsid w:val="007411D2"/>
    <w:rsid w:val="00744494"/>
    <w:rsid w:val="00745848"/>
    <w:rsid w:val="007463F6"/>
    <w:rsid w:val="0074690D"/>
    <w:rsid w:val="00747BB2"/>
    <w:rsid w:val="00750713"/>
    <w:rsid w:val="0075097D"/>
    <w:rsid w:val="00752AFD"/>
    <w:rsid w:val="00757FF9"/>
    <w:rsid w:val="0076024E"/>
    <w:rsid w:val="007613AA"/>
    <w:rsid w:val="00762A7A"/>
    <w:rsid w:val="00762F1F"/>
    <w:rsid w:val="00767BCE"/>
    <w:rsid w:val="007700BF"/>
    <w:rsid w:val="00770984"/>
    <w:rsid w:val="00771B96"/>
    <w:rsid w:val="00772622"/>
    <w:rsid w:val="00773BB0"/>
    <w:rsid w:val="00774B97"/>
    <w:rsid w:val="007752B1"/>
    <w:rsid w:val="00775E1E"/>
    <w:rsid w:val="00775F0B"/>
    <w:rsid w:val="0077646F"/>
    <w:rsid w:val="00776F74"/>
    <w:rsid w:val="007821D7"/>
    <w:rsid w:val="00784CD3"/>
    <w:rsid w:val="00785A89"/>
    <w:rsid w:val="00785C84"/>
    <w:rsid w:val="00786623"/>
    <w:rsid w:val="007872A8"/>
    <w:rsid w:val="00791D0E"/>
    <w:rsid w:val="00793A2E"/>
    <w:rsid w:val="007941B2"/>
    <w:rsid w:val="007948B6"/>
    <w:rsid w:val="00794F2D"/>
    <w:rsid w:val="0079651A"/>
    <w:rsid w:val="00796DDF"/>
    <w:rsid w:val="00796FCE"/>
    <w:rsid w:val="00797A19"/>
    <w:rsid w:val="007A0EF8"/>
    <w:rsid w:val="007A4B75"/>
    <w:rsid w:val="007A4E86"/>
    <w:rsid w:val="007A5E15"/>
    <w:rsid w:val="007A654C"/>
    <w:rsid w:val="007A683B"/>
    <w:rsid w:val="007A6CB2"/>
    <w:rsid w:val="007A6CD3"/>
    <w:rsid w:val="007A7D5B"/>
    <w:rsid w:val="007B1E45"/>
    <w:rsid w:val="007B37B6"/>
    <w:rsid w:val="007C0F2F"/>
    <w:rsid w:val="007C16FC"/>
    <w:rsid w:val="007C1D19"/>
    <w:rsid w:val="007C203D"/>
    <w:rsid w:val="007C219F"/>
    <w:rsid w:val="007C46F1"/>
    <w:rsid w:val="007C4FBC"/>
    <w:rsid w:val="007C5C84"/>
    <w:rsid w:val="007C6156"/>
    <w:rsid w:val="007C696D"/>
    <w:rsid w:val="007C7601"/>
    <w:rsid w:val="007C78F4"/>
    <w:rsid w:val="007C7C33"/>
    <w:rsid w:val="007D0B85"/>
    <w:rsid w:val="007D4EAE"/>
    <w:rsid w:val="007D4F82"/>
    <w:rsid w:val="007D509F"/>
    <w:rsid w:val="007D6D1D"/>
    <w:rsid w:val="007E045E"/>
    <w:rsid w:val="007E071A"/>
    <w:rsid w:val="007E0B5C"/>
    <w:rsid w:val="007E4395"/>
    <w:rsid w:val="007E5129"/>
    <w:rsid w:val="007E56AB"/>
    <w:rsid w:val="007E69CE"/>
    <w:rsid w:val="007E6B14"/>
    <w:rsid w:val="007E6CCC"/>
    <w:rsid w:val="007F12EF"/>
    <w:rsid w:val="007F1A00"/>
    <w:rsid w:val="007F1B31"/>
    <w:rsid w:val="007F1FBD"/>
    <w:rsid w:val="007F3BE0"/>
    <w:rsid w:val="007F550D"/>
    <w:rsid w:val="007F61C1"/>
    <w:rsid w:val="007F6C93"/>
    <w:rsid w:val="007F7283"/>
    <w:rsid w:val="007F793A"/>
    <w:rsid w:val="0080032A"/>
    <w:rsid w:val="00801227"/>
    <w:rsid w:val="00806671"/>
    <w:rsid w:val="00806968"/>
    <w:rsid w:val="00807424"/>
    <w:rsid w:val="00807961"/>
    <w:rsid w:val="008102FD"/>
    <w:rsid w:val="00811209"/>
    <w:rsid w:val="00811E76"/>
    <w:rsid w:val="00813C08"/>
    <w:rsid w:val="00815379"/>
    <w:rsid w:val="00815BF2"/>
    <w:rsid w:val="008164B0"/>
    <w:rsid w:val="0081663F"/>
    <w:rsid w:val="0081785E"/>
    <w:rsid w:val="00821147"/>
    <w:rsid w:val="008220F0"/>
    <w:rsid w:val="00823BE5"/>
    <w:rsid w:val="008243E5"/>
    <w:rsid w:val="00834C14"/>
    <w:rsid w:val="00836700"/>
    <w:rsid w:val="00841249"/>
    <w:rsid w:val="008415E5"/>
    <w:rsid w:val="00842A4D"/>
    <w:rsid w:val="00843408"/>
    <w:rsid w:val="00843F57"/>
    <w:rsid w:val="00846234"/>
    <w:rsid w:val="00850670"/>
    <w:rsid w:val="008549E9"/>
    <w:rsid w:val="00856BC2"/>
    <w:rsid w:val="00862A41"/>
    <w:rsid w:val="008634E3"/>
    <w:rsid w:val="00863BC3"/>
    <w:rsid w:val="00863F6C"/>
    <w:rsid w:val="008655B3"/>
    <w:rsid w:val="00865928"/>
    <w:rsid w:val="00865941"/>
    <w:rsid w:val="008662C4"/>
    <w:rsid w:val="008674AF"/>
    <w:rsid w:val="00867DDE"/>
    <w:rsid w:val="00870BBC"/>
    <w:rsid w:val="00871654"/>
    <w:rsid w:val="00871A6A"/>
    <w:rsid w:val="0087225C"/>
    <w:rsid w:val="008725E5"/>
    <w:rsid w:val="008731D4"/>
    <w:rsid w:val="0087533B"/>
    <w:rsid w:val="00875340"/>
    <w:rsid w:val="0087553B"/>
    <w:rsid w:val="0087718F"/>
    <w:rsid w:val="00877FCE"/>
    <w:rsid w:val="008806CE"/>
    <w:rsid w:val="00883D8F"/>
    <w:rsid w:val="008845A1"/>
    <w:rsid w:val="0088473D"/>
    <w:rsid w:val="00890438"/>
    <w:rsid w:val="0089097C"/>
    <w:rsid w:val="008917E4"/>
    <w:rsid w:val="00891DE7"/>
    <w:rsid w:val="008934B5"/>
    <w:rsid w:val="008940DB"/>
    <w:rsid w:val="0089485A"/>
    <w:rsid w:val="008955AE"/>
    <w:rsid w:val="00896119"/>
    <w:rsid w:val="00896BA3"/>
    <w:rsid w:val="00896C07"/>
    <w:rsid w:val="00897C0B"/>
    <w:rsid w:val="008A36E6"/>
    <w:rsid w:val="008A420C"/>
    <w:rsid w:val="008A47D7"/>
    <w:rsid w:val="008A6B73"/>
    <w:rsid w:val="008B05E5"/>
    <w:rsid w:val="008B22D1"/>
    <w:rsid w:val="008B23CA"/>
    <w:rsid w:val="008B4F75"/>
    <w:rsid w:val="008B713E"/>
    <w:rsid w:val="008B7465"/>
    <w:rsid w:val="008C079C"/>
    <w:rsid w:val="008C1341"/>
    <w:rsid w:val="008C1520"/>
    <w:rsid w:val="008C6871"/>
    <w:rsid w:val="008C7730"/>
    <w:rsid w:val="008C79B9"/>
    <w:rsid w:val="008D0C91"/>
    <w:rsid w:val="008D24C2"/>
    <w:rsid w:val="008D3E3F"/>
    <w:rsid w:val="008D53BB"/>
    <w:rsid w:val="008D63A6"/>
    <w:rsid w:val="008D7336"/>
    <w:rsid w:val="008E0B25"/>
    <w:rsid w:val="008E1353"/>
    <w:rsid w:val="008E33FA"/>
    <w:rsid w:val="008E380C"/>
    <w:rsid w:val="008E3927"/>
    <w:rsid w:val="008E4192"/>
    <w:rsid w:val="008E48DB"/>
    <w:rsid w:val="008E62DB"/>
    <w:rsid w:val="008E65DD"/>
    <w:rsid w:val="008F0D87"/>
    <w:rsid w:val="008F1834"/>
    <w:rsid w:val="008F1BC6"/>
    <w:rsid w:val="008F239B"/>
    <w:rsid w:val="008F3133"/>
    <w:rsid w:val="008F3A2F"/>
    <w:rsid w:val="008F4191"/>
    <w:rsid w:val="008F5C2B"/>
    <w:rsid w:val="00900B39"/>
    <w:rsid w:val="00901CE7"/>
    <w:rsid w:val="00901DBE"/>
    <w:rsid w:val="00902521"/>
    <w:rsid w:val="00902993"/>
    <w:rsid w:val="00903408"/>
    <w:rsid w:val="00904DD3"/>
    <w:rsid w:val="009055B9"/>
    <w:rsid w:val="00911273"/>
    <w:rsid w:val="00911881"/>
    <w:rsid w:val="00911959"/>
    <w:rsid w:val="009134E6"/>
    <w:rsid w:val="00915CE7"/>
    <w:rsid w:val="00915DE4"/>
    <w:rsid w:val="009165D9"/>
    <w:rsid w:val="00917A43"/>
    <w:rsid w:val="00917EFE"/>
    <w:rsid w:val="00924996"/>
    <w:rsid w:val="00930E90"/>
    <w:rsid w:val="00931781"/>
    <w:rsid w:val="00931FD5"/>
    <w:rsid w:val="00933837"/>
    <w:rsid w:val="00934051"/>
    <w:rsid w:val="009366E2"/>
    <w:rsid w:val="009369B7"/>
    <w:rsid w:val="00937E25"/>
    <w:rsid w:val="009403D9"/>
    <w:rsid w:val="00940D5E"/>
    <w:rsid w:val="00941105"/>
    <w:rsid w:val="00941468"/>
    <w:rsid w:val="009417E0"/>
    <w:rsid w:val="0094325E"/>
    <w:rsid w:val="00943CCA"/>
    <w:rsid w:val="00943E0F"/>
    <w:rsid w:val="009444F2"/>
    <w:rsid w:val="00944708"/>
    <w:rsid w:val="00945053"/>
    <w:rsid w:val="00946246"/>
    <w:rsid w:val="00946447"/>
    <w:rsid w:val="00947143"/>
    <w:rsid w:val="00951F31"/>
    <w:rsid w:val="00954D79"/>
    <w:rsid w:val="0095501E"/>
    <w:rsid w:val="00955524"/>
    <w:rsid w:val="00955BC7"/>
    <w:rsid w:val="009569FF"/>
    <w:rsid w:val="0095712A"/>
    <w:rsid w:val="0096035C"/>
    <w:rsid w:val="00962773"/>
    <w:rsid w:val="009634E5"/>
    <w:rsid w:val="009644DE"/>
    <w:rsid w:val="0096471F"/>
    <w:rsid w:val="009669F9"/>
    <w:rsid w:val="00967A11"/>
    <w:rsid w:val="0097010C"/>
    <w:rsid w:val="009712CA"/>
    <w:rsid w:val="00971674"/>
    <w:rsid w:val="00973904"/>
    <w:rsid w:val="00974799"/>
    <w:rsid w:val="0097608C"/>
    <w:rsid w:val="009816AE"/>
    <w:rsid w:val="00983040"/>
    <w:rsid w:val="009831F7"/>
    <w:rsid w:val="009836D2"/>
    <w:rsid w:val="0098734D"/>
    <w:rsid w:val="00991217"/>
    <w:rsid w:val="00991A64"/>
    <w:rsid w:val="0099246F"/>
    <w:rsid w:val="0099394C"/>
    <w:rsid w:val="00993DE5"/>
    <w:rsid w:val="00993FDB"/>
    <w:rsid w:val="0099603F"/>
    <w:rsid w:val="00996883"/>
    <w:rsid w:val="00997B20"/>
    <w:rsid w:val="00997B4C"/>
    <w:rsid w:val="009A03BB"/>
    <w:rsid w:val="009A06C1"/>
    <w:rsid w:val="009A21FA"/>
    <w:rsid w:val="009A3420"/>
    <w:rsid w:val="009A3F45"/>
    <w:rsid w:val="009A44EE"/>
    <w:rsid w:val="009A5B56"/>
    <w:rsid w:val="009A5C26"/>
    <w:rsid w:val="009A63E9"/>
    <w:rsid w:val="009B06A6"/>
    <w:rsid w:val="009B107B"/>
    <w:rsid w:val="009B1FD9"/>
    <w:rsid w:val="009B25C7"/>
    <w:rsid w:val="009B3BAB"/>
    <w:rsid w:val="009B46F7"/>
    <w:rsid w:val="009B5B9A"/>
    <w:rsid w:val="009B61ED"/>
    <w:rsid w:val="009B73B4"/>
    <w:rsid w:val="009B7AC1"/>
    <w:rsid w:val="009C14C6"/>
    <w:rsid w:val="009C1A37"/>
    <w:rsid w:val="009C25C5"/>
    <w:rsid w:val="009C57F8"/>
    <w:rsid w:val="009D065A"/>
    <w:rsid w:val="009D083B"/>
    <w:rsid w:val="009D12C1"/>
    <w:rsid w:val="009D139E"/>
    <w:rsid w:val="009D21E3"/>
    <w:rsid w:val="009D2BEE"/>
    <w:rsid w:val="009D2EB6"/>
    <w:rsid w:val="009D369D"/>
    <w:rsid w:val="009D3DEC"/>
    <w:rsid w:val="009D4720"/>
    <w:rsid w:val="009D64C1"/>
    <w:rsid w:val="009D7471"/>
    <w:rsid w:val="009E0691"/>
    <w:rsid w:val="009E0B92"/>
    <w:rsid w:val="009E1330"/>
    <w:rsid w:val="009E1719"/>
    <w:rsid w:val="009E4310"/>
    <w:rsid w:val="009F24B6"/>
    <w:rsid w:val="009F3CE6"/>
    <w:rsid w:val="009F4CCE"/>
    <w:rsid w:val="009F5E89"/>
    <w:rsid w:val="009F6784"/>
    <w:rsid w:val="00A00121"/>
    <w:rsid w:val="00A00922"/>
    <w:rsid w:val="00A04365"/>
    <w:rsid w:val="00A0528E"/>
    <w:rsid w:val="00A06379"/>
    <w:rsid w:val="00A0793D"/>
    <w:rsid w:val="00A1044E"/>
    <w:rsid w:val="00A10839"/>
    <w:rsid w:val="00A11077"/>
    <w:rsid w:val="00A11243"/>
    <w:rsid w:val="00A132EA"/>
    <w:rsid w:val="00A1684A"/>
    <w:rsid w:val="00A22F0E"/>
    <w:rsid w:val="00A24603"/>
    <w:rsid w:val="00A250C2"/>
    <w:rsid w:val="00A25EA4"/>
    <w:rsid w:val="00A2775B"/>
    <w:rsid w:val="00A27B13"/>
    <w:rsid w:val="00A30B84"/>
    <w:rsid w:val="00A32794"/>
    <w:rsid w:val="00A32F95"/>
    <w:rsid w:val="00A354B6"/>
    <w:rsid w:val="00A35D5F"/>
    <w:rsid w:val="00A35F92"/>
    <w:rsid w:val="00A37FDE"/>
    <w:rsid w:val="00A40369"/>
    <w:rsid w:val="00A40995"/>
    <w:rsid w:val="00A41E2B"/>
    <w:rsid w:val="00A43A50"/>
    <w:rsid w:val="00A455CF"/>
    <w:rsid w:val="00A45942"/>
    <w:rsid w:val="00A461AD"/>
    <w:rsid w:val="00A4788F"/>
    <w:rsid w:val="00A511CF"/>
    <w:rsid w:val="00A525FF"/>
    <w:rsid w:val="00A52D64"/>
    <w:rsid w:val="00A536B6"/>
    <w:rsid w:val="00A53F2F"/>
    <w:rsid w:val="00A54528"/>
    <w:rsid w:val="00A56A57"/>
    <w:rsid w:val="00A578FD"/>
    <w:rsid w:val="00A60135"/>
    <w:rsid w:val="00A63D3D"/>
    <w:rsid w:val="00A6402F"/>
    <w:rsid w:val="00A64995"/>
    <w:rsid w:val="00A649FC"/>
    <w:rsid w:val="00A64FAE"/>
    <w:rsid w:val="00A65442"/>
    <w:rsid w:val="00A67107"/>
    <w:rsid w:val="00A72526"/>
    <w:rsid w:val="00A732C9"/>
    <w:rsid w:val="00A73748"/>
    <w:rsid w:val="00A73DA0"/>
    <w:rsid w:val="00A74975"/>
    <w:rsid w:val="00A7499E"/>
    <w:rsid w:val="00A75397"/>
    <w:rsid w:val="00A75B15"/>
    <w:rsid w:val="00A761BC"/>
    <w:rsid w:val="00A77823"/>
    <w:rsid w:val="00A80A17"/>
    <w:rsid w:val="00A83079"/>
    <w:rsid w:val="00A84BAE"/>
    <w:rsid w:val="00A850D0"/>
    <w:rsid w:val="00A85E08"/>
    <w:rsid w:val="00A86E6B"/>
    <w:rsid w:val="00A87118"/>
    <w:rsid w:val="00A877AC"/>
    <w:rsid w:val="00A97120"/>
    <w:rsid w:val="00AA09EC"/>
    <w:rsid w:val="00AA4BDB"/>
    <w:rsid w:val="00AB10A2"/>
    <w:rsid w:val="00AB125B"/>
    <w:rsid w:val="00AB21E6"/>
    <w:rsid w:val="00AB3136"/>
    <w:rsid w:val="00AB5E84"/>
    <w:rsid w:val="00AB71DB"/>
    <w:rsid w:val="00AC0CC5"/>
    <w:rsid w:val="00AC106A"/>
    <w:rsid w:val="00AC190C"/>
    <w:rsid w:val="00AC385F"/>
    <w:rsid w:val="00AC6260"/>
    <w:rsid w:val="00AC6B93"/>
    <w:rsid w:val="00AC6BB6"/>
    <w:rsid w:val="00AC6BE0"/>
    <w:rsid w:val="00AC7E77"/>
    <w:rsid w:val="00AD07EC"/>
    <w:rsid w:val="00AD3059"/>
    <w:rsid w:val="00AD3387"/>
    <w:rsid w:val="00AD572C"/>
    <w:rsid w:val="00AD5ED4"/>
    <w:rsid w:val="00AD7568"/>
    <w:rsid w:val="00AD7FA3"/>
    <w:rsid w:val="00AE09D6"/>
    <w:rsid w:val="00AE1340"/>
    <w:rsid w:val="00AE2731"/>
    <w:rsid w:val="00AE4947"/>
    <w:rsid w:val="00AE62B3"/>
    <w:rsid w:val="00AE72AE"/>
    <w:rsid w:val="00AF014A"/>
    <w:rsid w:val="00AF0AA2"/>
    <w:rsid w:val="00AF134E"/>
    <w:rsid w:val="00AF2931"/>
    <w:rsid w:val="00AF2CF1"/>
    <w:rsid w:val="00AF359D"/>
    <w:rsid w:val="00AF5BFA"/>
    <w:rsid w:val="00AF7251"/>
    <w:rsid w:val="00AF76B0"/>
    <w:rsid w:val="00B00E41"/>
    <w:rsid w:val="00B023C5"/>
    <w:rsid w:val="00B03456"/>
    <w:rsid w:val="00B03F25"/>
    <w:rsid w:val="00B04680"/>
    <w:rsid w:val="00B047B8"/>
    <w:rsid w:val="00B04CCB"/>
    <w:rsid w:val="00B05D0D"/>
    <w:rsid w:val="00B07371"/>
    <w:rsid w:val="00B07B2E"/>
    <w:rsid w:val="00B107F1"/>
    <w:rsid w:val="00B111FA"/>
    <w:rsid w:val="00B118D0"/>
    <w:rsid w:val="00B11A47"/>
    <w:rsid w:val="00B11C25"/>
    <w:rsid w:val="00B12D06"/>
    <w:rsid w:val="00B136A9"/>
    <w:rsid w:val="00B1537E"/>
    <w:rsid w:val="00B15D81"/>
    <w:rsid w:val="00B160B5"/>
    <w:rsid w:val="00B16DB2"/>
    <w:rsid w:val="00B16FD1"/>
    <w:rsid w:val="00B211AC"/>
    <w:rsid w:val="00B21FCF"/>
    <w:rsid w:val="00B22DFE"/>
    <w:rsid w:val="00B2333D"/>
    <w:rsid w:val="00B25B60"/>
    <w:rsid w:val="00B30834"/>
    <w:rsid w:val="00B30B95"/>
    <w:rsid w:val="00B3104F"/>
    <w:rsid w:val="00B354CC"/>
    <w:rsid w:val="00B36200"/>
    <w:rsid w:val="00B404E1"/>
    <w:rsid w:val="00B40996"/>
    <w:rsid w:val="00B4241C"/>
    <w:rsid w:val="00B424F8"/>
    <w:rsid w:val="00B42AA6"/>
    <w:rsid w:val="00B44BFD"/>
    <w:rsid w:val="00B44D29"/>
    <w:rsid w:val="00B465CE"/>
    <w:rsid w:val="00B467AE"/>
    <w:rsid w:val="00B47D78"/>
    <w:rsid w:val="00B51064"/>
    <w:rsid w:val="00B5468D"/>
    <w:rsid w:val="00B55A0C"/>
    <w:rsid w:val="00B565E8"/>
    <w:rsid w:val="00B571CE"/>
    <w:rsid w:val="00B57B83"/>
    <w:rsid w:val="00B61134"/>
    <w:rsid w:val="00B6328F"/>
    <w:rsid w:val="00B66341"/>
    <w:rsid w:val="00B67E36"/>
    <w:rsid w:val="00B714C4"/>
    <w:rsid w:val="00B71DAE"/>
    <w:rsid w:val="00B71FDB"/>
    <w:rsid w:val="00B72299"/>
    <w:rsid w:val="00B72441"/>
    <w:rsid w:val="00B72C7B"/>
    <w:rsid w:val="00B72EA8"/>
    <w:rsid w:val="00B737FC"/>
    <w:rsid w:val="00B7385A"/>
    <w:rsid w:val="00B74F06"/>
    <w:rsid w:val="00B761D3"/>
    <w:rsid w:val="00B779AE"/>
    <w:rsid w:val="00B81000"/>
    <w:rsid w:val="00B81486"/>
    <w:rsid w:val="00B82BE9"/>
    <w:rsid w:val="00B8459D"/>
    <w:rsid w:val="00B84A02"/>
    <w:rsid w:val="00B84AAE"/>
    <w:rsid w:val="00B8538F"/>
    <w:rsid w:val="00B867F5"/>
    <w:rsid w:val="00B870DF"/>
    <w:rsid w:val="00B87878"/>
    <w:rsid w:val="00B91A23"/>
    <w:rsid w:val="00B920A3"/>
    <w:rsid w:val="00B92F93"/>
    <w:rsid w:val="00B937E3"/>
    <w:rsid w:val="00B9609D"/>
    <w:rsid w:val="00B964ED"/>
    <w:rsid w:val="00B969D4"/>
    <w:rsid w:val="00BA3105"/>
    <w:rsid w:val="00BA419C"/>
    <w:rsid w:val="00BA44AB"/>
    <w:rsid w:val="00BA5431"/>
    <w:rsid w:val="00BA564F"/>
    <w:rsid w:val="00BA5FCC"/>
    <w:rsid w:val="00BB06AF"/>
    <w:rsid w:val="00BB0DF0"/>
    <w:rsid w:val="00BB31EB"/>
    <w:rsid w:val="00BB37B3"/>
    <w:rsid w:val="00BB513B"/>
    <w:rsid w:val="00BB538B"/>
    <w:rsid w:val="00BB673E"/>
    <w:rsid w:val="00BB77EF"/>
    <w:rsid w:val="00BC33A8"/>
    <w:rsid w:val="00BC47E1"/>
    <w:rsid w:val="00BC750E"/>
    <w:rsid w:val="00BC7BAC"/>
    <w:rsid w:val="00BC7F08"/>
    <w:rsid w:val="00BD0884"/>
    <w:rsid w:val="00BD233A"/>
    <w:rsid w:val="00BD2FAB"/>
    <w:rsid w:val="00BD3818"/>
    <w:rsid w:val="00BD3856"/>
    <w:rsid w:val="00BD5FAF"/>
    <w:rsid w:val="00BD68FA"/>
    <w:rsid w:val="00BD6BD8"/>
    <w:rsid w:val="00BD6DFE"/>
    <w:rsid w:val="00BD77BC"/>
    <w:rsid w:val="00BE37BD"/>
    <w:rsid w:val="00BE58E7"/>
    <w:rsid w:val="00BE60A3"/>
    <w:rsid w:val="00BE610E"/>
    <w:rsid w:val="00BF1452"/>
    <w:rsid w:val="00BF1AAA"/>
    <w:rsid w:val="00BF2F26"/>
    <w:rsid w:val="00BF3030"/>
    <w:rsid w:val="00BF312C"/>
    <w:rsid w:val="00BF4DCE"/>
    <w:rsid w:val="00BF5774"/>
    <w:rsid w:val="00BF7023"/>
    <w:rsid w:val="00BF7155"/>
    <w:rsid w:val="00BF7FCF"/>
    <w:rsid w:val="00C0314C"/>
    <w:rsid w:val="00C04E07"/>
    <w:rsid w:val="00C06002"/>
    <w:rsid w:val="00C07425"/>
    <w:rsid w:val="00C075D7"/>
    <w:rsid w:val="00C10E32"/>
    <w:rsid w:val="00C1269D"/>
    <w:rsid w:val="00C17EAF"/>
    <w:rsid w:val="00C203E9"/>
    <w:rsid w:val="00C211C4"/>
    <w:rsid w:val="00C21CB9"/>
    <w:rsid w:val="00C237F1"/>
    <w:rsid w:val="00C251F6"/>
    <w:rsid w:val="00C26009"/>
    <w:rsid w:val="00C316DD"/>
    <w:rsid w:val="00C31C50"/>
    <w:rsid w:val="00C31E60"/>
    <w:rsid w:val="00C323CB"/>
    <w:rsid w:val="00C33599"/>
    <w:rsid w:val="00C3442B"/>
    <w:rsid w:val="00C362D7"/>
    <w:rsid w:val="00C3634D"/>
    <w:rsid w:val="00C408AD"/>
    <w:rsid w:val="00C40C6F"/>
    <w:rsid w:val="00C41432"/>
    <w:rsid w:val="00C4158A"/>
    <w:rsid w:val="00C43BA4"/>
    <w:rsid w:val="00C45DA8"/>
    <w:rsid w:val="00C47FA4"/>
    <w:rsid w:val="00C527A7"/>
    <w:rsid w:val="00C52857"/>
    <w:rsid w:val="00C540EA"/>
    <w:rsid w:val="00C54A74"/>
    <w:rsid w:val="00C5562F"/>
    <w:rsid w:val="00C5566E"/>
    <w:rsid w:val="00C564DD"/>
    <w:rsid w:val="00C56D1C"/>
    <w:rsid w:val="00C613F2"/>
    <w:rsid w:val="00C63233"/>
    <w:rsid w:val="00C63A26"/>
    <w:rsid w:val="00C65BB0"/>
    <w:rsid w:val="00C703E8"/>
    <w:rsid w:val="00C70557"/>
    <w:rsid w:val="00C75890"/>
    <w:rsid w:val="00C75FAB"/>
    <w:rsid w:val="00C77516"/>
    <w:rsid w:val="00C77633"/>
    <w:rsid w:val="00C777FE"/>
    <w:rsid w:val="00C77860"/>
    <w:rsid w:val="00C8067C"/>
    <w:rsid w:val="00C81D6D"/>
    <w:rsid w:val="00C81EE7"/>
    <w:rsid w:val="00C844FE"/>
    <w:rsid w:val="00C84D7D"/>
    <w:rsid w:val="00C86FF5"/>
    <w:rsid w:val="00C8716E"/>
    <w:rsid w:val="00C8788B"/>
    <w:rsid w:val="00C87B7F"/>
    <w:rsid w:val="00C90BF1"/>
    <w:rsid w:val="00C92855"/>
    <w:rsid w:val="00C92D9C"/>
    <w:rsid w:val="00CA0F46"/>
    <w:rsid w:val="00CA1663"/>
    <w:rsid w:val="00CA478B"/>
    <w:rsid w:val="00CA63BD"/>
    <w:rsid w:val="00CA6432"/>
    <w:rsid w:val="00CA6440"/>
    <w:rsid w:val="00CA6DA8"/>
    <w:rsid w:val="00CB1514"/>
    <w:rsid w:val="00CB1895"/>
    <w:rsid w:val="00CB18CF"/>
    <w:rsid w:val="00CB3A23"/>
    <w:rsid w:val="00CB4D50"/>
    <w:rsid w:val="00CB7881"/>
    <w:rsid w:val="00CB7BB4"/>
    <w:rsid w:val="00CC0561"/>
    <w:rsid w:val="00CC0941"/>
    <w:rsid w:val="00CC5B2D"/>
    <w:rsid w:val="00CC5F87"/>
    <w:rsid w:val="00CC6F42"/>
    <w:rsid w:val="00CD03F5"/>
    <w:rsid w:val="00CD2A87"/>
    <w:rsid w:val="00CD6D10"/>
    <w:rsid w:val="00CD7319"/>
    <w:rsid w:val="00CE2166"/>
    <w:rsid w:val="00CE28D9"/>
    <w:rsid w:val="00CE3333"/>
    <w:rsid w:val="00CE3583"/>
    <w:rsid w:val="00CE4400"/>
    <w:rsid w:val="00CE56C6"/>
    <w:rsid w:val="00CE57B9"/>
    <w:rsid w:val="00CE5E0D"/>
    <w:rsid w:val="00CE722D"/>
    <w:rsid w:val="00CE7419"/>
    <w:rsid w:val="00CF0505"/>
    <w:rsid w:val="00CF2151"/>
    <w:rsid w:val="00CF2E72"/>
    <w:rsid w:val="00CF31EB"/>
    <w:rsid w:val="00CF3389"/>
    <w:rsid w:val="00CF53F8"/>
    <w:rsid w:val="00CF58B9"/>
    <w:rsid w:val="00CF594D"/>
    <w:rsid w:val="00CF6492"/>
    <w:rsid w:val="00CF6A37"/>
    <w:rsid w:val="00D019BD"/>
    <w:rsid w:val="00D03514"/>
    <w:rsid w:val="00D03B14"/>
    <w:rsid w:val="00D04366"/>
    <w:rsid w:val="00D075B5"/>
    <w:rsid w:val="00D10B2B"/>
    <w:rsid w:val="00D10C06"/>
    <w:rsid w:val="00D12116"/>
    <w:rsid w:val="00D12988"/>
    <w:rsid w:val="00D15A60"/>
    <w:rsid w:val="00D16E66"/>
    <w:rsid w:val="00D17618"/>
    <w:rsid w:val="00D17752"/>
    <w:rsid w:val="00D17A2E"/>
    <w:rsid w:val="00D20C98"/>
    <w:rsid w:val="00D20FE8"/>
    <w:rsid w:val="00D2399A"/>
    <w:rsid w:val="00D24804"/>
    <w:rsid w:val="00D248F9"/>
    <w:rsid w:val="00D2567D"/>
    <w:rsid w:val="00D25FD9"/>
    <w:rsid w:val="00D26B2C"/>
    <w:rsid w:val="00D2746D"/>
    <w:rsid w:val="00D3070B"/>
    <w:rsid w:val="00D3083F"/>
    <w:rsid w:val="00D30AFE"/>
    <w:rsid w:val="00D30F46"/>
    <w:rsid w:val="00D33720"/>
    <w:rsid w:val="00D337AA"/>
    <w:rsid w:val="00D33DFA"/>
    <w:rsid w:val="00D34855"/>
    <w:rsid w:val="00D34A6B"/>
    <w:rsid w:val="00D35378"/>
    <w:rsid w:val="00D356C3"/>
    <w:rsid w:val="00D40576"/>
    <w:rsid w:val="00D4092E"/>
    <w:rsid w:val="00D4387B"/>
    <w:rsid w:val="00D44EB7"/>
    <w:rsid w:val="00D44FFF"/>
    <w:rsid w:val="00D45E07"/>
    <w:rsid w:val="00D46827"/>
    <w:rsid w:val="00D46848"/>
    <w:rsid w:val="00D47645"/>
    <w:rsid w:val="00D50416"/>
    <w:rsid w:val="00D509B6"/>
    <w:rsid w:val="00D51107"/>
    <w:rsid w:val="00D51119"/>
    <w:rsid w:val="00D51640"/>
    <w:rsid w:val="00D52711"/>
    <w:rsid w:val="00D52C43"/>
    <w:rsid w:val="00D53DB7"/>
    <w:rsid w:val="00D558DE"/>
    <w:rsid w:val="00D560A7"/>
    <w:rsid w:val="00D56280"/>
    <w:rsid w:val="00D571DF"/>
    <w:rsid w:val="00D61F10"/>
    <w:rsid w:val="00D62241"/>
    <w:rsid w:val="00D6225E"/>
    <w:rsid w:val="00D63B57"/>
    <w:rsid w:val="00D63BA0"/>
    <w:rsid w:val="00D64ABE"/>
    <w:rsid w:val="00D652A0"/>
    <w:rsid w:val="00D653E0"/>
    <w:rsid w:val="00D66CE7"/>
    <w:rsid w:val="00D67729"/>
    <w:rsid w:val="00D67ADC"/>
    <w:rsid w:val="00D70275"/>
    <w:rsid w:val="00D71099"/>
    <w:rsid w:val="00D72B64"/>
    <w:rsid w:val="00D76944"/>
    <w:rsid w:val="00D81CB0"/>
    <w:rsid w:val="00D82034"/>
    <w:rsid w:val="00D83102"/>
    <w:rsid w:val="00D84585"/>
    <w:rsid w:val="00D85233"/>
    <w:rsid w:val="00D86591"/>
    <w:rsid w:val="00D87699"/>
    <w:rsid w:val="00D900E9"/>
    <w:rsid w:val="00D90BF4"/>
    <w:rsid w:val="00D91891"/>
    <w:rsid w:val="00D918DD"/>
    <w:rsid w:val="00D91AFD"/>
    <w:rsid w:val="00D968C7"/>
    <w:rsid w:val="00D970D6"/>
    <w:rsid w:val="00DA0C31"/>
    <w:rsid w:val="00DA1D08"/>
    <w:rsid w:val="00DA511C"/>
    <w:rsid w:val="00DB08A2"/>
    <w:rsid w:val="00DB0FF1"/>
    <w:rsid w:val="00DB1A0D"/>
    <w:rsid w:val="00DB2AAC"/>
    <w:rsid w:val="00DB326F"/>
    <w:rsid w:val="00DB3976"/>
    <w:rsid w:val="00DB4EA7"/>
    <w:rsid w:val="00DB6447"/>
    <w:rsid w:val="00DB6CE8"/>
    <w:rsid w:val="00DB7124"/>
    <w:rsid w:val="00DC348A"/>
    <w:rsid w:val="00DC4E06"/>
    <w:rsid w:val="00DC50B7"/>
    <w:rsid w:val="00DC5307"/>
    <w:rsid w:val="00DC5D7C"/>
    <w:rsid w:val="00DC7A6D"/>
    <w:rsid w:val="00DC7C00"/>
    <w:rsid w:val="00DD127C"/>
    <w:rsid w:val="00DD30F2"/>
    <w:rsid w:val="00DE04D3"/>
    <w:rsid w:val="00DE1659"/>
    <w:rsid w:val="00DE2FD1"/>
    <w:rsid w:val="00DE45DD"/>
    <w:rsid w:val="00DE5B6C"/>
    <w:rsid w:val="00DE6397"/>
    <w:rsid w:val="00DE7825"/>
    <w:rsid w:val="00DF0359"/>
    <w:rsid w:val="00DF0B1E"/>
    <w:rsid w:val="00DF128F"/>
    <w:rsid w:val="00DF3F9A"/>
    <w:rsid w:val="00DF5470"/>
    <w:rsid w:val="00DF61AB"/>
    <w:rsid w:val="00DF7687"/>
    <w:rsid w:val="00DF7DAF"/>
    <w:rsid w:val="00DF7EE9"/>
    <w:rsid w:val="00E007AA"/>
    <w:rsid w:val="00E01C66"/>
    <w:rsid w:val="00E02C63"/>
    <w:rsid w:val="00E03473"/>
    <w:rsid w:val="00E03696"/>
    <w:rsid w:val="00E0450A"/>
    <w:rsid w:val="00E05B63"/>
    <w:rsid w:val="00E06739"/>
    <w:rsid w:val="00E11024"/>
    <w:rsid w:val="00E12C54"/>
    <w:rsid w:val="00E13528"/>
    <w:rsid w:val="00E13DDE"/>
    <w:rsid w:val="00E13ECF"/>
    <w:rsid w:val="00E14722"/>
    <w:rsid w:val="00E15491"/>
    <w:rsid w:val="00E15986"/>
    <w:rsid w:val="00E16822"/>
    <w:rsid w:val="00E16AEE"/>
    <w:rsid w:val="00E176B3"/>
    <w:rsid w:val="00E2041A"/>
    <w:rsid w:val="00E204DF"/>
    <w:rsid w:val="00E2260D"/>
    <w:rsid w:val="00E247A7"/>
    <w:rsid w:val="00E260DF"/>
    <w:rsid w:val="00E26E82"/>
    <w:rsid w:val="00E27DB2"/>
    <w:rsid w:val="00E31C90"/>
    <w:rsid w:val="00E3219E"/>
    <w:rsid w:val="00E326B2"/>
    <w:rsid w:val="00E33296"/>
    <w:rsid w:val="00E33DAC"/>
    <w:rsid w:val="00E35028"/>
    <w:rsid w:val="00E364FB"/>
    <w:rsid w:val="00E36C46"/>
    <w:rsid w:val="00E36F98"/>
    <w:rsid w:val="00E40054"/>
    <w:rsid w:val="00E40397"/>
    <w:rsid w:val="00E41288"/>
    <w:rsid w:val="00E43D4B"/>
    <w:rsid w:val="00E449B2"/>
    <w:rsid w:val="00E5014F"/>
    <w:rsid w:val="00E50FCA"/>
    <w:rsid w:val="00E510EF"/>
    <w:rsid w:val="00E51D34"/>
    <w:rsid w:val="00E53C77"/>
    <w:rsid w:val="00E5438C"/>
    <w:rsid w:val="00E544BF"/>
    <w:rsid w:val="00E54FB5"/>
    <w:rsid w:val="00E56B82"/>
    <w:rsid w:val="00E573A2"/>
    <w:rsid w:val="00E60709"/>
    <w:rsid w:val="00E61F9F"/>
    <w:rsid w:val="00E62901"/>
    <w:rsid w:val="00E63577"/>
    <w:rsid w:val="00E64356"/>
    <w:rsid w:val="00E6450D"/>
    <w:rsid w:val="00E67094"/>
    <w:rsid w:val="00E67AE6"/>
    <w:rsid w:val="00E70238"/>
    <w:rsid w:val="00E70B63"/>
    <w:rsid w:val="00E73A0E"/>
    <w:rsid w:val="00E744B5"/>
    <w:rsid w:val="00E75B0E"/>
    <w:rsid w:val="00E82DE8"/>
    <w:rsid w:val="00E82FCD"/>
    <w:rsid w:val="00E835FC"/>
    <w:rsid w:val="00E84506"/>
    <w:rsid w:val="00E84A03"/>
    <w:rsid w:val="00E86603"/>
    <w:rsid w:val="00E87447"/>
    <w:rsid w:val="00E8779A"/>
    <w:rsid w:val="00E90792"/>
    <w:rsid w:val="00E92B4C"/>
    <w:rsid w:val="00E9371F"/>
    <w:rsid w:val="00E954BA"/>
    <w:rsid w:val="00E96081"/>
    <w:rsid w:val="00EA11FA"/>
    <w:rsid w:val="00EA2C51"/>
    <w:rsid w:val="00EA4216"/>
    <w:rsid w:val="00EA68DB"/>
    <w:rsid w:val="00EA770E"/>
    <w:rsid w:val="00EB23FC"/>
    <w:rsid w:val="00EB2893"/>
    <w:rsid w:val="00EB2BC7"/>
    <w:rsid w:val="00EB3175"/>
    <w:rsid w:val="00EB356D"/>
    <w:rsid w:val="00EB7D56"/>
    <w:rsid w:val="00EB7E79"/>
    <w:rsid w:val="00EC13F1"/>
    <w:rsid w:val="00EC1917"/>
    <w:rsid w:val="00EC1C1C"/>
    <w:rsid w:val="00EC34A9"/>
    <w:rsid w:val="00EC39F1"/>
    <w:rsid w:val="00EC3FF0"/>
    <w:rsid w:val="00EC4279"/>
    <w:rsid w:val="00EC54B3"/>
    <w:rsid w:val="00EC694B"/>
    <w:rsid w:val="00ED17DE"/>
    <w:rsid w:val="00ED3C4F"/>
    <w:rsid w:val="00ED4023"/>
    <w:rsid w:val="00ED47E2"/>
    <w:rsid w:val="00ED7394"/>
    <w:rsid w:val="00ED7AE8"/>
    <w:rsid w:val="00EE1779"/>
    <w:rsid w:val="00EE2413"/>
    <w:rsid w:val="00EE29CA"/>
    <w:rsid w:val="00EE3E15"/>
    <w:rsid w:val="00EE6FBB"/>
    <w:rsid w:val="00EF3A8B"/>
    <w:rsid w:val="00EF4C1F"/>
    <w:rsid w:val="00EF707E"/>
    <w:rsid w:val="00EF73FC"/>
    <w:rsid w:val="00F005FC"/>
    <w:rsid w:val="00F06651"/>
    <w:rsid w:val="00F06C18"/>
    <w:rsid w:val="00F06E07"/>
    <w:rsid w:val="00F074B4"/>
    <w:rsid w:val="00F12114"/>
    <w:rsid w:val="00F125B0"/>
    <w:rsid w:val="00F130F3"/>
    <w:rsid w:val="00F13328"/>
    <w:rsid w:val="00F14C27"/>
    <w:rsid w:val="00F154D4"/>
    <w:rsid w:val="00F156D7"/>
    <w:rsid w:val="00F15BF3"/>
    <w:rsid w:val="00F16156"/>
    <w:rsid w:val="00F16A68"/>
    <w:rsid w:val="00F16F06"/>
    <w:rsid w:val="00F17ED1"/>
    <w:rsid w:val="00F20B2F"/>
    <w:rsid w:val="00F21C97"/>
    <w:rsid w:val="00F26055"/>
    <w:rsid w:val="00F27298"/>
    <w:rsid w:val="00F30A5C"/>
    <w:rsid w:val="00F30AB3"/>
    <w:rsid w:val="00F31D4B"/>
    <w:rsid w:val="00F357DE"/>
    <w:rsid w:val="00F373FE"/>
    <w:rsid w:val="00F37A9E"/>
    <w:rsid w:val="00F40628"/>
    <w:rsid w:val="00F449BA"/>
    <w:rsid w:val="00F454A0"/>
    <w:rsid w:val="00F45AC9"/>
    <w:rsid w:val="00F46500"/>
    <w:rsid w:val="00F47C86"/>
    <w:rsid w:val="00F47D80"/>
    <w:rsid w:val="00F534F7"/>
    <w:rsid w:val="00F535BC"/>
    <w:rsid w:val="00F544FD"/>
    <w:rsid w:val="00F5470E"/>
    <w:rsid w:val="00F54725"/>
    <w:rsid w:val="00F56B1F"/>
    <w:rsid w:val="00F57A0F"/>
    <w:rsid w:val="00F615AF"/>
    <w:rsid w:val="00F61B24"/>
    <w:rsid w:val="00F62893"/>
    <w:rsid w:val="00F648C0"/>
    <w:rsid w:val="00F64944"/>
    <w:rsid w:val="00F64A5E"/>
    <w:rsid w:val="00F6514A"/>
    <w:rsid w:val="00F65F33"/>
    <w:rsid w:val="00F67AAE"/>
    <w:rsid w:val="00F70B8F"/>
    <w:rsid w:val="00F72403"/>
    <w:rsid w:val="00F72771"/>
    <w:rsid w:val="00F72794"/>
    <w:rsid w:val="00F749C5"/>
    <w:rsid w:val="00F75D60"/>
    <w:rsid w:val="00F7621A"/>
    <w:rsid w:val="00F76C1F"/>
    <w:rsid w:val="00F77A3A"/>
    <w:rsid w:val="00F802A9"/>
    <w:rsid w:val="00F80697"/>
    <w:rsid w:val="00F829C9"/>
    <w:rsid w:val="00F836B2"/>
    <w:rsid w:val="00F8412A"/>
    <w:rsid w:val="00F8416D"/>
    <w:rsid w:val="00F844A4"/>
    <w:rsid w:val="00F84573"/>
    <w:rsid w:val="00F85D41"/>
    <w:rsid w:val="00F8762E"/>
    <w:rsid w:val="00F9178A"/>
    <w:rsid w:val="00F93532"/>
    <w:rsid w:val="00F94472"/>
    <w:rsid w:val="00F949BB"/>
    <w:rsid w:val="00F95445"/>
    <w:rsid w:val="00F957BC"/>
    <w:rsid w:val="00F96CB5"/>
    <w:rsid w:val="00F97615"/>
    <w:rsid w:val="00FA10FC"/>
    <w:rsid w:val="00FA142B"/>
    <w:rsid w:val="00FA1892"/>
    <w:rsid w:val="00FA20DD"/>
    <w:rsid w:val="00FA449E"/>
    <w:rsid w:val="00FA4AEC"/>
    <w:rsid w:val="00FA5892"/>
    <w:rsid w:val="00FA595C"/>
    <w:rsid w:val="00FB1D64"/>
    <w:rsid w:val="00FB2697"/>
    <w:rsid w:val="00FB58D6"/>
    <w:rsid w:val="00FB59FB"/>
    <w:rsid w:val="00FC0CE9"/>
    <w:rsid w:val="00FC3D94"/>
    <w:rsid w:val="00FC41C4"/>
    <w:rsid w:val="00FC4342"/>
    <w:rsid w:val="00FC4BDA"/>
    <w:rsid w:val="00FC590E"/>
    <w:rsid w:val="00FC5A99"/>
    <w:rsid w:val="00FD0C56"/>
    <w:rsid w:val="00FD3F05"/>
    <w:rsid w:val="00FD5299"/>
    <w:rsid w:val="00FD5BCE"/>
    <w:rsid w:val="00FD701F"/>
    <w:rsid w:val="00FE162F"/>
    <w:rsid w:val="00FE256B"/>
    <w:rsid w:val="00FE6656"/>
    <w:rsid w:val="00FE680D"/>
    <w:rsid w:val="00FE69D3"/>
    <w:rsid w:val="00FE6F2F"/>
    <w:rsid w:val="00FE751A"/>
    <w:rsid w:val="00FE7AC6"/>
    <w:rsid w:val="00FF2A9E"/>
    <w:rsid w:val="00FF2AB7"/>
    <w:rsid w:val="00FF2BF2"/>
    <w:rsid w:val="00FF374C"/>
    <w:rsid w:val="00FF3CCC"/>
    <w:rsid w:val="00FF6045"/>
    <w:rsid w:val="00FF6233"/>
    <w:rsid w:val="00FF6E5D"/>
    <w:rsid w:val="00FF6EAB"/>
    <w:rsid w:val="03767EB5"/>
    <w:rsid w:val="039218E5"/>
    <w:rsid w:val="049A7BD3"/>
    <w:rsid w:val="05017C52"/>
    <w:rsid w:val="064047AA"/>
    <w:rsid w:val="06BD5A7C"/>
    <w:rsid w:val="06BF7DC5"/>
    <w:rsid w:val="07133C6D"/>
    <w:rsid w:val="099B3662"/>
    <w:rsid w:val="09F91840"/>
    <w:rsid w:val="0A8F3F52"/>
    <w:rsid w:val="0B1A381C"/>
    <w:rsid w:val="0BDC6815"/>
    <w:rsid w:val="0C061FF2"/>
    <w:rsid w:val="0CF65FA0"/>
    <w:rsid w:val="0E100F06"/>
    <w:rsid w:val="0E5A0318"/>
    <w:rsid w:val="0EBE6F7C"/>
    <w:rsid w:val="10E646EB"/>
    <w:rsid w:val="11C74ED0"/>
    <w:rsid w:val="15681628"/>
    <w:rsid w:val="1AA17AB6"/>
    <w:rsid w:val="1BBB4BA7"/>
    <w:rsid w:val="1CAB0122"/>
    <w:rsid w:val="1E761259"/>
    <w:rsid w:val="1F645556"/>
    <w:rsid w:val="209855F8"/>
    <w:rsid w:val="228B7CA1"/>
    <w:rsid w:val="24150BCD"/>
    <w:rsid w:val="248D6D8F"/>
    <w:rsid w:val="2499037B"/>
    <w:rsid w:val="25AB7A3A"/>
    <w:rsid w:val="27257379"/>
    <w:rsid w:val="283C0E1E"/>
    <w:rsid w:val="28A219CB"/>
    <w:rsid w:val="28FC2F0A"/>
    <w:rsid w:val="2916341D"/>
    <w:rsid w:val="2A8820F8"/>
    <w:rsid w:val="2C496AAA"/>
    <w:rsid w:val="2D410C84"/>
    <w:rsid w:val="2E0777D8"/>
    <w:rsid w:val="2E893A1B"/>
    <w:rsid w:val="2EB536D8"/>
    <w:rsid w:val="2EED10C4"/>
    <w:rsid w:val="309721F5"/>
    <w:rsid w:val="30FF50DE"/>
    <w:rsid w:val="321A5B08"/>
    <w:rsid w:val="347C7320"/>
    <w:rsid w:val="366A4DA8"/>
    <w:rsid w:val="37DE3C9F"/>
    <w:rsid w:val="380D6333"/>
    <w:rsid w:val="38910D12"/>
    <w:rsid w:val="39292CF8"/>
    <w:rsid w:val="399F2FBB"/>
    <w:rsid w:val="3B8E32E7"/>
    <w:rsid w:val="3B9D3C4B"/>
    <w:rsid w:val="3C90308E"/>
    <w:rsid w:val="3CF90C34"/>
    <w:rsid w:val="3EBA2645"/>
    <w:rsid w:val="3F724CCD"/>
    <w:rsid w:val="40B3559D"/>
    <w:rsid w:val="41297CE7"/>
    <w:rsid w:val="412C20FD"/>
    <w:rsid w:val="41CB1315"/>
    <w:rsid w:val="421F738E"/>
    <w:rsid w:val="43D45F57"/>
    <w:rsid w:val="453218C0"/>
    <w:rsid w:val="46933EA7"/>
    <w:rsid w:val="4953791E"/>
    <w:rsid w:val="49A95790"/>
    <w:rsid w:val="4A4E12D1"/>
    <w:rsid w:val="4C357902"/>
    <w:rsid w:val="4DC66910"/>
    <w:rsid w:val="4F770156"/>
    <w:rsid w:val="50357D7D"/>
    <w:rsid w:val="50E21CB3"/>
    <w:rsid w:val="518E5997"/>
    <w:rsid w:val="525564B4"/>
    <w:rsid w:val="53195013"/>
    <w:rsid w:val="53424C8B"/>
    <w:rsid w:val="54554E92"/>
    <w:rsid w:val="55915A56"/>
    <w:rsid w:val="56091A90"/>
    <w:rsid w:val="575E22AF"/>
    <w:rsid w:val="57C9597B"/>
    <w:rsid w:val="580544D9"/>
    <w:rsid w:val="59D2488F"/>
    <w:rsid w:val="5A982A63"/>
    <w:rsid w:val="5B10566E"/>
    <w:rsid w:val="5B157129"/>
    <w:rsid w:val="5B452EE1"/>
    <w:rsid w:val="5B871DD5"/>
    <w:rsid w:val="5D8F31C2"/>
    <w:rsid w:val="5DBE6247"/>
    <w:rsid w:val="604069F6"/>
    <w:rsid w:val="60EF4372"/>
    <w:rsid w:val="63192D05"/>
    <w:rsid w:val="63865C9A"/>
    <w:rsid w:val="63BB4D53"/>
    <w:rsid w:val="64CB051C"/>
    <w:rsid w:val="67DF5266"/>
    <w:rsid w:val="687C07E7"/>
    <w:rsid w:val="693D1D24"/>
    <w:rsid w:val="699D27C3"/>
    <w:rsid w:val="6C474C68"/>
    <w:rsid w:val="6D7D0DC5"/>
    <w:rsid w:val="6DD52040"/>
    <w:rsid w:val="6E1312A6"/>
    <w:rsid w:val="6EBC6A49"/>
    <w:rsid w:val="6F046979"/>
    <w:rsid w:val="71171105"/>
    <w:rsid w:val="72C94629"/>
    <w:rsid w:val="72CC236B"/>
    <w:rsid w:val="730B69EF"/>
    <w:rsid w:val="745443C6"/>
    <w:rsid w:val="74884070"/>
    <w:rsid w:val="76BE1FCB"/>
    <w:rsid w:val="76CA4E14"/>
    <w:rsid w:val="76EF02F3"/>
    <w:rsid w:val="776B35FD"/>
    <w:rsid w:val="78526E6F"/>
    <w:rsid w:val="79667075"/>
    <w:rsid w:val="79DA536E"/>
    <w:rsid w:val="7BA45C33"/>
    <w:rsid w:val="7CF90201"/>
    <w:rsid w:val="7D060228"/>
    <w:rsid w:val="7D676A9B"/>
    <w:rsid w:val="7F1B1DA8"/>
    <w:rsid w:val="7F484B27"/>
  </w:rsids>
  <w:docVars>
    <w:docVar w:name="commondata" w:val="eyJoZGlkIjoiNzgyYjI0MGRkMmY4NDE0YjgxYzdjMzBiNDQ0OTk1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unhideWhenUsed="0" w:qFormat="1"/>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unhideWhenUsed="0" w:qFormat="1"/>
    <w:lsdException w:name="toc 5" w:semiHidden="0" w:uiPriority="39" w:unhideWhenUsed="0" w:qFormat="1"/>
    <w:lsdException w:name="toc 6" w:semiHidden="0" w:uiPriority="39" w:unhideWhenUsed="0" w:qFormat="1"/>
    <w:lsdException w:name="toc 7" w:semiHidden="0" w:uiPriority="39" w:unhideWhenUsed="0" w:qFormat="1"/>
    <w:lsdException w:name="toc 8" w:semiHidden="0" w:uiPriority="39" w:unhideWhenUsed="0" w:qFormat="1"/>
    <w:lsdException w:name="toc 9" w:semiHidden="0" w:uiPriority="39" w:unhideWhenUsed="0" w:qFormat="1"/>
    <w:lsdException w:name="Normal Indent" w:uiPriority="0"/>
    <w:lsdException w:name="footnote text" w:uiPriority="0" w:unhideWhenUsed="0" w:qFormat="1"/>
    <w:lsdException w:name="annotation text" w:uiPriority="0"/>
    <w:lsdException w:name="header" w:semiHidden="0" w:uiPriority="0" w:unhideWhenUsed="0" w:qFormat="1"/>
    <w:lsdException w:name="footer" w:semiHidden="0" w:uiPriority="0" w:unhideWhenUsed="0" w:qFormat="1"/>
    <w:lsdException w:name="index heading" w:uiPriority="0"/>
    <w:lsdException w:name="caption" w:semiHidden="0" w:uiPriority="0" w:unhideWhenUsed="0" w:qFormat="1"/>
    <w:lsdException w:name="table of figures" w:uiPriority="0" w:unhideWhenUsed="0" w:qFormat="1"/>
    <w:lsdException w:name="envelope address" w:uiPriority="0"/>
    <w:lsdException w:name="envelope return" w:uiPriority="0"/>
    <w:lsdException w:name="footnote reference" w:uiPriority="0" w:unhideWhenUsed="0" w:qFormat="1"/>
    <w:lsdException w:name="annotation reference" w:uiPriority="0"/>
    <w:lsdException w:name="line number" w:uiPriority="0"/>
    <w:lsdException w:name="page number" w:semiHidden="0" w:uiPriority="0" w:unhideWhenUsed="0" w:qFormat="1"/>
    <w:lsdException w:name="endnote reference" w:uiPriority="0"/>
    <w:lsdException w:name="endnote text" w:uiPriority="0"/>
    <w:lsdException w:name="table of authorities" w:uiPriority="0"/>
    <w:lsdException w:name="macro" w:semiHidden="0" w:uiPriority="0" w:unhideWhenUsed="0"/>
    <w:lsdException w:name="toa heading" w:uiPriority="0"/>
    <w:lsdException w:name="List" w:uiPriority="0"/>
    <w:lsdException w:name="List Bullet" w:semiHidden="0" w:uiPriority="0" w:unhideWhenUsed="0"/>
    <w:lsdException w:name="List Number" w:semiHidden="0" w:uiPriority="0" w:unhideWhenUsed="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qFormat="1"/>
    <w:lsdException w:name="Body Text" w:uiPriority="0"/>
    <w:lsdException w:name="Body Text Indent" w:semiHidden="0" w:uiPriority="0" w:unhideWhenUsed="0" w:qFormat="1"/>
    <w:lsdException w:name="List Continue" w:uiPriority="0"/>
    <w:lsdException w:name="List Continue 2" w:uiPriority="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uiPriority="0"/>
    <w:lsdException w:name="Date" w:semiHidden="0" w:uiPriority="0" w:unhideWhenUsed="0" w:qFormat="1"/>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semiHidden="0" w:uiPriority="0" w:unhideWhenUsed="0" w:qFormat="1"/>
    <w:lsdException w:name="Block Text" w:uiPriority="0"/>
    <w:lsdException w:name="Hyperlink" w:semiHidden="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uiPriority="0"/>
    <w:lsdException w:name="Plain Text" w:uiPriority="0"/>
    <w:lsdException w:name="E-mail Signature" w:uiPriority="0"/>
    <w:lsdException w:name="Normal (Web)" w:semiHidden="0" w:uiPriority="0" w:unhideWhenUsed="0" w:qFormat="1"/>
    <w:lsdException w:name="HTML Acronym" w:semiHidden="0" w:uiPriority="0" w:unhideWhenUsed="0" w:qFormat="1"/>
    <w:lsdException w:name="HTML Address" w:semiHidden="0" w:uiPriority="0" w:unhideWhenUsed="0" w:qFormat="1"/>
    <w:lsdException w:name="HTML Cite" w:semiHidden="0" w:uiPriority="0" w:unhideWhenUsed="0" w:qFormat="1"/>
    <w:lsdException w:name="HTML Code" w:semiHidden="0" w:uiPriority="0" w:unhideWhenUsed="0" w:qFormat="1"/>
    <w:lsdException w:name="HTML Definition" w:semiHidden="0" w:uiPriority="0" w:unhideWhenUsed="0" w:qFormat="1"/>
    <w:lsdException w:name="HTML Keyboard" w:semiHidden="0" w:uiPriority="0" w:unhideWhenUsed="0" w:qFormat="1"/>
    <w:lsdException w:name="HTML Preformatted" w:semiHidden="0" w:uiPriority="0" w:unhideWhenUsed="0" w:qFormat="1"/>
    <w:lsdException w:name="HTML Sample" w:semiHidden="0" w:uiPriority="0" w:unhideWhenUsed="0" w:qFormat="1"/>
    <w:lsdException w:name="HTML Typewriter" w:semiHidden="0" w:uiPriority="0" w:unhideWhenUsed="0" w:qFormat="1"/>
    <w:lsdException w:name="HTML Variable" w:semiHidden="0" w:uiPriority="0" w:unhideWhenUsed="0" w:qFormat="1"/>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unhideWhenUsed="0" w:qFormat="1"/>
    <w:lsdException w:name="Table Grid" w:semiHidden="0" w:uiPriority="0" w:unhideWhenUsed="0" w:qFormat="1"/>
    <w:lsdException w:name="Table Theme" w:uiPriority="0"/>
    <w:lsdException w:name="Placeholder Text" w:semiHidden="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autoRedefine/>
    <w:qFormat/>
    <w:pPr>
      <w:keepNext/>
      <w:keepLines/>
      <w:numPr>
        <w:ilvl w:val="0"/>
        <w:numId w:val="1"/>
      </w:numPr>
      <w:spacing w:before="340" w:after="330" w:line="578" w:lineRule="auto"/>
      <w:outlineLvl w:val="0"/>
    </w:pPr>
    <w:rPr>
      <w:b/>
      <w:bCs/>
      <w:color w:val="000000" w:themeColor="text1"/>
      <w:kern w:val="44"/>
      <w:sz w:val="44"/>
      <w:szCs w:val="44"/>
      <w14:textFill>
        <w14:solidFill>
          <w14:schemeClr w14:val="tx1"/>
        </w14:solidFill>
      </w14:textFill>
    </w:rPr>
  </w:style>
  <w:style w:type="paragraph" w:styleId="Heading2">
    <w:name w:val="heading 2"/>
    <w:basedOn w:val="Normal"/>
    <w:next w:val="Normal"/>
    <w:autoRedefine/>
    <w:qFormat/>
    <w:pPr>
      <w:keepNext/>
      <w:keepLines/>
      <w:numPr>
        <w:ilvl w:val="1"/>
        <w:numId w:val="1"/>
      </w:numPr>
      <w:spacing w:before="260" w:after="260" w:line="416" w:lineRule="auto"/>
      <w:outlineLvl w:val="1"/>
    </w:pPr>
    <w:rPr>
      <w:rFonts w:ascii="Arial" w:eastAsia="黑体" w:hAnsi="Arial"/>
      <w:color w:val="000000" w:themeColor="text1"/>
      <w:szCs w:val="21"/>
      <w14:textFill>
        <w14:solidFill>
          <w14:schemeClr w14:val="tx1"/>
        </w14:solidFill>
      </w14:textFill>
    </w:rPr>
  </w:style>
  <w:style w:type="paragraph" w:styleId="Heading3">
    <w:name w:val="heading 3"/>
    <w:basedOn w:val="a"/>
    <w:next w:val="Normal"/>
    <w:autoRedefine/>
    <w:qFormat/>
    <w:pPr>
      <w:numPr>
        <w:ilvl w:val="2"/>
        <w:numId w:val="1"/>
      </w:numPr>
      <w:spacing w:before="151" w:beforeLines="50" w:after="151" w:afterLines="50"/>
      <w:jc w:val="left"/>
      <w:outlineLvl w:val="2"/>
    </w:pPr>
    <w:rPr>
      <w:bCs/>
      <w:color w:val="000000" w:themeColor="text1"/>
      <w:szCs w:val="21"/>
      <w14:textFill>
        <w14:solidFill>
          <w14:schemeClr w14:val="tx1"/>
        </w14:solidFill>
      </w14:textFill>
    </w:rPr>
  </w:style>
  <w:style w:type="paragraph" w:styleId="Heading4">
    <w:name w:val="heading 4"/>
    <w:basedOn w:val="Normal"/>
    <w:next w:val="Normal"/>
    <w:autoRedefine/>
    <w:qFormat/>
    <w:pPr>
      <w:keepNext/>
      <w:keepLines/>
      <w:numPr>
        <w:ilvl w:val="3"/>
        <w:numId w:val="1"/>
      </w:numPr>
      <w:spacing w:before="50" w:beforeLines="50" w:after="50" w:afterLines="50"/>
      <w:outlineLvl w:val="3"/>
    </w:pPr>
    <w:rPr>
      <w:rFonts w:ascii="黑体" w:eastAsia="黑体" w:hAnsi="黑体"/>
      <w:bCs/>
      <w:color w:val="000000" w:themeColor="text1"/>
      <w:szCs w:val="28"/>
      <w14:textFill>
        <w14:solidFill>
          <w14:schemeClr w14:val="tx1"/>
        </w14:solidFill>
      </w14:textFill>
    </w:rPr>
  </w:style>
  <w:style w:type="paragraph" w:styleId="Heading5">
    <w:name w:val="heading 5"/>
    <w:basedOn w:val="Normal"/>
    <w:next w:val="Normal"/>
    <w:autoRedefine/>
    <w:qFormat/>
    <w:pPr>
      <w:keepNext/>
      <w:keepLines/>
      <w:numPr>
        <w:ilvl w:val="4"/>
        <w:numId w:val="1"/>
      </w:numPr>
      <w:spacing w:before="50" w:beforeLines="50" w:after="50" w:afterLines="50"/>
      <w:outlineLvl w:val="4"/>
    </w:pPr>
    <w:rPr>
      <w:rFonts w:ascii="黑体" w:eastAsia="黑体" w:hAnsi="黑体"/>
      <w:bCs/>
      <w:szCs w:val="28"/>
    </w:rPr>
  </w:style>
  <w:style w:type="paragraph" w:styleId="Heading6">
    <w:name w:val="heading 6"/>
    <w:basedOn w:val="Heading5"/>
    <w:next w:val="Normal"/>
    <w:autoRedefine/>
    <w:qFormat/>
    <w:pPr>
      <w:numPr>
        <w:ilvl w:val="5"/>
      </w:numPr>
      <w:ind w:left="1134"/>
      <w:outlineLvl w:val="5"/>
    </w:pPr>
  </w:style>
  <w:style w:type="paragraph" w:styleId="Heading7">
    <w:name w:val="heading 7"/>
    <w:basedOn w:val="Normal"/>
    <w:next w:val="Normal"/>
    <w:autoRedefine/>
    <w:qFormat/>
    <w:pPr>
      <w:keepNext/>
      <w:keepLines/>
      <w:spacing w:before="240" w:after="64" w:line="320" w:lineRule="auto"/>
      <w:outlineLvl w:val="6"/>
    </w:pPr>
    <w:rPr>
      <w:b/>
      <w:bCs/>
      <w:sz w:val="24"/>
    </w:rPr>
  </w:style>
  <w:style w:type="paragraph" w:styleId="Heading8">
    <w:name w:val="heading 8"/>
    <w:basedOn w:val="Normal"/>
    <w:next w:val="Normal"/>
    <w:autoRedefine/>
    <w:qFormat/>
    <w:pPr>
      <w:keepNext/>
      <w:keepLines/>
      <w:spacing w:before="240" w:after="64" w:line="320" w:lineRule="auto"/>
      <w:outlineLvl w:val="7"/>
    </w:pPr>
    <w:rPr>
      <w:rFonts w:ascii="Arial" w:eastAsia="黑体" w:hAnsi="Arial"/>
      <w:sz w:val="24"/>
    </w:rPr>
  </w:style>
  <w:style w:type="paragraph" w:styleId="Heading9">
    <w:name w:val="heading 9"/>
    <w:basedOn w:val="Normal"/>
    <w:next w:val="Normal"/>
    <w:autoRedefine/>
    <w:qFormat/>
    <w:pPr>
      <w:keepNext/>
      <w:keepLines/>
      <w:spacing w:before="240" w:after="64" w:line="320" w:lineRule="auto"/>
      <w:outlineLvl w:val="8"/>
    </w:pPr>
    <w:rPr>
      <w:rFonts w:ascii="Arial" w:eastAsia="黑体" w:hAnsi="Arial"/>
      <w:szCs w:val="21"/>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customStyle="1" w:styleId="a">
    <w:name w:val="二级条标题"/>
    <w:basedOn w:val="a0"/>
    <w:next w:val="a2"/>
    <w:link w:val="Char0"/>
    <w:autoRedefine/>
    <w:qFormat/>
    <w:pPr>
      <w:outlineLvl w:val="3"/>
    </w:pPr>
  </w:style>
  <w:style w:type="paragraph" w:customStyle="1" w:styleId="a0">
    <w:name w:val="一级条标题"/>
    <w:basedOn w:val="a1"/>
    <w:next w:val="a2"/>
    <w:autoRedefine/>
    <w:qFormat/>
    <w:pPr>
      <w:spacing w:beforeLines="0" w:afterLines="0"/>
      <w:outlineLvl w:val="2"/>
    </w:pPr>
  </w:style>
  <w:style w:type="paragraph" w:customStyle="1" w:styleId="a1">
    <w:name w:val="章标题"/>
    <w:next w:val="a2"/>
    <w:autoRedefine/>
    <w:qFormat/>
    <w:pPr>
      <w:spacing w:beforeLines="50" w:afterLines="50"/>
      <w:jc w:val="both"/>
      <w:outlineLvl w:val="1"/>
    </w:pPr>
    <w:rPr>
      <w:rFonts w:ascii="黑体" w:eastAsia="黑体" w:hAnsi="Times New Roman" w:cs="Times New Roman"/>
      <w:color w:val="2E75B6" w:themeColor="accent1" w:themeShade="BF"/>
      <w:sz w:val="21"/>
      <w:lang w:val="en-US" w:eastAsia="zh-CN" w:bidi="ar-SA"/>
    </w:rPr>
  </w:style>
  <w:style w:type="paragraph" w:customStyle="1" w:styleId="a2">
    <w:name w:val="段"/>
    <w:link w:val="Char"/>
    <w:autoRedefine/>
    <w:qFormat/>
    <w:pPr>
      <w:autoSpaceDE w:val="0"/>
      <w:autoSpaceDN w:val="0"/>
      <w:ind w:firstLine="200" w:firstLineChars="200"/>
      <w:jc w:val="both"/>
    </w:pPr>
    <w:rPr>
      <w:rFonts w:ascii="宋体" w:eastAsia="宋体" w:hAnsi="Times New Roman" w:cs="Times New Roman"/>
      <w:color w:val="000000" w:themeColor="text1"/>
      <w:sz w:val="21"/>
      <w:lang w:val="en-US" w:eastAsia="zh-CN" w:bidi="ar-SA"/>
      <w14:textFill>
        <w14:solidFill>
          <w14:schemeClr w14:val="tx1"/>
        </w14:solidFill>
      </w14:textFill>
    </w:rPr>
  </w:style>
  <w:style w:type="paragraph" w:styleId="TOC7">
    <w:name w:val="toc 7"/>
    <w:basedOn w:val="TOC6"/>
    <w:next w:val="Normal"/>
    <w:autoRedefine/>
    <w:uiPriority w:val="39"/>
    <w:qFormat/>
    <w:pPr>
      <w:tabs>
        <w:tab w:val="right" w:leader="dot" w:pos="9345"/>
        <w:tab w:val="right" w:leader="dot" w:pos="9354"/>
      </w:tabs>
    </w:pPr>
  </w:style>
  <w:style w:type="paragraph" w:styleId="TOC6">
    <w:name w:val="toc 6"/>
    <w:basedOn w:val="TOC5"/>
    <w:next w:val="Normal"/>
    <w:autoRedefine/>
    <w:uiPriority w:val="39"/>
    <w:qFormat/>
    <w:pPr>
      <w:tabs>
        <w:tab w:val="right" w:leader="dot" w:pos="9345"/>
        <w:tab w:val="right" w:leader="dot" w:pos="9354"/>
      </w:tabs>
    </w:pPr>
  </w:style>
  <w:style w:type="paragraph" w:styleId="TOC5">
    <w:name w:val="toc 5"/>
    <w:basedOn w:val="TOC4"/>
    <w:next w:val="Normal"/>
    <w:autoRedefine/>
    <w:uiPriority w:val="39"/>
    <w:qFormat/>
    <w:pPr>
      <w:tabs>
        <w:tab w:val="right" w:leader="dot" w:pos="9345"/>
        <w:tab w:val="right" w:leader="dot" w:pos="9354"/>
      </w:tabs>
    </w:pPr>
  </w:style>
  <w:style w:type="paragraph" w:styleId="TOC4">
    <w:name w:val="toc 4"/>
    <w:basedOn w:val="TOC3"/>
    <w:next w:val="Normal"/>
    <w:autoRedefine/>
    <w:uiPriority w:val="39"/>
    <w:qFormat/>
    <w:pPr>
      <w:tabs>
        <w:tab w:val="right" w:leader="dot" w:pos="9345"/>
        <w:tab w:val="right" w:leader="dot" w:pos="9354"/>
      </w:tabs>
    </w:pPr>
  </w:style>
  <w:style w:type="paragraph" w:styleId="TOC3">
    <w:name w:val="toc 3"/>
    <w:basedOn w:val="WPSOffice2"/>
    <w:next w:val="Normal"/>
    <w:autoRedefine/>
    <w:uiPriority w:val="39"/>
    <w:qFormat/>
    <w:pPr>
      <w:tabs>
        <w:tab w:val="right" w:leader="dot" w:pos="9354"/>
      </w:tabs>
    </w:pPr>
  </w:style>
  <w:style w:type="paragraph" w:customStyle="1" w:styleId="WPSOffice2">
    <w:name w:val="WPSOffice手动目录 2"/>
    <w:autoRedefine/>
    <w:qFormat/>
    <w:pPr>
      <w:tabs>
        <w:tab w:val="right" w:leader="dot" w:pos="9354"/>
      </w:tabs>
      <w:ind w:left="420" w:leftChars="200"/>
    </w:pPr>
    <w:rPr>
      <w:rFonts w:ascii="宋体" w:eastAsia="宋体" w:hAnsi="宋体" w:cs="宋体"/>
      <w:bCs/>
      <w:szCs w:val="21"/>
      <w:lang w:val="en-US" w:eastAsia="zh-CN" w:bidi="ar-SA"/>
    </w:rPr>
  </w:style>
  <w:style w:type="paragraph" w:styleId="Caption">
    <w:name w:val="caption"/>
    <w:basedOn w:val="Normal"/>
    <w:next w:val="Normal"/>
    <w:autoRedefine/>
    <w:qFormat/>
    <w:rPr>
      <w:rFonts w:ascii="Arial" w:eastAsia="黑体" w:hAnsi="Arial" w:cs="Arial"/>
      <w:sz w:val="20"/>
      <w:szCs w:val="20"/>
    </w:rPr>
  </w:style>
  <w:style w:type="paragraph" w:styleId="BodyTextIndent">
    <w:name w:val="Body Text Indent"/>
    <w:basedOn w:val="Normal"/>
    <w:autoRedefine/>
    <w:qFormat/>
    <w:pPr>
      <w:ind w:firstLine="524" w:firstLineChars="187"/>
    </w:pPr>
    <w:rPr>
      <w:sz w:val="28"/>
      <w:szCs w:val="20"/>
    </w:rPr>
  </w:style>
  <w:style w:type="paragraph" w:styleId="HTMLAddress">
    <w:name w:val="HTML Address"/>
    <w:basedOn w:val="Normal"/>
    <w:autoRedefine/>
    <w:qFormat/>
    <w:rPr>
      <w:i/>
      <w:iCs/>
    </w:rPr>
  </w:style>
  <w:style w:type="paragraph" w:styleId="TOC8">
    <w:name w:val="toc 8"/>
    <w:basedOn w:val="TOC7"/>
    <w:next w:val="Normal"/>
    <w:autoRedefine/>
    <w:uiPriority w:val="39"/>
    <w:qFormat/>
  </w:style>
  <w:style w:type="paragraph" w:styleId="Date">
    <w:name w:val="Date"/>
    <w:basedOn w:val="Normal"/>
    <w:next w:val="Normal"/>
    <w:autoRedefine/>
    <w:qFormat/>
    <w:pPr>
      <w:ind w:left="100" w:leftChars="2500"/>
    </w:pPr>
    <w:rPr>
      <w:sz w:val="28"/>
      <w:szCs w:val="20"/>
    </w:rPr>
  </w:style>
  <w:style w:type="paragraph" w:styleId="BalloonText">
    <w:name w:val="Balloon Text"/>
    <w:basedOn w:val="Normal"/>
    <w:autoRedefine/>
    <w:semiHidden/>
    <w:qFormat/>
    <w:rPr>
      <w:sz w:val="18"/>
      <w:szCs w:val="18"/>
    </w:rPr>
  </w:style>
  <w:style w:type="paragraph" w:styleId="Footer">
    <w:name w:val="footer"/>
    <w:basedOn w:val="Normal"/>
    <w:autoRedefine/>
    <w:qFormat/>
    <w:pPr>
      <w:tabs>
        <w:tab w:val="center" w:pos="4153"/>
        <w:tab w:val="right" w:pos="8306"/>
      </w:tabs>
      <w:snapToGrid w:val="0"/>
      <w:ind w:right="210" w:rightChars="100"/>
      <w:jc w:val="right"/>
    </w:pPr>
    <w:rPr>
      <w:sz w:val="18"/>
      <w:szCs w:val="18"/>
    </w:rPr>
  </w:style>
  <w:style w:type="paragraph" w:styleId="Header">
    <w:name w:val="header"/>
    <w:basedOn w:val="Normal"/>
    <w:link w:val="a65"/>
    <w:autoRedefine/>
    <w:qFormat/>
    <w:pPr>
      <w:pBdr>
        <w:bottom w:val="single" w:sz="6" w:space="1" w:color="auto"/>
      </w:pBdr>
      <w:tabs>
        <w:tab w:val="center" w:pos="4153"/>
        <w:tab w:val="right" w:pos="8306"/>
      </w:tabs>
      <w:snapToGrid w:val="0"/>
      <w:jc w:val="center"/>
    </w:pPr>
    <w:rPr>
      <w:sz w:val="18"/>
      <w:szCs w:val="18"/>
    </w:rPr>
  </w:style>
  <w:style w:type="paragraph" w:styleId="TOC1">
    <w:name w:val="toc 1"/>
    <w:basedOn w:val="WPSOffice1"/>
    <w:next w:val="Normal"/>
    <w:autoRedefine/>
    <w:uiPriority w:val="39"/>
    <w:qFormat/>
    <w:pPr>
      <w:tabs>
        <w:tab w:val="right" w:leader="dot" w:pos="9354"/>
      </w:tabs>
    </w:pPr>
    <w:rPr>
      <w:rFonts w:ascii="宋体" w:hAnsi="宋体" w:cs="宋体"/>
      <w:bCs/>
      <w:szCs w:val="21"/>
    </w:rPr>
  </w:style>
  <w:style w:type="paragraph" w:customStyle="1" w:styleId="WPSOffice1">
    <w:name w:val="WPSOffice手动目录 1"/>
    <w:autoRedefine/>
    <w:qFormat/>
    <w:rPr>
      <w:rFonts w:ascii="Times New Roman" w:eastAsia="宋体" w:hAnsi="Times New Roman" w:cs="Times New Roman"/>
      <w:lang w:val="en-US" w:eastAsia="zh-CN" w:bidi="ar-SA"/>
    </w:rPr>
  </w:style>
  <w:style w:type="paragraph" w:styleId="FootnoteText">
    <w:name w:val="footnote text"/>
    <w:basedOn w:val="Normal"/>
    <w:autoRedefine/>
    <w:semiHidden/>
    <w:qFormat/>
    <w:pPr>
      <w:snapToGrid w:val="0"/>
      <w:jc w:val="left"/>
    </w:pPr>
    <w:rPr>
      <w:sz w:val="18"/>
      <w:szCs w:val="18"/>
    </w:rPr>
  </w:style>
  <w:style w:type="paragraph" w:styleId="BodyTextIndent3">
    <w:name w:val="Body Text Indent 3"/>
    <w:basedOn w:val="Normal"/>
    <w:autoRedefine/>
    <w:qFormat/>
    <w:pPr>
      <w:spacing w:after="120"/>
      <w:ind w:left="420" w:leftChars="200"/>
    </w:pPr>
    <w:rPr>
      <w:sz w:val="16"/>
      <w:szCs w:val="16"/>
    </w:rPr>
  </w:style>
  <w:style w:type="paragraph" w:styleId="TableofFigures">
    <w:name w:val="table of figures"/>
    <w:basedOn w:val="Normal"/>
    <w:next w:val="Normal"/>
    <w:autoRedefine/>
    <w:semiHidden/>
    <w:qFormat/>
    <w:pPr>
      <w:ind w:left="200" w:hanging="200" w:leftChars="200" w:hangingChars="200"/>
    </w:pPr>
  </w:style>
  <w:style w:type="paragraph" w:styleId="TOC2">
    <w:name w:val="toc 2"/>
    <w:basedOn w:val="TOC1"/>
    <w:next w:val="Normal"/>
    <w:autoRedefine/>
    <w:uiPriority w:val="39"/>
    <w:qFormat/>
  </w:style>
  <w:style w:type="paragraph" w:styleId="TOC9">
    <w:name w:val="toc 9"/>
    <w:basedOn w:val="TOC8"/>
    <w:next w:val="Normal"/>
    <w:autoRedefine/>
    <w:uiPriority w:val="39"/>
    <w:qFormat/>
  </w:style>
  <w:style w:type="paragraph" w:styleId="HTMLPreformatted">
    <w:name w:val="HTML Preformatted"/>
    <w:basedOn w:val="Normal"/>
    <w:autoRedefine/>
    <w:qFormat/>
    <w:rPr>
      <w:rFonts w:ascii="Courier New" w:hAnsi="Courier New" w:cs="Courier New"/>
      <w:sz w:val="20"/>
      <w:szCs w:val="20"/>
    </w:rPr>
  </w:style>
  <w:style w:type="paragraph" w:styleId="NormalWeb">
    <w:name w:val="Normal (Web)"/>
    <w:basedOn w:val="Normal"/>
    <w:autoRedefine/>
    <w:qFormat/>
    <w:pPr>
      <w:widowControl/>
      <w:spacing w:before="100" w:beforeAutospacing="1" w:after="100" w:afterAutospacing="1"/>
      <w:jc w:val="left"/>
    </w:pPr>
    <w:rPr>
      <w:rFonts w:ascii="宋体" w:hAnsi="宋体"/>
      <w:kern w:val="0"/>
      <w:sz w:val="24"/>
    </w:rPr>
  </w:style>
  <w:style w:type="paragraph" w:styleId="Index1">
    <w:name w:val="index 1"/>
    <w:basedOn w:val="Normal"/>
    <w:next w:val="Normal"/>
    <w:autoRedefine/>
    <w:semiHidden/>
    <w:qFormat/>
    <w:pPr>
      <w:ind w:firstLine="360"/>
    </w:pPr>
    <w:rPr>
      <w:color w:val="000000"/>
      <w:szCs w:val="21"/>
    </w:rPr>
  </w:style>
  <w:style w:type="paragraph" w:styleId="Title">
    <w:name w:val="Title"/>
    <w:basedOn w:val="Normal"/>
    <w:autoRedefine/>
    <w:qFormat/>
    <w:pPr>
      <w:spacing w:before="240" w:after="60"/>
      <w:jc w:val="center"/>
      <w:outlineLvl w:val="0"/>
    </w:pPr>
    <w:rPr>
      <w:rFonts w:ascii="Arial" w:hAnsi="Arial" w:cs="Arial"/>
      <w:b/>
      <w:bCs/>
      <w:sz w:val="32"/>
      <w:szCs w:val="32"/>
    </w:rPr>
  </w:style>
  <w:style w:type="table" w:styleId="TableGrid">
    <w:name w:val="Table Grid"/>
    <w:basedOn w:val="TableNormal"/>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autoRedefine/>
    <w:qFormat/>
    <w:rPr>
      <w:rFonts w:ascii="Times New Roman" w:eastAsia="宋体" w:hAnsi="Times New Roman"/>
      <w:sz w:val="18"/>
    </w:rPr>
  </w:style>
  <w:style w:type="character" w:styleId="FollowedHyperlink">
    <w:name w:val="FollowedHyperlink"/>
    <w:autoRedefine/>
    <w:qFormat/>
    <w:rPr>
      <w:color w:val="800080"/>
      <w:u w:val="single"/>
    </w:rPr>
  </w:style>
  <w:style w:type="character" w:styleId="Emphasis">
    <w:name w:val="Emphasis"/>
    <w:autoRedefine/>
    <w:qFormat/>
    <w:rPr>
      <w:color w:val="CC0000"/>
    </w:rPr>
  </w:style>
  <w:style w:type="character" w:styleId="HTMLDefinition">
    <w:name w:val="HTML Definition"/>
    <w:autoRedefine/>
    <w:qFormat/>
    <w:rPr>
      <w:i/>
      <w:iCs/>
    </w:rPr>
  </w:style>
  <w:style w:type="character" w:styleId="HTMLTypewriter">
    <w:name w:val="HTML Typewriter"/>
    <w:autoRedefine/>
    <w:qFormat/>
    <w:rPr>
      <w:rFonts w:ascii="Courier New" w:hAnsi="Courier New"/>
      <w:sz w:val="20"/>
      <w:szCs w:val="20"/>
    </w:rPr>
  </w:style>
  <w:style w:type="character" w:styleId="HTMLAcronym">
    <w:name w:val="HTML Acronym"/>
    <w:autoRedefine/>
    <w:qFormat/>
  </w:style>
  <w:style w:type="character" w:styleId="HTMLVariable">
    <w:name w:val="HTML Variable"/>
    <w:autoRedefine/>
    <w:qFormat/>
    <w:rPr>
      <w:i/>
      <w:iCs/>
    </w:rPr>
  </w:style>
  <w:style w:type="character" w:styleId="Hyperlink">
    <w:name w:val="Hyperlink"/>
    <w:autoRedefine/>
    <w:uiPriority w:val="99"/>
    <w:qFormat/>
    <w:rPr>
      <w:rFonts w:ascii="Times New Roman" w:eastAsia="宋体" w:hAnsi="Times New Roman"/>
      <w:color w:val="auto"/>
      <w:spacing w:val="0"/>
      <w:w w:val="100"/>
      <w:position w:val="0"/>
      <w:sz w:val="21"/>
      <w:u w:val="none"/>
      <w:vertAlign w:val="baseline"/>
    </w:rPr>
  </w:style>
  <w:style w:type="character" w:styleId="HTMLCode">
    <w:name w:val="HTML Code"/>
    <w:autoRedefine/>
    <w:qFormat/>
    <w:rPr>
      <w:rFonts w:ascii="Courier New" w:hAnsi="Courier New"/>
      <w:sz w:val="20"/>
      <w:szCs w:val="20"/>
    </w:rPr>
  </w:style>
  <w:style w:type="character" w:styleId="HTMLCite">
    <w:name w:val="HTML Cite"/>
    <w:autoRedefine/>
    <w:qFormat/>
    <w:rPr>
      <w:i/>
      <w:iCs/>
    </w:rPr>
  </w:style>
  <w:style w:type="character" w:styleId="FootnoteReference">
    <w:name w:val="footnote reference"/>
    <w:autoRedefine/>
    <w:semiHidden/>
    <w:qFormat/>
    <w:rPr>
      <w:vertAlign w:val="superscript"/>
    </w:rPr>
  </w:style>
  <w:style w:type="character" w:styleId="HTMLKeyboard">
    <w:name w:val="HTML Keyboard"/>
    <w:autoRedefine/>
    <w:qFormat/>
    <w:rPr>
      <w:rFonts w:ascii="Courier New" w:hAnsi="Courier New"/>
      <w:sz w:val="20"/>
      <w:szCs w:val="20"/>
    </w:rPr>
  </w:style>
  <w:style w:type="character" w:styleId="HTMLSample">
    <w:name w:val="HTML Sample"/>
    <w:autoRedefine/>
    <w:qFormat/>
    <w:rPr>
      <w:rFonts w:ascii="Courier New" w:hAnsi="Courier New"/>
    </w:rPr>
  </w:style>
  <w:style w:type="paragraph" w:customStyle="1" w:styleId="a3">
    <w:name w:val="标准标志"/>
    <w:next w:val="Normal"/>
    <w:autoRedefine/>
    <w:qFormat/>
    <w:pPr>
      <w:framePr w:w="2268" w:h="1392" w:hRule="exact" w:wrap="around" w:vAnchor="margin" w:hAnchor="margin" w:x="6748" w:y="171" w:anchorLock="1"/>
      <w:shd w:val="solid" w:color="FFFFFF" w:fill="FFFFFF"/>
      <w:spacing w:line="0" w:lineRule="atLeast"/>
      <w:jc w:val="right"/>
    </w:pPr>
    <w:rPr>
      <w:rFonts w:ascii="Times New Roman" w:eastAsia="宋体" w:hAnsi="Times New Roman" w:cs="Times New Roman"/>
      <w:b/>
      <w:w w:val="130"/>
      <w:sz w:val="96"/>
      <w:lang w:val="en-US" w:eastAsia="zh-CN" w:bidi="ar-SA"/>
    </w:rPr>
  </w:style>
  <w:style w:type="paragraph" w:customStyle="1" w:styleId="a4">
    <w:name w:val="标准称谓"/>
    <w:next w:val="Normal"/>
    <w:autoRedefine/>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sz w:val="52"/>
      <w:lang w:val="en-US" w:eastAsia="zh-CN" w:bidi="ar-SA"/>
    </w:rPr>
  </w:style>
  <w:style w:type="paragraph" w:customStyle="1" w:styleId="a5">
    <w:name w:val="标准书脚_偶数页"/>
    <w:autoRedefine/>
    <w:qFormat/>
    <w:pPr>
      <w:spacing w:before="120"/>
    </w:pPr>
    <w:rPr>
      <w:rFonts w:ascii="Times New Roman" w:eastAsia="宋体" w:hAnsi="Times New Roman" w:cs="Times New Roman"/>
      <w:sz w:val="18"/>
      <w:lang w:val="en-US" w:eastAsia="zh-CN" w:bidi="ar-SA"/>
    </w:rPr>
  </w:style>
  <w:style w:type="paragraph" w:customStyle="1" w:styleId="a6">
    <w:name w:val="标准书脚_奇数页"/>
    <w:autoRedefine/>
    <w:qFormat/>
    <w:pPr>
      <w:spacing w:before="120"/>
      <w:jc w:val="right"/>
    </w:pPr>
    <w:rPr>
      <w:rFonts w:ascii="Times New Roman" w:eastAsia="宋体" w:hAnsi="Times New Roman" w:cs="Times New Roman"/>
      <w:sz w:val="18"/>
      <w:lang w:val="en-US" w:eastAsia="zh-CN" w:bidi="ar-SA"/>
    </w:rPr>
  </w:style>
  <w:style w:type="paragraph" w:customStyle="1" w:styleId="a7">
    <w:name w:val="标准书眉_奇数页"/>
    <w:next w:val="Normal"/>
    <w:autoRedefine/>
    <w:qFormat/>
    <w:pPr>
      <w:tabs>
        <w:tab w:val="center" w:pos="4154"/>
        <w:tab w:val="right" w:pos="8306"/>
      </w:tabs>
      <w:spacing w:after="120"/>
      <w:jc w:val="right"/>
    </w:pPr>
    <w:rPr>
      <w:rFonts w:ascii="Times New Roman" w:eastAsia="宋体" w:hAnsi="Times New Roman" w:cs="Times New Roman"/>
      <w:sz w:val="21"/>
      <w:lang w:val="en-US" w:eastAsia="zh-CN" w:bidi="ar-SA"/>
    </w:rPr>
  </w:style>
  <w:style w:type="paragraph" w:customStyle="1" w:styleId="a8">
    <w:name w:val="标准书眉_偶数页"/>
    <w:basedOn w:val="a7"/>
    <w:next w:val="Normal"/>
    <w:autoRedefine/>
    <w:qFormat/>
    <w:pPr>
      <w:jc w:val="left"/>
    </w:pPr>
  </w:style>
  <w:style w:type="paragraph" w:customStyle="1" w:styleId="a9">
    <w:name w:val="标准书眉一"/>
    <w:autoRedefine/>
    <w:qFormat/>
    <w:pPr>
      <w:jc w:val="both"/>
    </w:pPr>
    <w:rPr>
      <w:rFonts w:ascii="Times New Roman" w:eastAsia="宋体" w:hAnsi="Times New Roman" w:cs="Times New Roman"/>
      <w:lang w:val="en-US" w:eastAsia="zh-CN" w:bidi="ar-SA"/>
    </w:rPr>
  </w:style>
  <w:style w:type="paragraph" w:customStyle="1" w:styleId="a10">
    <w:name w:val="前言、引言标题"/>
    <w:next w:val="Normal"/>
    <w:autoRedefine/>
    <w:qFormat/>
    <w:pPr>
      <w:numPr>
        <w:ilvl w:val="0"/>
        <w:numId w:val="2"/>
      </w:numPr>
      <w:shd w:val="clear" w:color="FFFFFF" w:fill="FFFFFF"/>
      <w:spacing w:before="640" w:after="560"/>
      <w:jc w:val="center"/>
      <w:outlineLvl w:val="0"/>
    </w:pPr>
    <w:rPr>
      <w:rFonts w:ascii="黑体" w:eastAsia="黑体" w:hAnsi="Times New Roman" w:cs="Times New Roman"/>
      <w:sz w:val="32"/>
      <w:lang w:val="en-US" w:eastAsia="zh-CN" w:bidi="ar-SA"/>
    </w:rPr>
  </w:style>
  <w:style w:type="paragraph" w:customStyle="1" w:styleId="a11">
    <w:name w:val="参考文献、索引标题"/>
    <w:basedOn w:val="a10"/>
    <w:next w:val="Normal"/>
    <w:autoRedefine/>
    <w:qFormat/>
    <w:pPr>
      <w:numPr>
        <w:numId w:val="0"/>
      </w:numPr>
      <w:spacing w:after="200"/>
    </w:pPr>
    <w:rPr>
      <w:sz w:val="21"/>
    </w:rPr>
  </w:style>
  <w:style w:type="character" w:customStyle="1" w:styleId="Char">
    <w:name w:val="段 Char"/>
    <w:link w:val="a2"/>
    <w:autoRedefine/>
    <w:qFormat/>
    <w:rPr>
      <w:rFonts w:ascii="宋体"/>
      <w:color w:val="000000" w:themeColor="text1"/>
      <w:sz w:val="21"/>
      <w14:textFill>
        <w14:solidFill>
          <w14:schemeClr w14:val="tx1"/>
        </w14:solidFill>
      </w14:textFill>
    </w:rPr>
  </w:style>
  <w:style w:type="paragraph" w:customStyle="1" w:styleId="a12">
    <w:name w:val="二级无标题条"/>
    <w:basedOn w:val="Normal"/>
    <w:autoRedefine/>
    <w:qFormat/>
    <w:pPr>
      <w:numPr>
        <w:ilvl w:val="3"/>
        <w:numId w:val="3"/>
      </w:numPr>
    </w:pPr>
  </w:style>
  <w:style w:type="character" w:customStyle="1" w:styleId="a13">
    <w:name w:val="发布"/>
    <w:autoRedefine/>
    <w:qFormat/>
    <w:rPr>
      <w:rFonts w:ascii="黑体" w:eastAsia="黑体"/>
      <w:spacing w:val="22"/>
      <w:w w:val="100"/>
      <w:position w:val="3"/>
      <w:sz w:val="28"/>
    </w:rPr>
  </w:style>
  <w:style w:type="paragraph" w:customStyle="1" w:styleId="a14">
    <w:name w:val="发布部门"/>
    <w:next w:val="a2"/>
    <w:autoRedefine/>
    <w:qFormat/>
    <w:pPr>
      <w:framePr w:w="7433" w:h="585" w:hRule="exact" w:hSpace="180" w:vSpace="180" w:wrap="around" w:vAnchor="margin" w:hAnchor="margin" w:xAlign="center" w:y="14401" w:anchorLock="1"/>
      <w:jc w:val="center"/>
    </w:pPr>
    <w:rPr>
      <w:rFonts w:ascii="宋体" w:eastAsia="宋体" w:hAnsi="Times New Roman" w:cs="Times New Roman"/>
      <w:b/>
      <w:spacing w:val="20"/>
      <w:w w:val="135"/>
      <w:sz w:val="36"/>
      <w:lang w:val="en-US" w:eastAsia="zh-CN" w:bidi="ar-SA"/>
    </w:rPr>
  </w:style>
  <w:style w:type="paragraph" w:customStyle="1" w:styleId="a15">
    <w:name w:val="发布日期"/>
    <w:autoRedefine/>
    <w:qFormat/>
    <w:pPr>
      <w:framePr w:w="4000" w:h="473" w:hRule="exact" w:hSpace="180" w:vSpace="180" w:wrap="around" w:vAnchor="margin" w:hAnchor="margin" w:y="13511" w:anchorLock="1"/>
    </w:pPr>
    <w:rPr>
      <w:rFonts w:ascii="Times New Roman" w:eastAsia="黑体" w:hAnsi="Times New Roman" w:cs="Times New Roman"/>
      <w:sz w:val="28"/>
      <w:lang w:val="en-US" w:eastAsia="zh-CN" w:bidi="ar-SA"/>
    </w:rPr>
  </w:style>
  <w:style w:type="paragraph" w:customStyle="1" w:styleId="1">
    <w:name w:val="封面标准号1"/>
    <w:autoRedefine/>
    <w:qFormat/>
    <w:pPr>
      <w:widowControl w:val="0"/>
      <w:kinsoku w:val="0"/>
      <w:overflowPunct w:val="0"/>
      <w:autoSpaceDE w:val="0"/>
      <w:autoSpaceDN w:val="0"/>
      <w:spacing w:before="308"/>
      <w:jc w:val="right"/>
      <w:textAlignment w:val="center"/>
    </w:pPr>
    <w:rPr>
      <w:rFonts w:ascii="Times New Roman" w:eastAsia="宋体" w:hAnsi="Times New Roman" w:cs="Times New Roman"/>
      <w:sz w:val="28"/>
      <w:lang w:val="en-US" w:eastAsia="zh-CN" w:bidi="ar-SA"/>
    </w:rPr>
  </w:style>
  <w:style w:type="paragraph" w:customStyle="1" w:styleId="2">
    <w:name w:val="封面标准号2"/>
    <w:basedOn w:val="1"/>
    <w:autoRedefine/>
    <w:qFormat/>
    <w:pPr>
      <w:framePr w:w="9138" w:h="1244" w:hRule="exact" w:wrap="auto" w:vAnchor="page" w:hAnchor="margin" w:y="2908"/>
      <w:adjustRightInd w:val="0"/>
      <w:spacing w:before="357" w:line="280" w:lineRule="exact"/>
    </w:pPr>
  </w:style>
  <w:style w:type="paragraph" w:customStyle="1" w:styleId="a16">
    <w:name w:val="封面标准代替信息"/>
    <w:basedOn w:val="2"/>
    <w:autoRedefine/>
    <w:qFormat/>
    <w:pPr>
      <w:spacing w:before="57"/>
    </w:pPr>
    <w:rPr>
      <w:rFonts w:ascii="宋体"/>
      <w:sz w:val="21"/>
    </w:rPr>
  </w:style>
  <w:style w:type="paragraph" w:customStyle="1" w:styleId="a17">
    <w:name w:val="封面标准名称"/>
    <w:autoRedefine/>
    <w:qFormat/>
    <w:pPr>
      <w:framePr w:w="9638" w:h="6917" w:hRule="exact" w:wrap="around" w:vAnchor="margin" w:hAnchor="margin" w:xAlign="center" w:y="5955" w:anchorLock="1"/>
      <w:widowControl w:val="0"/>
      <w:spacing w:line="680" w:lineRule="exact"/>
      <w:jc w:val="center"/>
      <w:textAlignment w:val="center"/>
    </w:pPr>
    <w:rPr>
      <w:rFonts w:ascii="黑体" w:eastAsia="黑体" w:hAnsi="Times New Roman" w:cs="Times New Roman"/>
      <w:sz w:val="52"/>
      <w:lang w:val="en-US" w:eastAsia="zh-CN" w:bidi="ar-SA"/>
    </w:rPr>
  </w:style>
  <w:style w:type="paragraph" w:customStyle="1" w:styleId="a18">
    <w:name w:val="封面标准文稿编辑信息"/>
    <w:autoRedefine/>
    <w:qFormat/>
    <w:pPr>
      <w:spacing w:before="180" w:line="180" w:lineRule="exact"/>
      <w:jc w:val="center"/>
    </w:pPr>
    <w:rPr>
      <w:rFonts w:ascii="宋体" w:eastAsia="宋体" w:hAnsi="Times New Roman" w:cs="Times New Roman"/>
      <w:sz w:val="21"/>
      <w:lang w:val="en-US" w:eastAsia="zh-CN" w:bidi="ar-SA"/>
    </w:rPr>
  </w:style>
  <w:style w:type="paragraph" w:customStyle="1" w:styleId="a19">
    <w:name w:val="封面标准文稿类别"/>
    <w:autoRedefine/>
    <w:qFormat/>
    <w:pPr>
      <w:spacing w:before="440" w:line="400" w:lineRule="exact"/>
      <w:jc w:val="center"/>
    </w:pPr>
    <w:rPr>
      <w:rFonts w:ascii="宋体" w:eastAsia="宋体" w:hAnsi="Times New Roman" w:cs="Times New Roman"/>
      <w:sz w:val="24"/>
      <w:lang w:val="en-US" w:eastAsia="zh-CN" w:bidi="ar-SA"/>
    </w:rPr>
  </w:style>
  <w:style w:type="paragraph" w:customStyle="1" w:styleId="a20">
    <w:name w:val="封面标准英文名称"/>
    <w:autoRedefine/>
    <w:qFormat/>
    <w:pPr>
      <w:widowControl w:val="0"/>
      <w:spacing w:before="370" w:line="400" w:lineRule="exact"/>
      <w:jc w:val="center"/>
    </w:pPr>
    <w:rPr>
      <w:rFonts w:ascii="Times New Roman" w:eastAsia="宋体" w:hAnsi="Times New Roman" w:cs="Times New Roman"/>
      <w:sz w:val="28"/>
      <w:lang w:val="en-US" w:eastAsia="zh-CN" w:bidi="ar-SA"/>
    </w:rPr>
  </w:style>
  <w:style w:type="paragraph" w:customStyle="1" w:styleId="a21">
    <w:name w:val="封面一致性程度标识"/>
    <w:autoRedefine/>
    <w:qFormat/>
    <w:pPr>
      <w:spacing w:before="440" w:line="400" w:lineRule="exact"/>
      <w:jc w:val="center"/>
    </w:pPr>
    <w:rPr>
      <w:rFonts w:ascii="宋体" w:eastAsia="宋体" w:hAnsi="Times New Roman" w:cs="Times New Roman"/>
      <w:sz w:val="28"/>
      <w:lang w:val="en-US" w:eastAsia="zh-CN" w:bidi="ar-SA"/>
    </w:rPr>
  </w:style>
  <w:style w:type="paragraph" w:customStyle="1" w:styleId="a22">
    <w:name w:val="封面正文"/>
    <w:autoRedefine/>
    <w:qFormat/>
    <w:pPr>
      <w:jc w:val="both"/>
    </w:pPr>
    <w:rPr>
      <w:rFonts w:ascii="Times New Roman" w:eastAsia="宋体" w:hAnsi="Times New Roman" w:cs="Times New Roman"/>
      <w:lang w:val="en-US" w:eastAsia="zh-CN" w:bidi="ar-SA"/>
    </w:rPr>
  </w:style>
  <w:style w:type="paragraph" w:customStyle="1" w:styleId="a23">
    <w:name w:val="附录标识"/>
    <w:basedOn w:val="a10"/>
    <w:autoRedefine/>
    <w:qFormat/>
    <w:pPr>
      <w:numPr>
        <w:ilvl w:val="0"/>
        <w:numId w:val="4"/>
      </w:numPr>
      <w:tabs>
        <w:tab w:val="left" w:pos="6405"/>
      </w:tabs>
      <w:spacing w:after="200"/>
    </w:pPr>
    <w:rPr>
      <w:sz w:val="21"/>
    </w:rPr>
  </w:style>
  <w:style w:type="paragraph" w:customStyle="1" w:styleId="a24">
    <w:name w:val="附录表标题"/>
    <w:next w:val="a2"/>
    <w:autoRedefine/>
    <w:qFormat/>
    <w:pPr>
      <w:jc w:val="center"/>
      <w:textAlignment w:val="baseline"/>
    </w:pPr>
    <w:rPr>
      <w:rFonts w:ascii="黑体" w:eastAsia="黑体" w:hAnsi="Times New Roman" w:cs="Times New Roman"/>
      <w:kern w:val="21"/>
      <w:sz w:val="21"/>
      <w:lang w:val="en-US" w:eastAsia="zh-CN" w:bidi="ar-SA"/>
    </w:rPr>
  </w:style>
  <w:style w:type="paragraph" w:customStyle="1" w:styleId="a25">
    <w:name w:val="附录章标题"/>
    <w:next w:val="a2"/>
    <w:autoRedefine/>
    <w:qFormat/>
    <w:pPr>
      <w:numPr>
        <w:ilvl w:val="1"/>
        <w:numId w:val="4"/>
      </w:numPr>
      <w:wordWrap w:val="0"/>
      <w:overflowPunct w:val="0"/>
      <w:autoSpaceDE w:val="0"/>
      <w:spacing w:beforeLines="50" w:afterLines="50"/>
      <w:jc w:val="both"/>
      <w:textAlignment w:val="baseline"/>
      <w:outlineLvl w:val="1"/>
    </w:pPr>
    <w:rPr>
      <w:rFonts w:ascii="黑体" w:eastAsia="黑体" w:hAnsi="Times New Roman" w:cs="Times New Roman"/>
      <w:kern w:val="21"/>
      <w:sz w:val="21"/>
      <w:lang w:val="en-US" w:eastAsia="zh-CN" w:bidi="ar-SA"/>
    </w:rPr>
  </w:style>
  <w:style w:type="paragraph" w:customStyle="1" w:styleId="a26">
    <w:name w:val="附录一级条标题"/>
    <w:basedOn w:val="a25"/>
    <w:next w:val="a2"/>
    <w:autoRedefine/>
    <w:qFormat/>
    <w:pPr>
      <w:numPr>
        <w:ilvl w:val="2"/>
      </w:numPr>
      <w:autoSpaceDN w:val="0"/>
      <w:spacing w:beforeLines="0" w:afterLines="0"/>
      <w:outlineLvl w:val="2"/>
    </w:pPr>
  </w:style>
  <w:style w:type="paragraph" w:customStyle="1" w:styleId="a27">
    <w:name w:val="附录二级条标题"/>
    <w:basedOn w:val="a26"/>
    <w:next w:val="a2"/>
    <w:autoRedefine/>
    <w:qFormat/>
    <w:pPr>
      <w:numPr>
        <w:ilvl w:val="3"/>
      </w:numPr>
      <w:outlineLvl w:val="3"/>
    </w:pPr>
  </w:style>
  <w:style w:type="paragraph" w:customStyle="1" w:styleId="a28">
    <w:name w:val="附录三级条标题"/>
    <w:basedOn w:val="a27"/>
    <w:next w:val="a2"/>
    <w:autoRedefine/>
    <w:qFormat/>
    <w:pPr>
      <w:numPr>
        <w:ilvl w:val="4"/>
      </w:numPr>
      <w:outlineLvl w:val="4"/>
    </w:pPr>
  </w:style>
  <w:style w:type="paragraph" w:customStyle="1" w:styleId="a29">
    <w:name w:val="附录四级条标题"/>
    <w:basedOn w:val="a28"/>
    <w:next w:val="a2"/>
    <w:autoRedefine/>
    <w:qFormat/>
    <w:pPr>
      <w:numPr>
        <w:ilvl w:val="5"/>
      </w:numPr>
      <w:outlineLvl w:val="5"/>
    </w:pPr>
  </w:style>
  <w:style w:type="paragraph" w:customStyle="1" w:styleId="a30">
    <w:name w:val="附录图标题"/>
    <w:next w:val="a2"/>
    <w:autoRedefine/>
    <w:qFormat/>
    <w:pPr>
      <w:jc w:val="center"/>
    </w:pPr>
    <w:rPr>
      <w:rFonts w:ascii="黑体" w:eastAsia="黑体" w:hAnsi="Times New Roman" w:cs="Times New Roman"/>
      <w:sz w:val="21"/>
      <w:lang w:val="en-US" w:eastAsia="zh-CN" w:bidi="ar-SA"/>
    </w:rPr>
  </w:style>
  <w:style w:type="paragraph" w:customStyle="1" w:styleId="a31">
    <w:name w:val="附录五级条标题"/>
    <w:basedOn w:val="a29"/>
    <w:next w:val="a2"/>
    <w:autoRedefine/>
    <w:qFormat/>
    <w:pPr>
      <w:numPr>
        <w:ilvl w:val="6"/>
      </w:numPr>
      <w:outlineLvl w:val="6"/>
    </w:pPr>
  </w:style>
  <w:style w:type="character" w:customStyle="1" w:styleId="a32">
    <w:name w:val="个人答复风格"/>
    <w:autoRedefine/>
    <w:qFormat/>
    <w:rPr>
      <w:rFonts w:ascii="Arial" w:eastAsia="宋体" w:hAnsi="Arial" w:cs="Arial"/>
      <w:color w:val="auto"/>
      <w:sz w:val="20"/>
    </w:rPr>
  </w:style>
  <w:style w:type="character" w:customStyle="1" w:styleId="a33">
    <w:name w:val="个人撰写风格"/>
    <w:autoRedefine/>
    <w:qFormat/>
    <w:rPr>
      <w:rFonts w:ascii="Arial" w:eastAsia="宋体" w:hAnsi="Arial" w:cs="Arial"/>
      <w:color w:val="auto"/>
      <w:sz w:val="20"/>
    </w:rPr>
  </w:style>
  <w:style w:type="paragraph" w:customStyle="1" w:styleId="a34">
    <w:name w:val="列项——"/>
    <w:autoRedefine/>
    <w:qFormat/>
    <w:pPr>
      <w:widowControl w:val="0"/>
      <w:numPr>
        <w:ilvl w:val="0"/>
        <w:numId w:val="5"/>
      </w:numPr>
      <w:tabs>
        <w:tab w:val="left" w:pos="854"/>
        <w:tab w:val="clear" w:pos="1140"/>
      </w:tabs>
      <w:ind w:left="200" w:hanging="200" w:leftChars="200" w:hangingChars="200"/>
      <w:jc w:val="both"/>
    </w:pPr>
    <w:rPr>
      <w:rFonts w:ascii="宋体" w:eastAsia="宋体" w:hAnsi="Times New Roman" w:cs="Times New Roman"/>
      <w:sz w:val="21"/>
      <w:lang w:val="en-US" w:eastAsia="zh-CN" w:bidi="ar-SA"/>
    </w:rPr>
  </w:style>
  <w:style w:type="paragraph" w:customStyle="1" w:styleId="a35">
    <w:name w:val="列项·"/>
    <w:autoRedefine/>
    <w:qFormat/>
    <w:pPr>
      <w:numPr>
        <w:ilvl w:val="0"/>
        <w:numId w:val="6"/>
      </w:numPr>
      <w:tabs>
        <w:tab w:val="left" w:pos="840"/>
        <w:tab w:val="clear" w:pos="1140"/>
      </w:tabs>
      <w:ind w:left="840" w:hanging="420" w:leftChars="200" w:hangingChars="200"/>
      <w:jc w:val="both"/>
    </w:pPr>
    <w:rPr>
      <w:rFonts w:ascii="宋体" w:eastAsia="宋体" w:hAnsi="Times New Roman" w:cs="Times New Roman"/>
      <w:sz w:val="21"/>
      <w:lang w:val="en-US" w:eastAsia="zh-CN" w:bidi="ar-SA"/>
    </w:rPr>
  </w:style>
  <w:style w:type="paragraph" w:customStyle="1" w:styleId="a36">
    <w:name w:val="目次、标准名称标题"/>
    <w:basedOn w:val="a10"/>
    <w:next w:val="a2"/>
    <w:autoRedefine/>
    <w:qFormat/>
    <w:pPr>
      <w:numPr>
        <w:numId w:val="0"/>
      </w:numPr>
      <w:spacing w:line="460" w:lineRule="exact"/>
    </w:pPr>
  </w:style>
  <w:style w:type="paragraph" w:customStyle="1" w:styleId="a37">
    <w:name w:val="目次、索引正文"/>
    <w:autoRedefine/>
    <w:qFormat/>
    <w:pPr>
      <w:spacing w:line="320" w:lineRule="exact"/>
      <w:jc w:val="both"/>
    </w:pPr>
    <w:rPr>
      <w:rFonts w:ascii="宋体" w:eastAsia="宋体" w:hAnsi="Times New Roman" w:cs="Times New Roman"/>
      <w:sz w:val="21"/>
      <w:lang w:val="en-US" w:eastAsia="zh-CN" w:bidi="ar-SA"/>
    </w:rPr>
  </w:style>
  <w:style w:type="paragraph" w:customStyle="1" w:styleId="a38">
    <w:name w:val="其他标准称谓"/>
    <w:autoRedefine/>
    <w:qFormat/>
    <w:pPr>
      <w:spacing w:line="0" w:lineRule="atLeast"/>
      <w:jc w:val="distribute"/>
    </w:pPr>
    <w:rPr>
      <w:rFonts w:ascii="黑体" w:eastAsia="黑体" w:hAnsi="宋体" w:cs="Times New Roman"/>
      <w:sz w:val="52"/>
      <w:lang w:val="en-US" w:eastAsia="zh-CN" w:bidi="ar-SA"/>
    </w:rPr>
  </w:style>
  <w:style w:type="paragraph" w:customStyle="1" w:styleId="a39">
    <w:name w:val="其他发布部门"/>
    <w:basedOn w:val="a14"/>
    <w:autoRedefine/>
    <w:qFormat/>
    <w:pPr>
      <w:framePr w:wrap="around"/>
      <w:spacing w:line="0" w:lineRule="atLeast"/>
    </w:pPr>
    <w:rPr>
      <w:rFonts w:ascii="黑体" w:eastAsia="黑体"/>
      <w:b w:val="0"/>
    </w:rPr>
  </w:style>
  <w:style w:type="paragraph" w:customStyle="1" w:styleId="a40">
    <w:name w:val="三级条标题"/>
    <w:basedOn w:val="a"/>
    <w:next w:val="a2"/>
    <w:autoRedefine/>
    <w:qFormat/>
    <w:pPr>
      <w:outlineLvl w:val="4"/>
    </w:pPr>
  </w:style>
  <w:style w:type="paragraph" w:customStyle="1" w:styleId="a41">
    <w:name w:val="三级无标题条"/>
    <w:basedOn w:val="Normal"/>
    <w:autoRedefine/>
    <w:qFormat/>
    <w:pPr>
      <w:numPr>
        <w:ilvl w:val="4"/>
        <w:numId w:val="3"/>
      </w:numPr>
    </w:pPr>
  </w:style>
  <w:style w:type="paragraph" w:customStyle="1" w:styleId="a42">
    <w:name w:val="实施日期"/>
    <w:basedOn w:val="a15"/>
    <w:autoRedefine/>
    <w:qFormat/>
    <w:pPr>
      <w:framePr w:hSpace="0" w:wrap="around" w:xAlign="right"/>
      <w:jc w:val="right"/>
    </w:pPr>
  </w:style>
  <w:style w:type="paragraph" w:customStyle="1" w:styleId="a43">
    <w:name w:val="示例"/>
    <w:next w:val="a2"/>
    <w:autoRedefine/>
    <w:qFormat/>
    <w:pPr>
      <w:numPr>
        <w:ilvl w:val="0"/>
        <w:numId w:val="7"/>
      </w:numPr>
      <w:tabs>
        <w:tab w:val="left" w:pos="816"/>
        <w:tab w:val="clear" w:pos="1120"/>
      </w:tabs>
      <w:ind w:firstLine="419" w:firstLineChars="233"/>
      <w:jc w:val="both"/>
    </w:pPr>
    <w:rPr>
      <w:rFonts w:ascii="宋体" w:eastAsia="宋体" w:hAnsi="Times New Roman" w:cs="Times New Roman"/>
      <w:sz w:val="18"/>
      <w:lang w:val="en-US" w:eastAsia="zh-CN" w:bidi="ar-SA"/>
    </w:rPr>
  </w:style>
  <w:style w:type="paragraph" w:customStyle="1" w:styleId="a44">
    <w:name w:val="数字编号列项（二级）"/>
    <w:autoRedefine/>
    <w:qFormat/>
    <w:pPr>
      <w:ind w:left="1260" w:hanging="420" w:leftChars="400" w:hangingChars="200"/>
      <w:jc w:val="both"/>
    </w:pPr>
    <w:rPr>
      <w:rFonts w:ascii="宋体" w:eastAsia="宋体" w:hAnsi="Times New Roman" w:cs="Times New Roman"/>
      <w:sz w:val="21"/>
      <w:lang w:val="en-US" w:eastAsia="zh-CN" w:bidi="ar-SA"/>
    </w:rPr>
  </w:style>
  <w:style w:type="paragraph" w:customStyle="1" w:styleId="a45">
    <w:name w:val="四级条标题"/>
    <w:basedOn w:val="a40"/>
    <w:next w:val="a2"/>
    <w:autoRedefine/>
    <w:qFormat/>
    <w:pPr>
      <w:outlineLvl w:val="5"/>
    </w:pPr>
  </w:style>
  <w:style w:type="paragraph" w:customStyle="1" w:styleId="a46">
    <w:name w:val="四级无标题条"/>
    <w:basedOn w:val="Normal"/>
    <w:autoRedefine/>
    <w:qFormat/>
    <w:pPr>
      <w:numPr>
        <w:ilvl w:val="5"/>
        <w:numId w:val="3"/>
      </w:numPr>
    </w:pPr>
  </w:style>
  <w:style w:type="paragraph" w:customStyle="1" w:styleId="a47">
    <w:name w:val="条文脚注"/>
    <w:basedOn w:val="FootnoteText"/>
    <w:autoRedefine/>
    <w:qFormat/>
    <w:pPr>
      <w:ind w:left="780" w:hanging="360" w:leftChars="200" w:hangingChars="200"/>
      <w:jc w:val="both"/>
    </w:pPr>
    <w:rPr>
      <w:rFonts w:ascii="宋体"/>
    </w:rPr>
  </w:style>
  <w:style w:type="paragraph" w:customStyle="1" w:styleId="a48">
    <w:name w:val="图表脚注"/>
    <w:next w:val="a2"/>
    <w:autoRedefine/>
    <w:qFormat/>
    <w:pPr>
      <w:ind w:left="300" w:hanging="100" w:leftChars="200" w:hangingChars="100"/>
      <w:jc w:val="both"/>
    </w:pPr>
    <w:rPr>
      <w:rFonts w:ascii="宋体" w:eastAsia="宋体" w:hAnsi="Times New Roman" w:cs="Times New Roman"/>
      <w:sz w:val="18"/>
      <w:lang w:val="en-US" w:eastAsia="zh-CN" w:bidi="ar-SA"/>
    </w:rPr>
  </w:style>
  <w:style w:type="paragraph" w:customStyle="1" w:styleId="a49">
    <w:name w:val="文献分类号"/>
    <w:autoRedefine/>
    <w:qFormat/>
    <w:pPr>
      <w:framePr w:hSpace="180" w:vSpace="180" w:wrap="around" w:vAnchor="margin" w:hAnchor="margin" w:y="1" w:anchorLock="1"/>
      <w:widowControl w:val="0"/>
      <w:textAlignment w:val="center"/>
    </w:pPr>
    <w:rPr>
      <w:rFonts w:ascii="Times New Roman" w:eastAsia="黑体" w:hAnsi="Times New Roman" w:cs="Times New Roman"/>
      <w:sz w:val="21"/>
      <w:lang w:val="en-US" w:eastAsia="zh-CN" w:bidi="ar-SA"/>
    </w:rPr>
  </w:style>
  <w:style w:type="paragraph" w:customStyle="1" w:styleId="a50">
    <w:name w:val="无标题条"/>
    <w:next w:val="a2"/>
    <w:autoRedefine/>
    <w:qFormat/>
    <w:pPr>
      <w:jc w:val="both"/>
    </w:pPr>
    <w:rPr>
      <w:rFonts w:ascii="Times New Roman" w:eastAsia="宋体" w:hAnsi="Times New Roman" w:cs="Times New Roman"/>
      <w:sz w:val="21"/>
      <w:lang w:val="en-US" w:eastAsia="zh-CN" w:bidi="ar-SA"/>
    </w:rPr>
  </w:style>
  <w:style w:type="paragraph" w:customStyle="1" w:styleId="a51">
    <w:name w:val="五级条标题"/>
    <w:basedOn w:val="a45"/>
    <w:next w:val="a2"/>
    <w:autoRedefine/>
    <w:qFormat/>
    <w:pPr>
      <w:outlineLvl w:val="6"/>
    </w:pPr>
  </w:style>
  <w:style w:type="paragraph" w:customStyle="1" w:styleId="a52">
    <w:name w:val="五级无标题条"/>
    <w:basedOn w:val="Normal"/>
    <w:autoRedefine/>
    <w:qFormat/>
    <w:pPr>
      <w:numPr>
        <w:ilvl w:val="6"/>
        <w:numId w:val="3"/>
      </w:numPr>
    </w:pPr>
  </w:style>
  <w:style w:type="paragraph" w:customStyle="1" w:styleId="a53">
    <w:name w:val="一级无标题条"/>
    <w:basedOn w:val="Normal"/>
    <w:autoRedefine/>
    <w:qFormat/>
    <w:pPr>
      <w:numPr>
        <w:ilvl w:val="2"/>
        <w:numId w:val="3"/>
      </w:numPr>
    </w:pPr>
  </w:style>
  <w:style w:type="paragraph" w:customStyle="1" w:styleId="a54">
    <w:name w:val="正文表标题"/>
    <w:next w:val="a2"/>
    <w:autoRedefine/>
    <w:qFormat/>
    <w:pPr>
      <w:jc w:val="center"/>
    </w:pPr>
    <w:rPr>
      <w:rFonts w:ascii="黑体" w:eastAsia="黑体" w:hAnsi="Times New Roman" w:cs="Times New Roman"/>
      <w:sz w:val="21"/>
      <w:lang w:val="en-US" w:eastAsia="zh-CN" w:bidi="ar-SA"/>
    </w:rPr>
  </w:style>
  <w:style w:type="paragraph" w:customStyle="1" w:styleId="a55">
    <w:name w:val="正文图标题"/>
    <w:next w:val="a2"/>
    <w:autoRedefine/>
    <w:qFormat/>
    <w:pPr>
      <w:jc w:val="center"/>
    </w:pPr>
    <w:rPr>
      <w:rFonts w:ascii="黑体" w:eastAsia="黑体" w:hAnsi="Times New Roman" w:cs="Times New Roman"/>
      <w:sz w:val="21"/>
      <w:lang w:val="en-US" w:eastAsia="zh-CN" w:bidi="ar-SA"/>
    </w:rPr>
  </w:style>
  <w:style w:type="paragraph" w:customStyle="1" w:styleId="a56">
    <w:name w:val="注："/>
    <w:next w:val="a2"/>
    <w:autoRedefine/>
    <w:qFormat/>
    <w:pPr>
      <w:widowControl w:val="0"/>
      <w:numPr>
        <w:ilvl w:val="0"/>
        <w:numId w:val="8"/>
      </w:numPr>
      <w:tabs>
        <w:tab w:val="clear" w:pos="1140"/>
      </w:tabs>
      <w:autoSpaceDE w:val="0"/>
      <w:autoSpaceDN w:val="0"/>
      <w:jc w:val="both"/>
    </w:pPr>
    <w:rPr>
      <w:rFonts w:ascii="宋体" w:eastAsia="宋体" w:hAnsi="Times New Roman" w:cs="Times New Roman"/>
      <w:sz w:val="18"/>
      <w:lang w:val="en-US" w:eastAsia="zh-CN" w:bidi="ar-SA"/>
    </w:rPr>
  </w:style>
  <w:style w:type="paragraph" w:customStyle="1" w:styleId="a57">
    <w:name w:val="注×："/>
    <w:autoRedefine/>
    <w:qFormat/>
    <w:pPr>
      <w:widowControl w:val="0"/>
      <w:numPr>
        <w:ilvl w:val="0"/>
        <w:numId w:val="9"/>
      </w:numPr>
      <w:tabs>
        <w:tab w:val="left" w:pos="630"/>
        <w:tab w:val="clear" w:pos="900"/>
      </w:tabs>
      <w:autoSpaceDE w:val="0"/>
      <w:autoSpaceDN w:val="0"/>
      <w:jc w:val="both"/>
    </w:pPr>
    <w:rPr>
      <w:rFonts w:ascii="宋体" w:eastAsia="宋体" w:hAnsi="Times New Roman" w:cs="Times New Roman"/>
      <w:sz w:val="18"/>
      <w:lang w:val="en-US" w:eastAsia="zh-CN" w:bidi="ar-SA"/>
    </w:rPr>
  </w:style>
  <w:style w:type="paragraph" w:customStyle="1" w:styleId="a58">
    <w:name w:val="字母编号列项（一级）"/>
    <w:autoRedefine/>
    <w:qFormat/>
    <w:pPr>
      <w:ind w:left="840" w:hanging="420" w:leftChars="200" w:hangingChars="200"/>
      <w:jc w:val="both"/>
    </w:pPr>
    <w:rPr>
      <w:rFonts w:ascii="宋体" w:eastAsia="宋体" w:hAnsi="Times New Roman" w:cs="Times New Roman"/>
      <w:sz w:val="21"/>
      <w:lang w:val="en-US" w:eastAsia="zh-CN" w:bidi="ar-SA"/>
    </w:rPr>
  </w:style>
  <w:style w:type="paragraph" w:customStyle="1" w:styleId="a59">
    <w:name w:val="列项——（一级）"/>
    <w:autoRedefine/>
    <w:qFormat/>
    <w:pPr>
      <w:widowControl w:val="0"/>
      <w:numPr>
        <w:ilvl w:val="0"/>
        <w:numId w:val="10"/>
      </w:numPr>
      <w:jc w:val="both"/>
    </w:pPr>
    <w:rPr>
      <w:rFonts w:ascii="宋体" w:eastAsia="宋体" w:hAnsi="Times New Roman" w:cs="Times New Roman"/>
      <w:sz w:val="21"/>
      <w:lang w:val="en-US" w:eastAsia="zh-CN" w:bidi="ar-SA"/>
    </w:rPr>
  </w:style>
  <w:style w:type="paragraph" w:customStyle="1" w:styleId="a60">
    <w:name w:val="列项●（二级）"/>
    <w:autoRedefine/>
    <w:qFormat/>
    <w:pPr>
      <w:numPr>
        <w:ilvl w:val="1"/>
        <w:numId w:val="10"/>
      </w:numPr>
      <w:tabs>
        <w:tab w:val="left" w:pos="840"/>
      </w:tabs>
      <w:jc w:val="both"/>
    </w:pPr>
    <w:rPr>
      <w:rFonts w:ascii="宋体" w:eastAsia="宋体" w:hAnsi="Times New Roman" w:cs="Times New Roman"/>
      <w:sz w:val="21"/>
      <w:lang w:val="en-US" w:eastAsia="zh-CN" w:bidi="ar-SA"/>
    </w:rPr>
  </w:style>
  <w:style w:type="paragraph" w:customStyle="1" w:styleId="a61">
    <w:name w:val="列项◆（三级）"/>
    <w:basedOn w:val="Normal"/>
    <w:autoRedefine/>
    <w:qFormat/>
    <w:pPr>
      <w:numPr>
        <w:ilvl w:val="2"/>
        <w:numId w:val="10"/>
      </w:numPr>
    </w:pPr>
    <w:rPr>
      <w:rFonts w:ascii="宋体"/>
      <w:szCs w:val="21"/>
    </w:rPr>
  </w:style>
  <w:style w:type="paragraph" w:customStyle="1" w:styleId="CharCharCharChar">
    <w:name w:val="Char Char Char Char"/>
    <w:basedOn w:val="Normal"/>
    <w:autoRedefine/>
    <w:qFormat/>
  </w:style>
  <w:style w:type="paragraph" w:customStyle="1" w:styleId="Default">
    <w:name w:val="Default"/>
    <w:autoRedefine/>
    <w:qFormat/>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CharCharChar1Char">
    <w:name w:val="Char Char Char1 Char"/>
    <w:basedOn w:val="Normal"/>
    <w:autoRedefine/>
    <w:qFormat/>
  </w:style>
  <w:style w:type="paragraph" w:customStyle="1" w:styleId="a62">
    <w:name w:val="三级无"/>
    <w:basedOn w:val="a40"/>
    <w:autoRedefine/>
    <w:qFormat/>
    <w:pPr>
      <w:jc w:val="left"/>
    </w:pPr>
    <w:rPr>
      <w:rFonts w:ascii="宋体" w:eastAsia="宋体"/>
      <w:szCs w:val="21"/>
    </w:rPr>
  </w:style>
  <w:style w:type="paragraph" w:customStyle="1" w:styleId="a63">
    <w:name w:val="附录图标号"/>
    <w:basedOn w:val="Normal"/>
    <w:autoRedefine/>
    <w:qFormat/>
    <w:pPr>
      <w:keepNext/>
      <w:pageBreakBefore/>
      <w:widowControl/>
      <w:spacing w:line="14" w:lineRule="exact"/>
      <w:ind w:firstLine="363"/>
      <w:jc w:val="center"/>
      <w:outlineLvl w:val="0"/>
    </w:pPr>
    <w:rPr>
      <w:color w:val="FFFFFF"/>
    </w:rPr>
  </w:style>
  <w:style w:type="paragraph" w:customStyle="1" w:styleId="a64">
    <w:name w:val="附录表标号"/>
    <w:basedOn w:val="Normal"/>
    <w:next w:val="a2"/>
    <w:autoRedefine/>
    <w:qFormat/>
    <w:pPr>
      <w:spacing w:line="14" w:lineRule="exact"/>
      <w:ind w:left="811" w:hanging="448"/>
      <w:jc w:val="center"/>
      <w:outlineLvl w:val="0"/>
    </w:pPr>
    <w:rPr>
      <w:color w:val="FFFFFF"/>
    </w:rPr>
  </w:style>
  <w:style w:type="character" w:customStyle="1" w:styleId="Other1">
    <w:name w:val="Other|1_"/>
    <w:link w:val="Other10"/>
    <w:autoRedefine/>
    <w:qFormat/>
    <w:rPr>
      <w:rFonts w:ascii="宋体" w:hAnsi="宋体" w:cs="宋体"/>
      <w:sz w:val="19"/>
      <w:szCs w:val="19"/>
      <w:lang w:val="zh-TW" w:eastAsia="zh-TW" w:bidi="zh-TW"/>
    </w:rPr>
  </w:style>
  <w:style w:type="paragraph" w:customStyle="1" w:styleId="Other10">
    <w:name w:val="Other|1"/>
    <w:basedOn w:val="Normal"/>
    <w:link w:val="Other1"/>
    <w:autoRedefine/>
    <w:qFormat/>
    <w:pPr>
      <w:spacing w:line="346" w:lineRule="auto"/>
      <w:ind w:firstLine="400"/>
      <w:jc w:val="left"/>
    </w:pPr>
    <w:rPr>
      <w:rFonts w:ascii="宋体" w:hAnsi="宋体" w:cs="宋体"/>
      <w:kern w:val="0"/>
      <w:sz w:val="19"/>
      <w:szCs w:val="19"/>
      <w:lang w:val="zh-TW" w:eastAsia="zh-TW" w:bidi="zh-TW"/>
    </w:rPr>
  </w:style>
  <w:style w:type="character" w:customStyle="1" w:styleId="Bodytext1">
    <w:name w:val="Body text|1_"/>
    <w:link w:val="Bodytext10"/>
    <w:autoRedefine/>
    <w:qFormat/>
    <w:rPr>
      <w:rFonts w:ascii="宋体" w:hAnsi="宋体" w:cs="宋体"/>
      <w:sz w:val="19"/>
      <w:szCs w:val="19"/>
      <w:lang w:val="zh-TW" w:eastAsia="zh-TW" w:bidi="zh-TW"/>
    </w:rPr>
  </w:style>
  <w:style w:type="paragraph" w:customStyle="1" w:styleId="Bodytext10">
    <w:name w:val="Body text|1"/>
    <w:basedOn w:val="Normal"/>
    <w:link w:val="Bodytext1"/>
    <w:autoRedefine/>
    <w:qFormat/>
    <w:pPr>
      <w:spacing w:line="346" w:lineRule="auto"/>
      <w:ind w:firstLine="400"/>
      <w:jc w:val="left"/>
    </w:pPr>
    <w:rPr>
      <w:rFonts w:ascii="宋体" w:hAnsi="宋体" w:cs="宋体"/>
      <w:kern w:val="0"/>
      <w:sz w:val="19"/>
      <w:szCs w:val="19"/>
      <w:lang w:val="zh-TW" w:eastAsia="zh-TW" w:bidi="zh-TW"/>
    </w:rPr>
  </w:style>
  <w:style w:type="character" w:customStyle="1" w:styleId="Tablecaption1">
    <w:name w:val="Table caption|1_"/>
    <w:link w:val="Tablecaption10"/>
    <w:autoRedefine/>
    <w:qFormat/>
    <w:rPr>
      <w:lang w:val="zh-TW" w:eastAsia="zh-TW" w:bidi="zh-TW"/>
    </w:rPr>
  </w:style>
  <w:style w:type="paragraph" w:customStyle="1" w:styleId="Tablecaption10">
    <w:name w:val="Table caption|1"/>
    <w:basedOn w:val="Normal"/>
    <w:link w:val="Tablecaption1"/>
    <w:autoRedefine/>
    <w:qFormat/>
    <w:pPr>
      <w:jc w:val="center"/>
    </w:pPr>
    <w:rPr>
      <w:kern w:val="0"/>
      <w:sz w:val="20"/>
      <w:szCs w:val="20"/>
      <w:lang w:val="zh-TW" w:eastAsia="zh-TW" w:bidi="zh-TW"/>
    </w:rPr>
  </w:style>
  <w:style w:type="character" w:customStyle="1" w:styleId="Heading21">
    <w:name w:val="Heading #2|1_"/>
    <w:link w:val="Heading210"/>
    <w:autoRedefine/>
    <w:qFormat/>
    <w:rPr>
      <w:rFonts w:ascii="宋体" w:hAnsi="宋体" w:cs="宋体"/>
      <w:sz w:val="52"/>
      <w:szCs w:val="52"/>
      <w:lang w:val="zh-TW" w:eastAsia="zh-TW" w:bidi="zh-TW"/>
    </w:rPr>
  </w:style>
  <w:style w:type="paragraph" w:customStyle="1" w:styleId="Heading210">
    <w:name w:val="Heading #2|1"/>
    <w:basedOn w:val="Normal"/>
    <w:link w:val="Heading21"/>
    <w:autoRedefine/>
    <w:qFormat/>
    <w:pPr>
      <w:spacing w:after="480"/>
      <w:jc w:val="center"/>
      <w:outlineLvl w:val="1"/>
    </w:pPr>
    <w:rPr>
      <w:rFonts w:ascii="宋体" w:hAnsi="宋体" w:cs="宋体"/>
      <w:kern w:val="0"/>
      <w:sz w:val="52"/>
      <w:szCs w:val="52"/>
      <w:lang w:val="zh-TW" w:eastAsia="zh-TW" w:bidi="zh-TW"/>
    </w:rPr>
  </w:style>
  <w:style w:type="paragraph" w:customStyle="1" w:styleId="Bodytext8">
    <w:name w:val="Body text|8"/>
    <w:basedOn w:val="Normal"/>
    <w:autoRedefine/>
    <w:qFormat/>
    <w:pPr>
      <w:spacing w:after="300"/>
      <w:ind w:left="2080"/>
    </w:pPr>
    <w:rPr>
      <w:sz w:val="11"/>
      <w:szCs w:val="11"/>
    </w:rPr>
  </w:style>
  <w:style w:type="paragraph" w:customStyle="1" w:styleId="Picturecaption1">
    <w:name w:val="Picture caption|1"/>
    <w:basedOn w:val="Normal"/>
    <w:autoRedefine/>
    <w:qFormat/>
    <w:rPr>
      <w:b/>
      <w:bCs/>
      <w:sz w:val="16"/>
      <w:szCs w:val="16"/>
      <w:lang w:val="zh-TW" w:eastAsia="zh-TW" w:bidi="zh-TW"/>
    </w:rPr>
  </w:style>
  <w:style w:type="paragraph" w:customStyle="1" w:styleId="Headerorfooter2">
    <w:name w:val="Header or footer|2"/>
    <w:basedOn w:val="Normal"/>
    <w:autoRedefine/>
    <w:qFormat/>
    <w:rPr>
      <w:sz w:val="20"/>
      <w:szCs w:val="20"/>
    </w:rPr>
  </w:style>
  <w:style w:type="character" w:customStyle="1" w:styleId="10">
    <w:name w:val="不明显强调1"/>
    <w:basedOn w:val="DefaultParagraphFont"/>
    <w:autoRedefine/>
    <w:uiPriority w:val="19"/>
    <w:qFormat/>
    <w:rPr>
      <w:i/>
      <w:iCs/>
      <w:color w:val="404040" w:themeColor="text1" w:themeTint="BF"/>
      <w14:textFill>
        <w14:solidFill>
          <w14:schemeClr w14:val="tx1">
            <w14:lumMod w14:val="75000"/>
            <w14:lumOff w14:val="25000"/>
          </w14:schemeClr>
        </w14:solidFill>
      </w14:textFill>
    </w:rPr>
  </w:style>
  <w:style w:type="paragraph" w:styleId="ListParagraph">
    <w:name w:val="List Paragraph"/>
    <w:basedOn w:val="Normal"/>
    <w:autoRedefine/>
    <w:uiPriority w:val="99"/>
    <w:qFormat/>
    <w:pPr>
      <w:ind w:firstLine="420" w:firstLineChars="200"/>
    </w:pPr>
  </w:style>
  <w:style w:type="character" w:styleId="PlaceholderText">
    <w:name w:val="Placeholder Text"/>
    <w:basedOn w:val="DefaultParagraphFont"/>
    <w:autoRedefine/>
    <w:uiPriority w:val="99"/>
    <w:unhideWhenUsed/>
    <w:qFormat/>
    <w:rPr>
      <w:color w:val="808080"/>
    </w:rPr>
  </w:style>
  <w:style w:type="paragraph" w:customStyle="1" w:styleId="TOC10">
    <w:name w:val="TOC 标题1"/>
    <w:basedOn w:val="Heading1"/>
    <w:next w:val="Normal"/>
    <w:autoRedefine/>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5B6" w:themeColor="accent1" w:themeShade="BF"/>
      <w:kern w:val="0"/>
      <w:sz w:val="32"/>
      <w:szCs w:val="32"/>
    </w:rPr>
  </w:style>
  <w:style w:type="paragraph" w:customStyle="1" w:styleId="TOC20">
    <w:name w:val="TOC 标题2"/>
    <w:basedOn w:val="Heading1"/>
    <w:next w:val="Normal"/>
    <w:autoRedefine/>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5B6" w:themeColor="accent1" w:themeShade="BF"/>
      <w:kern w:val="0"/>
      <w:sz w:val="32"/>
      <w:szCs w:val="32"/>
    </w:rPr>
  </w:style>
  <w:style w:type="character" w:customStyle="1" w:styleId="Char0">
    <w:name w:val="二级条标题 Char"/>
    <w:link w:val="a"/>
    <w:autoRedefine/>
    <w:qFormat/>
    <w:rPr>
      <w:rFonts w:ascii="黑体" w:eastAsia="黑体"/>
      <w:color w:val="2E75B6" w:themeColor="accent1" w:themeShade="BF"/>
      <w:sz w:val="21"/>
    </w:rPr>
  </w:style>
  <w:style w:type="character" w:customStyle="1" w:styleId="a65">
    <w:name w:val="页眉 字符"/>
    <w:basedOn w:val="DefaultParagraphFont"/>
    <w:link w:val="Header"/>
    <w:autoRedefine/>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footer" Target="footer4.xml" /><Relationship Id="rId15" Type="http://schemas.openxmlformats.org/officeDocument/2006/relationships/header" Target="header6.xml" /><Relationship Id="rId16" Type="http://schemas.openxmlformats.org/officeDocument/2006/relationships/footer" Target="footer5.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9.xml" /><Relationship Id="rId22" Type="http://schemas.openxmlformats.org/officeDocument/2006/relationships/footer" Target="footer8.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9.xml" /><Relationship Id="rId26" Type="http://schemas.openxmlformats.org/officeDocument/2006/relationships/footer" Target="footer10.xml" /><Relationship Id="rId27" Type="http://schemas.openxmlformats.org/officeDocument/2006/relationships/header" Target="header12.xml" /><Relationship Id="rId28" Type="http://schemas.openxmlformats.org/officeDocument/2006/relationships/footer" Target="footer11.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2.xml" /><Relationship Id="rId32" Type="http://schemas.openxmlformats.org/officeDocument/2006/relationships/footer" Target="footer13.xml" /><Relationship Id="rId33" Type="http://schemas.openxmlformats.org/officeDocument/2006/relationships/header" Target="header15.xml" /><Relationship Id="rId34" Type="http://schemas.openxmlformats.org/officeDocument/2006/relationships/footer" Target="footer14.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5.xml" /><Relationship Id="rId38" Type="http://schemas.openxmlformats.org/officeDocument/2006/relationships/footer" Target="footer16.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8.xml" /><Relationship Id="rId44" Type="http://schemas.openxmlformats.org/officeDocument/2006/relationships/footer" Target="footer19.xml" /><Relationship Id="rId45" Type="http://schemas.openxmlformats.org/officeDocument/2006/relationships/header" Target="header21.xml" /><Relationship Id="rId46" Type="http://schemas.openxmlformats.org/officeDocument/2006/relationships/footer" Target="footer20.xm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1.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4.xml" /><Relationship Id="rId52" Type="http://schemas.openxmlformats.org/officeDocument/2006/relationships/footer" Target="footer23.xm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4.xml" /><Relationship Id="rId56" Type="http://schemas.openxmlformats.org/officeDocument/2006/relationships/footer" Target="footer25.xml" /><Relationship Id="rId57" Type="http://schemas.openxmlformats.org/officeDocument/2006/relationships/header" Target="header27.xml" /><Relationship Id="rId58" Type="http://schemas.openxmlformats.org/officeDocument/2006/relationships/footer" Target="footer26.xml" /><Relationship Id="rId59" Type="http://schemas.openxmlformats.org/officeDocument/2006/relationships/hyperlink" Target="https://d.book118.com/785341124334011042" TargetMode="External" /><Relationship Id="rId6" Type="http://schemas.openxmlformats.org/officeDocument/2006/relationships/header" Target="header1.xml" /><Relationship Id="rId60" Type="http://schemas.openxmlformats.org/officeDocument/2006/relationships/header" Target="header28.xml" /><Relationship Id="rId61" Type="http://schemas.openxmlformats.org/officeDocument/2006/relationships/header" Target="header29.xml" /><Relationship Id="rId62" Type="http://schemas.openxmlformats.org/officeDocument/2006/relationships/footer" Target="footer27.xml" /><Relationship Id="rId63" Type="http://schemas.openxmlformats.org/officeDocument/2006/relationships/footer" Target="footer28.xml" /><Relationship Id="rId64" Type="http://schemas.openxmlformats.org/officeDocument/2006/relationships/header" Target="header30.xml" /><Relationship Id="rId65" Type="http://schemas.openxmlformats.org/officeDocument/2006/relationships/footer" Target="footer29.xml" /><Relationship Id="rId66" Type="http://schemas.openxmlformats.org/officeDocument/2006/relationships/theme" Target="theme/theme1.xml" /><Relationship Id="rId67" Type="http://schemas.openxmlformats.org/officeDocument/2006/relationships/numbering" Target="numbering.xml" /><Relationship Id="rId68"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_rels/settings.xml.rels><?xml version="1.0" encoding="utf-8" standalone="yes"?><Relationships xmlns="http://schemas.openxmlformats.org/package/2006/relationships"><Relationship Id="rId1" Type="http://schemas.openxmlformats.org/officeDocument/2006/relationships/attachedTemplate" Target="file:///E:\Tds.dot"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04806E-19BE-4BCD-A6E1-EE32C9B853C0}">
  <ds:schemaRefs/>
</ds:datastoreItem>
</file>

<file path=docProps/app.xml><?xml version="1.0" encoding="utf-8"?>
<Properties xmlns="http://schemas.openxmlformats.org/officeDocument/2006/extended-properties" xmlns:vt="http://schemas.openxmlformats.org/officeDocument/2006/docPropsVTypes">
  <Template>Tds.dot</Template>
  <TotalTime>0</TotalTime>
  <Pages>12</Pages>
  <Words>3691</Words>
  <Characters>21041</Characters>
  <Application>Microsoft Office Word</Application>
  <DocSecurity>0</DocSecurity>
  <Lines>175</Lines>
  <Paragraphs>49</Paragraphs>
  <ScaleCrop>false</ScaleCrop>
  <Company>中国标准研究中心</Company>
  <LinksUpToDate>false</LinksUpToDate>
  <CharactersWithSpaces>24683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c:creator>
  <cp:lastModifiedBy>xwbjl</cp:lastModifiedBy>
  <cp:revision>11</cp:revision>
  <cp:lastPrinted>2023-10-13T00:59:00Z</cp:lastPrinted>
  <dcterms:created xsi:type="dcterms:W3CDTF">2023-10-18T02:51:00Z</dcterms:created>
  <dcterms:modified xsi:type="dcterms:W3CDTF">2024-01-16T06:00:31Z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E599220B22C54BFD97B428D77CAF3B94</vt:lpwstr>
  </property>
  <property fmtid="{D5CDD505-2E9C-101B-9397-08002B2CF9AE}" pid="3" name="KSOProductBuildVer">
    <vt:lpwstr>2052-12.1.0.16120</vt:lpwstr>
  </property>
</Properties>
</file>