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hint="eastAsia"/>
          <w:sz w:val="48"/>
          <w:lang w:val="zh-CN"/>
        </w:rPr>
      </w:pPr>
      <w:bookmarkStart w:id="0" w:name="_Toc455073327"/>
      <w:bookmarkStart w:id="1" w:name="_GoBack"/>
      <w:bookmarkEnd w:id="1"/>
      <w:r>
        <w:rPr>
          <w:b/>
          <w:color w:val="FFFFFF"/>
          <w:sz w:val="0"/>
        </w:rPr>
        <w:t>.</w:t>
      </w:r>
    </w:p>
    <w:p>
      <w:pPr>
        <w:rPr>
          <w:rFonts w:hint="eastAsia"/>
          <w:sz w:val="48"/>
          <w:lang w:val="zh-CN"/>
        </w:rPr>
      </w:pPr>
      <w:r>
        <w:rPr>
          <w:b/>
          <w:color w:val="FFFFFF"/>
          <w:sz w:val="0"/>
        </w:rPr>
        <w:t>.</w:t>
      </w:r>
    </w:p>
    <w:p>
      <w:pPr>
        <w:rPr>
          <w:rFonts w:hint="eastAsia"/>
          <w:sz w:val="48"/>
          <w:lang w:val="zh-CN"/>
        </w:rPr>
      </w:pPr>
      <w:r>
        <w:rPr>
          <w:b/>
          <w:color w:val="FFFFFF"/>
          <w:sz w:val="0"/>
        </w:rPr>
        <w:t>.</w:t>
      </w:r>
    </w:p>
    <w:p>
      <w:pPr>
        <w:widowControl/>
        <w:spacing w:after="156" w:afterLines="50"/>
        <w:jc w:val="center"/>
        <w:rPr>
          <w:rFonts w:ascii="黑体" w:eastAsia="黑体" w:hAnsi="黑体" w:hint="eastAsia"/>
          <w:sz w:val="72"/>
          <w:szCs w:val="72"/>
        </w:rPr>
      </w:pPr>
      <w:r>
        <w:rPr>
          <w:rFonts w:ascii="黑体" w:eastAsia="黑体" w:hAnsi="黑体" w:hint="eastAsia"/>
          <w:sz w:val="72"/>
          <w:szCs w:val="72"/>
        </w:rPr>
        <w:t>BUFR格式应用指南</w:t>
      </w:r>
      <w:r>
        <w:rPr>
          <w:b/>
          <w:color w:val="FFFFFF"/>
          <w:sz w:val="0"/>
        </w:rPr>
        <w:t>.</w:t>
      </w:r>
    </w:p>
    <w:p>
      <w:pPr>
        <w:widowControl/>
        <w:jc w:val="center"/>
        <w:rPr>
          <w:rFonts w:ascii="黑体" w:eastAsia="黑体" w:hAnsi="黑体" w:hint="eastAsia"/>
          <w:sz w:val="52"/>
          <w:szCs w:val="52"/>
        </w:rPr>
      </w:pPr>
      <w:r>
        <w:rPr>
          <w:rFonts w:ascii="黑体" w:eastAsia="黑体" w:hAnsi="黑体" w:hint="eastAsia"/>
          <w:sz w:val="52"/>
          <w:szCs w:val="52"/>
        </w:rPr>
        <w:t>（试用版）</w:t>
      </w:r>
      <w:r>
        <w:rPr>
          <w:b/>
          <w:color w:val="FFFFFF"/>
          <w:sz w:val="0"/>
        </w:rPr>
        <w:t>.</w:t>
      </w:r>
    </w:p>
    <w:p>
      <w:pPr>
        <w:jc w:val="center"/>
        <w:rPr>
          <w:rFonts w:ascii="Cambria" w:hAnsi="Cambria" w:hint="eastAsia"/>
          <w:b/>
          <w:bCs/>
          <w:kern w:val="0"/>
          <w:sz w:val="56"/>
          <w:szCs w:val="28"/>
          <w:lang w:val="zh-CN"/>
        </w:rPr>
      </w:pPr>
      <w:r>
        <w:rPr>
          <w:b/>
          <w:color w:val="FFFFFF"/>
          <w:sz w:val="0"/>
        </w:rPr>
        <w:t>.</w:t>
      </w:r>
    </w:p>
    <w:p>
      <w:pPr>
        <w:jc w:val="center"/>
        <w:rPr>
          <w:rFonts w:ascii="Cambria" w:hAnsi="Cambria" w:hint="eastAsia"/>
          <w:b/>
          <w:bCs/>
          <w:kern w:val="0"/>
          <w:sz w:val="56"/>
          <w:szCs w:val="28"/>
          <w:lang w:val="zh-CN"/>
        </w:rPr>
      </w:pPr>
      <w:r>
        <w:rPr>
          <w:b/>
          <w:color w:val="FFFFFF"/>
          <w:sz w:val="0"/>
        </w:rPr>
        <w:t>.</w:t>
      </w:r>
    </w:p>
    <w:p>
      <w:pPr>
        <w:jc w:val="center"/>
        <w:rPr>
          <w:rFonts w:ascii="Cambria" w:hAnsi="Cambria" w:hint="eastAsia"/>
          <w:b/>
          <w:bCs/>
          <w:kern w:val="0"/>
          <w:sz w:val="56"/>
          <w:szCs w:val="28"/>
          <w:lang w:val="zh-CN"/>
        </w:rPr>
      </w:pPr>
      <w:r>
        <w:rPr>
          <w:b/>
          <w:color w:val="FFFFFF"/>
          <w:sz w:val="0"/>
        </w:rPr>
        <w:t>.</w:t>
      </w:r>
    </w:p>
    <w:p>
      <w:pPr>
        <w:jc w:val="center"/>
        <w:rPr>
          <w:rFonts w:ascii="Cambria" w:hAnsi="Cambria" w:hint="eastAsia"/>
          <w:b/>
          <w:bCs/>
          <w:kern w:val="0"/>
          <w:sz w:val="56"/>
          <w:szCs w:val="28"/>
          <w:lang w:val="zh-CN"/>
        </w:rPr>
      </w:pPr>
      <w:r>
        <w:rPr>
          <w:b/>
          <w:color w:val="FFFFFF"/>
          <w:sz w:val="0"/>
        </w:rPr>
        <w:t>.</w:t>
      </w:r>
    </w:p>
    <w:p>
      <w:pPr>
        <w:jc w:val="center"/>
        <w:rPr>
          <w:rFonts w:ascii="Cambria" w:hAnsi="Cambria" w:hint="eastAsia"/>
          <w:b/>
          <w:bCs/>
          <w:kern w:val="0"/>
          <w:sz w:val="56"/>
          <w:szCs w:val="28"/>
          <w:lang w:val="zh-CN"/>
        </w:rPr>
      </w:pPr>
      <w:r>
        <w:rPr>
          <w:b/>
          <w:color w:val="FFFFFF"/>
          <w:sz w:val="0"/>
        </w:rPr>
        <w:t>.</w:t>
      </w:r>
    </w:p>
    <w:p>
      <w:pPr>
        <w:jc w:val="center"/>
        <w:rPr>
          <w:rFonts w:ascii="Cambria" w:hAnsi="Cambria" w:hint="eastAsia"/>
          <w:b/>
          <w:bCs/>
          <w:kern w:val="0"/>
          <w:sz w:val="56"/>
          <w:szCs w:val="28"/>
          <w:lang w:val="zh-CN"/>
        </w:rPr>
      </w:pPr>
      <w:r>
        <w:rPr>
          <w:b/>
          <w:color w:val="FFFFFF"/>
          <w:sz w:val="0"/>
        </w:rPr>
        <w:t>.</w:t>
      </w:r>
    </w:p>
    <w:p>
      <w:pPr>
        <w:jc w:val="center"/>
        <w:rPr>
          <w:rFonts w:ascii="Cambria" w:hAnsi="Cambria" w:hint="eastAsia"/>
          <w:b/>
          <w:bCs/>
          <w:kern w:val="0"/>
          <w:sz w:val="56"/>
          <w:szCs w:val="28"/>
          <w:lang w:val="zh-CN"/>
        </w:rPr>
      </w:pPr>
      <w:r>
        <w:rPr>
          <w:b/>
          <w:color w:val="FFFFFF"/>
          <w:sz w:val="0"/>
        </w:rPr>
        <w:t>.</w:t>
      </w:r>
    </w:p>
    <w:p>
      <w:pPr>
        <w:jc w:val="center"/>
        <w:rPr>
          <w:rFonts w:ascii="楷体" w:eastAsia="楷体" w:hAnsi="楷体" w:hint="eastAsia"/>
          <w:b/>
          <w:bCs/>
          <w:kern w:val="0"/>
          <w:sz w:val="36"/>
          <w:szCs w:val="28"/>
          <w:lang w:val="zh-CN"/>
        </w:rPr>
      </w:pPr>
      <w:r>
        <w:rPr>
          <w:b/>
          <w:color w:val="FFFFFF"/>
          <w:sz w:val="0"/>
        </w:rPr>
        <w:t>.</w:t>
      </w:r>
    </w:p>
    <w:p>
      <w:pPr>
        <w:jc w:val="center"/>
        <w:rPr>
          <w:rFonts w:ascii="楷体" w:eastAsia="楷体" w:hAnsi="楷体" w:hint="eastAsia"/>
          <w:b/>
          <w:bCs/>
          <w:kern w:val="0"/>
          <w:sz w:val="36"/>
          <w:szCs w:val="28"/>
          <w:lang w:val="zh-CN"/>
        </w:rPr>
      </w:pPr>
      <w:r>
        <w:rPr>
          <w:rFonts w:ascii="楷体" w:eastAsia="楷体" w:hAnsi="楷体" w:hint="eastAsia"/>
          <w:b/>
          <w:bCs/>
          <w:kern w:val="0"/>
          <w:sz w:val="36"/>
          <w:szCs w:val="28"/>
          <w:lang w:val="zh-CN"/>
        </w:rPr>
        <w:t>2017年6月</w:t>
      </w:r>
      <w:r>
        <w:rPr>
          <w:b/>
          <w:color w:val="FFFFFF"/>
          <w:sz w:val="0"/>
        </w:rPr>
        <w:t>.</w:t>
      </w:r>
    </w:p>
    <w:p>
      <w:pPr>
        <w:jc w:val="center"/>
        <w:rPr>
          <w:rFonts w:ascii="楷体" w:eastAsia="楷体" w:hAnsi="楷体"/>
          <w:b/>
          <w:bCs/>
          <w:kern w:val="0"/>
          <w:sz w:val="36"/>
          <w:szCs w:val="28"/>
          <w:lang w:val="zh-CN"/>
        </w:rPr>
      </w:pPr>
      <w:r>
        <w:rPr>
          <w:b/>
          <w:color w:val="FFFFFF"/>
          <w:sz w:val="0"/>
        </w:rPr>
        <w:t>.</w:t>
      </w:r>
    </w:p>
    <w:p>
      <w:pPr>
        <w:jc w:val="center"/>
        <w:rPr>
          <w:rFonts w:ascii="黑体" w:eastAsia="黑体" w:hAnsi="黑体" w:hint="eastAsia"/>
          <w:sz w:val="36"/>
          <w:szCs w:val="36"/>
        </w:rPr>
        <w:sectPr>
          <w:headerReference w:type="default" r:id="rId4"/>
          <w:pgSz w:w="11906" w:h="16838"/>
          <w:pgMar w:top="1440" w:right="1800" w:bottom="1440" w:left="1800" w:header="1418" w:footer="1134" w:gutter="0"/>
          <w:pgNumType w:fmt="upperRoman" w:start="1"/>
          <w:cols w:num="1" w:space="425"/>
          <w:formProt w:val="0"/>
          <w:docGrid w:type="lines" w:linePitch="312" w:charSpace="0"/>
        </w:sectPr>
      </w:pPr>
      <w:bookmarkStart w:id="2" w:name="_Toc470595427"/>
      <w:bookmarkStart w:id="3" w:name="_Toc485644229"/>
      <w:bookmarkStart w:id="4" w:name="_Toc469388472"/>
    </w:p>
    <w:p>
      <w:pPr>
        <w:jc w:val="center"/>
        <w:rPr>
          <w:rFonts w:ascii="黑体" w:eastAsia="黑体" w:hAnsi="黑体" w:hint="eastAsia"/>
          <w:sz w:val="36"/>
          <w:szCs w:val="36"/>
        </w:rPr>
      </w:pPr>
      <w:r>
        <w:rPr>
          <w:rFonts w:ascii="黑体" w:eastAsia="黑体" w:hAnsi="黑体" w:hint="eastAsia"/>
          <w:sz w:val="36"/>
          <w:szCs w:val="36"/>
        </w:rPr>
        <w:t>目</w:t>
      </w:r>
      <w:bookmarkStart w:id="5" w:name="BKML"/>
      <w:r>
        <w:rPr>
          <w:rFonts w:ascii="黑体" w:eastAsia="黑体" w:hAnsi="黑体"/>
          <w:sz w:val="36"/>
          <w:szCs w:val="36"/>
        </w:rPr>
        <w:t> </w:t>
      </w:r>
      <w:r>
        <w:rPr>
          <w:rFonts w:ascii="黑体" w:eastAsia="黑体" w:hAnsi="黑体"/>
          <w:sz w:val="36"/>
          <w:szCs w:val="36"/>
        </w:rPr>
        <w:t> </w:t>
      </w:r>
      <w:bookmarkEnd w:id="2"/>
      <w:bookmarkEnd w:id="3"/>
      <w:bookmarkEnd w:id="4"/>
      <w:bookmarkEnd w:id="5"/>
      <w:r>
        <w:rPr>
          <w:rFonts w:ascii="黑体" w:eastAsia="黑体" w:hAnsi="黑体" w:hint="eastAsia"/>
          <w:sz w:val="36"/>
          <w:szCs w:val="36"/>
        </w:rPr>
        <w:t>次</w:t>
      </w:r>
      <w:r>
        <w:rPr>
          <w:b/>
          <w:color w:val="FFFFFF"/>
          <w:sz w:val="0"/>
        </w:rPr>
        <w:t>.</w:t>
      </w:r>
    </w:p>
    <w:p>
      <w:pPr>
        <w:pStyle w:val="a"/>
        <w:ind w:firstLine="0" w:firstLineChars="0"/>
      </w:pPr>
      <w:r>
        <w:rPr>
          <w:b/>
          <w:color w:val="FFFFFF"/>
          <w:sz w:val="0"/>
        </w:rPr>
        <w:t>.</w:t>
      </w:r>
    </w:p>
    <w:p>
      <w:pPr>
        <w:pStyle w:val="TOC1"/>
        <w:tabs>
          <w:tab w:val="right" w:leader="dot" w:pos="8364"/>
          <w:tab w:val="clear" w:pos="9242"/>
        </w:tabs>
        <w:spacing w:before="78" w:after="78"/>
        <w:rPr>
          <w:rFonts w:ascii="Calibri" w:hAnsi="Calibri"/>
          <w:szCs w:val="22"/>
          <w:lang w:val="x-none"/>
        </w:rPr>
      </w:pPr>
      <w:r>
        <w:fldChar w:fldCharType="begin"/>
      </w:r>
      <w:r>
        <w:instrText xml:space="preserve"> TOC \o "1-3" \h \z \u </w:instrText>
      </w:r>
      <w:r>
        <w:fldChar w:fldCharType="separate"/>
      </w:r>
      <w:hyperlink w:anchor="_Toc489017984" w:history="1">
        <w:r>
          <w:rPr>
            <w:rStyle w:val="Hyperlink"/>
            <w:rFonts w:hint="eastAsia"/>
          </w:rPr>
          <w:t>前言</w:t>
        </w:r>
        <w:r>
          <w:rPr>
            <w:lang w:val="x-none"/>
          </w:rPr>
          <w:tab/>
        </w:r>
        <w:r>
          <w:rPr>
            <w:lang w:val="x-none"/>
          </w:rPr>
          <w:fldChar w:fldCharType="begin"/>
        </w:r>
        <w:r>
          <w:rPr>
            <w:lang w:val="x-none"/>
          </w:rPr>
          <w:instrText xml:space="preserve"> PAGEREF _Toc489017984 \h </w:instrText>
        </w:r>
        <w:r>
          <w:rPr>
            <w:lang w:val="x-none"/>
          </w:rPr>
          <w:fldChar w:fldCharType="separate"/>
        </w:r>
        <w:r>
          <w:rPr>
            <w:lang w:val="x-none"/>
          </w:rPr>
          <w:t>I</w:t>
        </w:r>
        <w:r>
          <w:rPr>
            <w:lang w:val="x-none"/>
          </w:rPr>
          <w:fldChar w:fldCharType="end"/>
        </w:r>
      </w:hyperlink>
      <w:r>
        <w:rPr>
          <w:b/>
          <w:color w:val="FFFFFF"/>
          <w:sz w:val="0"/>
        </w:rPr>
        <w:t>.</w:t>
      </w:r>
    </w:p>
    <w:p>
      <w:pPr>
        <w:pStyle w:val="TOC1"/>
        <w:tabs>
          <w:tab w:val="right" w:leader="dot" w:pos="8364"/>
          <w:tab w:val="clear" w:pos="9242"/>
        </w:tabs>
        <w:spacing w:before="78" w:after="78"/>
        <w:rPr>
          <w:rFonts w:ascii="Calibri" w:hAnsi="Calibri"/>
          <w:szCs w:val="22"/>
          <w:lang w:val="x-none"/>
        </w:rPr>
      </w:pPr>
      <w:hyperlink w:anchor="_Toc489017985" w:history="1">
        <w:r>
          <w:rPr>
            <w:rStyle w:val="Hyperlink"/>
          </w:rPr>
          <w:t>BUFR</w:t>
        </w:r>
        <w:r>
          <w:rPr>
            <w:rStyle w:val="Hyperlink"/>
            <w:rFonts w:hint="eastAsia"/>
          </w:rPr>
          <w:t>格式应用指南</w:t>
        </w:r>
        <w:r>
          <w:rPr>
            <w:lang w:val="x-none"/>
          </w:rPr>
          <w:tab/>
        </w:r>
        <w:r>
          <w:rPr>
            <w:lang w:val="x-none"/>
          </w:rPr>
          <w:fldChar w:fldCharType="begin"/>
        </w:r>
        <w:r>
          <w:rPr>
            <w:lang w:val="x-none"/>
          </w:rPr>
          <w:instrText xml:space="preserve"> PAGEREF _Toc489017985 \h </w:instrText>
        </w:r>
        <w:r>
          <w:rPr>
            <w:lang w:val="x-none"/>
          </w:rPr>
          <w:fldChar w:fldCharType="separate"/>
        </w:r>
        <w:r>
          <w:rPr>
            <w:lang w:val="x-none"/>
          </w:rPr>
          <w:t>1</w:t>
        </w:r>
        <w:r>
          <w:rPr>
            <w:lang w:val="x-none"/>
          </w:rPr>
          <w:fldChar w:fldCharType="end"/>
        </w:r>
      </w:hyperlink>
      <w:r>
        <w:rPr>
          <w:b/>
          <w:color w:val="FFFFFF"/>
          <w:sz w:val="0"/>
        </w:rPr>
        <w:t>.</w:t>
      </w:r>
    </w:p>
    <w:p>
      <w:pPr>
        <w:pStyle w:val="TOC2"/>
        <w:tabs>
          <w:tab w:val="right" w:leader="dot" w:pos="8364"/>
          <w:tab w:val="clear" w:pos="9242"/>
        </w:tabs>
        <w:rPr>
          <w:rFonts w:ascii="Calibri" w:hAnsi="Calibri"/>
          <w:szCs w:val="22"/>
          <w:lang w:val="x-none"/>
        </w:rPr>
      </w:pPr>
      <w:hyperlink w:anchor="_Toc489017986" w:history="1">
        <w:r>
          <w:rPr>
            <w:rStyle w:val="Hyperlink"/>
          </w:rPr>
          <w:t>1</w:t>
        </w:r>
        <w:r>
          <w:rPr>
            <w:rStyle w:val="Hyperlink"/>
            <w:rFonts w:hint="eastAsia"/>
          </w:rPr>
          <w:t xml:space="preserve"> 范围</w:t>
        </w:r>
        <w:r>
          <w:rPr>
            <w:lang w:val="x-none"/>
          </w:rPr>
          <w:tab/>
        </w:r>
        <w:r>
          <w:rPr>
            <w:lang w:val="x-none"/>
          </w:rPr>
          <w:fldChar w:fldCharType="begin"/>
        </w:r>
        <w:r>
          <w:rPr>
            <w:lang w:val="x-none"/>
          </w:rPr>
          <w:instrText xml:space="preserve"> PAGEREF _Toc489017986 \h </w:instrText>
        </w:r>
        <w:r>
          <w:rPr>
            <w:lang w:val="x-none"/>
          </w:rPr>
          <w:fldChar w:fldCharType="separate"/>
        </w:r>
        <w:r>
          <w:rPr>
            <w:lang w:val="x-none"/>
          </w:rPr>
          <w:t>1</w:t>
        </w:r>
        <w:r>
          <w:rPr>
            <w:lang w:val="x-none"/>
          </w:rPr>
          <w:fldChar w:fldCharType="end"/>
        </w:r>
      </w:hyperlink>
      <w:r>
        <w:rPr>
          <w:b/>
          <w:color w:val="FFFFFF"/>
          <w:sz w:val="0"/>
        </w:rPr>
        <w:t>.</w:t>
      </w:r>
    </w:p>
    <w:p>
      <w:pPr>
        <w:pStyle w:val="TOC2"/>
        <w:tabs>
          <w:tab w:val="right" w:leader="dot" w:pos="8364"/>
          <w:tab w:val="clear" w:pos="9242"/>
        </w:tabs>
        <w:rPr>
          <w:rFonts w:ascii="Calibri" w:hAnsi="Calibri"/>
          <w:szCs w:val="22"/>
          <w:lang w:val="x-none"/>
        </w:rPr>
      </w:pPr>
      <w:hyperlink w:anchor="_Toc489017987" w:history="1">
        <w:r>
          <w:rPr>
            <w:rStyle w:val="Hyperlink"/>
          </w:rPr>
          <w:t>2</w:t>
        </w:r>
        <w:r>
          <w:rPr>
            <w:rStyle w:val="Hyperlink"/>
            <w:rFonts w:hint="eastAsia"/>
          </w:rPr>
          <w:t xml:space="preserve"> 术语和定义</w:t>
        </w:r>
        <w:r>
          <w:rPr>
            <w:lang w:val="x-none"/>
          </w:rPr>
          <w:tab/>
        </w:r>
        <w:r>
          <w:rPr>
            <w:lang w:val="x-none"/>
          </w:rPr>
          <w:fldChar w:fldCharType="begin"/>
        </w:r>
        <w:r>
          <w:rPr>
            <w:lang w:val="x-none"/>
          </w:rPr>
          <w:instrText xml:space="preserve"> PAGEREF _Toc489017987 \h </w:instrText>
        </w:r>
        <w:r>
          <w:rPr>
            <w:lang w:val="x-none"/>
          </w:rPr>
          <w:fldChar w:fldCharType="separate"/>
        </w:r>
        <w:r>
          <w:rPr>
            <w:lang w:val="x-none"/>
          </w:rPr>
          <w:t>1</w:t>
        </w:r>
        <w:r>
          <w:rPr>
            <w:lang w:val="x-none"/>
          </w:rPr>
          <w:fldChar w:fldCharType="end"/>
        </w:r>
      </w:hyperlink>
      <w:r>
        <w:rPr>
          <w:b/>
          <w:color w:val="FFFFFF"/>
          <w:sz w:val="0"/>
        </w:rPr>
        <w:t>.</w:t>
      </w:r>
    </w:p>
    <w:p>
      <w:pPr>
        <w:pStyle w:val="TOC2"/>
        <w:tabs>
          <w:tab w:val="right" w:leader="dot" w:pos="8364"/>
          <w:tab w:val="clear" w:pos="9242"/>
        </w:tabs>
        <w:rPr>
          <w:rFonts w:ascii="Calibri" w:hAnsi="Calibri"/>
          <w:szCs w:val="22"/>
          <w:lang w:val="x-none"/>
        </w:rPr>
      </w:pPr>
      <w:hyperlink w:anchor="_Toc489017991" w:history="1">
        <w:r>
          <w:rPr>
            <w:rStyle w:val="Hyperlink"/>
          </w:rPr>
          <w:t>3</w:t>
        </w:r>
        <w:r>
          <w:rPr>
            <w:rStyle w:val="Hyperlink"/>
            <w:rFonts w:hint="eastAsia"/>
          </w:rPr>
          <w:t xml:space="preserve"> 缩略语</w:t>
        </w:r>
        <w:r>
          <w:rPr>
            <w:lang w:val="x-none"/>
          </w:rPr>
          <w:tab/>
        </w:r>
        <w:r>
          <w:rPr>
            <w:lang w:val="x-none"/>
          </w:rPr>
          <w:fldChar w:fldCharType="begin"/>
        </w:r>
        <w:r>
          <w:rPr>
            <w:lang w:val="x-none"/>
          </w:rPr>
          <w:instrText xml:space="preserve"> PAGEREF _Toc489017991 \h </w:instrText>
        </w:r>
        <w:r>
          <w:rPr>
            <w:lang w:val="x-none"/>
          </w:rPr>
          <w:fldChar w:fldCharType="separate"/>
        </w:r>
        <w:r>
          <w:rPr>
            <w:lang w:val="x-none"/>
          </w:rPr>
          <w:t>1</w:t>
        </w:r>
        <w:r>
          <w:rPr>
            <w:lang w:val="x-none"/>
          </w:rPr>
          <w:fldChar w:fldCharType="end"/>
        </w:r>
      </w:hyperlink>
      <w:r>
        <w:rPr>
          <w:b/>
          <w:color w:val="FFFFFF"/>
          <w:sz w:val="0"/>
        </w:rPr>
        <w:t>.</w:t>
      </w:r>
    </w:p>
    <w:p>
      <w:pPr>
        <w:pStyle w:val="TOC2"/>
        <w:tabs>
          <w:tab w:val="right" w:leader="dot" w:pos="8364"/>
          <w:tab w:val="clear" w:pos="9242"/>
        </w:tabs>
        <w:rPr>
          <w:rFonts w:ascii="Calibri" w:hAnsi="Calibri"/>
          <w:szCs w:val="22"/>
          <w:lang w:val="x-none"/>
        </w:rPr>
      </w:pPr>
      <w:hyperlink w:anchor="_Toc489017992" w:history="1">
        <w:r>
          <w:rPr>
            <w:rStyle w:val="Hyperlink"/>
          </w:rPr>
          <w:t>4 BUFR</w:t>
        </w:r>
        <w:r>
          <w:rPr>
            <w:rStyle w:val="Hyperlink"/>
            <w:rFonts w:hint="eastAsia"/>
          </w:rPr>
          <w:t>格式适用范围</w:t>
        </w:r>
        <w:r>
          <w:rPr>
            <w:lang w:val="x-none"/>
          </w:rPr>
          <w:tab/>
        </w:r>
        <w:r>
          <w:rPr>
            <w:lang w:val="x-none"/>
          </w:rPr>
          <w:fldChar w:fldCharType="begin"/>
        </w:r>
        <w:r>
          <w:rPr>
            <w:lang w:val="x-none"/>
          </w:rPr>
          <w:instrText xml:space="preserve"> PAGEREF _Toc489017992 \h </w:instrText>
        </w:r>
        <w:r>
          <w:rPr>
            <w:lang w:val="x-none"/>
          </w:rPr>
          <w:fldChar w:fldCharType="separate"/>
        </w:r>
        <w:r>
          <w:rPr>
            <w:lang w:val="x-none"/>
          </w:rPr>
          <w:t>1</w:t>
        </w:r>
        <w:r>
          <w:rPr>
            <w:lang w:val="x-none"/>
          </w:rPr>
          <w:fldChar w:fldCharType="end"/>
        </w:r>
      </w:hyperlink>
      <w:r>
        <w:rPr>
          <w:b/>
          <w:color w:val="FFFFFF"/>
          <w:sz w:val="0"/>
        </w:rPr>
        <w:t>.</w:t>
      </w:r>
    </w:p>
    <w:p>
      <w:pPr>
        <w:pStyle w:val="TOC2"/>
        <w:tabs>
          <w:tab w:val="right" w:leader="dot" w:pos="8364"/>
          <w:tab w:val="clear" w:pos="9242"/>
        </w:tabs>
        <w:rPr>
          <w:rFonts w:ascii="Calibri" w:hAnsi="Calibri"/>
          <w:szCs w:val="22"/>
          <w:lang w:val="x-none"/>
        </w:rPr>
      </w:pPr>
      <w:hyperlink w:anchor="_Toc489017993" w:history="1">
        <w:r>
          <w:rPr>
            <w:rStyle w:val="Hyperlink"/>
          </w:rPr>
          <w:t>5 BUFR</w:t>
        </w:r>
        <w:r>
          <w:rPr>
            <w:rStyle w:val="Hyperlink"/>
            <w:rFonts w:hint="eastAsia"/>
          </w:rPr>
          <w:t>编码说明</w:t>
        </w:r>
        <w:r>
          <w:rPr>
            <w:lang w:val="x-none"/>
          </w:rPr>
          <w:tab/>
        </w:r>
        <w:r>
          <w:rPr>
            <w:lang w:val="x-none"/>
          </w:rPr>
          <w:fldChar w:fldCharType="begin"/>
        </w:r>
        <w:r>
          <w:rPr>
            <w:lang w:val="x-none"/>
          </w:rPr>
          <w:instrText xml:space="preserve"> PAGEREF _Toc489017993 \h </w:instrText>
        </w:r>
        <w:r>
          <w:rPr>
            <w:lang w:val="x-none"/>
          </w:rPr>
          <w:fldChar w:fldCharType="separate"/>
        </w:r>
        <w:r>
          <w:rPr>
            <w:lang w:val="x-none"/>
          </w:rPr>
          <w:t>2</w:t>
        </w:r>
        <w:r>
          <w:rPr>
            <w:lang w:val="x-none"/>
          </w:rPr>
          <w:fldChar w:fldCharType="end"/>
        </w:r>
      </w:hyperlink>
      <w:r>
        <w:rPr>
          <w:b/>
          <w:color w:val="FFFFFF"/>
          <w:sz w:val="0"/>
        </w:rPr>
        <w:t>.</w:t>
      </w:r>
    </w:p>
    <w:p>
      <w:pPr>
        <w:pStyle w:val="TOC3"/>
        <w:tabs>
          <w:tab w:val="right" w:leader="dot" w:pos="8364"/>
          <w:tab w:val="clear" w:pos="9241"/>
        </w:tabs>
        <w:ind w:firstLine="210"/>
        <w:rPr>
          <w:rFonts w:ascii="Calibri" w:hAnsi="Calibri"/>
          <w:szCs w:val="22"/>
          <w:lang w:val="x-none"/>
        </w:rPr>
      </w:pPr>
      <w:hyperlink w:anchor="_Toc489017994" w:history="1">
        <w:r>
          <w:rPr>
            <w:rStyle w:val="Hyperlink"/>
          </w:rPr>
          <w:t>5.1 BUFR</w:t>
        </w:r>
        <w:r>
          <w:rPr>
            <w:rStyle w:val="Hyperlink"/>
            <w:rFonts w:hint="eastAsia"/>
          </w:rPr>
          <w:t>格式特点</w:t>
        </w:r>
        <w:r>
          <w:rPr>
            <w:lang w:val="x-none"/>
          </w:rPr>
          <w:tab/>
        </w:r>
        <w:r>
          <w:rPr>
            <w:lang w:val="x-none"/>
          </w:rPr>
          <w:fldChar w:fldCharType="begin"/>
        </w:r>
        <w:r>
          <w:rPr>
            <w:lang w:val="x-none"/>
          </w:rPr>
          <w:instrText xml:space="preserve"> PAGEREF _Toc489017994 \h </w:instrText>
        </w:r>
        <w:r>
          <w:rPr>
            <w:lang w:val="x-none"/>
          </w:rPr>
          <w:fldChar w:fldCharType="separate"/>
        </w:r>
        <w:r>
          <w:rPr>
            <w:lang w:val="x-none"/>
          </w:rPr>
          <w:t>2</w:t>
        </w:r>
        <w:r>
          <w:rPr>
            <w:lang w:val="x-none"/>
          </w:rPr>
          <w:fldChar w:fldCharType="end"/>
        </w:r>
      </w:hyperlink>
      <w:r>
        <w:rPr>
          <w:b/>
          <w:color w:val="FFFFFF"/>
          <w:sz w:val="0"/>
        </w:rPr>
        <w:t>.</w:t>
      </w:r>
    </w:p>
    <w:p>
      <w:pPr>
        <w:pStyle w:val="TOC3"/>
        <w:tabs>
          <w:tab w:val="right" w:leader="dot" w:pos="8364"/>
          <w:tab w:val="clear" w:pos="9241"/>
        </w:tabs>
        <w:ind w:firstLine="210"/>
        <w:rPr>
          <w:rFonts w:ascii="Calibri" w:hAnsi="Calibri"/>
          <w:szCs w:val="22"/>
          <w:lang w:val="x-none"/>
        </w:rPr>
      </w:pPr>
      <w:hyperlink w:anchor="_Toc489017995" w:history="1">
        <w:r>
          <w:rPr>
            <w:rStyle w:val="Hyperlink"/>
          </w:rPr>
          <w:t>5.2 BUFR</w:t>
        </w:r>
        <w:r>
          <w:rPr>
            <w:rStyle w:val="Hyperlink"/>
            <w:rFonts w:hint="eastAsia"/>
          </w:rPr>
          <w:t>各段说明</w:t>
        </w:r>
        <w:r>
          <w:rPr>
            <w:lang w:val="x-none"/>
          </w:rPr>
          <w:tab/>
        </w:r>
        <w:r>
          <w:rPr>
            <w:lang w:val="x-none"/>
          </w:rPr>
          <w:fldChar w:fldCharType="begin"/>
        </w:r>
        <w:r>
          <w:rPr>
            <w:lang w:val="x-none"/>
          </w:rPr>
          <w:instrText xml:space="preserve"> PAGEREF _Toc489017995 \h </w:instrText>
        </w:r>
        <w:r>
          <w:rPr>
            <w:lang w:val="x-none"/>
          </w:rPr>
          <w:fldChar w:fldCharType="separate"/>
        </w:r>
        <w:r>
          <w:rPr>
            <w:lang w:val="x-none"/>
          </w:rPr>
          <w:t>2</w:t>
        </w:r>
        <w:r>
          <w:rPr>
            <w:lang w:val="x-none"/>
          </w:rPr>
          <w:fldChar w:fldCharType="end"/>
        </w:r>
      </w:hyperlink>
      <w:r>
        <w:rPr>
          <w:b/>
          <w:color w:val="FFFFFF"/>
          <w:sz w:val="0"/>
        </w:rPr>
        <w:t>.</w:t>
      </w:r>
    </w:p>
    <w:p>
      <w:pPr>
        <w:pStyle w:val="TOC3"/>
        <w:tabs>
          <w:tab w:val="right" w:leader="dot" w:pos="8364"/>
          <w:tab w:val="clear" w:pos="9241"/>
        </w:tabs>
        <w:ind w:firstLine="210"/>
        <w:rPr>
          <w:rFonts w:ascii="Calibri" w:hAnsi="Calibri"/>
          <w:szCs w:val="22"/>
          <w:lang w:val="x-none"/>
        </w:rPr>
      </w:pPr>
      <w:hyperlink w:anchor="_Toc489017996" w:history="1">
        <w:r>
          <w:rPr>
            <w:rStyle w:val="Hyperlink"/>
          </w:rPr>
          <w:t>5.3 BUFR</w:t>
        </w:r>
        <w:r>
          <w:rPr>
            <w:rStyle w:val="Hyperlink"/>
            <w:rFonts w:hint="eastAsia"/>
          </w:rPr>
          <w:t>码表</w:t>
        </w:r>
        <w:r>
          <w:rPr>
            <w:lang w:val="x-none"/>
          </w:rPr>
          <w:tab/>
        </w:r>
        <w:r>
          <w:rPr>
            <w:lang w:val="x-none"/>
          </w:rPr>
          <w:fldChar w:fldCharType="begin"/>
        </w:r>
        <w:r>
          <w:rPr>
            <w:lang w:val="x-none"/>
          </w:rPr>
          <w:instrText xml:space="preserve"> PAGEREF _Toc489017996 \h </w:instrText>
        </w:r>
        <w:r>
          <w:rPr>
            <w:lang w:val="x-none"/>
          </w:rPr>
          <w:fldChar w:fldCharType="separate"/>
        </w:r>
        <w:r>
          <w:rPr>
            <w:lang w:val="x-none"/>
          </w:rPr>
          <w:t>7</w:t>
        </w:r>
        <w:r>
          <w:rPr>
            <w:lang w:val="x-none"/>
          </w:rPr>
          <w:fldChar w:fldCharType="end"/>
        </w:r>
      </w:hyperlink>
      <w:r>
        <w:rPr>
          <w:b/>
          <w:color w:val="FFFFFF"/>
          <w:sz w:val="0"/>
        </w:rPr>
        <w:t>.</w:t>
      </w:r>
    </w:p>
    <w:p>
      <w:pPr>
        <w:pStyle w:val="TOC2"/>
        <w:tabs>
          <w:tab w:val="right" w:leader="dot" w:pos="8364"/>
          <w:tab w:val="clear" w:pos="9242"/>
        </w:tabs>
        <w:rPr>
          <w:rFonts w:ascii="Calibri" w:hAnsi="Calibri"/>
          <w:szCs w:val="22"/>
          <w:lang w:val="x-none"/>
        </w:rPr>
      </w:pPr>
      <w:hyperlink w:anchor="_Toc489017997" w:history="1">
        <w:r>
          <w:rPr>
            <w:rStyle w:val="Hyperlink"/>
          </w:rPr>
          <w:t>6 BUFR</w:t>
        </w:r>
        <w:r>
          <w:rPr>
            <w:rStyle w:val="Hyperlink"/>
            <w:rFonts w:hint="eastAsia"/>
          </w:rPr>
          <w:t>格式编制规则</w:t>
        </w:r>
        <w:r>
          <w:rPr>
            <w:lang w:val="x-none"/>
          </w:rPr>
          <w:tab/>
        </w:r>
        <w:r>
          <w:rPr>
            <w:lang w:val="x-none"/>
          </w:rPr>
          <w:fldChar w:fldCharType="begin"/>
        </w:r>
        <w:r>
          <w:rPr>
            <w:lang w:val="x-none"/>
          </w:rPr>
          <w:instrText xml:space="preserve"> PAGEREF _Toc489017997 \h </w:instrText>
        </w:r>
        <w:r>
          <w:rPr>
            <w:lang w:val="x-none"/>
          </w:rPr>
          <w:fldChar w:fldCharType="separate"/>
        </w:r>
        <w:r>
          <w:rPr>
            <w:lang w:val="x-none"/>
          </w:rPr>
          <w:t>13</w:t>
        </w:r>
        <w:r>
          <w:rPr>
            <w:lang w:val="x-none"/>
          </w:rPr>
          <w:fldChar w:fldCharType="end"/>
        </w:r>
      </w:hyperlink>
      <w:r>
        <w:rPr>
          <w:b/>
          <w:color w:val="FFFFFF"/>
          <w:sz w:val="0"/>
        </w:rPr>
        <w:t>.</w:t>
      </w:r>
    </w:p>
    <w:p>
      <w:pPr>
        <w:pStyle w:val="TOC3"/>
        <w:tabs>
          <w:tab w:val="right" w:leader="dot" w:pos="8364"/>
          <w:tab w:val="clear" w:pos="9241"/>
        </w:tabs>
        <w:ind w:firstLine="210"/>
        <w:rPr>
          <w:rFonts w:ascii="Calibri" w:hAnsi="Calibri"/>
          <w:szCs w:val="22"/>
          <w:lang w:val="x-none"/>
        </w:rPr>
      </w:pPr>
      <w:hyperlink w:anchor="_Toc489017998" w:history="1">
        <w:r>
          <w:rPr>
            <w:rStyle w:val="Hyperlink"/>
          </w:rPr>
          <w:t>6.1</w:t>
        </w:r>
        <w:r>
          <w:rPr>
            <w:rStyle w:val="Hyperlink"/>
            <w:rFonts w:hint="eastAsia"/>
          </w:rPr>
          <w:t xml:space="preserve"> 格式模板定义方法</w:t>
        </w:r>
        <w:r>
          <w:rPr>
            <w:lang w:val="x-none"/>
          </w:rPr>
          <w:tab/>
        </w:r>
        <w:r>
          <w:rPr>
            <w:lang w:val="x-none"/>
          </w:rPr>
          <w:fldChar w:fldCharType="begin"/>
        </w:r>
        <w:r>
          <w:rPr>
            <w:lang w:val="x-none"/>
          </w:rPr>
          <w:instrText xml:space="preserve"> PAGEREF _Toc489017998 \h </w:instrText>
        </w:r>
        <w:r>
          <w:rPr>
            <w:lang w:val="x-none"/>
          </w:rPr>
          <w:fldChar w:fldCharType="separate"/>
        </w:r>
        <w:r>
          <w:rPr>
            <w:lang w:val="x-none"/>
          </w:rPr>
          <w:t>13</w:t>
        </w:r>
        <w:r>
          <w:rPr>
            <w:lang w:val="x-none"/>
          </w:rPr>
          <w:fldChar w:fldCharType="end"/>
        </w:r>
      </w:hyperlink>
      <w:r>
        <w:rPr>
          <w:b/>
          <w:color w:val="FFFFFF"/>
          <w:sz w:val="0"/>
        </w:rPr>
        <w:t>.</w:t>
      </w:r>
    </w:p>
    <w:p>
      <w:pPr>
        <w:pStyle w:val="TOC3"/>
        <w:tabs>
          <w:tab w:val="right" w:leader="dot" w:pos="8364"/>
          <w:tab w:val="clear" w:pos="9241"/>
        </w:tabs>
        <w:ind w:firstLine="210"/>
        <w:rPr>
          <w:rFonts w:ascii="Calibri" w:hAnsi="Calibri"/>
          <w:szCs w:val="22"/>
          <w:lang w:val="x-none"/>
        </w:rPr>
      </w:pPr>
      <w:hyperlink w:anchor="_Toc489017999" w:history="1">
        <w:r>
          <w:rPr>
            <w:rStyle w:val="Hyperlink"/>
          </w:rPr>
          <w:t>6.2</w:t>
        </w:r>
        <w:r>
          <w:rPr>
            <w:rStyle w:val="Hyperlink"/>
            <w:rFonts w:hint="eastAsia"/>
          </w:rPr>
          <w:t xml:space="preserve"> 格式实例</w:t>
        </w:r>
        <w:r>
          <w:rPr>
            <w:lang w:val="x-none"/>
          </w:rPr>
          <w:tab/>
        </w:r>
        <w:r>
          <w:rPr>
            <w:lang w:val="x-none"/>
          </w:rPr>
          <w:fldChar w:fldCharType="begin"/>
        </w:r>
        <w:r>
          <w:rPr>
            <w:lang w:val="x-none"/>
          </w:rPr>
          <w:instrText xml:space="preserve"> PAGEREF _Toc489017999 \h </w:instrText>
        </w:r>
        <w:r>
          <w:rPr>
            <w:lang w:val="x-none"/>
          </w:rPr>
          <w:fldChar w:fldCharType="separate"/>
        </w:r>
        <w:r>
          <w:rPr>
            <w:lang w:val="x-none"/>
          </w:rPr>
          <w:t>21</w:t>
        </w:r>
        <w:r>
          <w:rPr>
            <w:lang w:val="x-none"/>
          </w:rPr>
          <w:fldChar w:fldCharType="end"/>
        </w:r>
      </w:hyperlink>
      <w:r>
        <w:rPr>
          <w:b/>
          <w:color w:val="FFFFFF"/>
          <w:sz w:val="0"/>
        </w:rPr>
        <w:t>.</w:t>
      </w:r>
    </w:p>
    <w:p>
      <w:pPr>
        <w:pStyle w:val="TOC2"/>
        <w:tabs>
          <w:tab w:val="right" w:leader="dot" w:pos="8364"/>
          <w:tab w:val="clear" w:pos="9242"/>
        </w:tabs>
        <w:rPr>
          <w:rFonts w:ascii="Calibri" w:hAnsi="Calibri"/>
          <w:szCs w:val="22"/>
          <w:lang w:val="x-none"/>
        </w:rPr>
      </w:pPr>
      <w:hyperlink w:anchor="_Toc489018000" w:history="1">
        <w:r>
          <w:rPr>
            <w:rStyle w:val="Hyperlink"/>
          </w:rPr>
          <w:t>7 BUFR</w:t>
        </w:r>
        <w:r>
          <w:rPr>
            <w:rStyle w:val="Hyperlink"/>
            <w:rFonts w:hint="eastAsia"/>
          </w:rPr>
          <w:t>格式应用工具</w:t>
        </w:r>
        <w:r>
          <w:rPr>
            <w:lang w:val="x-none"/>
          </w:rPr>
          <w:tab/>
        </w:r>
        <w:r>
          <w:rPr>
            <w:lang w:val="x-none"/>
          </w:rPr>
          <w:fldChar w:fldCharType="begin"/>
        </w:r>
        <w:r>
          <w:rPr>
            <w:lang w:val="x-none"/>
          </w:rPr>
          <w:instrText xml:space="preserve"> PAGEREF _Toc489018000 \h </w:instrText>
        </w:r>
        <w:r>
          <w:rPr>
            <w:lang w:val="x-none"/>
          </w:rPr>
          <w:fldChar w:fldCharType="separate"/>
        </w:r>
        <w:r>
          <w:rPr>
            <w:lang w:val="x-none"/>
          </w:rPr>
          <w:t>21</w:t>
        </w:r>
        <w:r>
          <w:rPr>
            <w:lang w:val="x-none"/>
          </w:rPr>
          <w:fldChar w:fldCharType="end"/>
        </w:r>
      </w:hyperlink>
      <w:r>
        <w:rPr>
          <w:b/>
          <w:color w:val="FFFFFF"/>
          <w:sz w:val="0"/>
        </w:rPr>
        <w:t>.</w:t>
      </w:r>
    </w:p>
    <w:p>
      <w:pPr>
        <w:pStyle w:val="TOC3"/>
        <w:tabs>
          <w:tab w:val="right" w:leader="dot" w:pos="8364"/>
          <w:tab w:val="clear" w:pos="9241"/>
        </w:tabs>
        <w:ind w:firstLine="210"/>
        <w:rPr>
          <w:rFonts w:ascii="Calibri" w:hAnsi="Calibri"/>
          <w:szCs w:val="22"/>
          <w:lang w:val="x-none"/>
        </w:rPr>
      </w:pPr>
      <w:hyperlink w:anchor="_Toc489018001" w:history="1">
        <w:r>
          <w:rPr>
            <w:rStyle w:val="Hyperlink"/>
          </w:rPr>
          <w:t>7.1</w:t>
        </w:r>
        <w:r>
          <w:rPr>
            <w:rStyle w:val="Hyperlink"/>
            <w:rFonts w:hint="eastAsia"/>
          </w:rPr>
          <w:t xml:space="preserve"> 开源工具</w:t>
        </w:r>
        <w:r>
          <w:rPr>
            <w:lang w:val="x-none"/>
          </w:rPr>
          <w:tab/>
        </w:r>
        <w:r>
          <w:rPr>
            <w:lang w:val="x-none"/>
          </w:rPr>
          <w:fldChar w:fldCharType="begin"/>
        </w:r>
        <w:r>
          <w:rPr>
            <w:lang w:val="x-none"/>
          </w:rPr>
          <w:instrText xml:space="preserve"> PAGEREF _Toc489018001 \h </w:instrText>
        </w:r>
        <w:r>
          <w:rPr>
            <w:lang w:val="x-none"/>
          </w:rPr>
          <w:fldChar w:fldCharType="separate"/>
        </w:r>
        <w:r>
          <w:rPr>
            <w:lang w:val="x-none"/>
          </w:rPr>
          <w:t>21</w:t>
        </w:r>
        <w:r>
          <w:rPr>
            <w:lang w:val="x-none"/>
          </w:rPr>
          <w:fldChar w:fldCharType="end"/>
        </w:r>
      </w:hyperlink>
      <w:r>
        <w:rPr>
          <w:b/>
          <w:color w:val="FFFFFF"/>
          <w:sz w:val="0"/>
        </w:rPr>
        <w:t>.</w:t>
      </w:r>
    </w:p>
    <w:p>
      <w:pPr>
        <w:pStyle w:val="TOC3"/>
        <w:tabs>
          <w:tab w:val="right" w:leader="dot" w:pos="8364"/>
          <w:tab w:val="clear" w:pos="9241"/>
        </w:tabs>
        <w:ind w:firstLine="210"/>
        <w:rPr>
          <w:rFonts w:ascii="Calibri" w:hAnsi="Calibri"/>
          <w:szCs w:val="22"/>
          <w:lang w:val="x-none"/>
        </w:rPr>
      </w:pPr>
      <w:hyperlink w:anchor="_Toc489018002" w:history="1">
        <w:r>
          <w:rPr>
            <w:rStyle w:val="Hyperlink"/>
          </w:rPr>
          <w:t>7.2 CMA</w:t>
        </w:r>
        <w:r>
          <w:rPr>
            <w:rStyle w:val="Hyperlink"/>
            <w:rFonts w:hint="eastAsia"/>
          </w:rPr>
          <w:t>开发</w:t>
        </w:r>
        <w:bookmarkStart w:id="6" w:name="_Hlt489021280"/>
        <w:bookmarkStart w:id="7" w:name="_Hlt489021281"/>
        <w:r>
          <w:rPr>
            <w:rStyle w:val="Hyperlink"/>
            <w:rFonts w:hint="eastAsia"/>
          </w:rPr>
          <w:t>工</w:t>
        </w:r>
        <w:bookmarkEnd w:id="6"/>
        <w:bookmarkEnd w:id="7"/>
        <w:r>
          <w:rPr>
            <w:rStyle w:val="Hyperlink"/>
            <w:rFonts w:hint="eastAsia"/>
          </w:rPr>
          <w:t>具</w:t>
        </w:r>
        <w:r>
          <w:rPr>
            <w:lang w:val="x-none"/>
          </w:rPr>
          <w:tab/>
        </w:r>
        <w:r>
          <w:rPr>
            <w:lang w:val="x-none"/>
          </w:rPr>
          <w:fldChar w:fldCharType="begin"/>
        </w:r>
        <w:r>
          <w:rPr>
            <w:lang w:val="x-none"/>
          </w:rPr>
          <w:instrText xml:space="preserve"> PAGEREF _Toc489018002 \h </w:instrText>
        </w:r>
        <w:r>
          <w:rPr>
            <w:lang w:val="x-none"/>
          </w:rPr>
          <w:fldChar w:fldCharType="separate"/>
        </w:r>
        <w:r>
          <w:rPr>
            <w:lang w:val="x-none"/>
          </w:rPr>
          <w:t>21</w:t>
        </w:r>
        <w:r>
          <w:rPr>
            <w:lang w:val="x-none"/>
          </w:rPr>
          <w:fldChar w:fldCharType="end"/>
        </w:r>
      </w:hyperlink>
      <w:r>
        <w:rPr>
          <w:b/>
          <w:color w:val="FFFFFF"/>
          <w:sz w:val="0"/>
        </w:rPr>
        <w:t>.</w:t>
      </w:r>
    </w:p>
    <w:p>
      <w:pPr>
        <w:pStyle w:val="TOC2"/>
        <w:tabs>
          <w:tab w:val="right" w:leader="dot" w:pos="8364"/>
          <w:tab w:val="clear" w:pos="9242"/>
        </w:tabs>
        <w:rPr>
          <w:rFonts w:ascii="Calibri" w:hAnsi="Calibri"/>
          <w:szCs w:val="22"/>
          <w:lang w:val="x-none"/>
        </w:rPr>
      </w:pPr>
      <w:hyperlink w:anchor="_Toc489018003" w:history="1">
        <w:r>
          <w:rPr>
            <w:rStyle w:val="Hyperlink"/>
          </w:rPr>
          <w:t>8 BUFR</w:t>
        </w:r>
        <w:r>
          <w:rPr>
            <w:rStyle w:val="Hyperlink"/>
            <w:rFonts w:hint="eastAsia"/>
          </w:rPr>
          <w:t>模板和码表的格式及注册</w:t>
        </w:r>
        <w:r>
          <w:rPr>
            <w:lang w:val="x-none"/>
          </w:rPr>
          <w:tab/>
        </w:r>
        <w:r>
          <w:rPr>
            <w:lang w:val="x-none"/>
          </w:rPr>
          <w:fldChar w:fldCharType="begin"/>
        </w:r>
        <w:r>
          <w:rPr>
            <w:lang w:val="x-none"/>
          </w:rPr>
          <w:instrText xml:space="preserve"> PAGEREF _Toc489018003 \h </w:instrText>
        </w:r>
        <w:r>
          <w:rPr>
            <w:lang w:val="x-none"/>
          </w:rPr>
          <w:fldChar w:fldCharType="separate"/>
        </w:r>
        <w:r>
          <w:rPr>
            <w:lang w:val="x-none"/>
          </w:rPr>
          <w:t>22</w:t>
        </w:r>
        <w:r>
          <w:rPr>
            <w:lang w:val="x-none"/>
          </w:rPr>
          <w:fldChar w:fldCharType="end"/>
        </w:r>
      </w:hyperlink>
      <w:r>
        <w:rPr>
          <w:b/>
          <w:color w:val="FFFFFF"/>
          <w:sz w:val="0"/>
        </w:rPr>
        <w:t>.</w:t>
      </w:r>
    </w:p>
    <w:p>
      <w:pPr>
        <w:pStyle w:val="TOC1"/>
        <w:tabs>
          <w:tab w:val="right" w:leader="dot" w:pos="8364"/>
          <w:tab w:val="clear" w:pos="9242"/>
        </w:tabs>
        <w:spacing w:before="78" w:after="78"/>
        <w:rPr>
          <w:rFonts w:ascii="Calibri" w:hAnsi="Calibri"/>
          <w:szCs w:val="22"/>
          <w:lang w:val="x-none"/>
        </w:rPr>
      </w:pPr>
      <w:hyperlink w:anchor="_Toc489018004" w:history="1">
        <w:r>
          <w:rPr>
            <w:rStyle w:val="Hyperlink"/>
            <w:rFonts w:hint="eastAsia"/>
          </w:rPr>
          <w:t>附　录　A （资料性附录）</w:t>
        </w:r>
        <w:r>
          <w:rPr>
            <w:rStyle w:val="Hyperlink"/>
          </w:rPr>
          <w:t xml:space="preserve"> BUFR</w:t>
        </w:r>
        <w:r>
          <w:rPr>
            <w:rStyle w:val="Hyperlink"/>
            <w:rFonts w:hint="eastAsia"/>
          </w:rPr>
          <w:t>格式资料清单</w:t>
        </w:r>
        <w:r>
          <w:rPr>
            <w:lang w:val="x-none"/>
          </w:rPr>
          <w:tab/>
        </w:r>
        <w:r>
          <w:rPr>
            <w:lang w:val="x-none"/>
          </w:rPr>
          <w:fldChar w:fldCharType="begin"/>
        </w:r>
        <w:r>
          <w:rPr>
            <w:lang w:val="x-none"/>
          </w:rPr>
          <w:instrText xml:space="preserve"> PAGEREF _Toc489018004 \h </w:instrText>
        </w:r>
        <w:r>
          <w:rPr>
            <w:lang w:val="x-none"/>
          </w:rPr>
          <w:fldChar w:fldCharType="separate"/>
        </w:r>
        <w:r>
          <w:rPr>
            <w:lang w:val="x-none"/>
          </w:rPr>
          <w:t>23</w:t>
        </w:r>
        <w:r>
          <w:rPr>
            <w:lang w:val="x-none"/>
          </w:rPr>
          <w:fldChar w:fldCharType="end"/>
        </w:r>
      </w:hyperlink>
      <w:r>
        <w:rPr>
          <w:b/>
          <w:color w:val="FFFFFF"/>
          <w:sz w:val="0"/>
        </w:rPr>
        <w:t>.</w:t>
      </w:r>
    </w:p>
    <w:p>
      <w:pPr>
        <w:pStyle w:val="TOC1"/>
        <w:tabs>
          <w:tab w:val="right" w:leader="dot" w:pos="8364"/>
          <w:tab w:val="clear" w:pos="9242"/>
        </w:tabs>
        <w:spacing w:before="78" w:after="78"/>
        <w:rPr>
          <w:rFonts w:ascii="Calibri" w:hAnsi="Calibri"/>
          <w:szCs w:val="22"/>
          <w:lang w:val="x-none"/>
        </w:rPr>
      </w:pPr>
      <w:hyperlink w:anchor="_Toc489018005" w:history="1">
        <w:r>
          <w:rPr>
            <w:rStyle w:val="Hyperlink"/>
            <w:rFonts w:hint="eastAsia"/>
          </w:rPr>
          <w:t>附　录　B （资料性附录）</w:t>
        </w:r>
        <w:r>
          <w:rPr>
            <w:rStyle w:val="Hyperlink"/>
          </w:rPr>
          <w:t xml:space="preserve"> </w:t>
        </w:r>
        <w:r>
          <w:rPr>
            <w:rStyle w:val="Hyperlink"/>
            <w:rFonts w:hint="eastAsia"/>
          </w:rPr>
          <w:t>高空压、温、湿</w:t>
        </w:r>
        <w:bookmarkStart w:id="8" w:name="_Hlt489018695"/>
        <w:bookmarkStart w:id="9" w:name="_Hlt489018696"/>
        <w:r>
          <w:rPr>
            <w:rStyle w:val="Hyperlink"/>
            <w:rFonts w:hint="eastAsia"/>
          </w:rPr>
          <w:t>、</w:t>
        </w:r>
        <w:bookmarkEnd w:id="8"/>
        <w:bookmarkEnd w:id="9"/>
        <w:r>
          <w:rPr>
            <w:rStyle w:val="Hyperlink"/>
            <w:rFonts w:hint="eastAsia"/>
          </w:rPr>
          <w:t>风数据</w:t>
        </w:r>
        <w:r>
          <w:rPr>
            <w:rStyle w:val="Hyperlink"/>
          </w:rPr>
          <w:t>BUFR</w:t>
        </w:r>
        <w:r>
          <w:rPr>
            <w:rStyle w:val="Hyperlink"/>
            <w:rFonts w:hint="eastAsia"/>
          </w:rPr>
          <w:t>格式模板实例</w:t>
        </w:r>
        <w:r>
          <w:rPr>
            <w:lang w:val="x-none"/>
          </w:rPr>
          <w:tab/>
        </w:r>
        <w:r>
          <w:rPr>
            <w:lang w:val="x-none"/>
          </w:rPr>
          <w:fldChar w:fldCharType="begin"/>
        </w:r>
        <w:r>
          <w:rPr>
            <w:lang w:val="x-none"/>
          </w:rPr>
          <w:instrText xml:space="preserve"> PAGEREF _Toc489018005 \h </w:instrText>
        </w:r>
        <w:r>
          <w:rPr>
            <w:lang w:val="x-none"/>
          </w:rPr>
          <w:fldChar w:fldCharType="separate"/>
        </w:r>
        <w:r>
          <w:rPr>
            <w:lang w:val="x-none"/>
          </w:rPr>
          <w:t>30</w:t>
        </w:r>
        <w:r>
          <w:rPr>
            <w:lang w:val="x-none"/>
          </w:rPr>
          <w:fldChar w:fldCharType="end"/>
        </w:r>
      </w:hyperlink>
      <w:r>
        <w:rPr>
          <w:b/>
          <w:color w:val="FFFFFF"/>
          <w:sz w:val="0"/>
        </w:rPr>
        <w:t>.</w:t>
      </w:r>
    </w:p>
    <w:p>
      <w:pPr>
        <w:pStyle w:val="TOC1"/>
        <w:tabs>
          <w:tab w:val="right" w:leader="dot" w:pos="8364"/>
          <w:tab w:val="clear" w:pos="9242"/>
        </w:tabs>
        <w:spacing w:before="78" w:after="78"/>
        <w:rPr>
          <w:rFonts w:ascii="Calibri" w:hAnsi="Calibri"/>
          <w:szCs w:val="22"/>
          <w:lang w:val="x-none"/>
        </w:rPr>
      </w:pPr>
      <w:hyperlink w:anchor="_Toc489018006" w:history="1">
        <w:r>
          <w:rPr>
            <w:rStyle w:val="Hyperlink"/>
            <w:rFonts w:hint="eastAsia"/>
          </w:rPr>
          <w:t>附　录　C （规范性附录）</w:t>
        </w:r>
        <w:r>
          <w:rPr>
            <w:rStyle w:val="Hyperlink"/>
          </w:rPr>
          <w:t xml:space="preserve"> </w:t>
        </w:r>
        <w:r>
          <w:rPr>
            <w:rStyle w:val="Hyperlink"/>
            <w:rFonts w:hint="eastAsia"/>
          </w:rPr>
          <w:t>代码表和标志表</w:t>
        </w:r>
        <w:r>
          <w:rPr>
            <w:lang w:val="x-none"/>
          </w:rPr>
          <w:tab/>
        </w:r>
        <w:r>
          <w:rPr>
            <w:lang w:val="x-none"/>
          </w:rPr>
          <w:fldChar w:fldCharType="begin"/>
        </w:r>
        <w:r>
          <w:rPr>
            <w:lang w:val="x-none"/>
          </w:rPr>
          <w:instrText xml:space="preserve"> PAGEREF _Toc489018006 \h </w:instrText>
        </w:r>
        <w:r>
          <w:rPr>
            <w:lang w:val="x-none"/>
          </w:rPr>
          <w:fldChar w:fldCharType="separate"/>
        </w:r>
        <w:r>
          <w:rPr>
            <w:lang w:val="x-none"/>
          </w:rPr>
          <w:t>38</w:t>
        </w:r>
        <w:r>
          <w:rPr>
            <w:lang w:val="x-none"/>
          </w:rPr>
          <w:fldChar w:fldCharType="end"/>
        </w:r>
      </w:hyperlink>
      <w:r>
        <w:rPr>
          <w:b/>
          <w:color w:val="FFFFFF"/>
          <w:sz w:val="0"/>
        </w:rPr>
        <w:t>.</w:t>
      </w:r>
    </w:p>
    <w:p>
      <w:pPr>
        <w:spacing w:line="276" w:lineRule="auto"/>
        <w:sectPr>
          <w:headerReference w:type="default" r:id="rId5"/>
          <w:type w:val="nextPage"/>
          <w:pgSz w:w="11906" w:h="16838"/>
          <w:pgMar w:top="1440" w:right="1800" w:bottom="1440" w:left="1800" w:header="1418" w:footer="1134" w:gutter="0"/>
          <w:pgNumType w:fmt="upperRoman" w:start="2"/>
          <w:cols w:num="1" w:space="425"/>
          <w:formProt w:val="0"/>
          <w:titlePg w:val="0"/>
          <w:docGrid w:type="lines" w:linePitch="312" w:charSpace="0"/>
        </w:sectPr>
      </w:pPr>
      <w:r>
        <w:fldChar w:fldCharType="end"/>
      </w:r>
      <w:r>
        <w:rPr>
          <w:b/>
          <w:color w:val="FFFFFF"/>
          <w:sz w:val="0"/>
        </w:rPr>
        <w:t>.</w:t>
      </w:r>
    </w:p>
    <w:p>
      <w:pPr>
        <w:pStyle w:val="a67"/>
      </w:pPr>
      <w:bookmarkStart w:id="10" w:name="_Toc489017671"/>
      <w:bookmarkStart w:id="11" w:name="_Toc489017984"/>
      <w:r>
        <w:rPr>
          <w:rFonts w:hint="eastAsia"/>
        </w:rPr>
        <w:t>前</w:t>
      </w:r>
      <w:bookmarkStart w:id="12" w:name="BKQY"/>
      <w:r>
        <w:rPr>
          <w:rFonts w:ascii="Cambria Math" w:hAnsi="Cambria Math" w:cs="Cambria Math"/>
        </w:rPr>
        <w:t> </w:t>
      </w:r>
      <w:r>
        <w:rPr>
          <w:rFonts w:ascii="Cambria Math" w:hAnsi="Cambria Math" w:cs="Cambria Math"/>
        </w:rPr>
        <w:t> </w:t>
      </w:r>
      <w:r>
        <w:rPr>
          <w:rFonts w:hint="eastAsia"/>
        </w:rPr>
        <w:t>言</w:t>
      </w:r>
      <w:bookmarkEnd w:id="0"/>
      <w:bookmarkEnd w:id="10"/>
      <w:bookmarkEnd w:id="11"/>
      <w:bookmarkEnd w:id="12"/>
      <w:r>
        <w:rPr>
          <w:b/>
          <w:color w:val="FFFFFF"/>
          <w:sz w:val="0"/>
        </w:rPr>
        <w:t>.</w:t>
      </w:r>
    </w:p>
    <w:p>
      <w:pPr>
        <w:pStyle w:val="a"/>
      </w:pPr>
      <w:bookmarkStart w:id="13" w:name="_Toc270262262"/>
      <w:r>
        <w:rPr>
          <w:rFonts w:hint="eastAsia"/>
        </w:rPr>
        <w:t>本应用指南起草单位：国家气象信息中心。</w:t>
      </w:r>
      <w:r>
        <w:rPr>
          <w:b/>
          <w:color w:val="FFFFFF"/>
          <w:sz w:val="0"/>
        </w:rPr>
        <w:t>.</w:t>
      </w:r>
    </w:p>
    <w:p>
      <w:pPr>
        <w:pStyle w:val="a"/>
      </w:pPr>
      <w:r>
        <w:rPr>
          <w:rFonts w:hint="eastAsia"/>
        </w:rPr>
        <w:t>本应用指南主要起草人：薛蕾、张苈、王颖。</w:t>
      </w:r>
      <w:bookmarkEnd w:id="13"/>
      <w:r>
        <w:rPr>
          <w:b/>
          <w:color w:val="FFFFFF"/>
          <w:sz w:val="0"/>
        </w:rPr>
        <w:t>.</w:t>
      </w:r>
    </w:p>
    <w:p>
      <w:pPr>
        <w:pStyle w:val="a"/>
      </w:pPr>
      <w:r>
        <w:rPr>
          <w:b/>
          <w:color w:val="FFFFFF"/>
          <w:sz w:val="0"/>
        </w:rPr>
        <w:t>.</w:t>
      </w:r>
    </w:p>
    <w:p>
      <w:pPr>
        <w:pStyle w:val="a"/>
      </w:pPr>
      <w:r>
        <w:rPr>
          <w:b/>
          <w:color w:val="FFFFFF"/>
          <w:sz w:val="0"/>
        </w:rPr>
        <w:t>.</w:t>
      </w:r>
    </w:p>
    <w:p>
      <w:pPr>
        <w:pStyle w:val="a"/>
        <w:sectPr>
          <w:headerReference w:type="default" r:id="rId6"/>
          <w:footerReference w:type="default" r:id="rId7"/>
          <w:pgSz w:w="11906" w:h="16838"/>
          <w:pgMar w:top="1440" w:right="1800" w:bottom="1440" w:left="1800" w:header="1418" w:footer="1020" w:gutter="0"/>
          <w:pgNumType w:fmt="upperRoman" w:start="1"/>
          <w:cols w:num="1" w:space="425"/>
          <w:formProt w:val="0"/>
          <w:docGrid w:type="lines" w:linePitch="312" w:charSpace="0"/>
        </w:sectPr>
      </w:pPr>
      <w:r>
        <w:rPr>
          <w:b/>
          <w:color w:val="FFFFFF"/>
          <w:sz w:val="0"/>
        </w:rPr>
        <w:t>.</w:t>
      </w:r>
    </w:p>
    <w:p>
      <w:pPr>
        <w:pStyle w:val="a7"/>
      </w:pPr>
      <w:bookmarkStart w:id="14" w:name="_Toc464403802"/>
      <w:bookmarkStart w:id="15" w:name="_Toc489017672"/>
      <w:bookmarkStart w:id="16" w:name="_Toc489017985"/>
      <w:r>
        <w:t>BUFR</w:t>
      </w:r>
      <w:r>
        <w:rPr>
          <w:rFonts w:hint="eastAsia"/>
        </w:rPr>
        <w:t>格式应用指南</w:t>
      </w:r>
      <w:bookmarkEnd w:id="14"/>
      <w:bookmarkEnd w:id="15"/>
      <w:bookmarkEnd w:id="16"/>
      <w:r>
        <w:rPr>
          <w:b/>
          <w:color w:val="FFFFFF"/>
          <w:sz w:val="0"/>
        </w:rPr>
        <w:t>.</w:t>
      </w:r>
    </w:p>
    <w:p>
      <w:pPr>
        <w:pStyle w:val="a3"/>
      </w:pPr>
      <w:bookmarkStart w:id="17" w:name="_Toc489017673"/>
      <w:bookmarkStart w:id="18" w:name="_Toc489017986"/>
      <w:r>
        <w:rPr>
          <w:rFonts w:hint="eastAsia"/>
        </w:rPr>
        <w:t>范围</w:t>
      </w:r>
      <w:bookmarkEnd w:id="17"/>
      <w:bookmarkEnd w:id="18"/>
      <w:r>
        <w:rPr>
          <w:b/>
          <w:color w:val="FFFFFF"/>
          <w:sz w:val="0"/>
        </w:rPr>
        <w:t>.</w:t>
      </w:r>
    </w:p>
    <w:p>
      <w:pPr>
        <w:pStyle w:val="a"/>
        <w:rPr>
          <w:rFonts w:hint="eastAsia"/>
        </w:rPr>
      </w:pPr>
      <w:r>
        <w:rPr>
          <w:rFonts w:hint="eastAsia"/>
        </w:rPr>
        <w:t>本指南介绍了</w:t>
      </w:r>
      <w:r>
        <w:t>BUFR</w:t>
      </w:r>
      <w:r>
        <w:rPr>
          <w:rFonts w:hint="eastAsia"/>
        </w:rPr>
        <w:t>格式的特点、编码规则和应用工具，规定了基于该格式进行气象数据格式模板编制的基本规则，适用于指导气象数据</w:t>
      </w:r>
      <w:r>
        <w:t>BUFR</w:t>
      </w:r>
      <w:r>
        <w:rPr>
          <w:rFonts w:hint="eastAsia"/>
        </w:rPr>
        <w:t>格式模板的制定以及BUFR格式数据的应用。</w:t>
      </w:r>
      <w:r>
        <w:rPr>
          <w:b/>
          <w:color w:val="FFFFFF"/>
          <w:sz w:val="0"/>
        </w:rPr>
        <w:t>.</w:t>
      </w:r>
    </w:p>
    <w:p>
      <w:pPr>
        <w:pStyle w:val="a"/>
      </w:pPr>
      <w:r>
        <w:rPr>
          <w:rFonts w:hint="eastAsia"/>
        </w:rPr>
        <w:t>数据生产系统可参照本指南进行BUFR格式气象数据模板的编制，数据应用系统可参照本指南进行BUFR数据的解码应用。</w:t>
      </w:r>
      <w:r>
        <w:rPr>
          <w:b/>
          <w:color w:val="FFFFFF"/>
          <w:sz w:val="0"/>
        </w:rPr>
        <w:t>.</w:t>
      </w:r>
    </w:p>
    <w:p>
      <w:pPr>
        <w:pStyle w:val="a3"/>
      </w:pPr>
      <w:bookmarkStart w:id="19" w:name="_Toc484985492"/>
      <w:bookmarkEnd w:id="19"/>
      <w:bookmarkStart w:id="20" w:name="_Toc484984790"/>
      <w:bookmarkEnd w:id="20"/>
      <w:bookmarkStart w:id="21" w:name="_Toc471638116"/>
      <w:bookmarkEnd w:id="21"/>
      <w:bookmarkStart w:id="22" w:name="_Toc471638831"/>
      <w:bookmarkEnd w:id="22"/>
      <w:bookmarkStart w:id="23" w:name="_Toc471639544"/>
      <w:bookmarkEnd w:id="23"/>
      <w:bookmarkStart w:id="24" w:name="_Toc484928005"/>
      <w:bookmarkEnd w:id="24"/>
      <w:bookmarkStart w:id="25" w:name="_Toc484928708"/>
      <w:bookmarkEnd w:id="25"/>
      <w:bookmarkStart w:id="26" w:name="_Toc489017674"/>
      <w:bookmarkStart w:id="27" w:name="_Toc489017987"/>
      <w:r>
        <w:rPr>
          <w:rFonts w:hint="eastAsia"/>
        </w:rPr>
        <w:t>术语和定义</w:t>
      </w:r>
      <w:bookmarkEnd w:id="26"/>
      <w:bookmarkEnd w:id="27"/>
      <w:r>
        <w:rPr>
          <w:b/>
          <w:color w:val="FFFFFF"/>
          <w:sz w:val="0"/>
        </w:rPr>
        <w:t>.</w:t>
      </w:r>
    </w:p>
    <w:p>
      <w:pPr>
        <w:pStyle w:val="a0"/>
        <w:ind w:left="0"/>
        <w:rPr>
          <w:rFonts w:hint="eastAsia"/>
        </w:rPr>
      </w:pPr>
      <w:bookmarkStart w:id="28" w:name="_Toc484928007"/>
      <w:bookmarkEnd w:id="28"/>
      <w:bookmarkStart w:id="29" w:name="_Toc484928710"/>
      <w:bookmarkEnd w:id="29"/>
      <w:bookmarkStart w:id="30" w:name="_Toc484985494"/>
      <w:bookmarkEnd w:id="30"/>
      <w:bookmarkStart w:id="31" w:name="_Toc471639547"/>
      <w:bookmarkEnd w:id="31"/>
      <w:bookmarkStart w:id="32" w:name="_Toc484928008"/>
      <w:bookmarkEnd w:id="32"/>
      <w:bookmarkStart w:id="33" w:name="_Toc484928711"/>
      <w:bookmarkEnd w:id="33"/>
      <w:bookmarkStart w:id="34" w:name="_Toc484984792"/>
      <w:bookmarkEnd w:id="34"/>
      <w:bookmarkStart w:id="35" w:name="_Toc471639546"/>
      <w:bookmarkEnd w:id="35"/>
      <w:bookmarkStart w:id="36" w:name="_Toc484984793"/>
      <w:bookmarkEnd w:id="36"/>
      <w:bookmarkStart w:id="37" w:name="_Toc484985495"/>
      <w:bookmarkEnd w:id="37"/>
      <w:bookmarkStart w:id="38" w:name="_Toc488851760"/>
      <w:bookmarkEnd w:id="38"/>
      <w:bookmarkStart w:id="39" w:name="_Toc471639548"/>
      <w:bookmarkEnd w:id="39"/>
      <w:bookmarkStart w:id="40" w:name="_Toc488849387"/>
      <w:bookmarkEnd w:id="40"/>
      <w:bookmarkStart w:id="41" w:name="_Toc489017988"/>
      <w:bookmarkEnd w:id="41"/>
      <w:bookmarkStart w:id="42" w:name="_Toc488919128"/>
      <w:bookmarkEnd w:id="42"/>
      <w:bookmarkStart w:id="43" w:name="_Toc489017675"/>
      <w:bookmarkEnd w:id="43"/>
      <w:bookmarkStart w:id="44" w:name="_Toc489016095"/>
      <w:bookmarkEnd w:id="44"/>
      <w:r>
        <w:rPr>
          <w:b/>
          <w:color w:val="FFFFFF"/>
          <w:sz w:val="0"/>
        </w:rPr>
        <w:t>.</w:t>
      </w:r>
    </w:p>
    <w:p>
      <w:pPr>
        <w:pStyle w:val="a"/>
        <w:rPr>
          <w:rFonts w:ascii="黑体" w:eastAsia="黑体" w:hint="eastAsia"/>
        </w:rPr>
      </w:pPr>
      <w:bookmarkStart w:id="45" w:name="_Toc332037438"/>
      <w:bookmarkStart w:id="46" w:name="_Toc332040716"/>
      <w:r>
        <w:rPr>
          <w:rFonts w:ascii="黑体" w:eastAsia="黑体" w:hint="eastAsia"/>
        </w:rPr>
        <w:t>报文  message</w:t>
      </w:r>
      <w:bookmarkEnd w:id="45"/>
      <w:bookmarkEnd w:id="46"/>
      <w:r>
        <w:rPr>
          <w:b/>
          <w:color w:val="FFFFFF"/>
          <w:sz w:val="0"/>
        </w:rPr>
        <w:t>.</w:t>
      </w:r>
    </w:p>
    <w:p>
      <w:pPr>
        <w:pStyle w:val="a"/>
        <w:rPr>
          <w:rFonts w:hint="eastAsia"/>
        </w:rPr>
      </w:pPr>
      <w:r>
        <w:rPr>
          <w:rFonts w:hint="eastAsia"/>
        </w:rPr>
        <w:t>BUFR格式气象数据的基本组成单元，由起始行、报文内容（公报）和结束行组成。</w:t>
      </w:r>
      <w:r>
        <w:rPr>
          <w:b/>
          <w:color w:val="FFFFFF"/>
          <w:sz w:val="0"/>
        </w:rPr>
        <w:t>.</w:t>
      </w:r>
    </w:p>
    <w:p>
      <w:pPr>
        <w:pStyle w:val="a0"/>
        <w:ind w:left="0"/>
        <w:rPr>
          <w:rFonts w:hint="eastAsia"/>
        </w:rPr>
      </w:pPr>
      <w:bookmarkStart w:id="47" w:name="_Toc270262210"/>
      <w:bookmarkEnd w:id="47"/>
      <w:bookmarkStart w:id="48" w:name="_Toc270262272"/>
      <w:bookmarkEnd w:id="48"/>
      <w:bookmarkStart w:id="49" w:name="_Toc328297055"/>
      <w:bookmarkEnd w:id="49"/>
      <w:bookmarkStart w:id="50" w:name="_Toc332037439"/>
      <w:bookmarkEnd w:id="50"/>
      <w:bookmarkStart w:id="51" w:name="_Toc335579186"/>
      <w:bookmarkEnd w:id="51"/>
      <w:bookmarkStart w:id="52" w:name="_Toc328297377"/>
      <w:bookmarkEnd w:id="52"/>
      <w:bookmarkStart w:id="53" w:name="_Toc349420542"/>
      <w:bookmarkEnd w:id="53"/>
      <w:bookmarkStart w:id="54" w:name="_Toc328297445"/>
      <w:bookmarkEnd w:id="54"/>
      <w:bookmarkStart w:id="55" w:name="_Toc330924427"/>
      <w:bookmarkEnd w:id="55"/>
      <w:bookmarkStart w:id="56" w:name="_Toc328680417"/>
      <w:bookmarkEnd w:id="56"/>
      <w:bookmarkStart w:id="57" w:name="_Toc328543602"/>
      <w:bookmarkEnd w:id="57"/>
      <w:bookmarkStart w:id="58" w:name="_Toc328543969"/>
      <w:bookmarkEnd w:id="58"/>
      <w:bookmarkStart w:id="59" w:name="_Toc328680313"/>
      <w:bookmarkEnd w:id="59"/>
      <w:bookmarkStart w:id="60" w:name="_Toc330924471"/>
      <w:bookmarkEnd w:id="60"/>
      <w:bookmarkStart w:id="61" w:name="_Toc332040796"/>
      <w:bookmarkEnd w:id="61"/>
      <w:bookmarkStart w:id="62" w:name="_Toc328297317"/>
      <w:bookmarkEnd w:id="62"/>
      <w:bookmarkStart w:id="63" w:name="_Toc330924212"/>
      <w:bookmarkEnd w:id="63"/>
      <w:bookmarkStart w:id="64" w:name="_Toc343075520"/>
      <w:bookmarkEnd w:id="64"/>
      <w:bookmarkStart w:id="65" w:name="_Toc330924046"/>
      <w:bookmarkEnd w:id="65"/>
      <w:bookmarkStart w:id="66" w:name="_Toc330924339"/>
      <w:bookmarkEnd w:id="66"/>
      <w:bookmarkStart w:id="67" w:name="_Toc332040717"/>
      <w:bookmarkEnd w:id="67"/>
      <w:bookmarkStart w:id="68" w:name="_Toc333210440"/>
      <w:bookmarkEnd w:id="68"/>
      <w:bookmarkStart w:id="69" w:name="_Toc328680418"/>
      <w:bookmarkEnd w:id="69"/>
      <w:bookmarkStart w:id="70" w:name="_Toc330924213"/>
      <w:bookmarkEnd w:id="70"/>
      <w:bookmarkStart w:id="71" w:name="_Toc330924428"/>
      <w:bookmarkEnd w:id="71"/>
      <w:bookmarkStart w:id="72" w:name="_Toc330924472"/>
      <w:bookmarkEnd w:id="72"/>
      <w:bookmarkStart w:id="73" w:name="_Toc332037441"/>
      <w:bookmarkEnd w:id="73"/>
      <w:bookmarkStart w:id="74" w:name="_Toc332040719"/>
      <w:bookmarkEnd w:id="74"/>
      <w:bookmarkStart w:id="75" w:name="_Toc333210441"/>
      <w:bookmarkEnd w:id="75"/>
      <w:bookmarkStart w:id="76" w:name="_Toc270262211"/>
      <w:bookmarkEnd w:id="76"/>
      <w:bookmarkStart w:id="77" w:name="_Toc328680314"/>
      <w:bookmarkEnd w:id="77"/>
      <w:bookmarkStart w:id="78" w:name="_Toc270262273"/>
      <w:bookmarkEnd w:id="78"/>
      <w:bookmarkStart w:id="79" w:name="_Toc328543970"/>
      <w:bookmarkEnd w:id="79"/>
      <w:bookmarkStart w:id="80" w:name="_Toc332040797"/>
      <w:bookmarkEnd w:id="80"/>
      <w:bookmarkStart w:id="81" w:name="_Toc335579187"/>
      <w:bookmarkEnd w:id="81"/>
      <w:bookmarkStart w:id="82" w:name="_Toc343075521"/>
      <w:bookmarkEnd w:id="82"/>
      <w:bookmarkStart w:id="83" w:name="_Toc351302926"/>
      <w:bookmarkEnd w:id="83"/>
      <w:bookmarkStart w:id="84" w:name="_Toc351303018"/>
      <w:bookmarkEnd w:id="84"/>
      <w:bookmarkStart w:id="85" w:name="_Toc488849388"/>
      <w:bookmarkEnd w:id="85"/>
      <w:bookmarkStart w:id="86" w:name="_Toc488851761"/>
      <w:bookmarkEnd w:id="86"/>
      <w:bookmarkStart w:id="87" w:name="_Toc471639549"/>
      <w:bookmarkEnd w:id="87"/>
      <w:bookmarkStart w:id="88" w:name="_Toc328297318"/>
      <w:bookmarkEnd w:id="88"/>
      <w:bookmarkStart w:id="89" w:name="_Toc349420544"/>
      <w:bookmarkEnd w:id="89"/>
      <w:bookmarkStart w:id="90" w:name="_Toc328297378"/>
      <w:bookmarkEnd w:id="90"/>
      <w:bookmarkStart w:id="91" w:name="_Toc330924340"/>
      <w:bookmarkEnd w:id="91"/>
      <w:bookmarkStart w:id="92" w:name="_Toc328297056"/>
      <w:bookmarkEnd w:id="92"/>
      <w:bookmarkStart w:id="93" w:name="_Toc328543603"/>
      <w:bookmarkEnd w:id="93"/>
      <w:bookmarkStart w:id="94" w:name="_Toc330924047"/>
      <w:bookmarkEnd w:id="94"/>
      <w:bookmarkStart w:id="95" w:name="_Toc328297446"/>
      <w:bookmarkEnd w:id="95"/>
      <w:bookmarkStart w:id="96" w:name="_Toc489016096"/>
      <w:bookmarkEnd w:id="96"/>
      <w:bookmarkStart w:id="97" w:name="_Toc489017676"/>
      <w:bookmarkEnd w:id="97"/>
      <w:bookmarkStart w:id="98" w:name="_Toc489017989"/>
      <w:bookmarkEnd w:id="98"/>
      <w:bookmarkStart w:id="99" w:name="_Toc488919129"/>
      <w:bookmarkEnd w:id="99"/>
      <w:r>
        <w:rPr>
          <w:b/>
          <w:color w:val="FFFFFF"/>
          <w:sz w:val="0"/>
        </w:rPr>
        <w:t>.</w:t>
      </w:r>
    </w:p>
    <w:p>
      <w:pPr>
        <w:pStyle w:val="a"/>
        <w:rPr>
          <w:rFonts w:ascii="黑体" w:eastAsia="黑体" w:hint="eastAsia"/>
        </w:rPr>
      </w:pPr>
      <w:bookmarkStart w:id="100" w:name="_Toc332040720"/>
      <w:bookmarkStart w:id="101" w:name="_Toc332037442"/>
      <w:r>
        <w:rPr>
          <w:rFonts w:ascii="黑体" w:eastAsia="黑体" w:hint="eastAsia"/>
        </w:rPr>
        <w:t>段  section</w:t>
      </w:r>
      <w:bookmarkEnd w:id="100"/>
      <w:bookmarkEnd w:id="101"/>
      <w:r>
        <w:rPr>
          <w:b/>
          <w:color w:val="FFFFFF"/>
          <w:sz w:val="0"/>
        </w:rPr>
        <w:t>.</w:t>
      </w:r>
    </w:p>
    <w:p>
      <w:pPr>
        <w:pStyle w:val="a"/>
      </w:pPr>
      <w:r>
        <w:rPr>
          <w:rFonts w:hint="eastAsia"/>
        </w:rPr>
        <w:t>BUFR公报中，编报数据中相同属性内容的一串代码组。</w:t>
      </w:r>
      <w:bookmarkStart w:id="102" w:name="_Toc328543971"/>
      <w:bookmarkEnd w:id="102"/>
      <w:bookmarkStart w:id="103" w:name="_Toc328680419"/>
      <w:bookmarkEnd w:id="103"/>
      <w:bookmarkStart w:id="104" w:name="_Toc330924048"/>
      <w:bookmarkEnd w:id="104"/>
      <w:bookmarkStart w:id="105" w:name="_Toc328297057"/>
      <w:bookmarkEnd w:id="105"/>
      <w:bookmarkStart w:id="106" w:name="_Toc328297319"/>
      <w:bookmarkEnd w:id="106"/>
      <w:bookmarkStart w:id="107" w:name="_Toc328297379"/>
      <w:bookmarkEnd w:id="107"/>
      <w:bookmarkStart w:id="108" w:name="_Toc328543604"/>
      <w:bookmarkEnd w:id="108"/>
      <w:bookmarkStart w:id="109" w:name="_Toc328680315"/>
      <w:bookmarkEnd w:id="109"/>
      <w:bookmarkStart w:id="110" w:name="_Toc328297447"/>
      <w:bookmarkEnd w:id="110"/>
      <w:bookmarkStart w:id="111" w:name="_Toc330924341"/>
      <w:bookmarkEnd w:id="111"/>
      <w:bookmarkStart w:id="112" w:name="_Toc330924473"/>
      <w:bookmarkEnd w:id="112"/>
      <w:bookmarkStart w:id="113" w:name="_Toc330924429"/>
      <w:bookmarkEnd w:id="113"/>
      <w:bookmarkStart w:id="114" w:name="_Toc330924214"/>
      <w:bookmarkEnd w:id="114"/>
      <w:r>
        <w:rPr>
          <w:b/>
          <w:color w:val="FFFFFF"/>
          <w:sz w:val="0"/>
        </w:rPr>
        <w:t>.</w:t>
      </w:r>
    </w:p>
    <w:p>
      <w:pPr>
        <w:pStyle w:val="a0"/>
        <w:ind w:left="0"/>
        <w:rPr>
          <w:rFonts w:hint="eastAsia"/>
        </w:rPr>
      </w:pPr>
      <w:bookmarkStart w:id="115" w:name="_Toc471639550"/>
      <w:bookmarkEnd w:id="115"/>
      <w:bookmarkStart w:id="116" w:name="_Toc488849389"/>
      <w:bookmarkEnd w:id="116"/>
      <w:bookmarkStart w:id="117" w:name="_Toc489017677"/>
      <w:bookmarkEnd w:id="117"/>
      <w:bookmarkStart w:id="118" w:name="_Toc488851762"/>
      <w:bookmarkEnd w:id="118"/>
      <w:bookmarkStart w:id="119" w:name="_Toc488919130"/>
      <w:bookmarkEnd w:id="119"/>
      <w:bookmarkStart w:id="120" w:name="_Toc489016097"/>
      <w:bookmarkEnd w:id="120"/>
      <w:bookmarkStart w:id="121" w:name="_Toc489017990"/>
      <w:bookmarkEnd w:id="121"/>
      <w:r>
        <w:rPr>
          <w:b/>
          <w:color w:val="FFFFFF"/>
          <w:sz w:val="0"/>
        </w:rPr>
        <w:t>.</w:t>
      </w:r>
    </w:p>
    <w:p>
      <w:pPr>
        <w:pStyle w:val="a"/>
        <w:rPr>
          <w:rFonts w:ascii="黑体" w:eastAsia="黑体"/>
        </w:rPr>
      </w:pPr>
      <w:r>
        <w:rPr>
          <w:rFonts w:ascii="黑体" w:eastAsia="黑体" w:hint="eastAsia"/>
        </w:rPr>
        <w:t>八位组</w:t>
      </w:r>
      <w:r>
        <w:rPr>
          <w:rFonts w:ascii="黑体" w:eastAsia="黑体"/>
        </w:rPr>
        <w:t xml:space="preserve"> octet</w:t>
      </w:r>
      <w:r>
        <w:rPr>
          <w:b/>
          <w:color w:val="FFFFFF"/>
          <w:sz w:val="0"/>
        </w:rPr>
        <w:t>.</w:t>
      </w:r>
    </w:p>
    <w:p>
      <w:pPr>
        <w:pStyle w:val="a"/>
      </w:pPr>
      <w:r>
        <w:rPr>
          <w:rFonts w:hint="eastAsia"/>
        </w:rPr>
        <w:t>由</w:t>
      </w:r>
      <w:r>
        <w:t>8</w:t>
      </w:r>
      <w:r>
        <w:rPr>
          <w:rFonts w:hint="eastAsia"/>
        </w:rPr>
        <w:t>个比特位组成的数位组。</w:t>
      </w:r>
      <w:r>
        <w:rPr>
          <w:b/>
          <w:color w:val="FFFFFF"/>
          <w:sz w:val="0"/>
        </w:rPr>
        <w:t>.</w:t>
      </w:r>
    </w:p>
    <w:p>
      <w:pPr>
        <w:pStyle w:val="a3"/>
      </w:pPr>
      <w:bookmarkStart w:id="122" w:name="_Toc489017991"/>
      <w:bookmarkStart w:id="123" w:name="_Toc489017678"/>
      <w:r>
        <w:rPr>
          <w:rFonts w:hint="eastAsia"/>
        </w:rPr>
        <w:t>缩略语</w:t>
      </w:r>
      <w:bookmarkEnd w:id="122"/>
      <w:bookmarkEnd w:id="123"/>
      <w:r>
        <w:rPr>
          <w:b/>
          <w:color w:val="FFFFFF"/>
          <w:sz w:val="0"/>
        </w:rPr>
        <w:t>.</w:t>
      </w:r>
    </w:p>
    <w:p>
      <w:pPr>
        <w:pStyle w:val="a"/>
      </w:pPr>
      <w:r>
        <w:rPr>
          <w:rFonts w:hint="eastAsia"/>
        </w:rPr>
        <w:t>下列缩略语适用于本文件。</w:t>
      </w:r>
      <w:r>
        <w:rPr>
          <w:b/>
          <w:color w:val="FFFFFF"/>
          <w:sz w:val="0"/>
        </w:rPr>
        <w:t>.</w:t>
      </w:r>
    </w:p>
    <w:p>
      <w:pPr>
        <w:pStyle w:val="a"/>
        <w:rPr>
          <w:rFonts w:hint="eastAsia"/>
        </w:rPr>
      </w:pPr>
      <w:r>
        <w:t>BUFR</w:t>
      </w:r>
      <w:r>
        <w:rPr>
          <w:rFonts w:hint="eastAsia"/>
        </w:rPr>
        <w:t>：气象数据的二进制通用表示格式（</w:t>
      </w:r>
      <w:r>
        <w:t>Binary Universal Form for Representation of meteorological data</w:t>
      </w:r>
      <w:r>
        <w:rPr>
          <w:rFonts w:hint="eastAsia"/>
        </w:rPr>
        <w:t>）</w:t>
      </w:r>
      <w:r>
        <w:rPr>
          <w:b/>
          <w:color w:val="FFFFFF"/>
          <w:sz w:val="0"/>
        </w:rPr>
        <w:t>.</w:t>
      </w:r>
    </w:p>
    <w:p>
      <w:pPr>
        <w:pStyle w:val="a"/>
      </w:pPr>
      <w:r>
        <w:rPr>
          <w:rFonts w:hint="eastAsia"/>
        </w:rPr>
        <w:t>WMO：世界气象组织（</w:t>
      </w:r>
      <w:r>
        <w:t>The World Meteorological Orgnization</w:t>
      </w:r>
      <w:r>
        <w:rPr>
          <w:rFonts w:hint="eastAsia"/>
        </w:rPr>
        <w:t>）</w:t>
      </w:r>
      <w:r>
        <w:rPr>
          <w:b/>
          <w:color w:val="FFFFFF"/>
          <w:sz w:val="0"/>
        </w:rPr>
        <w:t>.</w:t>
      </w:r>
    </w:p>
    <w:p>
      <w:pPr>
        <w:pStyle w:val="a"/>
      </w:pPr>
      <w:r>
        <w:t>WMO-FM94</w:t>
      </w:r>
      <w:r>
        <w:rPr>
          <w:rFonts w:hint="eastAsia"/>
        </w:rPr>
        <w:t>：世界气象组织定义的第</w:t>
      </w:r>
      <w:r>
        <w:t>94</w:t>
      </w:r>
      <w:r>
        <w:rPr>
          <w:rFonts w:hint="eastAsia"/>
        </w:rPr>
        <w:t>号编码格式（</w:t>
      </w:r>
      <w:r>
        <w:t>The World Meteorological Orgnization code form FM 94 BUFR</w:t>
      </w:r>
      <w:r>
        <w:rPr>
          <w:rFonts w:hint="eastAsia"/>
        </w:rPr>
        <w:t>）</w:t>
      </w:r>
      <w:r>
        <w:rPr>
          <w:b/>
          <w:color w:val="FFFFFF"/>
          <w:sz w:val="0"/>
        </w:rPr>
        <w:t>.</w:t>
      </w:r>
    </w:p>
    <w:p>
      <w:pPr>
        <w:pStyle w:val="a"/>
        <w:jc w:val="left"/>
        <w:rPr>
          <w:rFonts w:hint="eastAsia"/>
        </w:rPr>
      </w:pPr>
      <w:r>
        <w:t xml:space="preserve">CCITT IA5 </w:t>
      </w:r>
      <w:r>
        <w:rPr>
          <w:rFonts w:hint="eastAsia"/>
        </w:rPr>
        <w:t>：国际电报电话咨询委员会国际字母</w:t>
      </w:r>
      <w:r>
        <w:t>5</w:t>
      </w:r>
      <w:r>
        <w:rPr>
          <w:rFonts w:hint="eastAsia"/>
        </w:rPr>
        <w:t>号码</w:t>
      </w:r>
      <w:r>
        <w:t>(Consultative Committee on International Telephone and Telegraph International Alphabet No.5</w:t>
      </w:r>
      <w:r>
        <w:rPr>
          <w:rFonts w:hint="eastAsia"/>
        </w:rPr>
        <w:t>）</w:t>
      </w:r>
      <w:r>
        <w:rPr>
          <w:b/>
          <w:color w:val="FFFFFF"/>
          <w:sz w:val="0"/>
        </w:rPr>
        <w:t>.</w:t>
      </w:r>
    </w:p>
    <w:p>
      <w:pPr>
        <w:pStyle w:val="a"/>
      </w:pPr>
      <w:r>
        <w:rPr>
          <w:rFonts w:hint="eastAsia"/>
        </w:rPr>
        <w:t>UTC：世界协调时（Universal Time Coordinated）</w:t>
      </w:r>
      <w:r>
        <w:rPr>
          <w:b/>
          <w:color w:val="FFFFFF"/>
          <w:sz w:val="0"/>
        </w:rPr>
        <w:t>.</w:t>
      </w:r>
    </w:p>
    <w:p>
      <w:pPr>
        <w:pStyle w:val="a3"/>
        <w:sectPr>
          <w:headerReference w:type="default" r:id="rId8"/>
          <w:footerReference w:type="default" r:id="rId9"/>
          <w:pgSz w:w="11906" w:h="16838"/>
          <w:pgMar w:top="1440" w:right="1800" w:bottom="1440" w:left="1800" w:header="1418" w:footer="1020" w:gutter="0"/>
          <w:pgNumType w:start="1"/>
          <w:cols w:num="1" w:space="425"/>
          <w:formProt w:val="0"/>
          <w:docGrid w:type="lines" w:linePitch="312" w:charSpace="0"/>
        </w:sectPr>
      </w:pPr>
      <w:bookmarkStart w:id="124" w:name="_Toc489017679"/>
      <w:bookmarkStart w:id="125" w:name="_Toc489017992"/>
      <w:r>
        <w:t>BUFR</w:t>
      </w:r>
      <w:r>
        <w:rPr>
          <w:rFonts w:hint="eastAsia"/>
        </w:rPr>
        <w:t>格式适用范围</w:t>
      </w:r>
      <w:bookmarkEnd w:id="124"/>
      <w:bookmarkEnd w:id="125"/>
      <w:r>
        <w:rPr>
          <w:b/>
          <w:color w:val="FFFFFF"/>
          <w:sz w:val="0"/>
        </w:rPr>
        <w:t>.</w:t>
      </w:r>
    </w:p>
    <w:p>
      <w:pPr>
        <w:pStyle w:val="a"/>
      </w:pPr>
      <w:r>
        <w:t>BUFR</w:t>
      </w:r>
      <w:r>
        <w:rPr>
          <w:rFonts w:hint="eastAsia"/>
        </w:rPr>
        <w:t>格式适用于表示各类观测资料以及卫星产品等。</w:t>
      </w:r>
      <w:r>
        <w:rPr>
          <w:b/>
          <w:color w:val="FFFFFF"/>
          <w:sz w:val="0"/>
        </w:rPr>
        <w:t>.</w:t>
      </w:r>
    </w:p>
    <w:p>
      <w:pPr>
        <w:pStyle w:val="a"/>
        <w:rPr>
          <w:rFonts w:hint="eastAsia"/>
        </w:rPr>
      </w:pPr>
      <w:r>
        <w:t>BUFR</w:t>
      </w:r>
      <w:r>
        <w:rPr>
          <w:rFonts w:hint="eastAsia"/>
        </w:rPr>
        <w:t>格式适用于数据的生产、传输、存储和归档环节。</w:t>
      </w:r>
      <w:r>
        <w:rPr>
          <w:b/>
          <w:color w:val="FFFFFF"/>
          <w:sz w:val="0"/>
        </w:rPr>
        <w:t>.</w:t>
      </w:r>
    </w:p>
    <w:p>
      <w:pPr>
        <w:pStyle w:val="a"/>
      </w:pPr>
      <w:r>
        <w:rPr>
          <w:rFonts w:hint="eastAsia"/>
        </w:rPr>
        <w:t>目前，通过国家气象信息中心收集的国内外BUFR资料清单详见附录A。</w:t>
      </w:r>
      <w:r>
        <w:rPr>
          <w:b/>
          <w:color w:val="FFFFFF"/>
          <w:sz w:val="0"/>
        </w:rPr>
        <w:t>.</w:t>
      </w:r>
    </w:p>
    <w:p>
      <w:pPr>
        <w:pStyle w:val="a3"/>
      </w:pPr>
      <w:bookmarkStart w:id="126" w:name="_Toc489017680"/>
      <w:bookmarkStart w:id="127" w:name="_Toc489017993"/>
      <w:r>
        <w:t>BUFR</w:t>
      </w:r>
      <w:r>
        <w:rPr>
          <w:rFonts w:hint="eastAsia"/>
        </w:rPr>
        <w:t>编码说明</w:t>
      </w:r>
      <w:bookmarkEnd w:id="126"/>
      <w:bookmarkEnd w:id="127"/>
      <w:r>
        <w:rPr>
          <w:b/>
          <w:color w:val="FFFFFF"/>
          <w:sz w:val="0"/>
        </w:rPr>
        <w:t>.</w:t>
      </w:r>
    </w:p>
    <w:p>
      <w:pPr>
        <w:pStyle w:val="a0"/>
        <w:ind w:left="0"/>
      </w:pPr>
      <w:bookmarkStart w:id="128" w:name="_Toc489017681"/>
      <w:bookmarkStart w:id="129" w:name="_Toc489017994"/>
      <w:r>
        <w:rPr>
          <w:rFonts w:hint="eastAsia"/>
        </w:rPr>
        <w:t>BUFR格式特点</w:t>
      </w:r>
      <w:bookmarkEnd w:id="128"/>
      <w:bookmarkEnd w:id="129"/>
      <w:r>
        <w:rPr>
          <w:b/>
          <w:color w:val="FFFFFF"/>
          <w:sz w:val="0"/>
        </w:rPr>
        <w:t>.</w:t>
      </w:r>
    </w:p>
    <w:p>
      <w:pPr>
        <w:pStyle w:val="a"/>
      </w:pPr>
      <w:r>
        <w:rPr>
          <w:rFonts w:hint="eastAsia"/>
        </w:rPr>
        <w:t>世界气象组织（WMO）定义的FM 94格式——即BUFR格式，是用连续的二进制数据流表示气象数据，可用于表示数值型或者定性类的数据。1988年，WMO基本系统委员会（CBS）批准BUFR格式试验运行；1991年，发布BUFR第二版本；1995年，发布BUFR第三版本；2005年发布BUFR第四版本，即现行版本。</w:t>
      </w:r>
      <w:r>
        <w:t>BUFR</w:t>
      </w:r>
      <w:r>
        <w:rPr>
          <w:rFonts w:hint="eastAsia"/>
        </w:rPr>
        <w:t>格式具有自描述、表格驱动、可扩展、可压缩以及平台无关性等特点。</w:t>
      </w:r>
      <w:r>
        <w:rPr>
          <w:b/>
          <w:color w:val="FFFFFF"/>
          <w:sz w:val="0"/>
        </w:rPr>
        <w:t>.</w:t>
      </w:r>
    </w:p>
    <w:p>
      <w:pPr>
        <w:pStyle w:val="a11"/>
        <w:tabs>
          <w:tab w:val="left" w:pos="709"/>
          <w:tab w:val="clear" w:pos="1260"/>
        </w:tabs>
        <w:ind w:left="709" w:hanging="283"/>
      </w:pPr>
      <w:r>
        <w:rPr>
          <w:rFonts w:hint="eastAsia"/>
        </w:rPr>
        <w:t>自描述性</w:t>
      </w:r>
      <w:r>
        <w:rPr>
          <w:b/>
          <w:color w:val="FFFFFF"/>
          <w:sz w:val="0"/>
        </w:rPr>
        <w:t>.</w:t>
      </w:r>
    </w:p>
    <w:p>
      <w:pPr>
        <w:pStyle w:val="a11"/>
        <w:numPr>
          <w:ilvl w:val="0"/>
          <w:numId w:val="0"/>
        </w:numPr>
        <w:tabs>
          <w:tab w:val="left" w:pos="0"/>
          <w:tab w:val="clear" w:pos="1260"/>
        </w:tabs>
        <w:ind w:firstLine="426"/>
      </w:pPr>
      <w:r>
        <w:t>BUFR</w:t>
      </w:r>
      <w:r>
        <w:rPr>
          <w:rFonts w:hint="eastAsia"/>
        </w:rPr>
        <w:t>格式数据本身带有元数据信息，数据接收方能够通过数据内部自带的元数据信息获取该数据包含的内容、属性等。</w:t>
      </w:r>
      <w:r>
        <w:rPr>
          <w:b/>
          <w:color w:val="FFFFFF"/>
          <w:sz w:val="0"/>
        </w:rPr>
        <w:t>.</w:t>
      </w:r>
    </w:p>
    <w:p>
      <w:pPr>
        <w:pStyle w:val="a11"/>
        <w:tabs>
          <w:tab w:val="left" w:pos="0"/>
          <w:tab w:val="clear" w:pos="1260"/>
        </w:tabs>
        <w:ind w:left="0" w:firstLine="426"/>
      </w:pPr>
      <w:r>
        <w:rPr>
          <w:rFonts w:hint="eastAsia"/>
        </w:rPr>
        <w:t>表格驱动特性</w:t>
      </w:r>
      <w:r>
        <w:rPr>
          <w:b/>
          <w:color w:val="FFFFFF"/>
          <w:sz w:val="0"/>
        </w:rPr>
        <w:t>.</w:t>
      </w:r>
    </w:p>
    <w:p>
      <w:pPr>
        <w:pStyle w:val="a11"/>
        <w:numPr>
          <w:ilvl w:val="0"/>
          <w:numId w:val="0"/>
        </w:numPr>
        <w:tabs>
          <w:tab w:val="left" w:pos="0"/>
          <w:tab w:val="clear" w:pos="1260"/>
        </w:tabs>
        <w:ind w:firstLine="426"/>
      </w:pPr>
      <w:r>
        <w:t>BUFR</w:t>
      </w:r>
      <w:r>
        <w:rPr>
          <w:rFonts w:hint="eastAsia"/>
        </w:rPr>
        <w:t>格式数据的编解码所需的大量信息都在规范表格中定义，只要编码方和解码方维护同一套表格，即可实现各类数据的统一编码和解码。</w:t>
      </w:r>
      <w:r>
        <w:rPr>
          <w:b/>
          <w:color w:val="FFFFFF"/>
          <w:sz w:val="0"/>
        </w:rPr>
        <w:t>.</w:t>
      </w:r>
    </w:p>
    <w:p>
      <w:pPr>
        <w:pStyle w:val="a11"/>
        <w:tabs>
          <w:tab w:val="left" w:pos="0"/>
          <w:tab w:val="clear" w:pos="1260"/>
        </w:tabs>
        <w:ind w:left="0" w:firstLine="426"/>
      </w:pPr>
      <w:r>
        <w:rPr>
          <w:rFonts w:hint="eastAsia"/>
        </w:rPr>
        <w:t>可扩展性</w:t>
      </w:r>
      <w:r>
        <w:rPr>
          <w:b/>
          <w:color w:val="FFFFFF"/>
          <w:sz w:val="0"/>
        </w:rPr>
        <w:t>.</w:t>
      </w:r>
    </w:p>
    <w:p>
      <w:pPr>
        <w:pStyle w:val="a11"/>
        <w:numPr>
          <w:ilvl w:val="0"/>
          <w:numId w:val="0"/>
        </w:numPr>
        <w:tabs>
          <w:tab w:val="left" w:pos="0"/>
          <w:tab w:val="clear" w:pos="1260"/>
        </w:tabs>
        <w:ind w:firstLine="426"/>
      </w:pPr>
      <w:r>
        <w:t>BUFR</w:t>
      </w:r>
      <w:r>
        <w:rPr>
          <w:rFonts w:hint="eastAsia"/>
        </w:rPr>
        <w:t>格式通过维护统一的码表，并基于该码表制定不同的模板，即可扩展表示多种数据类型。</w:t>
      </w:r>
      <w:r>
        <w:rPr>
          <w:b/>
          <w:color w:val="FFFFFF"/>
          <w:sz w:val="0"/>
        </w:rPr>
        <w:t>.</w:t>
      </w:r>
    </w:p>
    <w:p>
      <w:pPr>
        <w:pStyle w:val="a11"/>
        <w:tabs>
          <w:tab w:val="left" w:pos="0"/>
          <w:tab w:val="clear" w:pos="1260"/>
        </w:tabs>
        <w:ind w:left="0" w:firstLine="426"/>
      </w:pPr>
      <w:r>
        <w:rPr>
          <w:rFonts w:hint="eastAsia"/>
        </w:rPr>
        <w:t>可压缩性</w:t>
      </w:r>
      <w:r>
        <w:rPr>
          <w:b/>
          <w:color w:val="FFFFFF"/>
          <w:sz w:val="0"/>
        </w:rPr>
        <w:t>.</w:t>
      </w:r>
    </w:p>
    <w:p>
      <w:pPr>
        <w:pStyle w:val="a11"/>
        <w:numPr>
          <w:ilvl w:val="0"/>
          <w:numId w:val="0"/>
        </w:numPr>
        <w:tabs>
          <w:tab w:val="left" w:pos="0"/>
          <w:tab w:val="clear" w:pos="1260"/>
        </w:tabs>
        <w:ind w:firstLine="426"/>
      </w:pPr>
      <w:r>
        <w:t>BUFR</w:t>
      </w:r>
      <w:r>
        <w:rPr>
          <w:rFonts w:hint="eastAsia"/>
        </w:rPr>
        <w:t>格式本身采用二进制、以比特为单位表示数据，在数据容量方面较</w:t>
      </w:r>
      <w:r>
        <w:t>ASCII</w:t>
      </w:r>
      <w:r>
        <w:rPr>
          <w:rFonts w:hint="eastAsia"/>
        </w:rPr>
        <w:t>码数据具有明显的优势，除此之外，</w:t>
      </w:r>
      <w:r>
        <w:t>BUFR</w:t>
      </w:r>
      <w:r>
        <w:rPr>
          <w:rFonts w:hint="eastAsia"/>
        </w:rPr>
        <w:t>格式支持通过压缩方式表示多个数据子集，更大程度上缩小数据容量。因此尤其适用于卫星、风廓线等大数据量的资料。</w:t>
      </w:r>
      <w:r>
        <w:rPr>
          <w:b/>
          <w:color w:val="FFFFFF"/>
          <w:sz w:val="0"/>
        </w:rPr>
        <w:t>.</w:t>
      </w:r>
    </w:p>
    <w:p>
      <w:pPr>
        <w:pStyle w:val="a11"/>
        <w:tabs>
          <w:tab w:val="left" w:pos="0"/>
          <w:tab w:val="clear" w:pos="1260"/>
        </w:tabs>
        <w:ind w:left="0" w:firstLine="426"/>
      </w:pPr>
      <w:r>
        <w:rPr>
          <w:rFonts w:hint="eastAsia"/>
        </w:rPr>
        <w:t>平台无关性</w:t>
      </w:r>
      <w:r>
        <w:rPr>
          <w:b/>
          <w:color w:val="FFFFFF"/>
          <w:sz w:val="0"/>
        </w:rPr>
        <w:t>.</w:t>
      </w:r>
    </w:p>
    <w:p>
      <w:pPr>
        <w:pStyle w:val="a11"/>
        <w:numPr>
          <w:ilvl w:val="0"/>
          <w:numId w:val="0"/>
        </w:numPr>
        <w:tabs>
          <w:tab w:val="left" w:pos="0"/>
          <w:tab w:val="clear" w:pos="1260"/>
        </w:tabs>
        <w:ind w:firstLine="426"/>
      </w:pPr>
      <w:r>
        <w:t>BUFR</w:t>
      </w:r>
      <w:r>
        <w:rPr>
          <w:rFonts w:hint="eastAsia"/>
        </w:rPr>
        <w:t>格式为二进制编码，因此与平台无关。</w:t>
      </w:r>
      <w:r>
        <w:rPr>
          <w:b/>
          <w:color w:val="FFFFFF"/>
          <w:sz w:val="0"/>
        </w:rPr>
        <w:t>.</w:t>
      </w:r>
    </w:p>
    <w:p>
      <w:pPr>
        <w:pStyle w:val="a0"/>
        <w:ind w:left="0"/>
      </w:pPr>
      <w:bookmarkStart w:id="130" w:name="_Toc489017995"/>
      <w:bookmarkStart w:id="131" w:name="_Toc489017682"/>
      <w:r>
        <w:t>BUFR</w:t>
      </w:r>
      <w:r>
        <w:rPr>
          <w:rFonts w:hint="eastAsia"/>
        </w:rPr>
        <w:t>各段说明</w:t>
      </w:r>
      <w:bookmarkEnd w:id="130"/>
      <w:bookmarkEnd w:id="131"/>
      <w:r>
        <w:rPr>
          <w:b/>
          <w:color w:val="FFFFFF"/>
          <w:sz w:val="0"/>
        </w:rPr>
        <w:t>.</w:t>
      </w:r>
    </w:p>
    <w:p>
      <w:pPr>
        <w:pStyle w:val="a"/>
      </w:pPr>
      <w:r>
        <w:t>BUFR</w:t>
      </w:r>
      <w:r>
        <w:rPr>
          <w:rFonts w:hint="eastAsia"/>
        </w:rPr>
        <w:t>报文是一连串的二进制流，由</w:t>
      </w:r>
      <w:r>
        <w:t>6</w:t>
      </w:r>
      <w:r>
        <w:rPr>
          <w:rFonts w:hint="eastAsia"/>
        </w:rPr>
        <w:t>段组成。BUFR报文结构如表1所示。</w:t>
      </w:r>
      <w:r>
        <w:rPr>
          <w:b/>
          <w:color w:val="FFFFFF"/>
          <w:sz w:val="0"/>
        </w:rPr>
        <w:t>.</w:t>
      </w:r>
    </w:p>
    <w:p>
      <w:pPr>
        <w:pStyle w:val="a80"/>
        <w:spacing w:after="0" w:afterLines="0"/>
      </w:pPr>
      <w:r>
        <w:t>BUFR</w:t>
      </w:r>
      <w:r>
        <w:rPr>
          <w:rFonts w:hint="eastAsia"/>
        </w:rPr>
        <w:t>报文结构</w:t>
      </w:r>
      <w:r>
        <w:rPr>
          <w:b/>
          <w:color w:val="FFFFFF"/>
          <w:sz w:val="0"/>
        </w:rPr>
        <w:t>.</w:t>
      </w:r>
    </w:p>
    <w:tbl>
      <w:tblPr>
        <w:tblStyle w:val="TableNormal"/>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
      <w:tblGrid>
        <w:gridCol w:w="1419"/>
        <w:gridCol w:w="1420"/>
        <w:gridCol w:w="1420"/>
        <w:gridCol w:w="1420"/>
        <w:gridCol w:w="1420"/>
        <w:gridCol w:w="1423"/>
      </w:tblGrid>
      <w:tr>
        <w:tblPrEx>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Ex>
        <w:trPr>
          <w:jc w:val="center"/>
        </w:trPr>
        <w:tc>
          <w:tcPr>
            <w:tcW w:w="5000" w:type="pct"/>
            <w:gridSpan w:val="6"/>
            <w:tcBorders>
              <w:top w:val="single" w:sz="4" w:space="0" w:color="auto"/>
            </w:tcBorders>
            <w:noWrap w:val="0"/>
            <w:vAlign w:val="top"/>
          </w:tcPr>
          <w:p>
            <w:pPr>
              <w:jc w:val="center"/>
              <w:rPr>
                <w:rFonts w:ascii="宋体"/>
                <w:b/>
                <w:sz w:val="18"/>
              </w:rPr>
            </w:pPr>
            <w:r>
              <w:rPr>
                <w:rFonts w:ascii="宋体" w:hint="eastAsia"/>
                <w:b/>
                <w:sz w:val="18"/>
              </w:rPr>
              <w:t>二进制数据流</w:t>
            </w:r>
          </w:p>
        </w:tc>
      </w:tr>
      <w:tr>
        <w:tblPrEx>
          <w:tblW w:w="5000" w:type="pct"/>
          <w:jc w:val="center"/>
          <w:tblCellMar>
            <w:top w:w="0" w:type="dxa"/>
            <w:left w:w="108" w:type="dxa"/>
            <w:bottom w:w="0" w:type="dxa"/>
            <w:right w:w="108" w:type="dxa"/>
          </w:tblCellMar>
        </w:tblPrEx>
        <w:trPr>
          <w:jc w:val="center"/>
        </w:trPr>
        <w:tc>
          <w:tcPr>
            <w:tcW w:w="833" w:type="pct"/>
            <w:tcBorders>
              <w:top w:val="single" w:sz="8" w:space="0" w:color="auto"/>
              <w:bottom w:val="single" w:sz="8" w:space="0" w:color="auto"/>
            </w:tcBorders>
            <w:noWrap w:val="0"/>
            <w:vAlign w:val="top"/>
          </w:tcPr>
          <w:p>
            <w:pPr>
              <w:rPr>
                <w:rFonts w:ascii="宋体"/>
                <w:sz w:val="18"/>
              </w:rPr>
            </w:pPr>
            <w:r>
              <w:rPr>
                <w:rFonts w:ascii="宋体"/>
                <w:sz w:val="18"/>
              </w:rPr>
              <w:t>0</w:t>
            </w:r>
            <w:r>
              <w:rPr>
                <w:rFonts w:ascii="宋体" w:hint="eastAsia"/>
                <w:sz w:val="18"/>
              </w:rPr>
              <w:t>段</w:t>
            </w:r>
          </w:p>
        </w:tc>
        <w:tc>
          <w:tcPr>
            <w:tcW w:w="833" w:type="pct"/>
            <w:tcBorders>
              <w:top w:val="single" w:sz="8" w:space="0" w:color="auto"/>
              <w:bottom w:val="single" w:sz="8" w:space="0" w:color="auto"/>
            </w:tcBorders>
            <w:noWrap w:val="0"/>
            <w:vAlign w:val="top"/>
          </w:tcPr>
          <w:p>
            <w:pPr>
              <w:rPr>
                <w:rFonts w:ascii="宋体"/>
                <w:sz w:val="18"/>
              </w:rPr>
            </w:pPr>
            <w:r>
              <w:rPr>
                <w:rFonts w:ascii="宋体"/>
                <w:sz w:val="18"/>
              </w:rPr>
              <w:t>1</w:t>
            </w:r>
            <w:r>
              <w:rPr>
                <w:rFonts w:ascii="宋体" w:hint="eastAsia"/>
                <w:sz w:val="18"/>
              </w:rPr>
              <w:t>段</w:t>
            </w:r>
          </w:p>
        </w:tc>
        <w:tc>
          <w:tcPr>
            <w:tcW w:w="833" w:type="pct"/>
            <w:tcBorders>
              <w:top w:val="single" w:sz="8" w:space="0" w:color="auto"/>
              <w:bottom w:val="single" w:sz="8" w:space="0" w:color="auto"/>
            </w:tcBorders>
            <w:noWrap w:val="0"/>
            <w:vAlign w:val="top"/>
          </w:tcPr>
          <w:p>
            <w:pPr>
              <w:rPr>
                <w:rFonts w:ascii="宋体"/>
                <w:sz w:val="18"/>
              </w:rPr>
            </w:pPr>
            <w:r>
              <w:rPr>
                <w:rFonts w:ascii="宋体"/>
                <w:sz w:val="18"/>
              </w:rPr>
              <w:t>2</w:t>
            </w:r>
            <w:r>
              <w:rPr>
                <w:rFonts w:ascii="宋体" w:hint="eastAsia"/>
                <w:sz w:val="18"/>
              </w:rPr>
              <w:t>段</w:t>
            </w:r>
          </w:p>
        </w:tc>
        <w:tc>
          <w:tcPr>
            <w:tcW w:w="833" w:type="pct"/>
            <w:tcBorders>
              <w:top w:val="single" w:sz="8" w:space="0" w:color="auto"/>
              <w:bottom w:val="single" w:sz="8" w:space="0" w:color="auto"/>
            </w:tcBorders>
            <w:noWrap w:val="0"/>
            <w:vAlign w:val="top"/>
          </w:tcPr>
          <w:p>
            <w:pPr>
              <w:rPr>
                <w:rFonts w:ascii="宋体"/>
                <w:sz w:val="18"/>
              </w:rPr>
            </w:pPr>
            <w:r>
              <w:rPr>
                <w:rFonts w:ascii="宋体"/>
                <w:sz w:val="18"/>
              </w:rPr>
              <w:t>3</w:t>
            </w:r>
            <w:r>
              <w:rPr>
                <w:rFonts w:ascii="宋体" w:hint="eastAsia"/>
                <w:sz w:val="18"/>
              </w:rPr>
              <w:t>段</w:t>
            </w:r>
          </w:p>
        </w:tc>
        <w:tc>
          <w:tcPr>
            <w:tcW w:w="833" w:type="pct"/>
            <w:tcBorders>
              <w:top w:val="single" w:sz="8" w:space="0" w:color="auto"/>
              <w:bottom w:val="single" w:sz="8" w:space="0" w:color="auto"/>
            </w:tcBorders>
            <w:noWrap w:val="0"/>
            <w:vAlign w:val="top"/>
          </w:tcPr>
          <w:p>
            <w:pPr>
              <w:rPr>
                <w:rFonts w:ascii="宋体"/>
                <w:sz w:val="18"/>
              </w:rPr>
            </w:pPr>
            <w:r>
              <w:rPr>
                <w:rFonts w:ascii="宋体"/>
                <w:sz w:val="18"/>
              </w:rPr>
              <w:t>4</w:t>
            </w:r>
            <w:r>
              <w:rPr>
                <w:rFonts w:ascii="宋体" w:hint="eastAsia"/>
                <w:sz w:val="18"/>
              </w:rPr>
              <w:t>段</w:t>
            </w:r>
          </w:p>
        </w:tc>
        <w:tc>
          <w:tcPr>
            <w:tcW w:w="835" w:type="pct"/>
            <w:tcBorders>
              <w:top w:val="single" w:sz="8" w:space="0" w:color="auto"/>
              <w:bottom w:val="single" w:sz="8" w:space="0" w:color="auto"/>
            </w:tcBorders>
            <w:noWrap w:val="0"/>
            <w:vAlign w:val="top"/>
          </w:tcPr>
          <w:p>
            <w:pPr>
              <w:rPr>
                <w:rFonts w:ascii="宋体"/>
                <w:sz w:val="18"/>
              </w:rPr>
            </w:pPr>
            <w:r>
              <w:rPr>
                <w:rFonts w:ascii="宋体"/>
                <w:sz w:val="18"/>
              </w:rPr>
              <w:t>5</w:t>
            </w:r>
            <w:r>
              <w:rPr>
                <w:rFonts w:ascii="宋体" w:hint="eastAsia"/>
                <w:sz w:val="18"/>
              </w:rPr>
              <w:t>段</w:t>
            </w:r>
          </w:p>
        </w:tc>
      </w:tr>
    </w:tbl>
    <w:p>
      <w:pPr>
        <w:pStyle w:val="a"/>
      </w:pPr>
      <w:r>
        <w:rPr>
          <w:rFonts w:hint="eastAsia"/>
        </w:rPr>
        <w:t>BUFR各段的含义如表2所示。</w:t>
      </w:r>
      <w:r>
        <w:rPr>
          <w:b/>
          <w:color w:val="FFFFFF"/>
          <w:sz w:val="0"/>
        </w:rPr>
        <w:t>.</w:t>
      </w:r>
    </w:p>
    <w:p>
      <w:pPr>
        <w:pStyle w:val="a80"/>
        <w:tabs>
          <w:tab w:val="left" w:pos="360"/>
        </w:tabs>
        <w:spacing w:after="0" w:afterLines="0"/>
      </w:pPr>
      <w:r>
        <w:t>BUFR</w:t>
      </w:r>
      <w:r>
        <w:rPr>
          <w:rFonts w:hint="eastAsia"/>
        </w:rPr>
        <w:t>各段含义</w:t>
      </w:r>
      <w:r>
        <w:rPr>
          <w:b/>
          <w:color w:val="FFFFFF"/>
          <w:sz w:val="0"/>
        </w:rPr>
        <w:t>.</w:t>
      </w: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601"/>
        <w:gridCol w:w="757"/>
        <w:gridCol w:w="7164"/>
      </w:tblGrid>
      <w:tr>
        <w:tblPrEx>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353" w:type="pct"/>
            <w:shd w:val="clear" w:color="auto" w:fill="auto"/>
            <w:noWrap w:val="0"/>
            <w:vAlign w:val="top"/>
          </w:tcPr>
          <w:p>
            <w:pPr>
              <w:rPr>
                <w:rFonts w:ascii="宋体"/>
                <w:b/>
                <w:sz w:val="18"/>
              </w:rPr>
            </w:pPr>
            <w:r>
              <w:rPr>
                <w:rFonts w:ascii="宋体" w:hint="eastAsia"/>
                <w:b/>
                <w:sz w:val="18"/>
              </w:rPr>
              <w:t>段号</w:t>
            </w:r>
          </w:p>
        </w:tc>
        <w:tc>
          <w:tcPr>
            <w:tcW w:w="444" w:type="pct"/>
            <w:shd w:val="clear" w:color="auto" w:fill="auto"/>
            <w:noWrap w:val="0"/>
            <w:vAlign w:val="top"/>
          </w:tcPr>
          <w:p>
            <w:pPr>
              <w:rPr>
                <w:rFonts w:ascii="宋体"/>
                <w:b/>
                <w:sz w:val="18"/>
              </w:rPr>
            </w:pPr>
            <w:r>
              <w:rPr>
                <w:rFonts w:ascii="宋体" w:hint="eastAsia"/>
                <w:b/>
                <w:sz w:val="18"/>
              </w:rPr>
              <w:t>段名</w:t>
            </w:r>
          </w:p>
        </w:tc>
        <w:tc>
          <w:tcPr>
            <w:tcW w:w="4203" w:type="pct"/>
            <w:shd w:val="clear" w:color="auto" w:fill="auto"/>
            <w:noWrap w:val="0"/>
            <w:vAlign w:val="top"/>
          </w:tcPr>
          <w:p>
            <w:pPr>
              <w:rPr>
                <w:rFonts w:ascii="宋体"/>
                <w:b/>
                <w:sz w:val="18"/>
              </w:rPr>
            </w:pPr>
            <w:r>
              <w:rPr>
                <w:rFonts w:ascii="宋体" w:hint="eastAsia"/>
                <w:b/>
                <w:sz w:val="18"/>
              </w:rPr>
              <w:t>含义</w:t>
            </w:r>
          </w:p>
        </w:tc>
      </w:tr>
      <w:tr>
        <w:tblPrEx>
          <w:tblW w:w="5000" w:type="pct"/>
          <w:tblInd w:w="0" w:type="dxa"/>
          <w:tblCellMar>
            <w:top w:w="0" w:type="dxa"/>
            <w:left w:w="108" w:type="dxa"/>
            <w:bottom w:w="0" w:type="dxa"/>
            <w:right w:w="108" w:type="dxa"/>
          </w:tblCellMar>
        </w:tblPrEx>
        <w:tc>
          <w:tcPr>
            <w:tcW w:w="353" w:type="pct"/>
            <w:shd w:val="clear" w:color="auto" w:fill="auto"/>
            <w:noWrap w:val="0"/>
            <w:vAlign w:val="top"/>
          </w:tcPr>
          <w:p>
            <w:pPr>
              <w:rPr>
                <w:rFonts w:ascii="宋体"/>
                <w:sz w:val="18"/>
              </w:rPr>
            </w:pPr>
            <w:r>
              <w:rPr>
                <w:rFonts w:ascii="宋体"/>
                <w:sz w:val="18"/>
              </w:rPr>
              <w:t>0</w:t>
            </w:r>
            <w:r>
              <w:rPr>
                <w:rFonts w:ascii="宋体" w:hint="eastAsia"/>
                <w:sz w:val="18"/>
              </w:rPr>
              <w:t>段</w:t>
            </w:r>
          </w:p>
        </w:tc>
        <w:tc>
          <w:tcPr>
            <w:tcW w:w="444" w:type="pct"/>
            <w:shd w:val="clear" w:color="auto" w:fill="auto"/>
            <w:noWrap w:val="0"/>
            <w:vAlign w:val="top"/>
          </w:tcPr>
          <w:p>
            <w:pPr>
              <w:rPr>
                <w:rFonts w:ascii="宋体"/>
                <w:sz w:val="18"/>
              </w:rPr>
            </w:pPr>
            <w:r>
              <w:rPr>
                <w:rFonts w:ascii="宋体" w:hint="eastAsia"/>
                <w:sz w:val="18"/>
              </w:rPr>
              <w:t>指示段</w:t>
            </w:r>
          </w:p>
        </w:tc>
        <w:tc>
          <w:tcPr>
            <w:tcW w:w="4203" w:type="pct"/>
            <w:shd w:val="clear" w:color="auto" w:fill="auto"/>
            <w:noWrap w:val="0"/>
            <w:vAlign w:val="top"/>
          </w:tcPr>
          <w:p>
            <w:pPr>
              <w:rPr>
                <w:rFonts w:ascii="宋体"/>
                <w:sz w:val="18"/>
              </w:rPr>
            </w:pPr>
            <w:r>
              <w:rPr>
                <w:rFonts w:ascii="宋体" w:hint="eastAsia"/>
                <w:sz w:val="18"/>
              </w:rPr>
              <w:t>“</w:t>
            </w:r>
            <w:r>
              <w:rPr>
                <w:rFonts w:ascii="宋体"/>
                <w:sz w:val="18"/>
              </w:rPr>
              <w:t>BUFR</w:t>
            </w:r>
            <w:r>
              <w:rPr>
                <w:rFonts w:ascii="宋体" w:hint="eastAsia"/>
                <w:sz w:val="18"/>
              </w:rPr>
              <w:t>”（根据</w:t>
            </w:r>
            <w:r>
              <w:rPr>
                <w:rFonts w:ascii="宋体"/>
                <w:sz w:val="18"/>
              </w:rPr>
              <w:t>CCITT</w:t>
            </w:r>
            <w:r>
              <w:rPr>
                <w:rFonts w:ascii="宋体" w:hint="eastAsia"/>
                <w:sz w:val="18"/>
              </w:rPr>
              <w:t>国际字母</w:t>
            </w:r>
            <w:r>
              <w:rPr>
                <w:rFonts w:ascii="宋体"/>
                <w:sz w:val="18"/>
              </w:rPr>
              <w:t>5</w:t>
            </w:r>
            <w:r>
              <w:rPr>
                <w:rFonts w:ascii="宋体" w:hint="eastAsia"/>
                <w:sz w:val="18"/>
              </w:rPr>
              <w:t>号代码表，功能上相当于</w:t>
            </w:r>
            <w:r>
              <w:rPr>
                <w:rFonts w:ascii="宋体"/>
                <w:sz w:val="18"/>
              </w:rPr>
              <w:t>ASCII</w:t>
            </w:r>
            <w:r>
              <w:rPr>
                <w:rFonts w:ascii="宋体" w:hint="eastAsia"/>
                <w:sz w:val="18"/>
              </w:rPr>
              <w:t>码），</w:t>
            </w:r>
            <w:r>
              <w:rPr>
                <w:rFonts w:ascii="宋体"/>
                <w:sz w:val="18"/>
              </w:rPr>
              <w:t>BUFR</w:t>
            </w:r>
            <w:r>
              <w:rPr>
                <w:rFonts w:ascii="宋体" w:hint="eastAsia"/>
                <w:sz w:val="18"/>
              </w:rPr>
              <w:t>报文长度、</w:t>
            </w:r>
            <w:r>
              <w:rPr>
                <w:rFonts w:ascii="宋体"/>
                <w:sz w:val="18"/>
              </w:rPr>
              <w:t>BUFR</w:t>
            </w:r>
            <w:r>
              <w:rPr>
                <w:rFonts w:ascii="宋体" w:hint="eastAsia"/>
                <w:sz w:val="18"/>
              </w:rPr>
              <w:t>版本号</w:t>
            </w:r>
          </w:p>
        </w:tc>
      </w:tr>
      <w:tr>
        <w:tblPrEx>
          <w:tblW w:w="5000" w:type="pct"/>
          <w:tblInd w:w="0" w:type="dxa"/>
          <w:tblCellMar>
            <w:top w:w="0" w:type="dxa"/>
            <w:left w:w="108" w:type="dxa"/>
            <w:bottom w:w="0" w:type="dxa"/>
            <w:right w:w="108" w:type="dxa"/>
          </w:tblCellMar>
        </w:tblPrEx>
        <w:tc>
          <w:tcPr>
            <w:tcW w:w="353" w:type="pct"/>
            <w:shd w:val="clear" w:color="auto" w:fill="auto"/>
            <w:noWrap w:val="0"/>
            <w:vAlign w:val="top"/>
          </w:tcPr>
          <w:p>
            <w:pPr>
              <w:rPr>
                <w:rFonts w:ascii="宋体"/>
                <w:sz w:val="18"/>
              </w:rPr>
            </w:pPr>
            <w:r>
              <w:rPr>
                <w:rFonts w:ascii="宋体"/>
                <w:sz w:val="18"/>
              </w:rPr>
              <w:t>1</w:t>
            </w:r>
            <w:r>
              <w:rPr>
                <w:rFonts w:ascii="宋体" w:hint="eastAsia"/>
                <w:sz w:val="18"/>
              </w:rPr>
              <w:t>段</w:t>
            </w:r>
          </w:p>
        </w:tc>
        <w:tc>
          <w:tcPr>
            <w:tcW w:w="444" w:type="pct"/>
            <w:shd w:val="clear" w:color="auto" w:fill="auto"/>
            <w:noWrap w:val="0"/>
            <w:vAlign w:val="top"/>
          </w:tcPr>
          <w:p>
            <w:pPr>
              <w:rPr>
                <w:rFonts w:ascii="宋体"/>
                <w:sz w:val="18"/>
              </w:rPr>
            </w:pPr>
            <w:r>
              <w:rPr>
                <w:rFonts w:ascii="宋体" w:hint="eastAsia"/>
                <w:sz w:val="18"/>
              </w:rPr>
              <w:t>标识段</w:t>
            </w:r>
          </w:p>
        </w:tc>
        <w:tc>
          <w:tcPr>
            <w:tcW w:w="4203" w:type="pct"/>
            <w:shd w:val="clear" w:color="auto" w:fill="auto"/>
            <w:noWrap w:val="0"/>
            <w:vAlign w:val="top"/>
          </w:tcPr>
          <w:p>
            <w:pPr>
              <w:rPr>
                <w:rFonts w:ascii="宋体"/>
                <w:sz w:val="18"/>
              </w:rPr>
            </w:pPr>
            <w:r>
              <w:rPr>
                <w:rFonts w:ascii="宋体" w:hint="eastAsia"/>
                <w:sz w:val="18"/>
              </w:rPr>
              <w:t>段长、该报文标识信息</w:t>
            </w:r>
          </w:p>
        </w:tc>
      </w:tr>
      <w:tr>
        <w:tblPrEx>
          <w:tblW w:w="5000" w:type="pct"/>
          <w:tblInd w:w="0" w:type="dxa"/>
          <w:tblCellMar>
            <w:top w:w="0" w:type="dxa"/>
            <w:left w:w="108" w:type="dxa"/>
            <w:bottom w:w="0" w:type="dxa"/>
            <w:right w:w="108" w:type="dxa"/>
          </w:tblCellMar>
        </w:tblPrEx>
        <w:tc>
          <w:tcPr>
            <w:tcW w:w="353" w:type="pct"/>
            <w:shd w:val="clear" w:color="auto" w:fill="auto"/>
            <w:noWrap w:val="0"/>
            <w:vAlign w:val="top"/>
          </w:tcPr>
          <w:p>
            <w:pPr>
              <w:rPr>
                <w:rFonts w:ascii="宋体"/>
                <w:sz w:val="18"/>
              </w:rPr>
            </w:pPr>
            <w:r>
              <w:rPr>
                <w:rFonts w:ascii="宋体"/>
                <w:sz w:val="18"/>
              </w:rPr>
              <w:t>2</w:t>
            </w:r>
            <w:r>
              <w:rPr>
                <w:rFonts w:ascii="宋体" w:hint="eastAsia"/>
                <w:sz w:val="18"/>
              </w:rPr>
              <w:t>段</w:t>
            </w:r>
          </w:p>
        </w:tc>
        <w:tc>
          <w:tcPr>
            <w:tcW w:w="444" w:type="pct"/>
            <w:shd w:val="clear" w:color="auto" w:fill="auto"/>
            <w:noWrap w:val="0"/>
            <w:vAlign w:val="top"/>
          </w:tcPr>
          <w:p>
            <w:pPr>
              <w:rPr>
                <w:rFonts w:ascii="宋体"/>
                <w:sz w:val="18"/>
              </w:rPr>
            </w:pPr>
            <w:r>
              <w:rPr>
                <w:rFonts w:ascii="宋体" w:hint="eastAsia"/>
                <w:sz w:val="18"/>
              </w:rPr>
              <w:t>可选段</w:t>
            </w:r>
          </w:p>
        </w:tc>
        <w:tc>
          <w:tcPr>
            <w:tcW w:w="4203" w:type="pct"/>
            <w:shd w:val="clear" w:color="auto" w:fill="auto"/>
            <w:noWrap w:val="0"/>
            <w:vAlign w:val="top"/>
          </w:tcPr>
          <w:p>
            <w:pPr>
              <w:rPr>
                <w:rFonts w:ascii="宋体"/>
                <w:sz w:val="18"/>
              </w:rPr>
            </w:pPr>
            <w:r>
              <w:rPr>
                <w:rFonts w:ascii="宋体" w:hint="eastAsia"/>
                <w:sz w:val="18"/>
              </w:rPr>
              <w:t>段长以及处理中心本地自定义的任何附加项</w:t>
            </w:r>
          </w:p>
        </w:tc>
      </w:tr>
    </w:tbl>
    <w:p>
      <w:pPr>
        <w:sectPr>
          <w:headerReference w:type="default" r:id="rId10"/>
          <w:footerReference w:type="default" r:id="rId11"/>
          <w:type w:val="nextPage"/>
          <w:pgSz w:w="11906" w:h="16838"/>
          <w:pgMar w:top="1440" w:right="1800" w:bottom="1440" w:left="1800" w:header="1418" w:footer="1020" w:gutter="0"/>
          <w:pgNumType w:start="2"/>
          <w:cols w:num="1" w:space="425"/>
          <w:formProt w:val="0"/>
          <w:titlePg w:val="0"/>
          <w:docGrid w:type="lines" w:linePitch="312" w:charSpace="0"/>
        </w:sect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601"/>
        <w:gridCol w:w="757"/>
        <w:gridCol w:w="7164"/>
      </w:tblGrid>
      <w:tr>
        <w:tblPrEx>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353" w:type="pct"/>
            <w:shd w:val="clear" w:color="auto" w:fill="auto"/>
            <w:noWrap w:val="0"/>
            <w:vAlign w:val="top"/>
          </w:tcPr>
          <w:p>
            <w:pPr>
              <w:rPr>
                <w:rFonts w:ascii="宋体"/>
                <w:sz w:val="18"/>
              </w:rPr>
            </w:pPr>
            <w:r>
              <w:rPr>
                <w:rFonts w:ascii="宋体"/>
                <w:sz w:val="18"/>
              </w:rPr>
              <w:t>3</w:t>
            </w:r>
            <w:r>
              <w:rPr>
                <w:rFonts w:ascii="宋体" w:hint="eastAsia"/>
                <w:sz w:val="18"/>
              </w:rPr>
              <w:t>段</w:t>
            </w:r>
          </w:p>
        </w:tc>
        <w:tc>
          <w:tcPr>
            <w:tcW w:w="444" w:type="pct"/>
            <w:shd w:val="clear" w:color="auto" w:fill="auto"/>
            <w:noWrap w:val="0"/>
            <w:vAlign w:val="top"/>
          </w:tcPr>
          <w:p>
            <w:pPr>
              <w:rPr>
                <w:rFonts w:ascii="宋体"/>
                <w:sz w:val="18"/>
              </w:rPr>
            </w:pPr>
            <w:r>
              <w:rPr>
                <w:rFonts w:ascii="宋体" w:hint="eastAsia"/>
                <w:sz w:val="18"/>
              </w:rPr>
              <w:t>数据描述段</w:t>
            </w:r>
          </w:p>
        </w:tc>
        <w:tc>
          <w:tcPr>
            <w:tcW w:w="4203" w:type="pct"/>
            <w:shd w:val="clear" w:color="auto" w:fill="auto"/>
            <w:noWrap w:val="0"/>
            <w:vAlign w:val="top"/>
          </w:tcPr>
          <w:p>
            <w:pPr>
              <w:rPr>
                <w:rFonts w:ascii="宋体"/>
                <w:sz w:val="18"/>
              </w:rPr>
            </w:pPr>
            <w:r>
              <w:rPr>
                <w:rFonts w:ascii="宋体" w:hint="eastAsia"/>
                <w:sz w:val="18"/>
              </w:rPr>
              <w:t>段长、数据子集个数、数据分类标志、数据压缩标志、以及一系列描述符的集合，这些描述符定义了各个数据要素的格式和内容</w:t>
            </w:r>
          </w:p>
        </w:tc>
      </w:tr>
      <w:tr>
        <w:tblPrEx>
          <w:tblW w:w="5000" w:type="pct"/>
          <w:tblInd w:w="0" w:type="dxa"/>
          <w:tblCellMar>
            <w:top w:w="0" w:type="dxa"/>
            <w:left w:w="108" w:type="dxa"/>
            <w:bottom w:w="0" w:type="dxa"/>
            <w:right w:w="108" w:type="dxa"/>
          </w:tblCellMar>
        </w:tblPrEx>
        <w:tc>
          <w:tcPr>
            <w:tcW w:w="353" w:type="pct"/>
            <w:shd w:val="clear" w:color="auto" w:fill="auto"/>
            <w:noWrap w:val="0"/>
            <w:vAlign w:val="top"/>
          </w:tcPr>
          <w:p>
            <w:pPr>
              <w:rPr>
                <w:rFonts w:ascii="宋体"/>
                <w:sz w:val="18"/>
              </w:rPr>
            </w:pPr>
            <w:r>
              <w:rPr>
                <w:rFonts w:ascii="宋体"/>
                <w:sz w:val="18"/>
              </w:rPr>
              <w:t>4</w:t>
            </w:r>
            <w:r>
              <w:rPr>
                <w:rFonts w:ascii="宋体" w:hint="eastAsia"/>
                <w:sz w:val="18"/>
              </w:rPr>
              <w:t>段</w:t>
            </w:r>
          </w:p>
        </w:tc>
        <w:tc>
          <w:tcPr>
            <w:tcW w:w="444" w:type="pct"/>
            <w:shd w:val="clear" w:color="auto" w:fill="auto"/>
            <w:noWrap w:val="0"/>
            <w:vAlign w:val="top"/>
          </w:tcPr>
          <w:p>
            <w:pPr>
              <w:rPr>
                <w:rFonts w:ascii="宋体"/>
                <w:sz w:val="18"/>
              </w:rPr>
            </w:pPr>
            <w:r>
              <w:rPr>
                <w:rFonts w:ascii="宋体" w:hint="eastAsia"/>
                <w:sz w:val="18"/>
              </w:rPr>
              <w:t>数据段</w:t>
            </w:r>
            <w:r>
              <w:rPr>
                <w:rFonts w:ascii="宋体"/>
                <w:sz w:val="18"/>
              </w:rPr>
              <w:t xml:space="preserve"> </w:t>
            </w:r>
          </w:p>
        </w:tc>
        <w:tc>
          <w:tcPr>
            <w:tcW w:w="4203" w:type="pct"/>
            <w:shd w:val="clear" w:color="auto" w:fill="auto"/>
            <w:noWrap w:val="0"/>
            <w:vAlign w:val="top"/>
          </w:tcPr>
          <w:p>
            <w:pPr>
              <w:rPr>
                <w:rFonts w:ascii="宋体"/>
                <w:sz w:val="18"/>
              </w:rPr>
            </w:pPr>
            <w:r>
              <w:rPr>
                <w:rFonts w:ascii="宋体" w:hint="eastAsia"/>
                <w:sz w:val="18"/>
              </w:rPr>
              <w:t>段长、二进制数据</w:t>
            </w:r>
          </w:p>
        </w:tc>
      </w:tr>
      <w:tr>
        <w:tblPrEx>
          <w:tblW w:w="5000" w:type="pct"/>
          <w:tblInd w:w="0" w:type="dxa"/>
          <w:tblCellMar>
            <w:top w:w="0" w:type="dxa"/>
            <w:left w:w="108" w:type="dxa"/>
            <w:bottom w:w="0" w:type="dxa"/>
            <w:right w:w="108" w:type="dxa"/>
          </w:tblCellMar>
        </w:tblPrEx>
        <w:tc>
          <w:tcPr>
            <w:tcW w:w="353" w:type="pct"/>
            <w:shd w:val="clear" w:color="auto" w:fill="auto"/>
            <w:noWrap w:val="0"/>
            <w:vAlign w:val="top"/>
          </w:tcPr>
          <w:p>
            <w:pPr>
              <w:rPr>
                <w:rFonts w:ascii="宋体"/>
                <w:sz w:val="18"/>
              </w:rPr>
            </w:pPr>
            <w:r>
              <w:rPr>
                <w:rFonts w:ascii="宋体"/>
                <w:sz w:val="18"/>
              </w:rPr>
              <w:t>5</w:t>
            </w:r>
            <w:r>
              <w:rPr>
                <w:rFonts w:ascii="宋体" w:hint="eastAsia"/>
                <w:sz w:val="18"/>
              </w:rPr>
              <w:t>段</w:t>
            </w:r>
          </w:p>
        </w:tc>
        <w:tc>
          <w:tcPr>
            <w:tcW w:w="444" w:type="pct"/>
            <w:shd w:val="clear" w:color="auto" w:fill="auto"/>
            <w:noWrap w:val="0"/>
            <w:vAlign w:val="top"/>
          </w:tcPr>
          <w:p>
            <w:pPr>
              <w:rPr>
                <w:rFonts w:ascii="宋体"/>
                <w:sz w:val="18"/>
              </w:rPr>
            </w:pPr>
            <w:r>
              <w:rPr>
                <w:rFonts w:ascii="宋体" w:hint="eastAsia"/>
                <w:sz w:val="18"/>
              </w:rPr>
              <w:t>结束段</w:t>
            </w:r>
          </w:p>
        </w:tc>
        <w:tc>
          <w:tcPr>
            <w:tcW w:w="4203" w:type="pct"/>
            <w:shd w:val="clear" w:color="auto" w:fill="auto"/>
            <w:noWrap w:val="0"/>
            <w:vAlign w:val="top"/>
          </w:tcPr>
          <w:p>
            <w:pPr>
              <w:rPr>
                <w:rFonts w:ascii="宋体"/>
                <w:sz w:val="18"/>
              </w:rPr>
            </w:pPr>
            <w:r>
              <w:rPr>
                <w:rFonts w:ascii="宋体" w:hint="eastAsia"/>
                <w:sz w:val="18"/>
              </w:rPr>
              <w:t>“</w:t>
            </w:r>
            <w:r>
              <w:rPr>
                <w:rFonts w:ascii="宋体"/>
                <w:sz w:val="18"/>
              </w:rPr>
              <w:t>7777</w:t>
            </w:r>
            <w:r>
              <w:rPr>
                <w:rFonts w:ascii="宋体" w:hint="eastAsia"/>
                <w:sz w:val="18"/>
              </w:rPr>
              <w:t>”（参照</w:t>
            </w:r>
            <w:r>
              <w:rPr>
                <w:rFonts w:ascii="宋体"/>
                <w:sz w:val="18"/>
              </w:rPr>
              <w:t>CCITT</w:t>
            </w:r>
            <w:r>
              <w:rPr>
                <w:rFonts w:ascii="宋体" w:hint="eastAsia"/>
                <w:sz w:val="18"/>
              </w:rPr>
              <w:t>国际</w:t>
            </w:r>
            <w:r>
              <w:rPr>
                <w:rFonts w:ascii="宋体"/>
                <w:sz w:val="18"/>
              </w:rPr>
              <w:t>5</w:t>
            </w:r>
            <w:r>
              <w:rPr>
                <w:rFonts w:ascii="宋体" w:hint="eastAsia"/>
                <w:sz w:val="18"/>
              </w:rPr>
              <w:t>号代码表编码）</w:t>
            </w:r>
          </w:p>
        </w:tc>
      </w:tr>
    </w:tbl>
    <w:p>
      <w:pPr>
        <w:pStyle w:val="a"/>
        <w:rPr>
          <w:rFonts w:hint="eastAsia"/>
        </w:rPr>
      </w:pPr>
      <w:r>
        <w:rPr>
          <w:b/>
          <w:color w:val="FFFFFF"/>
          <w:sz w:val="0"/>
        </w:rPr>
        <w:t>.</w:t>
      </w:r>
    </w:p>
    <w:p>
      <w:pPr>
        <w:pStyle w:val="a"/>
      </w:pPr>
      <w:r>
        <w:t>BUFR</w:t>
      </w:r>
      <w:r>
        <w:rPr>
          <w:rFonts w:hint="eastAsia"/>
        </w:rPr>
        <w:t>的每一段都由一系列八位组构成，八位组意为</w:t>
      </w:r>
      <w:r>
        <w:t>8</w:t>
      </w:r>
      <w:r>
        <w:rPr>
          <w:rFonts w:hint="eastAsia"/>
        </w:rPr>
        <w:t>个比特</w:t>
      </w:r>
      <w:r>
        <w:t>(bit)</w:t>
      </w:r>
      <w:r>
        <w:rPr>
          <w:rFonts w:hint="eastAsia"/>
        </w:rPr>
        <w:t>，之所以没有使用字节（</w:t>
      </w:r>
      <w:r>
        <w:t>byte</w:t>
      </w:r>
      <w:r>
        <w:rPr>
          <w:rFonts w:hint="eastAsia"/>
        </w:rPr>
        <w:t>）</w:t>
      </w:r>
      <w:r>
        <w:t>,</w:t>
      </w:r>
      <w:r>
        <w:rPr>
          <w:rFonts w:hint="eastAsia"/>
        </w:rPr>
        <w:t>是为了避免在后面的描述中要一直强调是</w:t>
      </w:r>
      <w:r>
        <w:t>8</w:t>
      </w:r>
      <w:r>
        <w:rPr>
          <w:rFonts w:hint="eastAsia"/>
        </w:rPr>
        <w:t>个</w:t>
      </w:r>
      <w:r>
        <w:t>bit</w:t>
      </w:r>
      <w:r>
        <w:rPr>
          <w:rFonts w:hint="eastAsia"/>
        </w:rPr>
        <w:t>的字节。而且，在法语中，字节和比特的发音是一样的，采用“八位组”的术语也有效地避免了这个问题。</w:t>
      </w:r>
      <w:r>
        <w:rPr>
          <w:b/>
          <w:color w:val="FFFFFF"/>
          <w:sz w:val="0"/>
        </w:rPr>
        <w:t>.</w:t>
      </w:r>
    </w:p>
    <w:p>
      <w:pPr>
        <w:pStyle w:val="a"/>
      </w:pPr>
      <w:r>
        <w:rPr>
          <w:rFonts w:hint="eastAsia"/>
        </w:rPr>
        <w:t>在每段里，八位组按照第1个、第2个、第3个……的次序排列。八位组中的比特顺序是从比特</w:t>
      </w:r>
      <w:r>
        <w:t>1</w:t>
      </w:r>
      <w:r>
        <w:rPr>
          <w:rFonts w:hint="eastAsia"/>
        </w:rPr>
        <w:t>到比特</w:t>
      </w:r>
      <w:r>
        <w:t>8</w:t>
      </w:r>
      <w:r>
        <w:rPr>
          <w:rFonts w:hint="eastAsia"/>
        </w:rPr>
        <w:t>，比特</w:t>
      </w:r>
      <w:r>
        <w:t>1</w:t>
      </w:r>
      <w:r>
        <w:rPr>
          <w:rFonts w:hint="eastAsia"/>
        </w:rPr>
        <w:t>是最左边的或者叫最高位的。如果一个八位组的最右边或者最低的一个比特位置为1，则其换算成十进制，就是十进制的</w:t>
      </w:r>
      <w:r>
        <w:t>1</w:t>
      </w:r>
      <w:r>
        <w:rPr>
          <w:rFonts w:hint="eastAsia"/>
        </w:rPr>
        <w:t>。</w:t>
      </w:r>
      <w:r>
        <w:rPr>
          <w:b/>
          <w:color w:val="FFFFFF"/>
          <w:sz w:val="0"/>
        </w:rPr>
        <w:t>.</w:t>
      </w:r>
    </w:p>
    <w:p>
      <w:pPr>
        <w:pStyle w:val="a"/>
      </w:pPr>
      <w:r>
        <w:rPr>
          <w:rFonts w:hint="eastAsia"/>
        </w:rPr>
        <w:t>由于在早期，WMO GTS传输带宽有限，且计算机在解码处理时受到内存大小的限制，因此按照惯例，</w:t>
      </w:r>
      <w:r>
        <w:t>BUFR</w:t>
      </w:r>
      <w:r>
        <w:rPr>
          <w:rFonts w:hint="eastAsia"/>
        </w:rPr>
        <w:t>报文被限定在</w:t>
      </w:r>
      <w:r>
        <w:t>15000</w:t>
      </w:r>
      <w:r>
        <w:rPr>
          <w:rFonts w:hint="eastAsia"/>
        </w:rPr>
        <w:t>个八位组或者</w:t>
      </w:r>
      <w:r>
        <w:t>120000</w:t>
      </w:r>
      <w:r>
        <w:rPr>
          <w:rFonts w:hint="eastAsia"/>
        </w:rPr>
        <w:t>比特之内。为了适应这一要求，很多大的BUFR报文被分成多份进行传输。按照目前的传输带宽和计算机处理能力，理论上讲，</w:t>
      </w:r>
      <w:r>
        <w:t>BUFR</w:t>
      </w:r>
      <w:r>
        <w:rPr>
          <w:rFonts w:hint="eastAsia"/>
        </w:rPr>
        <w:t>报文的长度大小是没有上限要求的。</w:t>
      </w:r>
      <w:r>
        <w:rPr>
          <w:b/>
          <w:color w:val="FFFFFF"/>
          <w:sz w:val="0"/>
        </w:rPr>
        <w:t>.</w:t>
      </w:r>
    </w:p>
    <w:p>
      <w:pPr>
        <w:pStyle w:val="a"/>
        <w:rPr>
          <w:rFonts w:hint="eastAsia"/>
        </w:rPr>
      </w:pPr>
      <w:r>
        <w:rPr>
          <w:rFonts w:hint="eastAsia"/>
        </w:rPr>
        <w:t>图1是一个完整的包含</w:t>
      </w:r>
      <w:r>
        <w:t>52</w:t>
      </w:r>
      <w:r>
        <w:rPr>
          <w:rFonts w:hint="eastAsia"/>
        </w:rPr>
        <w:t>个八位组的</w:t>
      </w:r>
      <w:r>
        <w:t>BUFR</w:t>
      </w:r>
      <w:r>
        <w:rPr>
          <w:rFonts w:hint="eastAsia"/>
        </w:rPr>
        <w:t>报文的示例。这个典型的消息包含</w:t>
      </w:r>
      <w:r>
        <w:t>1</w:t>
      </w:r>
      <w:r>
        <w:rPr>
          <w:rFonts w:hint="eastAsia"/>
        </w:rPr>
        <w:t>个温度的观测值是</w:t>
      </w:r>
      <w:r>
        <w:t>295.2K</w:t>
      </w:r>
      <w:r>
        <w:rPr>
          <w:rFonts w:hint="eastAsia"/>
        </w:rPr>
        <w:t>，这次观测来源于</w:t>
      </w:r>
      <w:r>
        <w:t>WMO</w:t>
      </w:r>
      <w:r>
        <w:rPr>
          <w:rFonts w:hint="eastAsia"/>
        </w:rPr>
        <w:t>区站号为</w:t>
      </w:r>
      <w:r>
        <w:t>72491</w:t>
      </w:r>
      <w:r>
        <w:rPr>
          <w:rFonts w:hint="eastAsia"/>
        </w:rPr>
        <w:t>的站。</w:t>
      </w:r>
      <w:r>
        <w:rPr>
          <w:b/>
          <w:color w:val="FFFFFF"/>
          <w:sz w:val="0"/>
        </w:rPr>
        <w:t>.</w:t>
      </w:r>
    </w:p>
    <w:p>
      <w:pPr>
        <w:jc w:val="center"/>
        <w:rPr>
          <w:rFonts w:hint="eastAsia"/>
        </w:rP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45pt;height:209.05pt" coordsize="21600,21600" filled="f" stroked="f">
            <v:imagedata r:id="rId12" o:title=""/>
            <o:lock v:ext="edit" aspectratio="t"/>
            <w10:anchorlock/>
          </v:shape>
        </w:pict>
      </w:r>
      <w:r>
        <w:rPr>
          <w:b/>
          <w:color w:val="FFFFFF"/>
          <w:sz w:val="0"/>
        </w:rPr>
        <w:t>.</w:t>
      </w:r>
    </w:p>
    <w:p>
      <w:pPr>
        <w:pStyle w:val="a82"/>
        <w:spacing w:before="0" w:beforeLines="0"/>
        <w:jc w:val="left"/>
        <w:rPr>
          <w:rFonts w:hint="eastAsia"/>
        </w:rPr>
      </w:pPr>
      <w:r>
        <w:rPr>
          <w:rFonts w:hint="eastAsia"/>
        </w:rPr>
        <w:t>完整的BUFR报文示例</w:t>
      </w:r>
      <w:r>
        <w:rPr>
          <w:b/>
          <w:color w:val="FFFFFF"/>
          <w:sz w:val="0"/>
        </w:rPr>
        <w:t>.</w:t>
      </w:r>
    </w:p>
    <w:p>
      <w:pPr>
        <w:pStyle w:val="a4"/>
        <w:spacing w:before="156" w:after="156"/>
      </w:pPr>
      <w:r>
        <w:t>0</w:t>
      </w:r>
      <w:r>
        <w:rPr>
          <w:rFonts w:hint="eastAsia"/>
        </w:rPr>
        <w:t>段</w:t>
      </w:r>
      <w:r>
        <w:t>-</w:t>
      </w:r>
      <w:r>
        <w:rPr>
          <w:rFonts w:hint="eastAsia"/>
        </w:rPr>
        <w:t>指示段</w:t>
      </w:r>
      <w:r>
        <w:rPr>
          <w:b/>
          <w:color w:val="FFFFFF"/>
          <w:sz w:val="0"/>
        </w:rPr>
        <w:t>.</w:t>
      </w:r>
    </w:p>
    <w:p>
      <w:pPr>
        <w:pStyle w:val="a"/>
        <w:rPr>
          <w:rFonts w:hint="eastAsia"/>
        </w:rPr>
      </w:pPr>
      <w:r>
        <w:rPr>
          <w:rFonts w:hint="eastAsia"/>
        </w:rPr>
        <w:t>0段-指示段由“BUFR”（4个字符按照CCITT A5编码）标志、BUFR报文总长度和BUFR版本号构成。其基本结构如表3所示。</w:t>
      </w:r>
      <w:r>
        <w:rPr>
          <w:b/>
          <w:color w:val="FFFFFF"/>
          <w:sz w:val="0"/>
        </w:rPr>
        <w:t>.</w:t>
      </w:r>
    </w:p>
    <w:p>
      <w:pPr>
        <w:pStyle w:val="a80"/>
        <w:tabs>
          <w:tab w:val="left" w:pos="360"/>
        </w:tabs>
        <w:spacing w:after="0" w:afterLines="0"/>
        <w:rPr>
          <w:rFonts w:hint="eastAsia"/>
        </w:rPr>
      </w:pPr>
      <w:r>
        <w:rPr>
          <w:rFonts w:hint="eastAsia"/>
        </w:rPr>
        <w:t>0段-指示段结构</w:t>
      </w:r>
      <w:r>
        <w:rPr>
          <w:b/>
          <w:color w:val="FFFFFF"/>
          <w:sz w:val="0"/>
        </w:rPr>
        <w:t>.</w:t>
      </w:r>
    </w:p>
    <w:tbl>
      <w:tblPr>
        <w:tblStyle w:val="TableNorm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985"/>
        <w:gridCol w:w="6379"/>
      </w:tblGrid>
      <w:tr>
        <w:tblPrEx>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1985" w:type="dxa"/>
            <w:shd w:val="clear" w:color="auto" w:fill="auto"/>
            <w:noWrap w:val="0"/>
            <w:vAlign w:val="top"/>
          </w:tcPr>
          <w:p>
            <w:pPr>
              <w:rPr>
                <w:rFonts w:ascii="宋体"/>
                <w:b/>
                <w:sz w:val="18"/>
              </w:rPr>
            </w:pPr>
            <w:r>
              <w:rPr>
                <w:rFonts w:ascii="宋体" w:hint="eastAsia"/>
                <w:b/>
                <w:sz w:val="18"/>
              </w:rPr>
              <w:t>八位组序号</w:t>
            </w:r>
          </w:p>
        </w:tc>
        <w:tc>
          <w:tcPr>
            <w:tcW w:w="6379" w:type="dxa"/>
            <w:shd w:val="clear" w:color="auto" w:fill="auto"/>
            <w:noWrap w:val="0"/>
            <w:vAlign w:val="top"/>
          </w:tcPr>
          <w:p>
            <w:pPr>
              <w:rPr>
                <w:rFonts w:ascii="宋体"/>
                <w:b/>
                <w:sz w:val="18"/>
              </w:rPr>
            </w:pPr>
            <w:r>
              <w:rPr>
                <w:rFonts w:ascii="宋体" w:hint="eastAsia"/>
                <w:b/>
                <w:sz w:val="18"/>
              </w:rPr>
              <w:t>意义</w:t>
            </w:r>
          </w:p>
        </w:tc>
      </w:tr>
      <w:tr>
        <w:tblPrEx>
          <w:tblW w:w="0" w:type="auto"/>
          <w:tblInd w:w="108" w:type="dxa"/>
          <w:tblLayout w:type="fixed"/>
          <w:tblCellMar>
            <w:top w:w="0" w:type="dxa"/>
            <w:left w:w="108" w:type="dxa"/>
            <w:bottom w:w="0" w:type="dxa"/>
            <w:right w:w="108" w:type="dxa"/>
          </w:tblCellMar>
        </w:tblPrEx>
        <w:tc>
          <w:tcPr>
            <w:tcW w:w="1985" w:type="dxa"/>
            <w:shd w:val="clear" w:color="auto" w:fill="auto"/>
            <w:noWrap w:val="0"/>
            <w:vAlign w:val="top"/>
          </w:tcPr>
          <w:p>
            <w:pPr>
              <w:rPr>
                <w:rFonts w:ascii="宋体"/>
                <w:sz w:val="18"/>
              </w:rPr>
            </w:pPr>
            <w:r>
              <w:rPr>
                <w:rFonts w:ascii="宋体" w:hint="eastAsia"/>
                <w:sz w:val="18"/>
              </w:rPr>
              <w:t>1</w:t>
            </w:r>
            <w:r>
              <w:rPr>
                <w:rFonts w:ascii="宋体" w:hAnsi="宋体" w:hint="eastAsia"/>
                <w:sz w:val="18"/>
              </w:rPr>
              <w:t>～</w:t>
            </w:r>
            <w:r>
              <w:rPr>
                <w:rFonts w:ascii="宋体" w:hint="eastAsia"/>
                <w:sz w:val="18"/>
              </w:rPr>
              <w:t>4</w:t>
            </w:r>
          </w:p>
        </w:tc>
        <w:tc>
          <w:tcPr>
            <w:tcW w:w="6379" w:type="dxa"/>
            <w:shd w:val="clear" w:color="auto" w:fill="auto"/>
            <w:noWrap w:val="0"/>
            <w:vAlign w:val="top"/>
          </w:tcPr>
          <w:p>
            <w:pPr>
              <w:rPr>
                <w:rFonts w:ascii="宋体"/>
                <w:sz w:val="18"/>
              </w:rPr>
            </w:pPr>
            <w:r>
              <w:rPr>
                <w:rFonts w:ascii="宋体" w:hint="eastAsia"/>
                <w:sz w:val="18"/>
              </w:rPr>
              <w:t>“BUFR”</w:t>
            </w:r>
          </w:p>
        </w:tc>
      </w:tr>
      <w:tr>
        <w:tblPrEx>
          <w:tblW w:w="0" w:type="auto"/>
          <w:tblInd w:w="108" w:type="dxa"/>
          <w:tblLayout w:type="fixed"/>
          <w:tblCellMar>
            <w:top w:w="0" w:type="dxa"/>
            <w:left w:w="108" w:type="dxa"/>
            <w:bottom w:w="0" w:type="dxa"/>
            <w:right w:w="108" w:type="dxa"/>
          </w:tblCellMar>
        </w:tblPrEx>
        <w:tc>
          <w:tcPr>
            <w:tcW w:w="1985" w:type="dxa"/>
            <w:shd w:val="clear" w:color="auto" w:fill="auto"/>
            <w:noWrap w:val="0"/>
            <w:vAlign w:val="top"/>
          </w:tcPr>
          <w:p>
            <w:pPr>
              <w:rPr>
                <w:rFonts w:ascii="宋体"/>
                <w:sz w:val="18"/>
              </w:rPr>
            </w:pPr>
            <w:r>
              <w:rPr>
                <w:rFonts w:ascii="宋体" w:hint="eastAsia"/>
                <w:sz w:val="18"/>
              </w:rPr>
              <w:t>5</w:t>
            </w:r>
            <w:r>
              <w:rPr>
                <w:rFonts w:ascii="宋体" w:hAnsi="宋体" w:hint="eastAsia"/>
                <w:sz w:val="18"/>
              </w:rPr>
              <w:t>～7</w:t>
            </w:r>
          </w:p>
        </w:tc>
        <w:tc>
          <w:tcPr>
            <w:tcW w:w="6379" w:type="dxa"/>
            <w:shd w:val="clear" w:color="auto" w:fill="auto"/>
            <w:noWrap w:val="0"/>
            <w:vAlign w:val="top"/>
          </w:tcPr>
          <w:p>
            <w:pPr>
              <w:rPr>
                <w:rFonts w:ascii="宋体"/>
                <w:sz w:val="18"/>
              </w:rPr>
            </w:pPr>
            <w:r>
              <w:rPr>
                <w:rFonts w:ascii="宋体" w:hint="eastAsia"/>
                <w:sz w:val="18"/>
              </w:rPr>
              <w:t>BUFR报文的总长度（以八位组为单位，包括0段）</w:t>
            </w:r>
          </w:p>
        </w:tc>
      </w:tr>
    </w:tbl>
    <w:p>
      <w:pPr>
        <w:sectPr>
          <w:headerReference w:type="default" r:id="rId13"/>
          <w:footerReference w:type="default" r:id="rId14"/>
          <w:type w:val="nextPage"/>
          <w:pgSz w:w="11906" w:h="16838"/>
          <w:pgMar w:top="1440" w:right="1800" w:bottom="1440" w:left="1800" w:header="1418" w:footer="1020" w:gutter="0"/>
          <w:pgNumType w:start="3"/>
          <w:cols w:num="1" w:space="425"/>
          <w:formProt w:val="0"/>
          <w:titlePg w:val="0"/>
          <w:docGrid w:type="lines" w:linePitch="312" w:charSpace="0"/>
        </w:sectPr>
      </w:pPr>
    </w:p>
    <w:tbl>
      <w:tblPr>
        <w:tblStyle w:val="TableNorm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985"/>
        <w:gridCol w:w="6379"/>
      </w:tblGrid>
      <w:tr>
        <w:tblPrEx>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1985" w:type="dxa"/>
            <w:shd w:val="clear" w:color="auto" w:fill="auto"/>
            <w:noWrap w:val="0"/>
            <w:vAlign w:val="top"/>
          </w:tcPr>
          <w:p>
            <w:pPr>
              <w:rPr>
                <w:rFonts w:ascii="宋体"/>
                <w:sz w:val="18"/>
              </w:rPr>
            </w:pPr>
            <w:r>
              <w:rPr>
                <w:rFonts w:ascii="宋体" w:hint="eastAsia"/>
                <w:sz w:val="18"/>
              </w:rPr>
              <w:t>8</w:t>
            </w:r>
          </w:p>
        </w:tc>
        <w:tc>
          <w:tcPr>
            <w:tcW w:w="6379" w:type="dxa"/>
            <w:shd w:val="clear" w:color="auto" w:fill="auto"/>
            <w:noWrap w:val="0"/>
            <w:vAlign w:val="top"/>
          </w:tcPr>
          <w:p>
            <w:pPr>
              <w:rPr>
                <w:rFonts w:ascii="宋体"/>
                <w:sz w:val="18"/>
              </w:rPr>
            </w:pPr>
            <w:r>
              <w:rPr>
                <w:rFonts w:ascii="宋体" w:hint="eastAsia"/>
                <w:sz w:val="18"/>
              </w:rPr>
              <w:t>BUFR版本号，现行为“4”</w:t>
            </w:r>
          </w:p>
        </w:tc>
      </w:tr>
    </w:tbl>
    <w:p>
      <w:pPr>
        <w:pStyle w:val="a"/>
        <w:rPr>
          <w:rFonts w:hint="eastAsia"/>
        </w:rPr>
      </w:pPr>
      <w:r>
        <w:rPr>
          <w:rFonts w:hint="eastAsia"/>
        </w:rPr>
        <w:t>第</w:t>
      </w:r>
      <w:r>
        <w:t>8</w:t>
      </w:r>
      <w:r>
        <w:rPr>
          <w:rFonts w:hint="eastAsia"/>
        </w:rPr>
        <w:t>个八位组表示</w:t>
      </w:r>
      <w:r>
        <w:t>BUFR</w:t>
      </w:r>
      <w:r>
        <w:rPr>
          <w:rFonts w:hint="eastAsia"/>
        </w:rPr>
        <w:t>版本号，在固定的位置给出</w:t>
      </w:r>
      <w:r>
        <w:t>BUFR</w:t>
      </w:r>
      <w:r>
        <w:rPr>
          <w:rFonts w:hint="eastAsia"/>
        </w:rPr>
        <w:t>版本号，目的是让解码程序在一开始就能识别到版本信息，以便按照不同版本的格式规则对后续段落进行解码。现行</w:t>
      </w:r>
      <w:r>
        <w:t>BUFR</w:t>
      </w:r>
      <w:r>
        <w:rPr>
          <w:rFonts w:hint="eastAsia"/>
        </w:rPr>
        <w:t>版本号是</w:t>
      </w:r>
      <w:r>
        <w:t>4</w:t>
      </w:r>
      <w:r>
        <w:rPr>
          <w:rFonts w:hint="eastAsia"/>
        </w:rPr>
        <w:t>，</w:t>
      </w:r>
      <w:r>
        <w:t>WMO</w:t>
      </w:r>
      <w:r>
        <w:rPr>
          <w:rFonts w:hint="eastAsia"/>
        </w:rPr>
        <w:t>于</w:t>
      </w:r>
      <w:r>
        <w:t>2012</w:t>
      </w:r>
      <w:r>
        <w:rPr>
          <w:rFonts w:hint="eastAsia"/>
        </w:rPr>
        <w:t>年</w:t>
      </w:r>
      <w:r>
        <w:t>11</w:t>
      </w:r>
      <w:r>
        <w:rPr>
          <w:rFonts w:hint="eastAsia"/>
        </w:rPr>
        <w:t>月取消了</w:t>
      </w:r>
      <w:r>
        <w:t>BUFR</w:t>
      </w:r>
      <w:r>
        <w:rPr>
          <w:rFonts w:hint="eastAsia"/>
        </w:rPr>
        <w:t>版本</w:t>
      </w:r>
      <w:r>
        <w:t>3</w:t>
      </w:r>
      <w:r>
        <w:rPr>
          <w:rFonts w:hint="eastAsia"/>
        </w:rPr>
        <w:t>。</w:t>
      </w:r>
      <w:r>
        <w:rPr>
          <w:b/>
          <w:color w:val="FFFFFF"/>
          <w:sz w:val="0"/>
        </w:rPr>
        <w:t>.</w:t>
      </w:r>
    </w:p>
    <w:p>
      <w:pPr>
        <w:pStyle w:val="a"/>
        <w:rPr>
          <w:rFonts w:hint="eastAsia"/>
        </w:rPr>
      </w:pPr>
      <w:r>
        <w:rPr>
          <w:rFonts w:hint="eastAsia"/>
        </w:rPr>
        <w:t>图2是BUFR报文中0段的示例，其中前4个八位组分别是字符‘B’、‘U’、‘F’、‘R</w:t>
      </w:r>
      <w:r>
        <w:t>’</w:t>
      </w:r>
      <w:r>
        <w:rPr>
          <w:rFonts w:hint="eastAsia"/>
        </w:rPr>
        <w:t>；5～7个八位组为52</w:t>
      </w:r>
      <w:r>
        <w:rPr>
          <w:rFonts w:hint="eastAsia"/>
          <w:vertAlign w:val="subscript"/>
        </w:rPr>
        <w:t>10</w:t>
      </w:r>
      <w:r>
        <w:rPr>
          <w:rFonts w:hint="eastAsia"/>
        </w:rPr>
        <w:t>，表示该份BUFR报文的总长度为52个八位组；第8个八位组取值为4</w:t>
      </w:r>
      <w:r>
        <w:rPr>
          <w:rFonts w:hint="eastAsia"/>
          <w:vertAlign w:val="subscript"/>
        </w:rPr>
        <w:t>2</w:t>
      </w:r>
      <w:r>
        <w:rPr>
          <w:rFonts w:hint="eastAsia"/>
        </w:rPr>
        <w:t>，表示该BUFR报文使用的是第4版本。</w:t>
      </w:r>
      <w:r>
        <w:rPr>
          <w:b/>
          <w:color w:val="FFFFFF"/>
          <w:sz w:val="0"/>
        </w:rPr>
        <w:t>.</w:t>
      </w:r>
    </w:p>
    <w:p>
      <w:pPr>
        <w:pStyle w:val="a"/>
        <w:ind w:firstLine="0" w:firstLineChars="0"/>
        <w:jc w:val="center"/>
        <w:rPr>
          <w:rFonts w:hint="eastAsia"/>
        </w:rPr>
      </w:pPr>
      <w:r>
        <w:pict>
          <v:shape id="_x0000_i1026" type="#_x0000_t75" style="width:412.75pt;height:134.4pt" coordsize="21600,21600" filled="f" stroked="f">
            <v:imagedata r:id="rId15" o:title=""/>
            <o:lock v:ext="edit" aspectratio="t"/>
            <w10:anchorlock/>
          </v:shape>
        </w:pict>
      </w:r>
      <w:r>
        <w:rPr>
          <w:b/>
          <w:color w:val="FFFFFF"/>
          <w:sz w:val="0"/>
        </w:rPr>
        <w:t>.</w:t>
      </w:r>
    </w:p>
    <w:p>
      <w:pPr>
        <w:pStyle w:val="a82"/>
        <w:spacing w:before="0" w:beforeLines="0"/>
        <w:ind w:left="0"/>
      </w:pPr>
      <w:r>
        <w:rPr>
          <w:rFonts w:hint="eastAsia"/>
        </w:rPr>
        <w:t>0段-指示段示例</w:t>
      </w:r>
      <w:r>
        <w:rPr>
          <w:b/>
          <w:color w:val="FFFFFF"/>
          <w:sz w:val="0"/>
        </w:rPr>
        <w:t>.</w:t>
      </w:r>
    </w:p>
    <w:p>
      <w:pPr>
        <w:pStyle w:val="a4"/>
        <w:spacing w:before="156" w:after="156"/>
      </w:pPr>
      <w:r>
        <w:t>1</w:t>
      </w:r>
      <w:r>
        <w:rPr>
          <w:rFonts w:hint="eastAsia"/>
        </w:rPr>
        <w:t>段</w:t>
      </w:r>
      <w:r>
        <w:t>-</w:t>
      </w:r>
      <w:r>
        <w:rPr>
          <w:rFonts w:hint="eastAsia"/>
        </w:rPr>
        <w:t>标识段</w:t>
      </w:r>
      <w:r>
        <w:rPr>
          <w:b/>
          <w:color w:val="FFFFFF"/>
          <w:sz w:val="0"/>
        </w:rPr>
        <w:t>.</w:t>
      </w:r>
    </w:p>
    <w:p>
      <w:pPr>
        <w:pStyle w:val="a"/>
        <w:rPr>
          <w:rFonts w:hint="eastAsia"/>
        </w:rPr>
      </w:pPr>
      <w:r>
        <w:rPr>
          <w:rFonts w:hint="eastAsia"/>
        </w:rPr>
        <w:t>1段-标识段由本段段长、BUFR主表标识、数据中心、数据子中心、更新序列号、选编段指示标志、数据类型、数据子类型、本地子类型、主表版本号、本地版本号、编报时间和自定义信息组成。其基本结构如表4所示。</w:t>
      </w:r>
      <w:r>
        <w:rPr>
          <w:b/>
          <w:color w:val="FFFFFF"/>
          <w:sz w:val="0"/>
        </w:rPr>
        <w:t>.</w:t>
      </w:r>
    </w:p>
    <w:p>
      <w:pPr>
        <w:pStyle w:val="a80"/>
        <w:tabs>
          <w:tab w:val="left" w:pos="360"/>
        </w:tabs>
        <w:spacing w:after="0" w:afterLines="0"/>
        <w:rPr>
          <w:rFonts w:hint="eastAsia"/>
        </w:rPr>
      </w:pPr>
      <w:r>
        <w:rPr>
          <w:rFonts w:hint="eastAsia"/>
        </w:rPr>
        <w:t>1段-标识段结构</w:t>
      </w:r>
      <w:r>
        <w:rPr>
          <w:b/>
          <w:color w:val="FFFFFF"/>
          <w:sz w:val="0"/>
        </w:rPr>
        <w:t>.</w:t>
      </w:r>
    </w:p>
    <w:tbl>
      <w:tblPr>
        <w:tblStyle w:val="TableNormal"/>
        <w:tblW w:w="83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418"/>
        <w:gridCol w:w="6946"/>
      </w:tblGrid>
      <w:tr>
        <w:tblPrEx>
          <w:tblW w:w="83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1418" w:type="dxa"/>
            <w:shd w:val="clear" w:color="auto" w:fill="auto"/>
            <w:noWrap w:val="0"/>
            <w:vAlign w:val="top"/>
          </w:tcPr>
          <w:p>
            <w:pPr>
              <w:rPr>
                <w:rFonts w:ascii="宋体"/>
                <w:b/>
                <w:sz w:val="18"/>
              </w:rPr>
            </w:pPr>
            <w:r>
              <w:rPr>
                <w:rFonts w:ascii="宋体" w:hint="eastAsia"/>
                <w:b/>
                <w:sz w:val="18"/>
              </w:rPr>
              <w:t>八位组序号</w:t>
            </w:r>
          </w:p>
        </w:tc>
        <w:tc>
          <w:tcPr>
            <w:tcW w:w="6946" w:type="dxa"/>
            <w:shd w:val="clear" w:color="auto" w:fill="auto"/>
            <w:noWrap w:val="0"/>
            <w:vAlign w:val="top"/>
          </w:tcPr>
          <w:p>
            <w:pPr>
              <w:rPr>
                <w:rFonts w:ascii="宋体"/>
                <w:b/>
                <w:sz w:val="18"/>
              </w:rPr>
            </w:pPr>
            <w:r>
              <w:rPr>
                <w:rFonts w:ascii="宋体" w:hint="eastAsia"/>
                <w:b/>
                <w:sz w:val="18"/>
              </w:rPr>
              <w:t>内容</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w:t>
            </w:r>
            <w:r>
              <w:rPr>
                <w:rFonts w:ascii="宋体" w:hint="eastAsia"/>
                <w:sz w:val="18"/>
                <w:szCs w:val="18"/>
              </w:rPr>
              <w:t>～</w:t>
            </w:r>
            <w:r>
              <w:rPr>
                <w:rFonts w:ascii="宋体" w:hint="eastAsia"/>
                <w:sz w:val="18"/>
              </w:rPr>
              <w:t>3</w:t>
            </w:r>
          </w:p>
        </w:tc>
        <w:tc>
          <w:tcPr>
            <w:tcW w:w="6946" w:type="dxa"/>
            <w:shd w:val="clear" w:color="auto" w:fill="auto"/>
            <w:noWrap w:val="0"/>
            <w:vAlign w:val="top"/>
          </w:tcPr>
          <w:p>
            <w:pPr>
              <w:rPr>
                <w:rFonts w:ascii="宋体"/>
                <w:sz w:val="18"/>
              </w:rPr>
            </w:pPr>
            <w:r>
              <w:rPr>
                <w:rFonts w:ascii="宋体" w:hint="eastAsia"/>
                <w:sz w:val="18"/>
              </w:rPr>
              <w:t>本段长度</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4</w:t>
            </w:r>
          </w:p>
        </w:tc>
        <w:tc>
          <w:tcPr>
            <w:tcW w:w="6946" w:type="dxa"/>
            <w:shd w:val="clear" w:color="auto" w:fill="auto"/>
            <w:noWrap w:val="0"/>
            <w:vAlign w:val="top"/>
          </w:tcPr>
          <w:p>
            <w:pPr>
              <w:rPr>
                <w:rFonts w:ascii="宋体"/>
                <w:sz w:val="18"/>
              </w:rPr>
            </w:pPr>
            <w:r>
              <w:rPr>
                <w:rFonts w:ascii="宋体" w:hint="eastAsia"/>
                <w:sz w:val="18"/>
              </w:rPr>
              <w:t>BUFR主表标识（如果使用标准的WMO FM-94 BUFR表，则该项置0）</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5</w:t>
            </w:r>
            <w:r>
              <w:rPr>
                <w:rFonts w:ascii="宋体" w:hint="eastAsia"/>
                <w:sz w:val="18"/>
                <w:szCs w:val="18"/>
              </w:rPr>
              <w:t>～</w:t>
            </w:r>
            <w:r>
              <w:rPr>
                <w:rFonts w:ascii="宋体" w:hint="eastAsia"/>
                <w:sz w:val="18"/>
              </w:rPr>
              <w:t>6</w:t>
            </w:r>
          </w:p>
        </w:tc>
        <w:tc>
          <w:tcPr>
            <w:tcW w:w="6946" w:type="dxa"/>
            <w:shd w:val="clear" w:color="auto" w:fill="auto"/>
            <w:noWrap w:val="0"/>
            <w:vAlign w:val="top"/>
          </w:tcPr>
          <w:p>
            <w:pPr>
              <w:rPr>
                <w:rFonts w:ascii="宋体"/>
                <w:sz w:val="18"/>
              </w:rPr>
            </w:pPr>
            <w:r>
              <w:rPr>
                <w:rFonts w:ascii="宋体" w:hint="eastAsia"/>
                <w:sz w:val="18"/>
              </w:rPr>
              <w:t>数据中心（C-1或C-11）</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7</w:t>
            </w:r>
            <w:r>
              <w:rPr>
                <w:rFonts w:ascii="宋体" w:hint="eastAsia"/>
                <w:sz w:val="18"/>
                <w:szCs w:val="18"/>
              </w:rPr>
              <w:t>～8</w:t>
            </w:r>
          </w:p>
        </w:tc>
        <w:tc>
          <w:tcPr>
            <w:tcW w:w="6946" w:type="dxa"/>
            <w:shd w:val="clear" w:color="auto" w:fill="auto"/>
            <w:noWrap w:val="0"/>
            <w:vAlign w:val="top"/>
          </w:tcPr>
          <w:p>
            <w:pPr>
              <w:rPr>
                <w:rFonts w:ascii="宋体"/>
                <w:sz w:val="18"/>
              </w:rPr>
            </w:pPr>
            <w:r>
              <w:rPr>
                <w:rFonts w:ascii="宋体" w:hint="eastAsia"/>
                <w:sz w:val="18"/>
              </w:rPr>
              <w:t>数据子中心（C-12）</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9</w:t>
            </w:r>
          </w:p>
        </w:tc>
        <w:tc>
          <w:tcPr>
            <w:tcW w:w="6946" w:type="dxa"/>
            <w:shd w:val="clear" w:color="auto" w:fill="auto"/>
            <w:noWrap w:val="0"/>
            <w:vAlign w:val="top"/>
          </w:tcPr>
          <w:p>
            <w:pPr>
              <w:rPr>
                <w:rFonts w:ascii="宋体"/>
                <w:sz w:val="18"/>
              </w:rPr>
            </w:pPr>
            <w:r>
              <w:rPr>
                <w:rFonts w:ascii="宋体" w:hint="eastAsia"/>
                <w:sz w:val="18"/>
              </w:rPr>
              <w:t>更新序列号（初始值置0，每次更新加1）</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10</w:t>
            </w:r>
          </w:p>
        </w:tc>
        <w:tc>
          <w:tcPr>
            <w:tcW w:w="6946" w:type="dxa"/>
            <w:shd w:val="clear" w:color="auto" w:fill="auto"/>
            <w:noWrap w:val="0"/>
            <w:vAlign w:val="top"/>
          </w:tcPr>
          <w:p>
            <w:pPr>
              <w:rPr>
                <w:rFonts w:ascii="宋体"/>
                <w:sz w:val="18"/>
              </w:rPr>
            </w:pPr>
            <w:r>
              <w:rPr>
                <w:rFonts w:ascii="宋体" w:hint="eastAsia"/>
                <w:sz w:val="18"/>
              </w:rPr>
              <w:t>选编段指示标志Bit 1=0 无选编段；Bit 1=1 有选编段；Bit 2-8：置0（保留）</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11</w:t>
            </w:r>
          </w:p>
        </w:tc>
        <w:tc>
          <w:tcPr>
            <w:tcW w:w="6946" w:type="dxa"/>
            <w:shd w:val="clear" w:color="auto" w:fill="auto"/>
            <w:noWrap w:val="0"/>
            <w:vAlign w:val="top"/>
          </w:tcPr>
          <w:p>
            <w:pPr>
              <w:rPr>
                <w:rFonts w:ascii="宋体"/>
                <w:sz w:val="18"/>
              </w:rPr>
            </w:pPr>
            <w:r>
              <w:rPr>
                <w:rFonts w:ascii="宋体" w:hint="eastAsia"/>
                <w:sz w:val="18"/>
              </w:rPr>
              <w:t>数据类型（BUFR码表A）</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12</w:t>
            </w:r>
          </w:p>
        </w:tc>
        <w:tc>
          <w:tcPr>
            <w:tcW w:w="6946" w:type="dxa"/>
            <w:shd w:val="clear" w:color="auto" w:fill="auto"/>
            <w:noWrap w:val="0"/>
            <w:vAlign w:val="top"/>
          </w:tcPr>
          <w:p>
            <w:pPr>
              <w:rPr>
                <w:rFonts w:ascii="宋体"/>
                <w:sz w:val="18"/>
              </w:rPr>
            </w:pPr>
            <w:r>
              <w:rPr>
                <w:rFonts w:ascii="宋体" w:hint="eastAsia"/>
                <w:sz w:val="18"/>
              </w:rPr>
              <w:t>数据子类型（参见BUFR公共表C-13）</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13</w:t>
            </w:r>
          </w:p>
        </w:tc>
        <w:tc>
          <w:tcPr>
            <w:tcW w:w="6946" w:type="dxa"/>
            <w:shd w:val="clear" w:color="auto" w:fill="auto"/>
            <w:noWrap w:val="0"/>
            <w:vAlign w:val="top"/>
          </w:tcPr>
          <w:p>
            <w:pPr>
              <w:rPr>
                <w:rFonts w:ascii="宋体"/>
                <w:sz w:val="18"/>
              </w:rPr>
            </w:pPr>
            <w:r>
              <w:rPr>
                <w:rFonts w:ascii="宋体" w:hint="eastAsia"/>
                <w:sz w:val="18"/>
              </w:rPr>
              <w:t>本地子类型</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14</w:t>
            </w:r>
          </w:p>
        </w:tc>
        <w:tc>
          <w:tcPr>
            <w:tcW w:w="6946" w:type="dxa"/>
            <w:shd w:val="clear" w:color="auto" w:fill="auto"/>
            <w:noWrap w:val="0"/>
            <w:vAlign w:val="top"/>
          </w:tcPr>
          <w:p>
            <w:pPr>
              <w:rPr>
                <w:rFonts w:ascii="宋体"/>
                <w:sz w:val="18"/>
              </w:rPr>
            </w:pPr>
            <w:r>
              <w:rPr>
                <w:rFonts w:ascii="宋体" w:hint="eastAsia"/>
                <w:sz w:val="18"/>
              </w:rPr>
              <w:t>主表版本号</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15</w:t>
            </w:r>
          </w:p>
        </w:tc>
        <w:tc>
          <w:tcPr>
            <w:tcW w:w="6946" w:type="dxa"/>
            <w:shd w:val="clear" w:color="auto" w:fill="auto"/>
            <w:noWrap w:val="0"/>
            <w:vAlign w:val="top"/>
          </w:tcPr>
          <w:p>
            <w:pPr>
              <w:rPr>
                <w:rFonts w:ascii="宋体"/>
                <w:sz w:val="18"/>
              </w:rPr>
            </w:pPr>
            <w:r>
              <w:rPr>
                <w:rFonts w:ascii="宋体" w:hint="eastAsia"/>
                <w:sz w:val="18"/>
              </w:rPr>
              <w:t>本地版本号</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16</w:t>
            </w:r>
            <w:r>
              <w:rPr>
                <w:rFonts w:ascii="宋体" w:hint="eastAsia"/>
                <w:sz w:val="18"/>
                <w:szCs w:val="18"/>
              </w:rPr>
              <w:t>～</w:t>
            </w:r>
            <w:r>
              <w:rPr>
                <w:rFonts w:ascii="宋体" w:hint="eastAsia"/>
                <w:sz w:val="18"/>
              </w:rPr>
              <w:t>17</w:t>
            </w:r>
          </w:p>
        </w:tc>
        <w:tc>
          <w:tcPr>
            <w:tcW w:w="6946" w:type="dxa"/>
            <w:shd w:val="clear" w:color="auto" w:fill="auto"/>
            <w:noWrap w:val="0"/>
            <w:vAlign w:val="top"/>
          </w:tcPr>
          <w:p>
            <w:pPr>
              <w:rPr>
                <w:rFonts w:ascii="宋体"/>
                <w:sz w:val="18"/>
              </w:rPr>
            </w:pPr>
            <w:r>
              <w:rPr>
                <w:rFonts w:ascii="宋体" w:hint="eastAsia"/>
                <w:sz w:val="18"/>
              </w:rPr>
              <w:t>年</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18</w:t>
            </w:r>
          </w:p>
        </w:tc>
        <w:tc>
          <w:tcPr>
            <w:tcW w:w="6946" w:type="dxa"/>
            <w:shd w:val="clear" w:color="auto" w:fill="auto"/>
            <w:noWrap w:val="0"/>
            <w:vAlign w:val="top"/>
          </w:tcPr>
          <w:p>
            <w:pPr>
              <w:rPr>
                <w:rFonts w:ascii="宋体"/>
                <w:sz w:val="18"/>
              </w:rPr>
            </w:pPr>
            <w:r>
              <w:rPr>
                <w:rFonts w:ascii="宋体" w:hint="eastAsia"/>
                <w:sz w:val="18"/>
              </w:rPr>
              <w:t>月</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19</w:t>
            </w:r>
          </w:p>
        </w:tc>
        <w:tc>
          <w:tcPr>
            <w:tcW w:w="6946" w:type="dxa"/>
            <w:shd w:val="clear" w:color="auto" w:fill="auto"/>
            <w:noWrap w:val="0"/>
            <w:vAlign w:val="top"/>
          </w:tcPr>
          <w:p>
            <w:pPr>
              <w:rPr>
                <w:rFonts w:ascii="宋体"/>
                <w:sz w:val="18"/>
              </w:rPr>
            </w:pPr>
            <w:r>
              <w:rPr>
                <w:rFonts w:ascii="宋体" w:hint="eastAsia"/>
                <w:sz w:val="18"/>
              </w:rPr>
              <w:t>日</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20</w:t>
            </w:r>
          </w:p>
        </w:tc>
        <w:tc>
          <w:tcPr>
            <w:tcW w:w="6946" w:type="dxa"/>
            <w:shd w:val="clear" w:color="auto" w:fill="auto"/>
            <w:noWrap w:val="0"/>
            <w:vAlign w:val="top"/>
          </w:tcPr>
          <w:p>
            <w:pPr>
              <w:rPr>
                <w:rFonts w:ascii="宋体"/>
                <w:sz w:val="18"/>
              </w:rPr>
            </w:pPr>
            <w:r>
              <w:rPr>
                <w:rFonts w:ascii="宋体" w:hint="eastAsia"/>
                <w:sz w:val="18"/>
              </w:rPr>
              <w:t>时</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21</w:t>
            </w:r>
          </w:p>
        </w:tc>
        <w:tc>
          <w:tcPr>
            <w:tcW w:w="6946" w:type="dxa"/>
            <w:shd w:val="clear" w:color="auto" w:fill="auto"/>
            <w:noWrap w:val="0"/>
            <w:vAlign w:val="top"/>
          </w:tcPr>
          <w:p>
            <w:pPr>
              <w:rPr>
                <w:rFonts w:ascii="宋体"/>
                <w:sz w:val="18"/>
              </w:rPr>
            </w:pPr>
            <w:r>
              <w:rPr>
                <w:rFonts w:ascii="宋体" w:hint="eastAsia"/>
                <w:sz w:val="18"/>
              </w:rPr>
              <w:t>分</w:t>
            </w:r>
          </w:p>
        </w:tc>
      </w:tr>
    </w:tbl>
    <w:p>
      <w:pPr>
        <w:sectPr>
          <w:headerReference w:type="default" r:id="rId16"/>
          <w:footerReference w:type="default" r:id="rId17"/>
          <w:type w:val="nextPage"/>
          <w:pgSz w:w="11906" w:h="16838"/>
          <w:pgMar w:top="1440" w:right="1800" w:bottom="1440" w:left="1800" w:header="1418" w:footer="1020" w:gutter="0"/>
          <w:pgNumType w:start="4"/>
          <w:cols w:num="1" w:space="425"/>
          <w:formProt w:val="0"/>
          <w:titlePg w:val="0"/>
          <w:docGrid w:type="lines" w:linePitch="312" w:charSpace="0"/>
        </w:sectPr>
      </w:pPr>
    </w:p>
    <w:tbl>
      <w:tblPr>
        <w:tblStyle w:val="TableNormal"/>
        <w:tblW w:w="83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418"/>
        <w:gridCol w:w="6946"/>
      </w:tblGrid>
      <w:tr>
        <w:tblPrEx>
          <w:tblW w:w="83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22</w:t>
            </w:r>
          </w:p>
        </w:tc>
        <w:tc>
          <w:tcPr>
            <w:tcW w:w="6946" w:type="dxa"/>
            <w:shd w:val="clear" w:color="auto" w:fill="auto"/>
            <w:noWrap w:val="0"/>
            <w:vAlign w:val="top"/>
          </w:tcPr>
          <w:p>
            <w:pPr>
              <w:rPr>
                <w:rFonts w:ascii="宋体"/>
                <w:sz w:val="18"/>
              </w:rPr>
            </w:pPr>
            <w:r>
              <w:rPr>
                <w:rFonts w:ascii="宋体" w:hint="eastAsia"/>
                <w:sz w:val="18"/>
              </w:rPr>
              <w:t>秒</w:t>
            </w:r>
          </w:p>
        </w:tc>
      </w:tr>
      <w:tr>
        <w:tblPrEx>
          <w:tblW w:w="8364" w:type="dxa"/>
          <w:tblInd w:w="0" w:type="dxa"/>
          <w:tblLayout w:type="fixed"/>
          <w:tblCellMar>
            <w:top w:w="0" w:type="dxa"/>
            <w:left w:w="108" w:type="dxa"/>
            <w:bottom w:w="0" w:type="dxa"/>
            <w:right w:w="108" w:type="dxa"/>
          </w:tblCellMar>
        </w:tblPrEx>
        <w:tc>
          <w:tcPr>
            <w:tcW w:w="1418" w:type="dxa"/>
            <w:shd w:val="clear" w:color="auto" w:fill="auto"/>
            <w:noWrap w:val="0"/>
            <w:vAlign w:val="top"/>
          </w:tcPr>
          <w:p>
            <w:pPr>
              <w:rPr>
                <w:rFonts w:ascii="宋体"/>
                <w:sz w:val="18"/>
              </w:rPr>
            </w:pPr>
            <w:r>
              <w:rPr>
                <w:rFonts w:ascii="宋体" w:hint="eastAsia"/>
                <w:sz w:val="18"/>
              </w:rPr>
              <w:t>23</w:t>
            </w:r>
            <w:r>
              <w:rPr>
                <w:rFonts w:ascii="宋体" w:hint="eastAsia"/>
                <w:sz w:val="18"/>
                <w:szCs w:val="18"/>
              </w:rPr>
              <w:t>～</w:t>
            </w:r>
          </w:p>
        </w:tc>
        <w:tc>
          <w:tcPr>
            <w:tcW w:w="6946" w:type="dxa"/>
            <w:shd w:val="clear" w:color="auto" w:fill="auto"/>
            <w:noWrap w:val="0"/>
            <w:vAlign w:val="top"/>
          </w:tcPr>
          <w:p>
            <w:pPr>
              <w:rPr>
                <w:rFonts w:ascii="宋体"/>
                <w:sz w:val="18"/>
              </w:rPr>
            </w:pPr>
            <w:r>
              <w:rPr>
                <w:rFonts w:ascii="宋体" w:hint="eastAsia"/>
                <w:sz w:val="18"/>
              </w:rPr>
              <w:t>保留，供数据中心本地使用</w:t>
            </w:r>
          </w:p>
        </w:tc>
      </w:tr>
    </w:tbl>
    <w:p>
      <w:pPr>
        <w:pStyle w:val="a"/>
        <w:rPr>
          <w:rFonts w:hint="eastAsia"/>
        </w:rPr>
      </w:pPr>
      <w:r>
        <w:rPr>
          <w:rFonts w:hint="eastAsia"/>
        </w:rPr>
        <w:t>BUFR报文</w:t>
      </w:r>
      <w:r>
        <w:t>1</w:t>
      </w:r>
      <w:r>
        <w:rPr>
          <w:rFonts w:hint="eastAsia"/>
        </w:rPr>
        <w:t>段的长度是可变的。从第23个八位组开始，数据处理中心本地可以自定义任何信息，而解码段的应用可以不必了解这些自定义信息是什么含义。解码应用可以根据</w:t>
      </w:r>
      <w:r>
        <w:t>1</w:t>
      </w:r>
      <w:r>
        <w:rPr>
          <w:rFonts w:hint="eastAsia"/>
        </w:rPr>
        <w:t>段的段长，跳过第23个八位组之后的内容，直至</w:t>
      </w:r>
      <w:r>
        <w:t>2</w:t>
      </w:r>
      <w:r>
        <w:rPr>
          <w:rFonts w:hint="eastAsia"/>
        </w:rPr>
        <w:t>段，或者没有</w:t>
      </w:r>
      <w:r>
        <w:t>2</w:t>
      </w:r>
      <w:r>
        <w:rPr>
          <w:rFonts w:hint="eastAsia"/>
        </w:rPr>
        <w:t>段的话直接跳到</w:t>
      </w:r>
      <w:r>
        <w:t>3</w:t>
      </w:r>
      <w:r>
        <w:rPr>
          <w:rFonts w:hint="eastAsia"/>
        </w:rPr>
        <w:t>段。</w:t>
      </w:r>
      <w:r>
        <w:rPr>
          <w:b/>
          <w:color w:val="FFFFFF"/>
          <w:sz w:val="0"/>
        </w:rPr>
        <w:t>.</w:t>
      </w:r>
    </w:p>
    <w:p>
      <w:pPr>
        <w:pStyle w:val="a"/>
        <w:rPr>
          <w:rFonts w:hint="eastAsia"/>
        </w:rPr>
      </w:pPr>
      <w:r>
        <w:rPr>
          <w:rFonts w:hint="eastAsia"/>
        </w:rPr>
        <w:t>图3是BUFR报文中1段的示例，其中前4个八位组分别是1段的段长，为23</w:t>
      </w:r>
      <w:r>
        <w:rPr>
          <w:rFonts w:hint="eastAsia"/>
          <w:vertAlign w:val="subscript"/>
        </w:rPr>
        <w:t>10</w:t>
      </w:r>
      <w:r>
        <w:rPr>
          <w:rFonts w:hint="eastAsia"/>
        </w:rPr>
        <w:t>个八位组；第4个八位组置为0，保留；第5～6个八位组为38</w:t>
      </w:r>
      <w:r>
        <w:rPr>
          <w:rFonts w:hint="eastAsia"/>
          <w:vertAlign w:val="subscript"/>
        </w:rPr>
        <w:t>10</w:t>
      </w:r>
      <w:r>
        <w:rPr>
          <w:rFonts w:hint="eastAsia"/>
        </w:rPr>
        <w:t>，从表C-1可知，表示数据中心为北京；第7～8个八位组为0</w:t>
      </w:r>
      <w:r>
        <w:rPr>
          <w:rFonts w:hint="eastAsia"/>
          <w:vertAlign w:val="subscript"/>
        </w:rPr>
        <w:t>10</w:t>
      </w:r>
      <w:r>
        <w:rPr>
          <w:rFonts w:hint="eastAsia"/>
        </w:rPr>
        <w:t>，表示未置数据加工子中心。</w:t>
      </w:r>
      <w:r>
        <w:rPr>
          <w:b/>
          <w:color w:val="FFFFFF"/>
          <w:sz w:val="0"/>
        </w:rPr>
        <w:t>.</w:t>
      </w:r>
    </w:p>
    <w:p>
      <w:pPr>
        <w:pStyle w:val="a"/>
        <w:ind w:firstLine="0" w:firstLineChars="0"/>
        <w:jc w:val="center"/>
        <w:rPr>
          <w:rFonts w:hint="eastAsia"/>
        </w:rPr>
      </w:pPr>
      <w:r>
        <w:rPr>
          <w:rFonts w:hint="eastAsia"/>
          <w:bdr w:val="single" w:sz="8" w:space="0" w:color="DDD9C3"/>
        </w:rPr>
        <w:pict>
          <v:shape id="_x0000_i1027" type="#_x0000_t75" style="width:377.8pt;height:190.75pt" coordsize="21600,21600" filled="f" stroked="f">
            <v:imagedata r:id="rId18" o:title=""/>
            <o:lock v:ext="edit" aspectratio="t"/>
            <w10:anchorlock/>
          </v:shape>
        </w:pict>
      </w:r>
      <w:r>
        <w:rPr>
          <w:b/>
          <w:color w:val="FFFFFF"/>
          <w:sz w:val="0"/>
        </w:rPr>
        <w:t>.</w:t>
      </w:r>
    </w:p>
    <w:p>
      <w:pPr>
        <w:pStyle w:val="a82"/>
        <w:spacing w:before="0" w:beforeLines="0"/>
        <w:jc w:val="left"/>
      </w:pPr>
      <w:r>
        <w:rPr>
          <w:rFonts w:hint="eastAsia"/>
        </w:rPr>
        <w:t>1段-标识段示例</w:t>
      </w:r>
      <w:r>
        <w:rPr>
          <w:b/>
          <w:color w:val="FFFFFF"/>
          <w:sz w:val="0"/>
        </w:rPr>
        <w:t>.</w:t>
      </w:r>
    </w:p>
    <w:p>
      <w:pPr>
        <w:pStyle w:val="a4"/>
        <w:spacing w:before="156" w:after="156"/>
      </w:pPr>
      <w:r>
        <w:t>2</w:t>
      </w:r>
      <w:r>
        <w:rPr>
          <w:rFonts w:hint="eastAsia"/>
        </w:rPr>
        <w:t>段</w:t>
      </w:r>
      <w:r>
        <w:t>-</w:t>
      </w:r>
      <w:r>
        <w:rPr>
          <w:rFonts w:hint="eastAsia"/>
        </w:rPr>
        <w:t>可选段</w:t>
      </w:r>
      <w:r>
        <w:rPr>
          <w:b/>
          <w:color w:val="FFFFFF"/>
          <w:sz w:val="0"/>
        </w:rPr>
        <w:t>.</w:t>
      </w:r>
    </w:p>
    <w:p>
      <w:pPr>
        <w:pStyle w:val="a"/>
      </w:pPr>
      <w:r>
        <w:t>2</w:t>
      </w:r>
      <w:r>
        <w:rPr>
          <w:rFonts w:hint="eastAsia"/>
        </w:rPr>
        <w:t>段-可选段在</w:t>
      </w:r>
      <w:r>
        <w:t>BUFR</w:t>
      </w:r>
      <w:r>
        <w:rPr>
          <w:rFonts w:hint="eastAsia"/>
        </w:rPr>
        <w:t>报文中是可编可不编的，如果</w:t>
      </w:r>
      <w:r>
        <w:t>1</w:t>
      </w:r>
      <w:r>
        <w:rPr>
          <w:rFonts w:hint="eastAsia"/>
        </w:rPr>
        <w:t>段的第</w:t>
      </w:r>
      <w:r>
        <w:t>8</w:t>
      </w:r>
      <w:r>
        <w:rPr>
          <w:rFonts w:hint="eastAsia"/>
        </w:rPr>
        <w:t>个八位组的第</w:t>
      </w:r>
      <w:r>
        <w:t>1</w:t>
      </w:r>
      <w:r>
        <w:rPr>
          <w:rFonts w:hint="eastAsia"/>
        </w:rPr>
        <w:t>个比特置为</w:t>
      </w:r>
      <w:r>
        <w:t>1</w:t>
      </w:r>
      <w:r>
        <w:rPr>
          <w:rFonts w:hint="eastAsia"/>
        </w:rPr>
        <w:t>，则包含</w:t>
      </w:r>
      <w:r>
        <w:t>2</w:t>
      </w:r>
      <w:r>
        <w:rPr>
          <w:rFonts w:hint="eastAsia"/>
        </w:rPr>
        <w:t>段；如果那个比特位置为</w:t>
      </w:r>
      <w:r>
        <w:t>0</w:t>
      </w:r>
      <w:r>
        <w:rPr>
          <w:rFonts w:hint="eastAsia"/>
        </w:rPr>
        <w:t>，则这份报文中不包含</w:t>
      </w:r>
      <w:r>
        <w:t>2</w:t>
      </w:r>
      <w:r>
        <w:rPr>
          <w:rFonts w:hint="eastAsia"/>
        </w:rPr>
        <w:t>段。数据源中心可以根据自己的意愿来使用</w:t>
      </w:r>
      <w:r>
        <w:t>2</w:t>
      </w:r>
      <w:r>
        <w:rPr>
          <w:rFonts w:hint="eastAsia"/>
        </w:rPr>
        <w:t>段，唯一的限制是：这一段的</w:t>
      </w:r>
      <w:r>
        <w:t>1-3</w:t>
      </w:r>
      <w:r>
        <w:rPr>
          <w:rFonts w:hint="eastAsia"/>
        </w:rPr>
        <w:t>个八位组仍然需要表示段长，第</w:t>
      </w:r>
      <w:r>
        <w:t>4</w:t>
      </w:r>
      <w:r>
        <w:rPr>
          <w:rFonts w:hint="eastAsia"/>
        </w:rPr>
        <w:t>个八位组置为</w:t>
      </w:r>
      <w:r>
        <w:t>0</w:t>
      </w:r>
      <w:r>
        <w:rPr>
          <w:rFonts w:hint="eastAsia"/>
        </w:rPr>
        <w:t>。</w:t>
      </w:r>
      <w:r>
        <w:rPr>
          <w:b/>
          <w:color w:val="FFFFFF"/>
          <w:sz w:val="0"/>
        </w:rPr>
        <w:t>.</w:t>
      </w:r>
    </w:p>
    <w:p>
      <w:pPr>
        <w:pStyle w:val="a"/>
      </w:pPr>
      <w:r>
        <w:rPr>
          <w:rFonts w:hint="eastAsia"/>
        </w:rPr>
        <w:t>可选段的一个典型应用就是用于基本的数据上下文。可选段可以包含一些指向数据段的指针，这些指针指出数据段对应于每一次观测的各个数据子集的起始位置（例如每次观测数据的长度）。可选段也可以包含一些更复杂的排序后的索引，比如</w:t>
      </w:r>
      <w:r>
        <w:t>WMO</w:t>
      </w:r>
      <w:r>
        <w:rPr>
          <w:rFonts w:hint="eastAsia"/>
        </w:rPr>
        <w:t>区站号等，这样如果要到数据段中去定位一个特定的数据要素就简单多了，不需要将整个</w:t>
      </w:r>
      <w:r>
        <w:t>BUFR</w:t>
      </w:r>
      <w:r>
        <w:rPr>
          <w:rFonts w:hint="eastAsia"/>
        </w:rPr>
        <w:t>数据都解码后才能得到，而是能够通过这些索引迅速地定位。</w:t>
      </w:r>
      <w:r>
        <w:rPr>
          <w:b/>
          <w:color w:val="FFFFFF"/>
          <w:sz w:val="0"/>
        </w:rPr>
        <w:t>.</w:t>
      </w:r>
    </w:p>
    <w:p>
      <w:pPr>
        <w:pStyle w:val="a4"/>
        <w:spacing w:before="156" w:after="156"/>
      </w:pPr>
      <w:r>
        <w:t>3</w:t>
      </w:r>
      <w:r>
        <w:rPr>
          <w:rFonts w:hint="eastAsia"/>
        </w:rPr>
        <w:t>段</w:t>
      </w:r>
      <w:r>
        <w:t>-</w:t>
      </w:r>
      <w:r>
        <w:rPr>
          <w:rFonts w:hint="eastAsia"/>
        </w:rPr>
        <w:t>数据描述段</w:t>
      </w:r>
      <w:r>
        <w:rPr>
          <w:b/>
          <w:color w:val="FFFFFF"/>
          <w:sz w:val="0"/>
        </w:rPr>
        <w:t>.</w:t>
      </w:r>
    </w:p>
    <w:p>
      <w:pPr>
        <w:pStyle w:val="a"/>
        <w:rPr>
          <w:rFonts w:hint="eastAsia"/>
        </w:rPr>
      </w:pPr>
      <w:r>
        <w:rPr>
          <w:rFonts w:hint="eastAsia"/>
        </w:rPr>
        <w:t>3段-数据描述段由本段段长、数据子集个数、观测和压缩标志以及描述符序列组成。其基本结构如表5所示。</w:t>
      </w:r>
      <w:r>
        <w:rPr>
          <w:b/>
          <w:color w:val="FFFFFF"/>
          <w:sz w:val="0"/>
        </w:rPr>
        <w:t>.</w:t>
      </w:r>
    </w:p>
    <w:p>
      <w:pPr>
        <w:pStyle w:val="a80"/>
        <w:tabs>
          <w:tab w:val="left" w:pos="360"/>
        </w:tabs>
        <w:spacing w:after="0" w:afterLines="0"/>
        <w:rPr>
          <w:rFonts w:hint="eastAsia"/>
        </w:rPr>
      </w:pPr>
      <w:r>
        <w:rPr>
          <w:rFonts w:hint="eastAsia"/>
        </w:rPr>
        <w:t>3段-数据描述段结构</w:t>
      </w:r>
      <w:r>
        <w:rPr>
          <w:b/>
          <w:color w:val="FFFFFF"/>
          <w:sz w:val="0"/>
        </w:rPr>
        <w:t>.</w:t>
      </w:r>
    </w:p>
    <w:tbl>
      <w:tblPr>
        <w:tblStyle w:val="TableNorm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735"/>
        <w:gridCol w:w="6521"/>
      </w:tblGrid>
      <w:tr>
        <w:tblPrEx>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1735" w:type="dxa"/>
            <w:shd w:val="clear" w:color="auto" w:fill="auto"/>
            <w:noWrap w:val="0"/>
            <w:vAlign w:val="top"/>
          </w:tcPr>
          <w:p>
            <w:pPr>
              <w:rPr>
                <w:rFonts w:ascii="宋体"/>
                <w:b/>
                <w:sz w:val="18"/>
              </w:rPr>
            </w:pPr>
            <w:r>
              <w:rPr>
                <w:rFonts w:ascii="宋体" w:hint="eastAsia"/>
                <w:b/>
                <w:sz w:val="18"/>
              </w:rPr>
              <w:t>八位组序号</w:t>
            </w:r>
          </w:p>
        </w:tc>
        <w:tc>
          <w:tcPr>
            <w:tcW w:w="6521" w:type="dxa"/>
            <w:shd w:val="clear" w:color="auto" w:fill="auto"/>
            <w:noWrap w:val="0"/>
            <w:vAlign w:val="top"/>
          </w:tcPr>
          <w:p>
            <w:pPr>
              <w:rPr>
                <w:rFonts w:ascii="宋体"/>
                <w:b/>
                <w:sz w:val="18"/>
              </w:rPr>
            </w:pPr>
            <w:r>
              <w:rPr>
                <w:rFonts w:ascii="宋体" w:hint="eastAsia"/>
                <w:b/>
                <w:sz w:val="18"/>
              </w:rPr>
              <w:t>内容</w:t>
            </w:r>
          </w:p>
        </w:tc>
      </w:tr>
      <w:tr>
        <w:tblPrEx>
          <w:tblW w:w="0" w:type="auto"/>
          <w:tblInd w:w="108" w:type="dxa"/>
          <w:tblLayout w:type="fixed"/>
          <w:tblCellMar>
            <w:top w:w="0" w:type="dxa"/>
            <w:left w:w="108" w:type="dxa"/>
            <w:bottom w:w="0" w:type="dxa"/>
            <w:right w:w="108" w:type="dxa"/>
          </w:tblCellMar>
        </w:tblPrEx>
        <w:tc>
          <w:tcPr>
            <w:tcW w:w="1735" w:type="dxa"/>
            <w:shd w:val="clear" w:color="auto" w:fill="auto"/>
            <w:noWrap w:val="0"/>
            <w:vAlign w:val="top"/>
          </w:tcPr>
          <w:p>
            <w:pPr>
              <w:rPr>
                <w:rFonts w:ascii="宋体"/>
                <w:sz w:val="18"/>
              </w:rPr>
            </w:pPr>
            <w:r>
              <w:rPr>
                <w:rFonts w:ascii="宋体" w:hint="eastAsia"/>
                <w:sz w:val="18"/>
              </w:rPr>
              <w:t>1</w:t>
            </w:r>
            <w:r>
              <w:rPr>
                <w:rFonts w:ascii="宋体" w:hint="eastAsia"/>
                <w:sz w:val="18"/>
                <w:szCs w:val="18"/>
              </w:rPr>
              <w:t>～</w:t>
            </w:r>
            <w:r>
              <w:rPr>
                <w:rFonts w:ascii="宋体" w:hint="eastAsia"/>
                <w:sz w:val="18"/>
              </w:rPr>
              <w:t>3</w:t>
            </w:r>
          </w:p>
        </w:tc>
        <w:tc>
          <w:tcPr>
            <w:tcW w:w="6521" w:type="dxa"/>
            <w:shd w:val="clear" w:color="auto" w:fill="auto"/>
            <w:noWrap w:val="0"/>
            <w:vAlign w:val="top"/>
          </w:tcPr>
          <w:p>
            <w:pPr>
              <w:rPr>
                <w:rFonts w:ascii="宋体"/>
                <w:sz w:val="18"/>
              </w:rPr>
            </w:pPr>
            <w:r>
              <w:rPr>
                <w:rFonts w:ascii="宋体" w:hint="eastAsia"/>
                <w:sz w:val="18"/>
              </w:rPr>
              <w:t>本段段长</w:t>
            </w:r>
          </w:p>
        </w:tc>
      </w:tr>
      <w:tr>
        <w:tblPrEx>
          <w:tblW w:w="0" w:type="auto"/>
          <w:tblInd w:w="108" w:type="dxa"/>
          <w:tblLayout w:type="fixed"/>
          <w:tblCellMar>
            <w:top w:w="0" w:type="dxa"/>
            <w:left w:w="108" w:type="dxa"/>
            <w:bottom w:w="0" w:type="dxa"/>
            <w:right w:w="108" w:type="dxa"/>
          </w:tblCellMar>
        </w:tblPrEx>
        <w:tc>
          <w:tcPr>
            <w:tcW w:w="1735" w:type="dxa"/>
            <w:shd w:val="clear" w:color="auto" w:fill="auto"/>
            <w:noWrap w:val="0"/>
            <w:vAlign w:val="top"/>
          </w:tcPr>
          <w:p>
            <w:pPr>
              <w:rPr>
                <w:rFonts w:ascii="宋体"/>
                <w:sz w:val="18"/>
              </w:rPr>
            </w:pPr>
            <w:r>
              <w:rPr>
                <w:rFonts w:ascii="宋体" w:hint="eastAsia"/>
                <w:sz w:val="18"/>
              </w:rPr>
              <w:t>4</w:t>
            </w:r>
          </w:p>
        </w:tc>
        <w:tc>
          <w:tcPr>
            <w:tcW w:w="6521" w:type="dxa"/>
            <w:shd w:val="clear" w:color="auto" w:fill="auto"/>
            <w:noWrap w:val="0"/>
            <w:vAlign w:val="top"/>
          </w:tcPr>
          <w:p>
            <w:pPr>
              <w:rPr>
                <w:rFonts w:ascii="宋体"/>
                <w:sz w:val="18"/>
              </w:rPr>
            </w:pPr>
            <w:r>
              <w:rPr>
                <w:rFonts w:ascii="宋体" w:hint="eastAsia"/>
                <w:sz w:val="18"/>
              </w:rPr>
              <w:t>保留，固定置“0”</w:t>
            </w:r>
          </w:p>
        </w:tc>
      </w:tr>
    </w:tbl>
    <w:p>
      <w:pPr>
        <w:sectPr>
          <w:headerReference w:type="default" r:id="rId19"/>
          <w:footerReference w:type="default" r:id="rId20"/>
          <w:type w:val="nextPage"/>
          <w:pgSz w:w="11906" w:h="16838"/>
          <w:pgMar w:top="1440" w:right="1800" w:bottom="1440" w:left="1800" w:header="1418" w:footer="1020" w:gutter="0"/>
          <w:pgNumType w:start="5"/>
          <w:cols w:num="1" w:space="425"/>
          <w:formProt w:val="0"/>
          <w:titlePg w:val="0"/>
          <w:docGrid w:type="lines" w:linePitch="312" w:charSpace="0"/>
        </w:sectPr>
      </w:pPr>
    </w:p>
    <w:tbl>
      <w:tblPr>
        <w:tblStyle w:val="TableNorm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735"/>
        <w:gridCol w:w="6521"/>
      </w:tblGrid>
      <w:tr>
        <w:tblPrEx>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1735" w:type="dxa"/>
            <w:shd w:val="clear" w:color="auto" w:fill="auto"/>
            <w:noWrap w:val="0"/>
            <w:vAlign w:val="top"/>
          </w:tcPr>
          <w:p>
            <w:pPr>
              <w:rPr>
                <w:rFonts w:ascii="宋体"/>
                <w:sz w:val="18"/>
              </w:rPr>
            </w:pPr>
            <w:r>
              <w:rPr>
                <w:rFonts w:ascii="宋体" w:hint="eastAsia"/>
                <w:sz w:val="18"/>
              </w:rPr>
              <w:t>5</w:t>
            </w:r>
            <w:r>
              <w:rPr>
                <w:rFonts w:ascii="宋体" w:hint="eastAsia"/>
                <w:sz w:val="18"/>
                <w:szCs w:val="18"/>
              </w:rPr>
              <w:t>～</w:t>
            </w:r>
            <w:r>
              <w:rPr>
                <w:rFonts w:ascii="宋体" w:hint="eastAsia"/>
                <w:sz w:val="18"/>
              </w:rPr>
              <w:t>6</w:t>
            </w:r>
          </w:p>
        </w:tc>
        <w:tc>
          <w:tcPr>
            <w:tcW w:w="6521" w:type="dxa"/>
            <w:shd w:val="clear" w:color="auto" w:fill="auto"/>
            <w:noWrap w:val="0"/>
            <w:vAlign w:val="top"/>
          </w:tcPr>
          <w:p>
            <w:pPr>
              <w:rPr>
                <w:rFonts w:ascii="宋体"/>
                <w:sz w:val="18"/>
              </w:rPr>
            </w:pPr>
            <w:r>
              <w:rPr>
                <w:rFonts w:ascii="宋体" w:hint="eastAsia"/>
                <w:sz w:val="18"/>
              </w:rPr>
              <w:t>数据子集的个数</w:t>
            </w:r>
          </w:p>
        </w:tc>
      </w:tr>
      <w:tr>
        <w:tblPrEx>
          <w:tblW w:w="0" w:type="auto"/>
          <w:tblInd w:w="108" w:type="dxa"/>
          <w:tblLayout w:type="fixed"/>
          <w:tblCellMar>
            <w:top w:w="0" w:type="dxa"/>
            <w:left w:w="108" w:type="dxa"/>
            <w:bottom w:w="0" w:type="dxa"/>
            <w:right w:w="108" w:type="dxa"/>
          </w:tblCellMar>
        </w:tblPrEx>
        <w:tc>
          <w:tcPr>
            <w:tcW w:w="1735" w:type="dxa"/>
            <w:shd w:val="clear" w:color="auto" w:fill="auto"/>
            <w:noWrap w:val="0"/>
            <w:vAlign w:val="top"/>
          </w:tcPr>
          <w:p>
            <w:pPr>
              <w:rPr>
                <w:rFonts w:ascii="宋体"/>
                <w:sz w:val="18"/>
              </w:rPr>
            </w:pPr>
            <w:r>
              <w:rPr>
                <w:rFonts w:ascii="宋体" w:hint="eastAsia"/>
                <w:sz w:val="18"/>
              </w:rPr>
              <w:t>7</w:t>
            </w:r>
          </w:p>
        </w:tc>
        <w:tc>
          <w:tcPr>
            <w:tcW w:w="6521" w:type="dxa"/>
            <w:shd w:val="clear" w:color="auto" w:fill="auto"/>
            <w:noWrap w:val="0"/>
            <w:vAlign w:val="top"/>
          </w:tcPr>
          <w:p>
            <w:pPr>
              <w:rPr>
                <w:rFonts w:ascii="宋体"/>
                <w:sz w:val="18"/>
              </w:rPr>
            </w:pPr>
            <w:r>
              <w:rPr>
                <w:rFonts w:ascii="宋体" w:hint="eastAsia"/>
                <w:sz w:val="18"/>
              </w:rPr>
              <w:t>比特1取值为“1”，表示观测数据，取值为“0”，表示其它资料</w:t>
            </w:r>
          </w:p>
          <w:p>
            <w:pPr>
              <w:rPr>
                <w:rFonts w:ascii="宋体"/>
                <w:sz w:val="18"/>
              </w:rPr>
            </w:pPr>
            <w:r>
              <w:rPr>
                <w:rFonts w:ascii="宋体" w:hint="eastAsia"/>
                <w:sz w:val="18"/>
              </w:rPr>
              <w:t>比特2取值为“1”，表示压缩数据，取值为“0”表示非压缩数据</w:t>
            </w:r>
          </w:p>
          <w:p>
            <w:pPr>
              <w:rPr>
                <w:rFonts w:ascii="宋体"/>
                <w:sz w:val="18"/>
              </w:rPr>
            </w:pPr>
            <w:r>
              <w:rPr>
                <w:rFonts w:ascii="宋体" w:hint="eastAsia"/>
                <w:sz w:val="18"/>
              </w:rPr>
              <w:t>比特3</w:t>
            </w:r>
            <w:r>
              <w:rPr>
                <w:rFonts w:ascii="宋体" w:hint="eastAsia"/>
                <w:sz w:val="18"/>
                <w:szCs w:val="18"/>
              </w:rPr>
              <w:t>～</w:t>
            </w:r>
            <w:r>
              <w:rPr>
                <w:rFonts w:ascii="宋体" w:hint="eastAsia"/>
                <w:sz w:val="18"/>
              </w:rPr>
              <w:t>8，保留，固定置“0”</w:t>
            </w:r>
          </w:p>
        </w:tc>
      </w:tr>
      <w:tr>
        <w:tblPrEx>
          <w:tblW w:w="0" w:type="auto"/>
          <w:tblInd w:w="108" w:type="dxa"/>
          <w:tblLayout w:type="fixed"/>
          <w:tblCellMar>
            <w:top w:w="0" w:type="dxa"/>
            <w:left w:w="108" w:type="dxa"/>
            <w:bottom w:w="0" w:type="dxa"/>
            <w:right w:w="108" w:type="dxa"/>
          </w:tblCellMar>
        </w:tblPrEx>
        <w:tc>
          <w:tcPr>
            <w:tcW w:w="1735" w:type="dxa"/>
            <w:shd w:val="clear" w:color="auto" w:fill="auto"/>
            <w:noWrap w:val="0"/>
            <w:vAlign w:val="top"/>
          </w:tcPr>
          <w:p>
            <w:pPr>
              <w:rPr>
                <w:rFonts w:ascii="宋体"/>
                <w:sz w:val="18"/>
              </w:rPr>
            </w:pPr>
            <w:r>
              <w:rPr>
                <w:rFonts w:ascii="宋体" w:hint="eastAsia"/>
                <w:sz w:val="18"/>
              </w:rPr>
              <w:t>8</w:t>
            </w:r>
            <w:r>
              <w:rPr>
                <w:rFonts w:ascii="宋体" w:hint="eastAsia"/>
                <w:sz w:val="18"/>
                <w:szCs w:val="18"/>
              </w:rPr>
              <w:t>～</w:t>
            </w:r>
          </w:p>
        </w:tc>
        <w:tc>
          <w:tcPr>
            <w:tcW w:w="6521" w:type="dxa"/>
            <w:shd w:val="clear" w:color="auto" w:fill="auto"/>
            <w:noWrap w:val="0"/>
            <w:vAlign w:val="top"/>
          </w:tcPr>
          <w:p>
            <w:pPr>
              <w:rPr>
                <w:rFonts w:ascii="宋体"/>
                <w:sz w:val="18"/>
              </w:rPr>
            </w:pPr>
            <w:r>
              <w:rPr>
                <w:rFonts w:ascii="宋体" w:hint="eastAsia"/>
                <w:sz w:val="18"/>
              </w:rPr>
              <w:t>描述符序列，用于定义数据段中数据子集所包含的数据要素的格式和内容</w:t>
            </w:r>
          </w:p>
        </w:tc>
      </w:tr>
    </w:tbl>
    <w:p>
      <w:pPr>
        <w:pStyle w:val="a"/>
        <w:rPr>
          <w:rFonts w:hint="eastAsia"/>
        </w:rPr>
      </w:pPr>
      <w:r>
        <w:rPr>
          <w:rFonts w:hint="eastAsia"/>
        </w:rPr>
        <w:t>第</w:t>
      </w:r>
      <w:r>
        <w:t>5</w:t>
      </w:r>
      <w:r>
        <w:rPr>
          <w:rFonts w:hint="eastAsia"/>
        </w:rPr>
        <w:t>～</w:t>
      </w:r>
      <w:r>
        <w:t>6</w:t>
      </w:r>
      <w:r>
        <w:rPr>
          <w:rFonts w:hint="eastAsia"/>
        </w:rPr>
        <w:t>个八位组的值表示该份BUFR报文中包含的观测次数，如果这个值大于1，则表示在数据段中将包含多次观测的值，且每一次观测都基于3段的描述符序列进行要素值的编码；第7个八位组的第1个比特位置为1表示观测数据，置为0表示其它数据，可能是预报数据或者是非直接观测的数据；第7个八位组的第2个比特置为1表示压缩数据，具体的压缩方法将在7.3.11节中进行详述，置为0表示非压缩数据；从第8个八位组开始，每两个八位组表示1个描述符，描述符个数不限，这些描述符即是数据段的“索引”，指示数据段将包含哪些要素的编码值，以及要素值的编码次序和编码规则等。</w:t>
      </w:r>
      <w:r>
        <w:rPr>
          <w:b/>
          <w:color w:val="FFFFFF"/>
          <w:sz w:val="0"/>
        </w:rPr>
        <w:t>.</w:t>
      </w:r>
    </w:p>
    <w:p>
      <w:pPr>
        <w:pStyle w:val="a"/>
        <w:rPr>
          <w:rFonts w:hint="eastAsia"/>
        </w:rPr>
      </w:pPr>
      <w:r>
        <w:rPr>
          <w:rFonts w:hint="eastAsia"/>
        </w:rPr>
        <w:t>图4是BUFR报文中3段的示例，其中前3个八位组为3段段长，为14</w:t>
      </w:r>
      <w:r>
        <w:rPr>
          <w:rFonts w:hint="eastAsia"/>
          <w:vertAlign w:val="subscript"/>
        </w:rPr>
        <w:t>10</w:t>
      </w:r>
      <w:r>
        <w:rPr>
          <w:rFonts w:hint="eastAsia"/>
        </w:rPr>
        <w:t>个八位组；第4个八位组置为0，保留；第5～6个八位组为1</w:t>
      </w:r>
      <w:r>
        <w:rPr>
          <w:rFonts w:hint="eastAsia"/>
          <w:vertAlign w:val="subscript"/>
        </w:rPr>
        <w:t>10</w:t>
      </w:r>
      <w:r>
        <w:rPr>
          <w:rFonts w:hint="eastAsia"/>
        </w:rPr>
        <w:t>，表示该份BUFR报文包含1个数据子集，即1次观测；第7个八位组的第1个比特置为1，表示该报文为观测数据，第2个八位组置为0，表示数据段采用非压缩编码方式；8～9个八位组为要素描述符0 01 001，表示WMO区号；10～11个八位组为要素描述符0 01 002，表示WMO站号；12～13个八位组为要素描述符0 12 004，表示气温。从8～13个八位组的3个要素描述符得知，数据段将对WMO区号、WMO站号以及观测气温值进行编码。</w:t>
      </w:r>
      <w:r>
        <w:rPr>
          <w:b/>
          <w:color w:val="FFFFFF"/>
          <w:sz w:val="0"/>
        </w:rPr>
        <w:t>.</w:t>
      </w:r>
    </w:p>
    <w:p>
      <w:pPr>
        <w:pStyle w:val="a"/>
        <w:rPr>
          <w:rFonts w:hint="eastAsia"/>
        </w:rPr>
      </w:pPr>
      <w:r>
        <w:rPr>
          <w:b/>
          <w:color w:val="FFFFFF"/>
          <w:sz w:val="0"/>
        </w:rPr>
        <w:t>.</w:t>
      </w:r>
    </w:p>
    <w:p>
      <w:pPr>
        <w:pStyle w:val="a"/>
        <w:ind w:firstLine="0" w:firstLineChars="0"/>
        <w:jc w:val="center"/>
        <w:rPr>
          <w:rFonts w:hint="eastAsia"/>
        </w:rPr>
      </w:pPr>
      <w:r>
        <w:pict>
          <v:shape id="_x0000_i1028" type="#_x0000_t75" style="width:366pt;height:196.7pt" coordsize="21600,21600" filled="f" stroked="f">
            <v:imagedata r:id="rId21" o:title=""/>
            <o:lock v:ext="edit" aspectratio="t"/>
            <w10:anchorlock/>
          </v:shape>
        </w:pict>
      </w:r>
      <w:r>
        <w:rPr>
          <w:b/>
          <w:color w:val="FFFFFF"/>
          <w:sz w:val="0"/>
        </w:rPr>
        <w:t>.</w:t>
      </w:r>
    </w:p>
    <w:p>
      <w:pPr>
        <w:pStyle w:val="a82"/>
        <w:spacing w:before="0" w:beforeLines="0"/>
        <w:jc w:val="left"/>
      </w:pPr>
      <w:r>
        <w:rPr>
          <w:rFonts w:hint="eastAsia"/>
        </w:rPr>
        <w:t>3段-数据描述段示例</w:t>
      </w:r>
      <w:r>
        <w:rPr>
          <w:b/>
          <w:color w:val="FFFFFF"/>
          <w:sz w:val="0"/>
        </w:rPr>
        <w:t>.</w:t>
      </w:r>
    </w:p>
    <w:p>
      <w:pPr>
        <w:pStyle w:val="a4"/>
        <w:spacing w:before="156" w:after="156"/>
      </w:pPr>
      <w:r>
        <w:t>4</w:t>
      </w:r>
      <w:r>
        <w:rPr>
          <w:rFonts w:hint="eastAsia"/>
        </w:rPr>
        <w:t>段</w:t>
      </w:r>
      <w:r>
        <w:t>-</w:t>
      </w:r>
      <w:r>
        <w:rPr>
          <w:rFonts w:hint="eastAsia"/>
        </w:rPr>
        <w:t>数据段</w:t>
      </w:r>
      <w:r>
        <w:rPr>
          <w:b/>
          <w:color w:val="FFFFFF"/>
          <w:sz w:val="0"/>
        </w:rPr>
        <w:t>.</w:t>
      </w:r>
    </w:p>
    <w:p>
      <w:pPr>
        <w:pStyle w:val="a"/>
        <w:rPr>
          <w:rFonts w:hint="eastAsia"/>
        </w:rPr>
      </w:pPr>
      <w:r>
        <w:rPr>
          <w:rFonts w:hint="eastAsia"/>
        </w:rPr>
        <w:t>4段-数据段由本段段长和一系列的要素编码值构成。其基本结构如表6所示。</w:t>
      </w:r>
      <w:r>
        <w:rPr>
          <w:b/>
          <w:color w:val="FFFFFF"/>
          <w:sz w:val="0"/>
        </w:rPr>
        <w:t>.</w:t>
      </w:r>
    </w:p>
    <w:p>
      <w:pPr>
        <w:pStyle w:val="a80"/>
        <w:spacing w:after="0" w:afterLines="0"/>
        <w:rPr>
          <w:rFonts w:hint="eastAsia"/>
        </w:rPr>
      </w:pPr>
      <w:r>
        <w:rPr>
          <w:rFonts w:hint="eastAsia"/>
        </w:rPr>
        <w:t>4段-数据段结构</w:t>
      </w:r>
      <w:r>
        <w:rPr>
          <w:b/>
          <w:color w:val="FFFFFF"/>
          <w:sz w:val="0"/>
        </w:rPr>
        <w:t>.</w:t>
      </w:r>
    </w:p>
    <w:tbl>
      <w:tblPr>
        <w:tblStyle w:val="TableNormal"/>
        <w:tblW w:w="82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2302"/>
        <w:gridCol w:w="5954"/>
      </w:tblGrid>
      <w:tr>
        <w:tblPrEx>
          <w:tblW w:w="82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2302" w:type="dxa"/>
            <w:shd w:val="clear" w:color="auto" w:fill="auto"/>
            <w:noWrap w:val="0"/>
            <w:vAlign w:val="top"/>
          </w:tcPr>
          <w:p>
            <w:pPr>
              <w:rPr>
                <w:rFonts w:ascii="宋体"/>
                <w:b/>
                <w:sz w:val="18"/>
              </w:rPr>
            </w:pPr>
            <w:r>
              <w:rPr>
                <w:rFonts w:ascii="宋体" w:hint="eastAsia"/>
                <w:b/>
                <w:sz w:val="18"/>
              </w:rPr>
              <w:t>八位组序号</w:t>
            </w:r>
          </w:p>
        </w:tc>
        <w:tc>
          <w:tcPr>
            <w:tcW w:w="5954" w:type="dxa"/>
            <w:shd w:val="clear" w:color="auto" w:fill="auto"/>
            <w:noWrap w:val="0"/>
            <w:vAlign w:val="top"/>
          </w:tcPr>
          <w:p>
            <w:pPr>
              <w:rPr>
                <w:rFonts w:ascii="宋体"/>
                <w:b/>
                <w:sz w:val="18"/>
              </w:rPr>
            </w:pPr>
            <w:r>
              <w:rPr>
                <w:rFonts w:ascii="宋体" w:hint="eastAsia"/>
                <w:b/>
                <w:sz w:val="18"/>
              </w:rPr>
              <w:t>内容</w:t>
            </w:r>
          </w:p>
        </w:tc>
      </w:tr>
      <w:tr>
        <w:tblPrEx>
          <w:tblW w:w="8256" w:type="dxa"/>
          <w:tblInd w:w="108" w:type="dxa"/>
          <w:tblLayout w:type="fixed"/>
          <w:tblCellMar>
            <w:top w:w="0" w:type="dxa"/>
            <w:left w:w="108" w:type="dxa"/>
            <w:bottom w:w="0" w:type="dxa"/>
            <w:right w:w="108" w:type="dxa"/>
          </w:tblCellMar>
        </w:tblPrEx>
        <w:tc>
          <w:tcPr>
            <w:tcW w:w="2302" w:type="dxa"/>
            <w:shd w:val="clear" w:color="auto" w:fill="auto"/>
            <w:noWrap w:val="0"/>
            <w:vAlign w:val="top"/>
          </w:tcPr>
          <w:p>
            <w:pPr>
              <w:rPr>
                <w:rFonts w:ascii="宋体"/>
                <w:sz w:val="18"/>
              </w:rPr>
            </w:pPr>
            <w:r>
              <w:rPr>
                <w:rFonts w:ascii="宋体" w:hint="eastAsia"/>
                <w:sz w:val="18"/>
              </w:rPr>
              <w:t>1</w:t>
            </w:r>
            <w:r>
              <w:rPr>
                <w:rFonts w:ascii="宋体" w:hint="eastAsia"/>
                <w:sz w:val="18"/>
                <w:szCs w:val="18"/>
              </w:rPr>
              <w:t>～</w:t>
            </w:r>
            <w:r>
              <w:rPr>
                <w:rFonts w:ascii="宋体" w:hint="eastAsia"/>
                <w:sz w:val="18"/>
              </w:rPr>
              <w:t>3</w:t>
            </w:r>
          </w:p>
        </w:tc>
        <w:tc>
          <w:tcPr>
            <w:tcW w:w="5954" w:type="dxa"/>
            <w:shd w:val="clear" w:color="auto" w:fill="auto"/>
            <w:noWrap w:val="0"/>
            <w:vAlign w:val="top"/>
          </w:tcPr>
          <w:p>
            <w:pPr>
              <w:rPr>
                <w:rFonts w:ascii="宋体"/>
                <w:sz w:val="18"/>
              </w:rPr>
            </w:pPr>
            <w:r>
              <w:rPr>
                <w:rFonts w:ascii="宋体" w:hint="eastAsia"/>
                <w:sz w:val="18"/>
              </w:rPr>
              <w:t>本段段长</w:t>
            </w:r>
          </w:p>
        </w:tc>
      </w:tr>
      <w:tr>
        <w:tblPrEx>
          <w:tblW w:w="8256" w:type="dxa"/>
          <w:tblInd w:w="108" w:type="dxa"/>
          <w:tblLayout w:type="fixed"/>
          <w:tblCellMar>
            <w:top w:w="0" w:type="dxa"/>
            <w:left w:w="108" w:type="dxa"/>
            <w:bottom w:w="0" w:type="dxa"/>
            <w:right w:w="108" w:type="dxa"/>
          </w:tblCellMar>
        </w:tblPrEx>
        <w:tc>
          <w:tcPr>
            <w:tcW w:w="2302" w:type="dxa"/>
            <w:shd w:val="clear" w:color="auto" w:fill="auto"/>
            <w:noWrap w:val="0"/>
            <w:vAlign w:val="top"/>
          </w:tcPr>
          <w:p>
            <w:pPr>
              <w:rPr>
                <w:rFonts w:ascii="宋体"/>
                <w:sz w:val="18"/>
              </w:rPr>
            </w:pPr>
            <w:r>
              <w:rPr>
                <w:rFonts w:ascii="宋体" w:hint="eastAsia"/>
                <w:sz w:val="18"/>
              </w:rPr>
              <w:t>4</w:t>
            </w:r>
          </w:p>
        </w:tc>
        <w:tc>
          <w:tcPr>
            <w:tcW w:w="5954" w:type="dxa"/>
            <w:shd w:val="clear" w:color="auto" w:fill="auto"/>
            <w:noWrap w:val="0"/>
            <w:vAlign w:val="top"/>
          </w:tcPr>
          <w:p>
            <w:pPr>
              <w:rPr>
                <w:rFonts w:ascii="宋体"/>
                <w:sz w:val="18"/>
              </w:rPr>
            </w:pPr>
            <w:r>
              <w:rPr>
                <w:rFonts w:ascii="宋体" w:hint="eastAsia"/>
                <w:sz w:val="18"/>
              </w:rPr>
              <w:t>保留，固定置“0”</w:t>
            </w:r>
          </w:p>
        </w:tc>
      </w:tr>
    </w:tbl>
    <w:p>
      <w:pPr>
        <w:sectPr>
          <w:headerReference w:type="default" r:id="rId22"/>
          <w:footerReference w:type="default" r:id="rId23"/>
          <w:type w:val="nextPage"/>
          <w:pgSz w:w="11906" w:h="16838"/>
          <w:pgMar w:top="1440" w:right="1800" w:bottom="1440" w:left="1800" w:header="1418" w:footer="1020" w:gutter="0"/>
          <w:pgNumType w:start="6"/>
          <w:cols w:num="1" w:space="425"/>
          <w:formProt w:val="0"/>
          <w:titlePg w:val="0"/>
          <w:docGrid w:type="lines" w:linePitch="312" w:charSpace="0"/>
        </w:sectPr>
      </w:pPr>
    </w:p>
    <w:tbl>
      <w:tblPr>
        <w:tblStyle w:val="TableNormal"/>
        <w:tblW w:w="82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2302"/>
        <w:gridCol w:w="5954"/>
      </w:tblGrid>
      <w:tr>
        <w:tblPrEx>
          <w:tblW w:w="82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2302" w:type="dxa"/>
            <w:shd w:val="clear" w:color="auto" w:fill="auto"/>
            <w:noWrap w:val="0"/>
            <w:vAlign w:val="top"/>
          </w:tcPr>
          <w:p>
            <w:pPr>
              <w:rPr>
                <w:rFonts w:ascii="宋体"/>
                <w:sz w:val="18"/>
              </w:rPr>
            </w:pPr>
            <w:r>
              <w:rPr>
                <w:rFonts w:ascii="宋体" w:hint="eastAsia"/>
                <w:sz w:val="18"/>
              </w:rPr>
              <w:t>5</w:t>
            </w:r>
            <w:r>
              <w:rPr>
                <w:rFonts w:ascii="宋体" w:hint="eastAsia"/>
                <w:sz w:val="18"/>
                <w:szCs w:val="18"/>
              </w:rPr>
              <w:t>～</w:t>
            </w:r>
          </w:p>
        </w:tc>
        <w:tc>
          <w:tcPr>
            <w:tcW w:w="5954" w:type="dxa"/>
            <w:shd w:val="clear" w:color="auto" w:fill="auto"/>
            <w:noWrap w:val="0"/>
            <w:vAlign w:val="top"/>
          </w:tcPr>
          <w:p>
            <w:pPr>
              <w:rPr>
                <w:rFonts w:ascii="宋体"/>
                <w:sz w:val="18"/>
              </w:rPr>
            </w:pPr>
            <w:r>
              <w:rPr>
                <w:rFonts w:ascii="宋体" w:hint="eastAsia"/>
                <w:sz w:val="18"/>
              </w:rPr>
              <w:t>由描述符定义的二进制数据</w:t>
            </w:r>
          </w:p>
        </w:tc>
      </w:tr>
    </w:tbl>
    <w:p>
      <w:pPr>
        <w:pStyle w:val="a"/>
        <w:rPr>
          <w:rFonts w:hint="eastAsia"/>
        </w:rPr>
      </w:pPr>
      <w:r>
        <w:rPr>
          <w:rFonts w:hint="eastAsia"/>
        </w:rPr>
        <w:t>图5是BUFR报文中4段的示例，其中前3个八位组为本段段长；第4个八位组置0，保留；从第5个八位组的第1个比特开始，基于3段-数据描述段的描述符序列对要素值进行编码；WMO区号的要素描述符0 01 001数据宽度为5个比特，因此对前5个比特解码后得到72</w:t>
      </w:r>
      <w:r>
        <w:rPr>
          <w:rFonts w:hint="eastAsia"/>
          <w:vertAlign w:val="subscript"/>
        </w:rPr>
        <w:t>10</w:t>
      </w:r>
      <w:r>
        <w:rPr>
          <w:rFonts w:hint="eastAsia"/>
        </w:rPr>
        <w:t>，表示区号为72；WMO站号的要素描述符0 01 002数据宽度为6个比特，因此对后续的6个比特解码后得到491</w:t>
      </w:r>
      <w:r>
        <w:rPr>
          <w:rFonts w:hint="eastAsia"/>
          <w:vertAlign w:val="subscript"/>
        </w:rPr>
        <w:t>10</w:t>
      </w:r>
      <w:r>
        <w:rPr>
          <w:rFonts w:hint="eastAsia"/>
        </w:rPr>
        <w:t>，表示站号为491，连同前面的区号一起，则解码得到WMO区站号为72491；气温的要素描述符0 12 004数据宽度为7个比特，因此对后续的7个比特解码后得到2952</w:t>
      </w:r>
      <w:r>
        <w:rPr>
          <w:rFonts w:hint="eastAsia"/>
          <w:vertAlign w:val="subscript"/>
        </w:rPr>
        <w:t>10</w:t>
      </w:r>
      <w:r>
        <w:rPr>
          <w:rFonts w:hint="eastAsia"/>
        </w:rPr>
        <w:t>，即气温的编码值为2952（K），而该要素的比例因子为1，基准值为0，根据观测值和编码值的计算公式：编码值=观测值*10</w:t>
      </w:r>
      <w:r>
        <w:rPr>
          <w:rFonts w:hint="eastAsia"/>
          <w:vertAlign w:val="superscript"/>
        </w:rPr>
        <w:t>比例因子</w:t>
      </w:r>
      <w:r>
        <w:rPr>
          <w:rFonts w:hint="eastAsia"/>
        </w:rPr>
        <w:t>-基准值，可以得到观测值为295.2K，转换为摄氏度则为22℃。</w:t>
      </w:r>
      <w:r>
        <w:rPr>
          <w:b/>
          <w:color w:val="FFFFFF"/>
          <w:sz w:val="0"/>
        </w:rPr>
        <w:t>.</w:t>
      </w:r>
    </w:p>
    <w:p>
      <w:pPr>
        <w:pStyle w:val="a"/>
        <w:ind w:firstLine="0" w:firstLineChars="0"/>
        <w:jc w:val="center"/>
        <w:rPr>
          <w:rFonts w:hint="eastAsia"/>
        </w:rPr>
      </w:pPr>
      <w:r>
        <w:pict>
          <v:shape id="_x0000_i1029" type="#_x0000_t75" style="width:392.75pt;height:225.55pt" coordsize="21600,21600" filled="f" stroked="f">
            <v:imagedata r:id="rId24" o:title=""/>
            <o:lock v:ext="edit" aspectratio="t"/>
            <w10:anchorlock/>
          </v:shape>
        </w:pict>
      </w:r>
      <w:r>
        <w:rPr>
          <w:b/>
          <w:color w:val="FFFFFF"/>
          <w:sz w:val="0"/>
        </w:rPr>
        <w:t>.</w:t>
      </w:r>
    </w:p>
    <w:p>
      <w:pPr>
        <w:pStyle w:val="a82"/>
        <w:spacing w:before="0" w:beforeLines="0"/>
        <w:jc w:val="left"/>
      </w:pPr>
      <w:r>
        <w:rPr>
          <w:rFonts w:hint="eastAsia"/>
        </w:rPr>
        <w:t>4段-数据段示例</w:t>
      </w:r>
      <w:r>
        <w:rPr>
          <w:b/>
          <w:color w:val="FFFFFF"/>
          <w:sz w:val="0"/>
        </w:rPr>
        <w:t>.</w:t>
      </w:r>
    </w:p>
    <w:p>
      <w:pPr>
        <w:pStyle w:val="a4"/>
        <w:spacing w:before="156" w:after="156"/>
      </w:pPr>
      <w:r>
        <w:t>5</w:t>
      </w:r>
      <w:r>
        <w:rPr>
          <w:rFonts w:hint="eastAsia"/>
        </w:rPr>
        <w:t>段</w:t>
      </w:r>
      <w:r>
        <w:t>-</w:t>
      </w:r>
      <w:r>
        <w:rPr>
          <w:rFonts w:hint="eastAsia"/>
        </w:rPr>
        <w:t>结束段</w:t>
      </w:r>
      <w:r>
        <w:rPr>
          <w:b/>
          <w:color w:val="FFFFFF"/>
          <w:sz w:val="0"/>
        </w:rPr>
        <w:t>.</w:t>
      </w:r>
    </w:p>
    <w:p>
      <w:pPr>
        <w:pStyle w:val="a"/>
        <w:rPr>
          <w:rFonts w:hint="eastAsia"/>
        </w:rPr>
      </w:pPr>
      <w:r>
        <w:rPr>
          <w:rFonts w:hint="eastAsia"/>
        </w:rPr>
        <w:t>5段-结束段由4个字符‘7’、‘7’、‘7’、‘7’组成。其基本结构如表7所示。</w:t>
      </w:r>
      <w:r>
        <w:rPr>
          <w:b/>
          <w:color w:val="FFFFFF"/>
          <w:sz w:val="0"/>
        </w:rPr>
        <w:t>.</w:t>
      </w:r>
    </w:p>
    <w:p>
      <w:pPr>
        <w:pStyle w:val="a80"/>
        <w:spacing w:after="0" w:afterLines="0"/>
        <w:rPr>
          <w:rFonts w:hint="eastAsia"/>
        </w:rPr>
      </w:pPr>
      <w:r>
        <w:rPr>
          <w:rFonts w:hint="eastAsia"/>
        </w:rPr>
        <w:t>5段-结束段结构</w:t>
      </w:r>
      <w:r>
        <w:rPr>
          <w:b/>
          <w:color w:val="FFFFFF"/>
          <w:sz w:val="0"/>
        </w:rPr>
        <w:t>.</w:t>
      </w:r>
    </w:p>
    <w:tbl>
      <w:tblPr>
        <w:tblStyle w:val="TableNormal"/>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2869"/>
        <w:gridCol w:w="5245"/>
      </w:tblGrid>
      <w:tr>
        <w:tblPrEx>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2869" w:type="dxa"/>
            <w:shd w:val="clear" w:color="auto" w:fill="auto"/>
            <w:noWrap w:val="0"/>
            <w:vAlign w:val="top"/>
          </w:tcPr>
          <w:p>
            <w:pPr>
              <w:rPr>
                <w:rFonts w:ascii="宋体"/>
                <w:b/>
                <w:sz w:val="18"/>
              </w:rPr>
            </w:pPr>
            <w:r>
              <w:rPr>
                <w:rFonts w:ascii="宋体" w:hint="eastAsia"/>
                <w:b/>
                <w:sz w:val="18"/>
              </w:rPr>
              <w:t>八位组序号</w:t>
            </w:r>
          </w:p>
        </w:tc>
        <w:tc>
          <w:tcPr>
            <w:tcW w:w="5245" w:type="dxa"/>
            <w:shd w:val="clear" w:color="auto" w:fill="auto"/>
            <w:noWrap w:val="0"/>
            <w:vAlign w:val="top"/>
          </w:tcPr>
          <w:p>
            <w:pPr>
              <w:rPr>
                <w:rFonts w:ascii="宋体"/>
                <w:b/>
                <w:sz w:val="18"/>
              </w:rPr>
            </w:pPr>
            <w:r>
              <w:rPr>
                <w:rFonts w:ascii="宋体" w:hint="eastAsia"/>
                <w:b/>
                <w:sz w:val="18"/>
              </w:rPr>
              <w:t>内容</w:t>
            </w:r>
          </w:p>
        </w:tc>
      </w:tr>
      <w:tr>
        <w:tblPrEx>
          <w:tblW w:w="0" w:type="auto"/>
          <w:tblInd w:w="250" w:type="dxa"/>
          <w:tblLayout w:type="fixed"/>
          <w:tblCellMar>
            <w:top w:w="0" w:type="dxa"/>
            <w:left w:w="108" w:type="dxa"/>
            <w:bottom w:w="0" w:type="dxa"/>
            <w:right w:w="108" w:type="dxa"/>
          </w:tblCellMar>
        </w:tblPrEx>
        <w:tc>
          <w:tcPr>
            <w:tcW w:w="2869" w:type="dxa"/>
            <w:shd w:val="clear" w:color="auto" w:fill="auto"/>
            <w:noWrap w:val="0"/>
            <w:vAlign w:val="top"/>
          </w:tcPr>
          <w:p>
            <w:pPr>
              <w:rPr>
                <w:rFonts w:ascii="宋体"/>
                <w:sz w:val="18"/>
              </w:rPr>
            </w:pPr>
            <w:r>
              <w:rPr>
                <w:rFonts w:ascii="宋体" w:hint="eastAsia"/>
                <w:sz w:val="18"/>
              </w:rPr>
              <w:t>1-4</w:t>
            </w:r>
          </w:p>
        </w:tc>
        <w:tc>
          <w:tcPr>
            <w:tcW w:w="5245" w:type="dxa"/>
            <w:shd w:val="clear" w:color="auto" w:fill="auto"/>
            <w:noWrap w:val="0"/>
            <w:vAlign w:val="top"/>
          </w:tcPr>
          <w:p>
            <w:pPr>
              <w:rPr>
                <w:rFonts w:ascii="宋体"/>
                <w:sz w:val="18"/>
              </w:rPr>
            </w:pPr>
            <w:r>
              <w:rPr>
                <w:rFonts w:ascii="宋体" w:hint="eastAsia"/>
                <w:sz w:val="18"/>
              </w:rPr>
              <w:t>BUFR数据结束指示符，固定编为“7777”</w:t>
            </w:r>
          </w:p>
        </w:tc>
      </w:tr>
    </w:tbl>
    <w:p>
      <w:pPr>
        <w:pStyle w:val="a"/>
        <w:spacing w:before="156" w:beforeLines="50"/>
        <w:rPr>
          <w:rFonts w:hint="eastAsia"/>
        </w:rPr>
      </w:pPr>
      <w:r>
        <w:rPr>
          <w:rFonts w:hint="eastAsia"/>
        </w:rPr>
        <w:t>图6为结束段的编码示例。</w:t>
      </w:r>
      <w:r>
        <w:rPr>
          <w:b/>
          <w:color w:val="FFFFFF"/>
          <w:sz w:val="0"/>
        </w:rPr>
        <w:t>.</w:t>
      </w:r>
    </w:p>
    <w:p>
      <w:pPr>
        <w:pStyle w:val="a"/>
        <w:ind w:firstLine="0" w:firstLineChars="0"/>
        <w:jc w:val="center"/>
        <w:rPr>
          <w:rFonts w:hint="eastAsia"/>
        </w:rPr>
      </w:pPr>
      <w:r>
        <w:rPr>
          <w:bdr w:val="single" w:sz="8" w:space="0" w:color="DDD9C3"/>
        </w:rPr>
        <w:pict>
          <v:shape id="_x0000_i1030" type="#_x0000_t75" style="width:320.85pt;height:76.85pt" coordsize="21600,21600" filled="f" stroked="f">
            <v:imagedata r:id="rId25" o:title=""/>
            <o:lock v:ext="edit" aspectratio="t"/>
            <w10:anchorlock/>
          </v:shape>
        </w:pict>
      </w:r>
      <w:r>
        <w:rPr>
          <w:b/>
          <w:color w:val="FFFFFF"/>
          <w:sz w:val="0"/>
        </w:rPr>
        <w:t>.</w:t>
      </w:r>
    </w:p>
    <w:p>
      <w:pPr>
        <w:pStyle w:val="a82"/>
        <w:spacing w:before="0" w:beforeLines="0"/>
        <w:jc w:val="left"/>
      </w:pPr>
      <w:r>
        <w:rPr>
          <w:rFonts w:hint="eastAsia"/>
        </w:rPr>
        <w:t>5段-结束段示例</w:t>
      </w:r>
      <w:r>
        <w:rPr>
          <w:b/>
          <w:color w:val="FFFFFF"/>
          <w:sz w:val="0"/>
        </w:rPr>
        <w:t>.</w:t>
      </w:r>
    </w:p>
    <w:p>
      <w:pPr>
        <w:pStyle w:val="a0"/>
        <w:ind w:left="0"/>
        <w:sectPr>
          <w:headerReference w:type="default" r:id="rId26"/>
          <w:footerReference w:type="default" r:id="rId27"/>
          <w:type w:val="nextPage"/>
          <w:pgSz w:w="11906" w:h="16838"/>
          <w:pgMar w:top="1440" w:right="1800" w:bottom="1440" w:left="1800" w:header="1418" w:footer="1020" w:gutter="0"/>
          <w:pgNumType w:start="7"/>
          <w:cols w:num="1" w:space="425"/>
          <w:formProt w:val="0"/>
          <w:titlePg w:val="0"/>
          <w:docGrid w:type="lines" w:linePitch="312" w:charSpace="0"/>
        </w:sectPr>
      </w:pPr>
      <w:bookmarkStart w:id="132" w:name="_Toc489017683"/>
      <w:bookmarkStart w:id="133" w:name="_Toc489017996"/>
      <w:r>
        <w:t>BUFR</w:t>
      </w:r>
      <w:r>
        <w:rPr>
          <w:rFonts w:hint="eastAsia"/>
        </w:rPr>
        <w:t>码表</w:t>
      </w:r>
      <w:bookmarkEnd w:id="132"/>
      <w:bookmarkEnd w:id="133"/>
      <w:r>
        <w:rPr>
          <w:b/>
          <w:color w:val="FFFFFF"/>
          <w:sz w:val="0"/>
        </w:rPr>
        <w:t>.</w:t>
      </w:r>
    </w:p>
    <w:p>
      <w:pPr>
        <w:pStyle w:val="a4"/>
        <w:spacing w:before="156" w:after="156"/>
      </w:pPr>
      <w:r>
        <w:rPr>
          <w:rFonts w:hint="eastAsia"/>
        </w:rPr>
        <w:t>码表简介</w:t>
      </w:r>
      <w:r>
        <w:rPr>
          <w:b/>
          <w:color w:val="FFFFFF"/>
          <w:sz w:val="0"/>
        </w:rPr>
        <w:t>.</w:t>
      </w:r>
    </w:p>
    <w:p>
      <w:pPr>
        <w:pStyle w:val="a"/>
      </w:pPr>
      <w:r>
        <w:t>BUFR</w:t>
      </w:r>
      <w:r>
        <w:rPr>
          <w:rFonts w:hint="eastAsia"/>
        </w:rPr>
        <w:t>使用了三类表：数据</w:t>
      </w:r>
      <w:r>
        <w:t>分类表</w:t>
      </w:r>
      <w:r>
        <w:rPr>
          <w:rFonts w:hint="eastAsia"/>
        </w:rPr>
        <w:t>（</w:t>
      </w:r>
      <w:r>
        <w:t>表A</w:t>
      </w:r>
      <w:r>
        <w:rPr>
          <w:rFonts w:hint="eastAsia"/>
        </w:rPr>
        <w:t>），</w:t>
      </w:r>
      <w:r>
        <w:t>描述符表</w:t>
      </w:r>
      <w:r>
        <w:rPr>
          <w:rFonts w:hint="eastAsia"/>
        </w:rPr>
        <w:t>（</w:t>
      </w:r>
      <w:r>
        <w:t>表B</w:t>
      </w:r>
      <w:r>
        <w:rPr>
          <w:rFonts w:hint="eastAsia"/>
        </w:rPr>
        <w:t>、</w:t>
      </w:r>
      <w:r>
        <w:t>表C和表</w:t>
      </w:r>
      <w:r>
        <w:rPr>
          <w:rFonts w:hint="eastAsia"/>
        </w:rPr>
        <w:t>D），以及代码表和标志表。</w:t>
      </w:r>
      <w:r>
        <w:rPr>
          <w:b/>
          <w:color w:val="FFFFFF"/>
          <w:sz w:val="0"/>
        </w:rPr>
        <w:t>.</w:t>
      </w:r>
    </w:p>
    <w:p>
      <w:pPr>
        <w:pStyle w:val="a4"/>
        <w:spacing w:before="156" w:after="156"/>
      </w:pPr>
      <w:r>
        <w:rPr>
          <w:rFonts w:hint="eastAsia"/>
        </w:rPr>
        <w:t>表A-数据分类表</w:t>
      </w:r>
      <w:r>
        <w:rPr>
          <w:b/>
          <w:color w:val="FFFFFF"/>
          <w:sz w:val="0"/>
        </w:rPr>
        <w:t>.</w:t>
      </w:r>
    </w:p>
    <w:p>
      <w:pPr>
        <w:pStyle w:val="a"/>
        <w:rPr>
          <w:rFonts w:hint="eastAsia"/>
        </w:rPr>
      </w:pPr>
      <w:r>
        <w:rPr>
          <w:rFonts w:hint="eastAsia"/>
        </w:rPr>
        <w:t>表</w:t>
      </w:r>
      <w:r>
        <w:t>A为数据分类表</w:t>
      </w:r>
      <w:r>
        <w:rPr>
          <w:rFonts w:hint="eastAsia"/>
        </w:rPr>
        <w:t>，表</w:t>
      </w:r>
      <w:r>
        <w:t>A</w:t>
      </w:r>
      <w:r>
        <w:rPr>
          <w:rFonts w:hint="eastAsia"/>
        </w:rPr>
        <w:t>中共定义了</w:t>
      </w:r>
      <w:r>
        <w:t>256</w:t>
      </w:r>
      <w:r>
        <w:rPr>
          <w:rFonts w:hint="eastAsia"/>
        </w:rPr>
        <w:t>个可能取值，目前已经定义了17个。</w:t>
      </w:r>
      <w:r>
        <w:rPr>
          <w:b/>
          <w:color w:val="FFFFFF"/>
          <w:sz w:val="0"/>
        </w:rPr>
        <w:t>.</w:t>
      </w:r>
    </w:p>
    <w:p>
      <w:pPr>
        <w:pStyle w:val="a"/>
        <w:rPr>
          <w:rFonts w:hint="eastAsia"/>
        </w:rPr>
      </w:pPr>
      <w:r>
        <w:rPr>
          <w:rFonts w:hint="eastAsia"/>
        </w:rPr>
        <w:t>表A在BUFR</w:t>
      </w:r>
      <w:r>
        <w:t>1</w:t>
      </w:r>
      <w:r>
        <w:rPr>
          <w:rFonts w:hint="eastAsia"/>
        </w:rPr>
        <w:t>段-数据标识段中第11个八位组中被引用，用于快速定位该份</w:t>
      </w:r>
      <w:r>
        <w:t>BUFR</w:t>
      </w:r>
      <w:r>
        <w:rPr>
          <w:rFonts w:hint="eastAsia"/>
        </w:rPr>
        <w:t>报文的数据类型。这个值实际上并不是必须的，因为在</w:t>
      </w:r>
      <w:r>
        <w:t>3</w:t>
      </w:r>
      <w:r>
        <w:rPr>
          <w:rFonts w:hint="eastAsia"/>
        </w:rPr>
        <w:t>段中包含的描述符序列更详细地定义了</w:t>
      </w:r>
      <w:r>
        <w:t>4</w:t>
      </w:r>
      <w:r>
        <w:rPr>
          <w:rFonts w:hint="eastAsia"/>
        </w:rPr>
        <w:t>段中将编码的要素。不过，解码应用可以通过这个</w:t>
      </w:r>
      <w:r>
        <w:t>值</w:t>
      </w:r>
      <w:r>
        <w:rPr>
          <w:rFonts w:hint="eastAsia"/>
        </w:rPr>
        <w:t>对数据进行一个大致的分类，以便在真正解码之前就将数据同步转发给其他处理分支，提高处理效率。</w:t>
      </w:r>
      <w:r>
        <w:rPr>
          <w:b/>
          <w:color w:val="FFFFFF"/>
          <w:sz w:val="0"/>
        </w:rPr>
        <w:t>.</w:t>
      </w:r>
    </w:p>
    <w:p>
      <w:pPr>
        <w:pStyle w:val="a"/>
        <w:rPr>
          <w:rFonts w:hint="eastAsia"/>
        </w:rPr>
      </w:pPr>
      <w:r>
        <w:rPr>
          <w:rFonts w:hint="eastAsia"/>
        </w:rPr>
        <w:t>需要说明的是，BUFR 1段中第12个八位组表示的数据子类型，并没有在表A中进行定义，而是在公共表格C-13中进行定义的。</w:t>
      </w:r>
      <w:r>
        <w:rPr>
          <w:b/>
          <w:color w:val="FFFFFF"/>
          <w:sz w:val="0"/>
        </w:rPr>
        <w:t>.</w:t>
      </w:r>
    </w:p>
    <w:p>
      <w:pPr>
        <w:pStyle w:val="a4"/>
        <w:spacing w:before="156" w:after="156"/>
        <w:rPr>
          <w:rFonts w:hint="eastAsia"/>
        </w:rPr>
      </w:pPr>
      <w:r>
        <w:t>描述符表</w:t>
      </w:r>
      <w:r>
        <w:rPr>
          <w:b/>
          <w:color w:val="FFFFFF"/>
          <w:sz w:val="0"/>
        </w:rPr>
        <w:t>.</w:t>
      </w:r>
    </w:p>
    <w:p>
      <w:pPr>
        <w:pStyle w:val="a12"/>
        <w:numPr>
          <w:ilvl w:val="3"/>
        </w:numPr>
        <w:spacing w:before="156" w:after="156"/>
        <w:rPr>
          <w:rFonts w:hint="eastAsia"/>
        </w:rPr>
      </w:pPr>
      <w:r>
        <w:t>描述符组成</w:t>
      </w:r>
      <w:r>
        <w:rPr>
          <w:b/>
          <w:color w:val="FFFFFF"/>
          <w:sz w:val="0"/>
        </w:rPr>
        <w:t>.</w:t>
      </w:r>
    </w:p>
    <w:p>
      <w:pPr>
        <w:pStyle w:val="a"/>
        <w:rPr>
          <w:rFonts w:hint="eastAsia"/>
        </w:rPr>
      </w:pPr>
      <w:r>
        <w:rPr>
          <w:rFonts w:hint="eastAsia"/>
        </w:rPr>
        <w:t>BUFR有3类描述符，分别是要素描述符、操作描述符、重复描述符和序列描述符。每个描述符都用2个八位组（16个比特）表示，但这16个比特不能被解析为16个比特宽度的一个整型数值，而是要拆分为3部分：分别是F部分（2比特）、X部分（6比特）和Y部分（8比特）。描述符的组成如图7所示。</w:t>
      </w:r>
      <w:r>
        <w:rPr>
          <w:b/>
          <w:color w:val="FFFFFF"/>
          <w:sz w:val="0"/>
        </w:rPr>
        <w:t>.</w:t>
      </w:r>
    </w:p>
    <w:p>
      <w:pPr>
        <w:pStyle w:val="a"/>
        <w:ind w:firstLine="0" w:firstLineChars="0"/>
        <w:jc w:val="center"/>
        <w:rPr>
          <w:rFonts w:hint="eastAsia"/>
        </w:rPr>
      </w:pPr>
      <w:r>
        <w:pict>
          <v:shape id="_x0000_i1031" type="#_x0000_t75" style="width:154.7pt;height:43.3pt" coordsize="21600,21600" filled="f" stroked="f">
            <v:imagedata r:id="rId28" o:title="" croptop="5923f" cropbottom="5041f"/>
            <o:lock v:ext="edit" aspectratio="t"/>
            <w10:anchorlock/>
          </v:shape>
        </w:pict>
      </w:r>
      <w:r>
        <w:rPr>
          <w:b/>
          <w:color w:val="FFFFFF"/>
          <w:sz w:val="0"/>
        </w:rPr>
        <w:t>.</w:t>
      </w:r>
    </w:p>
    <w:p>
      <w:pPr>
        <w:pStyle w:val="a82"/>
        <w:spacing w:before="0" w:beforeLines="0"/>
        <w:jc w:val="left"/>
      </w:pPr>
      <w:r>
        <w:t>描述符的组成</w:t>
      </w:r>
      <w:r>
        <w:rPr>
          <w:b/>
          <w:color w:val="FFFFFF"/>
          <w:sz w:val="0"/>
        </w:rPr>
        <w:t>.</w:t>
      </w:r>
    </w:p>
    <w:p>
      <w:pPr>
        <w:pStyle w:val="a5"/>
      </w:pPr>
      <w:r>
        <w:t>F</w:t>
      </w:r>
      <w:r>
        <w:rPr>
          <w:rFonts w:hint="eastAsia"/>
        </w:rPr>
        <w:t>（</w:t>
      </w:r>
      <w:r>
        <w:t>2bit</w:t>
      </w:r>
      <w:r>
        <w:rPr>
          <w:rFonts w:hint="eastAsia"/>
        </w:rPr>
        <w:t>）：指示描述符的类别，</w:t>
      </w:r>
      <w:r>
        <w:t>2</w:t>
      </w:r>
      <w:r>
        <w:rPr>
          <w:rFonts w:hint="eastAsia"/>
        </w:rPr>
        <w:t>个</w:t>
      </w:r>
      <w:r>
        <w:t>bit</w:t>
      </w:r>
      <w:r>
        <w:rPr>
          <w:rFonts w:hint="eastAsia"/>
        </w:rPr>
        <w:t>可以表示</w:t>
      </w:r>
      <w:r>
        <w:t>4</w:t>
      </w:r>
      <w:r>
        <w:rPr>
          <w:rFonts w:hint="eastAsia"/>
        </w:rPr>
        <w:t>中可能，即</w:t>
      </w:r>
      <w:r>
        <w:t>0,1,2,3</w:t>
      </w:r>
      <w:r>
        <w:rPr>
          <w:rFonts w:hint="eastAsia"/>
        </w:rPr>
        <w:t>。</w:t>
      </w:r>
      <w:r>
        <w:t>F</w:t>
      </w:r>
      <w:r>
        <w:rPr>
          <w:rFonts w:hint="eastAsia"/>
        </w:rPr>
        <w:t>的数值可以指示如下</w:t>
      </w:r>
      <w:r>
        <w:t>3</w:t>
      </w:r>
      <w:r>
        <w:rPr>
          <w:rFonts w:hint="eastAsia"/>
        </w:rPr>
        <w:t>种类型的描述符。</w:t>
      </w:r>
      <w:r>
        <w:rPr>
          <w:b/>
          <w:color w:val="FFFFFF"/>
          <w:sz w:val="0"/>
        </w:rPr>
        <w:t>.</w:t>
      </w:r>
    </w:p>
    <w:p>
      <w:pPr>
        <w:pStyle w:val="a6"/>
      </w:pPr>
      <w:r>
        <w:t xml:space="preserve">F=0 </w:t>
      </w:r>
      <w:r>
        <w:rPr>
          <w:rFonts w:hint="eastAsia"/>
        </w:rPr>
        <w:t>要素描述符</w:t>
      </w:r>
      <w:r>
        <w:t xml:space="preserve">  </w:t>
      </w:r>
      <w:r>
        <w:rPr>
          <w:rFonts w:hint="eastAsia"/>
        </w:rPr>
        <w:t>（表</w:t>
      </w:r>
      <w:r>
        <w:t>B</w:t>
      </w:r>
      <w:r>
        <w:rPr>
          <w:rFonts w:hint="eastAsia"/>
        </w:rPr>
        <w:t>中的每一项）</w:t>
      </w:r>
      <w:r>
        <w:rPr>
          <w:b/>
          <w:color w:val="FFFFFF"/>
          <w:sz w:val="0"/>
        </w:rPr>
        <w:t>.</w:t>
      </w:r>
    </w:p>
    <w:p>
      <w:pPr>
        <w:pStyle w:val="a6"/>
      </w:pPr>
      <w:r>
        <w:t xml:space="preserve">F=1 </w:t>
      </w:r>
      <w:r>
        <w:rPr>
          <w:rFonts w:hint="eastAsia"/>
        </w:rPr>
        <w:t>重复描述符</w:t>
      </w:r>
      <w:r>
        <w:t xml:space="preserve"> </w:t>
      </w:r>
      <w:r>
        <w:rPr>
          <w:b/>
          <w:color w:val="FFFFFF"/>
          <w:sz w:val="0"/>
        </w:rPr>
        <w:t>.</w:t>
      </w:r>
    </w:p>
    <w:p>
      <w:pPr>
        <w:pStyle w:val="a6"/>
      </w:pPr>
      <w:r>
        <w:t xml:space="preserve">F=2 </w:t>
      </w:r>
      <w:r>
        <w:rPr>
          <w:rFonts w:hint="eastAsia"/>
        </w:rPr>
        <w:t>操作描述符</w:t>
      </w:r>
      <w:r>
        <w:t xml:space="preserve">  </w:t>
      </w:r>
      <w:r>
        <w:rPr>
          <w:rFonts w:hint="eastAsia"/>
        </w:rPr>
        <w:t>（表</w:t>
      </w:r>
      <w:r>
        <w:t>C</w:t>
      </w:r>
      <w:r>
        <w:rPr>
          <w:rFonts w:hint="eastAsia"/>
        </w:rPr>
        <w:t>中的每一项）</w:t>
      </w:r>
      <w:r>
        <w:rPr>
          <w:b/>
          <w:color w:val="FFFFFF"/>
          <w:sz w:val="0"/>
        </w:rPr>
        <w:t>.</w:t>
      </w:r>
    </w:p>
    <w:p>
      <w:pPr>
        <w:pStyle w:val="a6"/>
      </w:pPr>
      <w:r>
        <w:t xml:space="preserve">F=3 </w:t>
      </w:r>
      <w:r>
        <w:rPr>
          <w:rFonts w:hint="eastAsia"/>
        </w:rPr>
        <w:t>序列描述符</w:t>
      </w:r>
      <w:r>
        <w:t xml:space="preserve">  </w:t>
      </w:r>
      <w:r>
        <w:rPr>
          <w:rFonts w:hint="eastAsia"/>
        </w:rPr>
        <w:t>（表</w:t>
      </w:r>
      <w:r>
        <w:t>D</w:t>
      </w:r>
      <w:r>
        <w:rPr>
          <w:rFonts w:hint="eastAsia"/>
        </w:rPr>
        <w:t>中的每一项）</w:t>
      </w:r>
      <w:r>
        <w:rPr>
          <w:b/>
          <w:color w:val="FFFFFF"/>
          <w:sz w:val="0"/>
        </w:rPr>
        <w:t>.</w:t>
      </w:r>
    </w:p>
    <w:p>
      <w:pPr>
        <w:pStyle w:val="a5"/>
      </w:pPr>
      <w:r>
        <w:t>X</w:t>
      </w:r>
      <w:r>
        <w:rPr>
          <w:rFonts w:hint="eastAsia"/>
        </w:rPr>
        <w:t>（</w:t>
      </w:r>
      <w:r>
        <w:t>6bit</w:t>
      </w:r>
      <w:r>
        <w:rPr>
          <w:rFonts w:hint="eastAsia"/>
        </w:rPr>
        <w:t>）：指示描述符的类别。</w:t>
      </w:r>
      <w:r>
        <w:t>6</w:t>
      </w:r>
      <w:r>
        <w:rPr>
          <w:rFonts w:hint="eastAsia"/>
        </w:rPr>
        <w:t>个</w:t>
      </w:r>
      <w:r>
        <w:t>bit</w:t>
      </w:r>
      <w:r>
        <w:rPr>
          <w:rFonts w:hint="eastAsia"/>
        </w:rPr>
        <w:t>可以表示</w:t>
      </w:r>
      <w:r>
        <w:t>64</w:t>
      </w:r>
      <w:r>
        <w:rPr>
          <w:rFonts w:hint="eastAsia"/>
        </w:rPr>
        <w:t>种可能，即</w:t>
      </w:r>
      <w:r>
        <w:t>00-63</w:t>
      </w:r>
      <w:r>
        <w:rPr>
          <w:rFonts w:hint="eastAsia"/>
        </w:rPr>
        <w:t>，到目前为止，有</w:t>
      </w:r>
      <w:r>
        <w:t>28</w:t>
      </w:r>
      <w:r>
        <w:rPr>
          <w:rFonts w:hint="eastAsia"/>
        </w:rPr>
        <w:t>类已经被定义。</w:t>
      </w:r>
      <w:r>
        <w:rPr>
          <w:b/>
          <w:color w:val="FFFFFF"/>
          <w:sz w:val="0"/>
        </w:rPr>
        <w:t>.</w:t>
      </w:r>
    </w:p>
    <w:p>
      <w:pPr>
        <w:pStyle w:val="a5"/>
      </w:pPr>
      <w:r>
        <w:t>Y</w:t>
      </w:r>
      <w:r>
        <w:rPr>
          <w:rFonts w:hint="eastAsia"/>
        </w:rPr>
        <w:t>（</w:t>
      </w:r>
      <w:r>
        <w:t>8</w:t>
      </w:r>
      <w:r>
        <w:rPr>
          <w:rFonts w:hint="eastAsia"/>
        </w:rPr>
        <w:t>比特）：指示</w:t>
      </w:r>
      <w:r>
        <w:t>X</w:t>
      </w:r>
      <w:r>
        <w:rPr>
          <w:rFonts w:hint="eastAsia"/>
        </w:rPr>
        <w:t>类中的每一条记录，</w:t>
      </w:r>
      <w:r>
        <w:t>8bit</w:t>
      </w:r>
      <w:r>
        <w:rPr>
          <w:rFonts w:hint="eastAsia"/>
        </w:rPr>
        <w:t>可以表示</w:t>
      </w:r>
      <w:r>
        <w:t>256</w:t>
      </w:r>
      <w:r>
        <w:rPr>
          <w:rFonts w:hint="eastAsia"/>
        </w:rPr>
        <w:t>种可能，在目前的</w:t>
      </w:r>
      <w:r>
        <w:t>28</w:t>
      </w:r>
      <w:r>
        <w:rPr>
          <w:rFonts w:hint="eastAsia"/>
        </w:rPr>
        <w:t>类中，各自有很多条记录已经被定义。</w:t>
      </w:r>
      <w:r>
        <w:rPr>
          <w:b/>
          <w:color w:val="FFFFFF"/>
          <w:sz w:val="0"/>
        </w:rPr>
        <w:t>.</w:t>
      </w:r>
    </w:p>
    <w:p>
      <w:pPr>
        <w:pStyle w:val="a"/>
        <w:rPr>
          <w:rFonts w:hint="eastAsia"/>
        </w:rPr>
      </w:pPr>
      <w:r>
        <w:rPr>
          <w:rFonts w:hint="eastAsia"/>
        </w:rPr>
        <w:t>表8是一些描述符及其对应的二进制写法。</w:t>
      </w:r>
      <w:r>
        <w:rPr>
          <w:b/>
          <w:color w:val="FFFFFF"/>
          <w:sz w:val="0"/>
        </w:rPr>
        <w:t>.</w:t>
      </w:r>
    </w:p>
    <w:p>
      <w:pPr>
        <w:pStyle w:val="a80"/>
        <w:spacing w:after="0" w:afterLines="0"/>
      </w:pPr>
      <w:r>
        <w:t>描述符的分类与写法</w:t>
      </w:r>
      <w:r>
        <w:rPr>
          <w:b/>
          <w:color w:val="FFFFFF"/>
          <w:sz w:val="0"/>
        </w:rPr>
        <w:t>.</w:t>
      </w:r>
    </w:p>
    <w:tbl>
      <w:tblPr>
        <w:tblStyle w:val="TableNormal"/>
        <w:tblW w:w="474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498"/>
        <w:gridCol w:w="1705"/>
        <w:gridCol w:w="1705"/>
        <w:gridCol w:w="1705"/>
        <w:gridCol w:w="1481"/>
      </w:tblGrid>
      <w:tr>
        <w:tblPrEx>
          <w:tblW w:w="474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926" w:type="pct"/>
            <w:shd w:val="clear" w:color="auto" w:fill="auto"/>
            <w:noWrap w:val="0"/>
            <w:vAlign w:val="top"/>
          </w:tcPr>
          <w:p>
            <w:pPr>
              <w:rPr>
                <w:rFonts w:ascii="宋体"/>
                <w:b/>
                <w:sz w:val="18"/>
              </w:rPr>
            </w:pPr>
            <w:r>
              <w:rPr>
                <w:rFonts w:ascii="宋体"/>
                <w:b/>
                <w:sz w:val="18"/>
              </w:rPr>
              <w:t>描述符分类</w:t>
            </w:r>
          </w:p>
        </w:tc>
        <w:tc>
          <w:tcPr>
            <w:tcW w:w="1053" w:type="pct"/>
            <w:shd w:val="clear" w:color="auto" w:fill="auto"/>
            <w:noWrap w:val="0"/>
            <w:vAlign w:val="top"/>
          </w:tcPr>
          <w:p>
            <w:pPr>
              <w:rPr>
                <w:rFonts w:ascii="宋体"/>
                <w:b/>
                <w:sz w:val="18"/>
              </w:rPr>
            </w:pPr>
            <w:r>
              <w:rPr>
                <w:rFonts w:ascii="宋体"/>
                <w:b/>
                <w:sz w:val="18"/>
              </w:rPr>
              <w:t>表示方法</w:t>
            </w:r>
          </w:p>
        </w:tc>
        <w:tc>
          <w:tcPr>
            <w:tcW w:w="1053" w:type="pct"/>
            <w:shd w:val="clear" w:color="auto" w:fill="auto"/>
            <w:noWrap w:val="0"/>
            <w:vAlign w:val="top"/>
          </w:tcPr>
          <w:p>
            <w:pPr>
              <w:rPr>
                <w:rFonts w:ascii="宋体"/>
                <w:b/>
                <w:sz w:val="18"/>
              </w:rPr>
            </w:pPr>
            <w:r>
              <w:rPr>
                <w:rFonts w:ascii="宋体"/>
                <w:b/>
                <w:sz w:val="18"/>
              </w:rPr>
              <w:t>F</w:t>
            </w:r>
          </w:p>
        </w:tc>
        <w:tc>
          <w:tcPr>
            <w:tcW w:w="1053" w:type="pct"/>
            <w:shd w:val="clear" w:color="auto" w:fill="auto"/>
            <w:noWrap w:val="0"/>
            <w:vAlign w:val="top"/>
          </w:tcPr>
          <w:p>
            <w:pPr>
              <w:rPr>
                <w:rFonts w:ascii="宋体"/>
                <w:b/>
                <w:sz w:val="18"/>
              </w:rPr>
            </w:pPr>
            <w:r>
              <w:rPr>
                <w:rFonts w:ascii="宋体"/>
                <w:b/>
                <w:sz w:val="18"/>
              </w:rPr>
              <w:t>X</w:t>
            </w:r>
          </w:p>
        </w:tc>
        <w:tc>
          <w:tcPr>
            <w:tcW w:w="915" w:type="pct"/>
            <w:shd w:val="clear" w:color="auto" w:fill="auto"/>
            <w:noWrap w:val="0"/>
            <w:vAlign w:val="top"/>
          </w:tcPr>
          <w:p>
            <w:pPr>
              <w:rPr>
                <w:rFonts w:ascii="宋体"/>
                <w:b/>
                <w:sz w:val="18"/>
              </w:rPr>
            </w:pPr>
            <w:r>
              <w:rPr>
                <w:rFonts w:ascii="宋体"/>
                <w:b/>
                <w:sz w:val="18"/>
              </w:rPr>
              <w:t>Y</w:t>
            </w:r>
          </w:p>
        </w:tc>
      </w:tr>
      <w:tr>
        <w:tblPrEx>
          <w:tblW w:w="4749" w:type="pct"/>
          <w:tblInd w:w="108" w:type="dxa"/>
          <w:tblCellMar>
            <w:top w:w="0" w:type="dxa"/>
            <w:left w:w="108" w:type="dxa"/>
            <w:bottom w:w="0" w:type="dxa"/>
            <w:right w:w="108" w:type="dxa"/>
          </w:tblCellMar>
        </w:tblPrEx>
        <w:tc>
          <w:tcPr>
            <w:tcW w:w="926" w:type="pct"/>
            <w:vMerge w:val="restart"/>
            <w:shd w:val="clear" w:color="auto" w:fill="auto"/>
            <w:noWrap w:val="0"/>
            <w:vAlign w:val="top"/>
          </w:tcPr>
          <w:p>
            <w:pPr>
              <w:rPr>
                <w:rFonts w:ascii="宋体"/>
                <w:sz w:val="18"/>
              </w:rPr>
            </w:pPr>
            <w:r>
              <w:rPr>
                <w:rFonts w:ascii="宋体"/>
                <w:sz w:val="18"/>
              </w:rPr>
              <w:t>要素描述符</w:t>
            </w:r>
          </w:p>
        </w:tc>
        <w:tc>
          <w:tcPr>
            <w:tcW w:w="1053" w:type="pct"/>
            <w:shd w:val="clear" w:color="auto" w:fill="auto"/>
            <w:noWrap w:val="0"/>
            <w:vAlign w:val="top"/>
          </w:tcPr>
          <w:p>
            <w:pPr>
              <w:rPr>
                <w:rFonts w:ascii="宋体"/>
                <w:sz w:val="18"/>
              </w:rPr>
            </w:pPr>
            <w:r>
              <w:rPr>
                <w:rFonts w:ascii="宋体"/>
                <w:sz w:val="18"/>
              </w:rPr>
              <w:t>十进制</w:t>
            </w:r>
            <w:r>
              <w:rPr>
                <w:rFonts w:ascii="宋体" w:hint="eastAsia"/>
                <w:sz w:val="18"/>
              </w:rPr>
              <w:t>（</w:t>
            </w:r>
            <w:r>
              <w:rPr>
                <w:rFonts w:ascii="宋体"/>
                <w:sz w:val="18"/>
              </w:rPr>
              <w:t>整型</w:t>
            </w:r>
            <w:r>
              <w:rPr>
                <w:rFonts w:ascii="宋体" w:hint="eastAsia"/>
                <w:sz w:val="18"/>
              </w:rPr>
              <w:t>）</w:t>
            </w:r>
          </w:p>
        </w:tc>
        <w:tc>
          <w:tcPr>
            <w:tcW w:w="1053" w:type="pct"/>
            <w:shd w:val="clear" w:color="auto" w:fill="auto"/>
            <w:noWrap w:val="0"/>
            <w:vAlign w:val="top"/>
          </w:tcPr>
          <w:p>
            <w:pPr>
              <w:rPr>
                <w:rFonts w:ascii="宋体"/>
                <w:sz w:val="18"/>
              </w:rPr>
            </w:pPr>
            <w:r>
              <w:rPr>
                <w:rFonts w:ascii="宋体" w:hint="eastAsia"/>
                <w:sz w:val="18"/>
              </w:rPr>
              <w:t>0</w:t>
            </w:r>
          </w:p>
        </w:tc>
        <w:tc>
          <w:tcPr>
            <w:tcW w:w="1053" w:type="pct"/>
            <w:shd w:val="clear" w:color="auto" w:fill="auto"/>
            <w:noWrap w:val="0"/>
            <w:vAlign w:val="top"/>
          </w:tcPr>
          <w:p>
            <w:pPr>
              <w:rPr>
                <w:rFonts w:ascii="宋体"/>
                <w:sz w:val="18"/>
              </w:rPr>
            </w:pPr>
            <w:r>
              <w:rPr>
                <w:rFonts w:ascii="宋体" w:hint="eastAsia"/>
                <w:sz w:val="18"/>
              </w:rPr>
              <w:t>01</w:t>
            </w:r>
          </w:p>
        </w:tc>
        <w:tc>
          <w:tcPr>
            <w:tcW w:w="915" w:type="pct"/>
            <w:shd w:val="clear" w:color="auto" w:fill="auto"/>
            <w:noWrap w:val="0"/>
            <w:vAlign w:val="top"/>
          </w:tcPr>
          <w:p>
            <w:pPr>
              <w:rPr>
                <w:rFonts w:ascii="宋体"/>
                <w:sz w:val="18"/>
              </w:rPr>
            </w:pPr>
            <w:r>
              <w:rPr>
                <w:rFonts w:ascii="宋体" w:hint="eastAsia"/>
                <w:sz w:val="18"/>
              </w:rPr>
              <w:t>001</w:t>
            </w:r>
          </w:p>
        </w:tc>
      </w:tr>
      <w:tr>
        <w:tblPrEx>
          <w:tblW w:w="4749" w:type="pct"/>
          <w:tblInd w:w="108" w:type="dxa"/>
          <w:tblCellMar>
            <w:top w:w="0" w:type="dxa"/>
            <w:left w:w="108" w:type="dxa"/>
            <w:bottom w:w="0" w:type="dxa"/>
            <w:right w:w="108" w:type="dxa"/>
          </w:tblCellMar>
        </w:tblPrEx>
        <w:tc>
          <w:tcPr>
            <w:tcW w:w="926" w:type="pct"/>
            <w:vMerge/>
            <w:shd w:val="clear" w:color="auto" w:fill="auto"/>
            <w:noWrap w:val="0"/>
            <w:vAlign w:val="top"/>
          </w:tcPr>
          <w:p>
            <w:pPr>
              <w:rPr>
                <w:rFonts w:ascii="宋体"/>
                <w:sz w:val="18"/>
              </w:rPr>
            </w:pPr>
          </w:p>
        </w:tc>
        <w:tc>
          <w:tcPr>
            <w:tcW w:w="1053" w:type="pct"/>
            <w:shd w:val="clear" w:color="auto" w:fill="auto"/>
            <w:noWrap w:val="0"/>
            <w:vAlign w:val="top"/>
          </w:tcPr>
          <w:p>
            <w:pPr>
              <w:rPr>
                <w:rFonts w:ascii="宋体"/>
                <w:sz w:val="18"/>
              </w:rPr>
            </w:pPr>
            <w:r>
              <w:rPr>
                <w:rFonts w:ascii="宋体"/>
                <w:sz w:val="18"/>
              </w:rPr>
              <w:t>二进制</w:t>
            </w:r>
            <w:r>
              <w:rPr>
                <w:rFonts w:ascii="宋体" w:hint="eastAsia"/>
                <w:sz w:val="18"/>
              </w:rPr>
              <w:t>（</w:t>
            </w:r>
            <w:r>
              <w:rPr>
                <w:rFonts w:ascii="宋体"/>
                <w:sz w:val="18"/>
              </w:rPr>
              <w:t>比特位</w:t>
            </w:r>
            <w:r>
              <w:rPr>
                <w:rFonts w:ascii="宋体" w:hint="eastAsia"/>
                <w:sz w:val="18"/>
              </w:rPr>
              <w:t>）</w:t>
            </w:r>
          </w:p>
        </w:tc>
        <w:tc>
          <w:tcPr>
            <w:tcW w:w="1053" w:type="pct"/>
            <w:shd w:val="clear" w:color="auto" w:fill="auto"/>
            <w:noWrap w:val="0"/>
            <w:vAlign w:val="top"/>
          </w:tcPr>
          <w:p>
            <w:pPr>
              <w:rPr>
                <w:rFonts w:ascii="宋体"/>
                <w:sz w:val="18"/>
              </w:rPr>
            </w:pPr>
            <w:r>
              <w:rPr>
                <w:rFonts w:ascii="宋体" w:hint="eastAsia"/>
                <w:sz w:val="18"/>
              </w:rPr>
              <w:t>00</w:t>
            </w:r>
          </w:p>
        </w:tc>
        <w:tc>
          <w:tcPr>
            <w:tcW w:w="1053" w:type="pct"/>
            <w:shd w:val="clear" w:color="auto" w:fill="auto"/>
            <w:noWrap w:val="0"/>
            <w:vAlign w:val="top"/>
          </w:tcPr>
          <w:p>
            <w:pPr>
              <w:rPr>
                <w:rFonts w:ascii="宋体"/>
                <w:sz w:val="18"/>
              </w:rPr>
            </w:pPr>
            <w:r>
              <w:rPr>
                <w:rFonts w:ascii="宋体" w:hint="eastAsia"/>
                <w:sz w:val="18"/>
              </w:rPr>
              <w:t>000001</w:t>
            </w:r>
          </w:p>
        </w:tc>
        <w:tc>
          <w:tcPr>
            <w:tcW w:w="915" w:type="pct"/>
            <w:shd w:val="clear" w:color="auto" w:fill="auto"/>
            <w:noWrap w:val="0"/>
            <w:vAlign w:val="top"/>
          </w:tcPr>
          <w:p>
            <w:pPr>
              <w:rPr>
                <w:rFonts w:ascii="宋体"/>
                <w:sz w:val="18"/>
              </w:rPr>
            </w:pPr>
            <w:r>
              <w:rPr>
                <w:rFonts w:ascii="宋体" w:hint="eastAsia"/>
                <w:sz w:val="18"/>
              </w:rPr>
              <w:t>00000001</w:t>
            </w:r>
          </w:p>
        </w:tc>
      </w:tr>
      <w:tr>
        <w:tblPrEx>
          <w:tblW w:w="4749" w:type="pct"/>
          <w:tblInd w:w="108" w:type="dxa"/>
          <w:tblCellMar>
            <w:top w:w="0" w:type="dxa"/>
            <w:left w:w="108" w:type="dxa"/>
            <w:bottom w:w="0" w:type="dxa"/>
            <w:right w:w="108" w:type="dxa"/>
          </w:tblCellMar>
        </w:tblPrEx>
        <w:tc>
          <w:tcPr>
            <w:tcW w:w="926" w:type="pct"/>
            <w:shd w:val="clear" w:color="auto" w:fill="auto"/>
            <w:noWrap w:val="0"/>
            <w:vAlign w:val="top"/>
          </w:tcPr>
          <w:p>
            <w:pPr>
              <w:rPr>
                <w:rFonts w:ascii="宋体"/>
                <w:sz w:val="18"/>
              </w:rPr>
            </w:pPr>
            <w:r>
              <w:rPr>
                <w:rFonts w:ascii="宋体"/>
                <w:sz w:val="18"/>
              </w:rPr>
              <w:t>重复描述符</w:t>
            </w:r>
          </w:p>
        </w:tc>
        <w:tc>
          <w:tcPr>
            <w:tcW w:w="1053" w:type="pct"/>
            <w:shd w:val="clear" w:color="auto" w:fill="auto"/>
            <w:noWrap w:val="0"/>
            <w:vAlign w:val="top"/>
          </w:tcPr>
          <w:p>
            <w:pPr>
              <w:rPr>
                <w:rFonts w:ascii="宋体"/>
                <w:sz w:val="18"/>
              </w:rPr>
            </w:pPr>
            <w:r>
              <w:rPr>
                <w:rFonts w:ascii="宋体"/>
                <w:sz w:val="18"/>
              </w:rPr>
              <w:t>十进制</w:t>
            </w:r>
            <w:r>
              <w:rPr>
                <w:rFonts w:ascii="宋体" w:hint="eastAsia"/>
                <w:sz w:val="18"/>
              </w:rPr>
              <w:t>（</w:t>
            </w:r>
            <w:r>
              <w:rPr>
                <w:rFonts w:ascii="宋体"/>
                <w:sz w:val="18"/>
              </w:rPr>
              <w:t>整型</w:t>
            </w:r>
            <w:r>
              <w:rPr>
                <w:rFonts w:ascii="宋体" w:hint="eastAsia"/>
                <w:sz w:val="18"/>
              </w:rPr>
              <w:t>）</w:t>
            </w:r>
          </w:p>
        </w:tc>
        <w:tc>
          <w:tcPr>
            <w:tcW w:w="1053" w:type="pct"/>
            <w:shd w:val="clear" w:color="auto" w:fill="auto"/>
            <w:noWrap w:val="0"/>
            <w:vAlign w:val="top"/>
          </w:tcPr>
          <w:p>
            <w:pPr>
              <w:rPr>
                <w:rFonts w:ascii="宋体"/>
                <w:sz w:val="18"/>
              </w:rPr>
            </w:pPr>
            <w:r>
              <w:rPr>
                <w:rFonts w:ascii="宋体" w:hint="eastAsia"/>
                <w:sz w:val="18"/>
              </w:rPr>
              <w:t>1</w:t>
            </w:r>
          </w:p>
        </w:tc>
        <w:tc>
          <w:tcPr>
            <w:tcW w:w="1053" w:type="pct"/>
            <w:shd w:val="clear" w:color="auto" w:fill="auto"/>
            <w:noWrap w:val="0"/>
            <w:vAlign w:val="top"/>
          </w:tcPr>
          <w:p>
            <w:pPr>
              <w:rPr>
                <w:rFonts w:ascii="宋体"/>
                <w:sz w:val="18"/>
              </w:rPr>
            </w:pPr>
            <w:r>
              <w:rPr>
                <w:rFonts w:ascii="宋体" w:hint="eastAsia"/>
                <w:sz w:val="18"/>
              </w:rPr>
              <w:t>02</w:t>
            </w:r>
          </w:p>
        </w:tc>
        <w:tc>
          <w:tcPr>
            <w:tcW w:w="915" w:type="pct"/>
            <w:shd w:val="clear" w:color="auto" w:fill="auto"/>
            <w:noWrap w:val="0"/>
            <w:vAlign w:val="top"/>
          </w:tcPr>
          <w:p>
            <w:pPr>
              <w:rPr>
                <w:rFonts w:ascii="宋体"/>
                <w:sz w:val="18"/>
              </w:rPr>
            </w:pPr>
            <w:r>
              <w:rPr>
                <w:rFonts w:ascii="宋体" w:hint="eastAsia"/>
                <w:sz w:val="18"/>
              </w:rPr>
              <w:t>006</w:t>
            </w:r>
          </w:p>
        </w:tc>
      </w:tr>
    </w:tbl>
    <w:p>
      <w:pPr>
        <w:sectPr>
          <w:headerReference w:type="default" r:id="rId29"/>
          <w:footerReference w:type="default" r:id="rId30"/>
          <w:type w:val="nextPage"/>
          <w:pgSz w:w="11906" w:h="16838"/>
          <w:pgMar w:top="1440" w:right="1800" w:bottom="1440" w:left="1800" w:header="1418" w:footer="1020" w:gutter="0"/>
          <w:pgNumType w:start="8"/>
          <w:cols w:num="1" w:space="425"/>
          <w:formProt w:val="0"/>
          <w:titlePg w:val="0"/>
          <w:docGrid w:type="lines" w:linePitch="312" w:charSpace="0"/>
        </w:sectPr>
      </w:pPr>
    </w:p>
    <w:tbl>
      <w:tblPr>
        <w:tblStyle w:val="TableNormal"/>
        <w:tblW w:w="474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498"/>
        <w:gridCol w:w="1705"/>
        <w:gridCol w:w="1705"/>
        <w:gridCol w:w="1705"/>
        <w:gridCol w:w="1481"/>
      </w:tblGrid>
      <w:tr>
        <w:tblPrEx>
          <w:tblW w:w="474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926" w:type="pct"/>
            <w:vMerge w:val="restart"/>
            <w:shd w:val="clear" w:color="auto" w:fill="auto"/>
            <w:noWrap w:val="0"/>
            <w:vAlign w:val="top"/>
          </w:tcPr>
          <w:p>
            <w:pPr>
              <w:rPr>
                <w:rFonts w:ascii="宋体"/>
                <w:sz w:val="18"/>
              </w:rPr>
            </w:pPr>
          </w:p>
        </w:tc>
        <w:tc>
          <w:tcPr>
            <w:tcW w:w="1053" w:type="pct"/>
            <w:shd w:val="clear" w:color="auto" w:fill="auto"/>
            <w:noWrap w:val="0"/>
            <w:vAlign w:val="top"/>
          </w:tcPr>
          <w:p>
            <w:pPr>
              <w:rPr>
                <w:rFonts w:ascii="宋体"/>
                <w:sz w:val="18"/>
              </w:rPr>
            </w:pPr>
            <w:r>
              <w:rPr>
                <w:rFonts w:ascii="宋体"/>
                <w:sz w:val="18"/>
              </w:rPr>
              <w:t>二进制</w:t>
            </w:r>
            <w:r>
              <w:rPr>
                <w:rFonts w:ascii="宋体" w:hint="eastAsia"/>
                <w:sz w:val="18"/>
              </w:rPr>
              <w:t>（</w:t>
            </w:r>
            <w:r>
              <w:rPr>
                <w:rFonts w:ascii="宋体"/>
                <w:sz w:val="18"/>
              </w:rPr>
              <w:t>比特位</w:t>
            </w:r>
            <w:r>
              <w:rPr>
                <w:rFonts w:ascii="宋体" w:hint="eastAsia"/>
                <w:sz w:val="18"/>
              </w:rPr>
              <w:t>）</w:t>
            </w:r>
          </w:p>
        </w:tc>
        <w:tc>
          <w:tcPr>
            <w:tcW w:w="1053" w:type="pct"/>
            <w:shd w:val="clear" w:color="auto" w:fill="auto"/>
            <w:noWrap w:val="0"/>
            <w:vAlign w:val="top"/>
          </w:tcPr>
          <w:p>
            <w:pPr>
              <w:rPr>
                <w:rFonts w:ascii="宋体"/>
                <w:sz w:val="18"/>
              </w:rPr>
            </w:pPr>
            <w:r>
              <w:rPr>
                <w:rFonts w:ascii="宋体" w:hint="eastAsia"/>
                <w:sz w:val="18"/>
              </w:rPr>
              <w:t>01</w:t>
            </w:r>
          </w:p>
        </w:tc>
        <w:tc>
          <w:tcPr>
            <w:tcW w:w="1053" w:type="pct"/>
            <w:shd w:val="clear" w:color="auto" w:fill="auto"/>
            <w:noWrap w:val="0"/>
            <w:vAlign w:val="top"/>
          </w:tcPr>
          <w:p>
            <w:pPr>
              <w:rPr>
                <w:rFonts w:ascii="宋体"/>
                <w:sz w:val="18"/>
              </w:rPr>
            </w:pPr>
            <w:r>
              <w:rPr>
                <w:rFonts w:ascii="宋体" w:hint="eastAsia"/>
                <w:sz w:val="18"/>
              </w:rPr>
              <w:t>000010</w:t>
            </w:r>
          </w:p>
        </w:tc>
        <w:tc>
          <w:tcPr>
            <w:tcW w:w="915" w:type="pct"/>
            <w:shd w:val="clear" w:color="auto" w:fill="auto"/>
            <w:noWrap w:val="0"/>
            <w:vAlign w:val="top"/>
          </w:tcPr>
          <w:p>
            <w:pPr>
              <w:rPr>
                <w:rFonts w:ascii="宋体"/>
                <w:sz w:val="18"/>
              </w:rPr>
            </w:pPr>
            <w:r>
              <w:rPr>
                <w:rFonts w:ascii="宋体" w:hint="eastAsia"/>
                <w:sz w:val="18"/>
              </w:rPr>
              <w:t>00000110</w:t>
            </w:r>
          </w:p>
        </w:tc>
      </w:tr>
      <w:tr>
        <w:tblPrEx>
          <w:tblW w:w="4749" w:type="pct"/>
          <w:tblInd w:w="108" w:type="dxa"/>
          <w:tblCellMar>
            <w:top w:w="0" w:type="dxa"/>
            <w:left w:w="108" w:type="dxa"/>
            <w:bottom w:w="0" w:type="dxa"/>
            <w:right w:w="108" w:type="dxa"/>
          </w:tblCellMar>
        </w:tblPrEx>
        <w:tc>
          <w:tcPr>
            <w:tcW w:w="926" w:type="pct"/>
            <w:vMerge w:val="restart"/>
            <w:shd w:val="clear" w:color="auto" w:fill="auto"/>
            <w:noWrap w:val="0"/>
            <w:vAlign w:val="top"/>
          </w:tcPr>
          <w:p>
            <w:pPr>
              <w:rPr>
                <w:rFonts w:ascii="宋体"/>
                <w:sz w:val="18"/>
              </w:rPr>
            </w:pPr>
            <w:r>
              <w:rPr>
                <w:rFonts w:ascii="宋体"/>
                <w:sz w:val="18"/>
              </w:rPr>
              <w:t>操作描述符</w:t>
            </w:r>
          </w:p>
        </w:tc>
        <w:tc>
          <w:tcPr>
            <w:tcW w:w="1053" w:type="pct"/>
            <w:shd w:val="clear" w:color="auto" w:fill="auto"/>
            <w:noWrap w:val="0"/>
            <w:vAlign w:val="top"/>
          </w:tcPr>
          <w:p>
            <w:pPr>
              <w:rPr>
                <w:rFonts w:ascii="宋体"/>
                <w:sz w:val="18"/>
              </w:rPr>
            </w:pPr>
            <w:r>
              <w:rPr>
                <w:rFonts w:ascii="宋体"/>
                <w:sz w:val="18"/>
              </w:rPr>
              <w:t>十进制</w:t>
            </w:r>
            <w:r>
              <w:rPr>
                <w:rFonts w:ascii="宋体" w:hint="eastAsia"/>
                <w:sz w:val="18"/>
              </w:rPr>
              <w:t>（</w:t>
            </w:r>
            <w:r>
              <w:rPr>
                <w:rFonts w:ascii="宋体"/>
                <w:sz w:val="18"/>
              </w:rPr>
              <w:t>整型</w:t>
            </w:r>
            <w:r>
              <w:rPr>
                <w:rFonts w:ascii="宋体" w:hint="eastAsia"/>
                <w:sz w:val="18"/>
              </w:rPr>
              <w:t>）</w:t>
            </w:r>
          </w:p>
        </w:tc>
        <w:tc>
          <w:tcPr>
            <w:tcW w:w="1053" w:type="pct"/>
            <w:shd w:val="clear" w:color="auto" w:fill="auto"/>
            <w:noWrap w:val="0"/>
            <w:vAlign w:val="top"/>
          </w:tcPr>
          <w:p>
            <w:pPr>
              <w:rPr>
                <w:rFonts w:ascii="宋体"/>
                <w:sz w:val="18"/>
              </w:rPr>
            </w:pPr>
            <w:r>
              <w:rPr>
                <w:rFonts w:ascii="宋体" w:hint="eastAsia"/>
                <w:sz w:val="18"/>
              </w:rPr>
              <w:t>2</w:t>
            </w:r>
          </w:p>
        </w:tc>
        <w:tc>
          <w:tcPr>
            <w:tcW w:w="1053" w:type="pct"/>
            <w:shd w:val="clear" w:color="auto" w:fill="auto"/>
            <w:noWrap w:val="0"/>
            <w:vAlign w:val="top"/>
          </w:tcPr>
          <w:p>
            <w:pPr>
              <w:rPr>
                <w:rFonts w:ascii="宋体"/>
                <w:sz w:val="18"/>
              </w:rPr>
            </w:pPr>
            <w:r>
              <w:rPr>
                <w:rFonts w:ascii="宋体" w:hint="eastAsia"/>
                <w:sz w:val="18"/>
              </w:rPr>
              <w:t>01</w:t>
            </w:r>
          </w:p>
        </w:tc>
        <w:tc>
          <w:tcPr>
            <w:tcW w:w="915" w:type="pct"/>
            <w:shd w:val="clear" w:color="auto" w:fill="auto"/>
            <w:noWrap w:val="0"/>
            <w:vAlign w:val="top"/>
          </w:tcPr>
          <w:p>
            <w:pPr>
              <w:rPr>
                <w:rFonts w:ascii="宋体"/>
                <w:sz w:val="18"/>
              </w:rPr>
            </w:pPr>
            <w:r>
              <w:rPr>
                <w:rFonts w:ascii="宋体" w:hint="eastAsia"/>
                <w:sz w:val="18"/>
              </w:rPr>
              <w:t>131</w:t>
            </w:r>
          </w:p>
        </w:tc>
      </w:tr>
      <w:tr>
        <w:tblPrEx>
          <w:tblW w:w="4749" w:type="pct"/>
          <w:tblInd w:w="108" w:type="dxa"/>
          <w:tblCellMar>
            <w:top w:w="0" w:type="dxa"/>
            <w:left w:w="108" w:type="dxa"/>
            <w:bottom w:w="0" w:type="dxa"/>
            <w:right w:w="108" w:type="dxa"/>
          </w:tblCellMar>
        </w:tblPrEx>
        <w:tc>
          <w:tcPr>
            <w:tcW w:w="926" w:type="pct"/>
            <w:vMerge/>
            <w:shd w:val="clear" w:color="auto" w:fill="auto"/>
            <w:noWrap w:val="0"/>
            <w:vAlign w:val="top"/>
          </w:tcPr>
          <w:p>
            <w:pPr>
              <w:rPr>
                <w:rFonts w:ascii="宋体"/>
                <w:sz w:val="18"/>
              </w:rPr>
            </w:pPr>
          </w:p>
        </w:tc>
        <w:tc>
          <w:tcPr>
            <w:tcW w:w="1053" w:type="pct"/>
            <w:shd w:val="clear" w:color="auto" w:fill="auto"/>
            <w:noWrap w:val="0"/>
            <w:vAlign w:val="top"/>
          </w:tcPr>
          <w:p>
            <w:pPr>
              <w:rPr>
                <w:rFonts w:ascii="宋体"/>
                <w:sz w:val="18"/>
              </w:rPr>
            </w:pPr>
            <w:r>
              <w:rPr>
                <w:rFonts w:ascii="宋体"/>
                <w:sz w:val="18"/>
              </w:rPr>
              <w:t>二进制</w:t>
            </w:r>
            <w:r>
              <w:rPr>
                <w:rFonts w:ascii="宋体" w:hint="eastAsia"/>
                <w:sz w:val="18"/>
              </w:rPr>
              <w:t>（</w:t>
            </w:r>
            <w:r>
              <w:rPr>
                <w:rFonts w:ascii="宋体"/>
                <w:sz w:val="18"/>
              </w:rPr>
              <w:t>比特位</w:t>
            </w:r>
            <w:r>
              <w:rPr>
                <w:rFonts w:ascii="宋体" w:hint="eastAsia"/>
                <w:sz w:val="18"/>
              </w:rPr>
              <w:t>）</w:t>
            </w:r>
          </w:p>
        </w:tc>
        <w:tc>
          <w:tcPr>
            <w:tcW w:w="1053" w:type="pct"/>
            <w:shd w:val="clear" w:color="auto" w:fill="auto"/>
            <w:noWrap w:val="0"/>
            <w:vAlign w:val="top"/>
          </w:tcPr>
          <w:p>
            <w:pPr>
              <w:rPr>
                <w:rFonts w:ascii="宋体"/>
                <w:sz w:val="18"/>
              </w:rPr>
            </w:pPr>
            <w:r>
              <w:rPr>
                <w:rFonts w:ascii="宋体" w:hint="eastAsia"/>
                <w:sz w:val="18"/>
              </w:rPr>
              <w:t>10</w:t>
            </w:r>
          </w:p>
        </w:tc>
        <w:tc>
          <w:tcPr>
            <w:tcW w:w="1053" w:type="pct"/>
            <w:shd w:val="clear" w:color="auto" w:fill="auto"/>
            <w:noWrap w:val="0"/>
            <w:vAlign w:val="top"/>
          </w:tcPr>
          <w:p>
            <w:pPr>
              <w:rPr>
                <w:rFonts w:ascii="宋体"/>
                <w:sz w:val="18"/>
              </w:rPr>
            </w:pPr>
            <w:r>
              <w:rPr>
                <w:rFonts w:ascii="宋体" w:hint="eastAsia"/>
                <w:sz w:val="18"/>
              </w:rPr>
              <w:t>000001</w:t>
            </w:r>
          </w:p>
        </w:tc>
        <w:tc>
          <w:tcPr>
            <w:tcW w:w="915" w:type="pct"/>
            <w:shd w:val="clear" w:color="auto" w:fill="auto"/>
            <w:noWrap w:val="0"/>
            <w:vAlign w:val="top"/>
          </w:tcPr>
          <w:p>
            <w:pPr>
              <w:rPr>
                <w:rFonts w:ascii="宋体"/>
                <w:sz w:val="18"/>
              </w:rPr>
            </w:pPr>
            <w:r>
              <w:rPr>
                <w:rFonts w:ascii="宋体" w:hint="eastAsia"/>
                <w:sz w:val="18"/>
              </w:rPr>
              <w:t>10000011</w:t>
            </w:r>
          </w:p>
        </w:tc>
      </w:tr>
      <w:tr>
        <w:tblPrEx>
          <w:tblW w:w="4749" w:type="pct"/>
          <w:tblInd w:w="108" w:type="dxa"/>
          <w:tblCellMar>
            <w:top w:w="0" w:type="dxa"/>
            <w:left w:w="108" w:type="dxa"/>
            <w:bottom w:w="0" w:type="dxa"/>
            <w:right w:w="108" w:type="dxa"/>
          </w:tblCellMar>
        </w:tblPrEx>
        <w:tc>
          <w:tcPr>
            <w:tcW w:w="926" w:type="pct"/>
            <w:vMerge w:val="restart"/>
            <w:shd w:val="clear" w:color="auto" w:fill="auto"/>
            <w:noWrap w:val="0"/>
            <w:vAlign w:val="top"/>
          </w:tcPr>
          <w:p>
            <w:pPr>
              <w:rPr>
                <w:rFonts w:ascii="宋体"/>
                <w:sz w:val="18"/>
              </w:rPr>
            </w:pPr>
            <w:r>
              <w:rPr>
                <w:rFonts w:ascii="宋体"/>
                <w:sz w:val="18"/>
              </w:rPr>
              <w:t>序列描述符</w:t>
            </w:r>
          </w:p>
        </w:tc>
        <w:tc>
          <w:tcPr>
            <w:tcW w:w="1053" w:type="pct"/>
            <w:shd w:val="clear" w:color="auto" w:fill="auto"/>
            <w:noWrap w:val="0"/>
            <w:vAlign w:val="top"/>
          </w:tcPr>
          <w:p>
            <w:pPr>
              <w:rPr>
                <w:rFonts w:ascii="宋体"/>
                <w:sz w:val="18"/>
              </w:rPr>
            </w:pPr>
            <w:r>
              <w:rPr>
                <w:rFonts w:ascii="宋体"/>
                <w:sz w:val="18"/>
              </w:rPr>
              <w:t>十进制</w:t>
            </w:r>
            <w:r>
              <w:rPr>
                <w:rFonts w:ascii="宋体" w:hint="eastAsia"/>
                <w:sz w:val="18"/>
              </w:rPr>
              <w:t>（</w:t>
            </w:r>
            <w:r>
              <w:rPr>
                <w:rFonts w:ascii="宋体"/>
                <w:sz w:val="18"/>
              </w:rPr>
              <w:t>整型</w:t>
            </w:r>
            <w:r>
              <w:rPr>
                <w:rFonts w:ascii="宋体" w:hint="eastAsia"/>
                <w:sz w:val="18"/>
              </w:rPr>
              <w:t>）</w:t>
            </w:r>
          </w:p>
        </w:tc>
        <w:tc>
          <w:tcPr>
            <w:tcW w:w="1053" w:type="pct"/>
            <w:shd w:val="clear" w:color="auto" w:fill="auto"/>
            <w:noWrap w:val="0"/>
            <w:vAlign w:val="top"/>
          </w:tcPr>
          <w:p>
            <w:pPr>
              <w:rPr>
                <w:rFonts w:ascii="宋体"/>
                <w:sz w:val="18"/>
              </w:rPr>
            </w:pPr>
            <w:r>
              <w:rPr>
                <w:rFonts w:ascii="宋体" w:hint="eastAsia"/>
                <w:sz w:val="18"/>
              </w:rPr>
              <w:t>3</w:t>
            </w:r>
          </w:p>
        </w:tc>
        <w:tc>
          <w:tcPr>
            <w:tcW w:w="1053" w:type="pct"/>
            <w:shd w:val="clear" w:color="auto" w:fill="auto"/>
            <w:noWrap w:val="0"/>
            <w:vAlign w:val="top"/>
          </w:tcPr>
          <w:p>
            <w:pPr>
              <w:rPr>
                <w:rFonts w:ascii="宋体"/>
                <w:sz w:val="18"/>
              </w:rPr>
            </w:pPr>
            <w:r>
              <w:rPr>
                <w:rFonts w:ascii="宋体" w:hint="eastAsia"/>
                <w:sz w:val="18"/>
              </w:rPr>
              <w:t>07</w:t>
            </w:r>
          </w:p>
        </w:tc>
        <w:tc>
          <w:tcPr>
            <w:tcW w:w="915" w:type="pct"/>
            <w:shd w:val="clear" w:color="auto" w:fill="auto"/>
            <w:noWrap w:val="0"/>
            <w:vAlign w:val="top"/>
          </w:tcPr>
          <w:p>
            <w:pPr>
              <w:rPr>
                <w:rFonts w:ascii="宋体"/>
                <w:sz w:val="18"/>
              </w:rPr>
            </w:pPr>
            <w:r>
              <w:rPr>
                <w:rFonts w:ascii="宋体" w:hint="eastAsia"/>
                <w:sz w:val="18"/>
              </w:rPr>
              <w:t>002</w:t>
            </w:r>
          </w:p>
        </w:tc>
      </w:tr>
      <w:tr>
        <w:tblPrEx>
          <w:tblW w:w="4749" w:type="pct"/>
          <w:tblInd w:w="108" w:type="dxa"/>
          <w:tblCellMar>
            <w:top w:w="0" w:type="dxa"/>
            <w:left w:w="108" w:type="dxa"/>
            <w:bottom w:w="0" w:type="dxa"/>
            <w:right w:w="108" w:type="dxa"/>
          </w:tblCellMar>
        </w:tblPrEx>
        <w:tc>
          <w:tcPr>
            <w:tcW w:w="926" w:type="pct"/>
            <w:vMerge/>
            <w:shd w:val="clear" w:color="auto" w:fill="auto"/>
            <w:noWrap w:val="0"/>
            <w:vAlign w:val="top"/>
          </w:tcPr>
          <w:p>
            <w:pPr>
              <w:rPr>
                <w:rFonts w:ascii="宋体"/>
                <w:sz w:val="18"/>
              </w:rPr>
            </w:pPr>
          </w:p>
        </w:tc>
        <w:tc>
          <w:tcPr>
            <w:tcW w:w="1053" w:type="pct"/>
            <w:shd w:val="clear" w:color="auto" w:fill="auto"/>
            <w:noWrap w:val="0"/>
            <w:vAlign w:val="top"/>
          </w:tcPr>
          <w:p>
            <w:pPr>
              <w:rPr>
                <w:rFonts w:ascii="宋体"/>
                <w:sz w:val="18"/>
              </w:rPr>
            </w:pPr>
            <w:r>
              <w:rPr>
                <w:rFonts w:ascii="宋体"/>
                <w:sz w:val="18"/>
              </w:rPr>
              <w:t>二进制</w:t>
            </w:r>
            <w:r>
              <w:rPr>
                <w:rFonts w:ascii="宋体" w:hint="eastAsia"/>
                <w:sz w:val="18"/>
              </w:rPr>
              <w:t>（</w:t>
            </w:r>
            <w:r>
              <w:rPr>
                <w:rFonts w:ascii="宋体"/>
                <w:sz w:val="18"/>
              </w:rPr>
              <w:t>比特位</w:t>
            </w:r>
            <w:r>
              <w:rPr>
                <w:rFonts w:ascii="宋体" w:hint="eastAsia"/>
                <w:sz w:val="18"/>
              </w:rPr>
              <w:t>）</w:t>
            </w:r>
          </w:p>
        </w:tc>
        <w:tc>
          <w:tcPr>
            <w:tcW w:w="1053" w:type="pct"/>
            <w:shd w:val="clear" w:color="auto" w:fill="auto"/>
            <w:noWrap w:val="0"/>
            <w:vAlign w:val="top"/>
          </w:tcPr>
          <w:p>
            <w:pPr>
              <w:rPr>
                <w:rFonts w:ascii="宋体"/>
                <w:sz w:val="18"/>
              </w:rPr>
            </w:pPr>
            <w:r>
              <w:rPr>
                <w:rFonts w:ascii="宋体" w:hint="eastAsia"/>
                <w:sz w:val="18"/>
              </w:rPr>
              <w:t>11</w:t>
            </w:r>
          </w:p>
        </w:tc>
        <w:tc>
          <w:tcPr>
            <w:tcW w:w="1053" w:type="pct"/>
            <w:shd w:val="clear" w:color="auto" w:fill="auto"/>
            <w:noWrap w:val="0"/>
            <w:vAlign w:val="top"/>
          </w:tcPr>
          <w:p>
            <w:pPr>
              <w:rPr>
                <w:rFonts w:ascii="宋体"/>
                <w:sz w:val="18"/>
              </w:rPr>
            </w:pPr>
            <w:r>
              <w:rPr>
                <w:rFonts w:ascii="宋体" w:hint="eastAsia"/>
                <w:sz w:val="18"/>
              </w:rPr>
              <w:t>000111</w:t>
            </w:r>
          </w:p>
        </w:tc>
        <w:tc>
          <w:tcPr>
            <w:tcW w:w="915" w:type="pct"/>
            <w:shd w:val="clear" w:color="auto" w:fill="auto"/>
            <w:noWrap w:val="0"/>
            <w:vAlign w:val="top"/>
          </w:tcPr>
          <w:p>
            <w:pPr>
              <w:rPr>
                <w:rFonts w:ascii="宋体"/>
                <w:sz w:val="18"/>
              </w:rPr>
            </w:pPr>
            <w:r>
              <w:rPr>
                <w:rFonts w:ascii="宋体" w:hint="eastAsia"/>
                <w:sz w:val="18"/>
              </w:rPr>
              <w:t>00000010</w:t>
            </w:r>
          </w:p>
        </w:tc>
      </w:tr>
    </w:tbl>
    <w:p>
      <w:pPr>
        <w:pStyle w:val="a12"/>
        <w:numPr>
          <w:ilvl w:val="3"/>
        </w:numPr>
        <w:spacing w:before="156" w:after="156"/>
      </w:pPr>
      <w:r>
        <w:rPr>
          <w:rFonts w:hint="eastAsia"/>
        </w:rPr>
        <w:t>表B及其要素描述符</w:t>
      </w:r>
      <w:r>
        <w:rPr>
          <w:b/>
          <w:color w:val="FFFFFF"/>
          <w:sz w:val="0"/>
        </w:rPr>
        <w:t>.</w:t>
      </w:r>
    </w:p>
    <w:p>
      <w:pPr>
        <w:pStyle w:val="a"/>
        <w:rPr>
          <w:rFonts w:hint="eastAsia"/>
        </w:rPr>
      </w:pPr>
      <w:r>
        <w:rPr>
          <w:rFonts w:hint="eastAsia"/>
        </w:rPr>
        <w:t>表</w:t>
      </w:r>
      <w:r>
        <w:t>B为要素分类表</w:t>
      </w:r>
      <w:r>
        <w:rPr>
          <w:rFonts w:hint="eastAsia"/>
        </w:rPr>
        <w:t>，是BUFR编码中最重要的码表。BUFR通过表B中的逐个要素描述符，定义待编码的要素代码、要素含义、要素精度、要素值域及其在数据段的占位宽度。</w:t>
      </w:r>
      <w:r>
        <w:rPr>
          <w:b/>
          <w:color w:val="FFFFFF"/>
          <w:sz w:val="0"/>
        </w:rPr>
        <w:t>.</w:t>
      </w:r>
    </w:p>
    <w:p>
      <w:pPr>
        <w:pStyle w:val="a"/>
        <w:rPr>
          <w:rFonts w:hint="eastAsia"/>
        </w:rPr>
      </w:pPr>
      <w:r>
        <w:rPr>
          <w:rFonts w:hint="eastAsia"/>
        </w:rPr>
        <w:t>表B按照要素类别进行组织，其中共支持63个入口，即63种要素分类。目前，WMO发布的BUFR最新版本的码表中，表B已经使用了其中的32个入口。具体分类见附录A表A.1。</w:t>
      </w:r>
      <w:r>
        <w:rPr>
          <w:b/>
          <w:color w:val="FFFFFF"/>
          <w:sz w:val="0"/>
        </w:rPr>
        <w:t>.</w:t>
      </w:r>
    </w:p>
    <w:p>
      <w:pPr>
        <w:pStyle w:val="a"/>
      </w:pPr>
      <w:r>
        <w:rPr>
          <w:rFonts w:hint="eastAsia"/>
        </w:rPr>
        <w:t>表B定义的要素描述符的代码在3段-数据描述段中被引用，用于3段第8个及其后续的八位组，指示了该份BUFR报文包含的要素内容，同样对应着</w:t>
      </w:r>
      <w:r>
        <w:t>4</w:t>
      </w:r>
      <w:r>
        <w:rPr>
          <w:rFonts w:hint="eastAsia"/>
        </w:rPr>
        <w:t>段</w:t>
      </w:r>
      <w:r>
        <w:t>-</w:t>
      </w:r>
      <w:r>
        <w:rPr>
          <w:rFonts w:hint="eastAsia"/>
        </w:rPr>
        <w:t>数据段将对哪些要素值进行编码。要素描述符由5个属性组成，要素描述符的属性如下：</w:t>
      </w:r>
      <w:r>
        <w:rPr>
          <w:b/>
          <w:color w:val="FFFFFF"/>
          <w:sz w:val="0"/>
        </w:rPr>
        <w:t>.</w:t>
      </w:r>
    </w:p>
    <w:p>
      <w:pPr>
        <w:pStyle w:val="a5"/>
        <w:rPr>
          <w:rFonts w:hint="eastAsia"/>
        </w:rPr>
      </w:pPr>
      <w:r>
        <w:rPr>
          <w:rFonts w:hint="eastAsia"/>
        </w:rPr>
        <w:t>代码</w:t>
      </w:r>
      <w:r>
        <w:rPr>
          <w:b/>
          <w:color w:val="FFFFFF"/>
          <w:sz w:val="0"/>
        </w:rPr>
        <w:t>.</w:t>
      </w:r>
    </w:p>
    <w:p>
      <w:pPr>
        <w:pStyle w:val="a6"/>
        <w:numPr>
          <w:ilvl w:val="0"/>
          <w:numId w:val="0"/>
        </w:numPr>
        <w:tabs>
          <w:tab w:val="clear" w:pos="760"/>
        </w:tabs>
        <w:ind w:left="851"/>
      </w:pPr>
      <w:r>
        <w:rPr>
          <w:rFonts w:hint="eastAsia"/>
        </w:rPr>
        <w:t>对于要素描述符而言，代码中的F=0，即要素代码的格式为0 XX YYY，例如，要素“纬度（高精度）”的代码是0 05 001；</w:t>
      </w:r>
      <w:r>
        <w:rPr>
          <w:b/>
          <w:color w:val="FFFFFF"/>
          <w:sz w:val="0"/>
        </w:rPr>
        <w:t>.</w:t>
      </w:r>
    </w:p>
    <w:p>
      <w:pPr>
        <w:pStyle w:val="a5"/>
        <w:rPr>
          <w:rFonts w:hint="eastAsia"/>
        </w:rPr>
      </w:pPr>
      <w:r>
        <w:rPr>
          <w:rFonts w:hint="eastAsia"/>
        </w:rPr>
        <w:t>名称</w:t>
      </w:r>
      <w:r>
        <w:rPr>
          <w:b/>
          <w:color w:val="FFFFFF"/>
          <w:sz w:val="0"/>
        </w:rPr>
        <w:t>.</w:t>
      </w:r>
    </w:p>
    <w:p>
      <w:pPr>
        <w:pStyle w:val="a5"/>
        <w:numPr>
          <w:ilvl w:val="0"/>
          <w:numId w:val="0"/>
        </w:numPr>
        <w:ind w:left="833"/>
        <w:rPr>
          <w:rFonts w:hint="eastAsia"/>
        </w:rPr>
      </w:pPr>
      <w:r>
        <w:rPr>
          <w:rFonts w:hint="eastAsia"/>
        </w:rPr>
        <w:t>用于标识该要素代码的要素名称。对于0 05 001要素而言，“纬度（高精度）”即为要素名称；</w:t>
      </w:r>
      <w:r>
        <w:rPr>
          <w:b/>
          <w:color w:val="FFFFFF"/>
          <w:sz w:val="0"/>
        </w:rPr>
        <w:t>.</w:t>
      </w:r>
    </w:p>
    <w:p>
      <w:pPr>
        <w:pStyle w:val="a5"/>
        <w:rPr>
          <w:rFonts w:hint="eastAsia"/>
        </w:rPr>
      </w:pPr>
      <w:r>
        <w:rPr>
          <w:rFonts w:hint="eastAsia"/>
        </w:rPr>
        <w:t>单位</w:t>
      </w:r>
      <w:r>
        <w:rPr>
          <w:b/>
          <w:color w:val="FFFFFF"/>
          <w:sz w:val="0"/>
        </w:rPr>
        <w:t>.</w:t>
      </w:r>
    </w:p>
    <w:p>
      <w:pPr>
        <w:pStyle w:val="a5"/>
        <w:numPr>
          <w:ilvl w:val="0"/>
          <w:numId w:val="0"/>
        </w:numPr>
        <w:ind w:left="833"/>
      </w:pPr>
      <w:r>
        <w:rPr>
          <w:rFonts w:hint="eastAsia"/>
        </w:rPr>
        <w:t>单位是数量量级的定义，作为衡量数量的标准。BUFR使用国际标准单位（Standard International System of Units(SI)），如Pa，K，ms</w:t>
      </w:r>
      <w:r>
        <w:rPr>
          <w:rFonts w:hint="eastAsia"/>
          <w:vertAlign w:val="superscript"/>
        </w:rPr>
        <w:t>-1</w:t>
      </w:r>
      <w:r>
        <w:rPr>
          <w:rFonts w:hint="eastAsia"/>
        </w:rPr>
        <w:t>等。</w:t>
      </w:r>
      <w:r>
        <w:rPr>
          <w:b/>
          <w:color w:val="FFFFFF"/>
          <w:sz w:val="0"/>
        </w:rPr>
        <w:t>.</w:t>
      </w:r>
    </w:p>
    <w:p>
      <w:pPr>
        <w:pStyle w:val="a5"/>
        <w:rPr>
          <w:rFonts w:hint="eastAsia"/>
        </w:rPr>
      </w:pPr>
      <w:r>
        <w:rPr>
          <w:rFonts w:hint="eastAsia"/>
        </w:rPr>
        <w:t>比例因子</w:t>
      </w:r>
      <w:r>
        <w:rPr>
          <w:b/>
          <w:color w:val="FFFFFF"/>
          <w:sz w:val="0"/>
        </w:rPr>
        <w:t>.</w:t>
      </w:r>
    </w:p>
    <w:p>
      <w:pPr>
        <w:pStyle w:val="a5"/>
        <w:numPr>
          <w:ilvl w:val="0"/>
          <w:numId w:val="0"/>
        </w:numPr>
        <w:ind w:left="833"/>
      </w:pPr>
      <w:r>
        <w:rPr>
          <w:rFonts w:hint="eastAsia"/>
        </w:rPr>
        <w:t>比例因子的作用：一方面要保证BUFR编码值为整数，因此当观测值为小数且精度为x时，需要将观测值乘以10</w:t>
      </w:r>
      <w:r>
        <w:rPr>
          <w:rFonts w:hint="eastAsia"/>
          <w:vertAlign w:val="superscript"/>
        </w:rPr>
        <w:t>x</w:t>
      </w:r>
      <w:r>
        <w:rPr>
          <w:rFonts w:hint="eastAsia"/>
        </w:rPr>
        <w:t>，转换为整数；另一方面要保证BUFR编码值占用尽可能少的比特宽度，因此当某个观测值无论在什么情况下，永远能够被10</w:t>
      </w:r>
      <w:r>
        <w:rPr>
          <w:rFonts w:hint="eastAsia"/>
          <w:vertAlign w:val="superscript"/>
        </w:rPr>
        <w:t>y</w:t>
      </w:r>
      <w:r>
        <w:rPr>
          <w:rFonts w:hint="eastAsia"/>
        </w:rPr>
        <w:t>整除时，需要将观测值乘以10</w:t>
      </w:r>
      <w:r>
        <w:rPr>
          <w:rFonts w:hint="eastAsia"/>
          <w:vertAlign w:val="superscript"/>
        </w:rPr>
        <w:t>-y</w:t>
      </w:r>
      <w:r>
        <w:rPr>
          <w:rFonts w:hint="eastAsia"/>
        </w:rPr>
        <w:t>再进行编码。</w:t>
      </w:r>
      <w:r>
        <w:t>x或者</w:t>
      </w:r>
      <w:r>
        <w:rPr>
          <w:rFonts w:hint="eastAsia"/>
        </w:rPr>
        <w:t>-</w:t>
      </w:r>
      <w:r>
        <w:t>y就被定义成该要素的比例因子</w:t>
      </w:r>
      <w:r>
        <w:rPr>
          <w:rFonts w:hint="eastAsia"/>
        </w:rPr>
        <w:t>。要素“纬度（高精度）”0 05 001的比例因子为5。</w:t>
      </w:r>
      <w:r>
        <w:rPr>
          <w:b/>
          <w:color w:val="FFFFFF"/>
          <w:sz w:val="0"/>
        </w:rPr>
        <w:t>.</w:t>
      </w:r>
    </w:p>
    <w:p>
      <w:pPr>
        <w:pStyle w:val="a5"/>
        <w:rPr>
          <w:rFonts w:hint="eastAsia"/>
        </w:rPr>
      </w:pPr>
      <w:r>
        <w:rPr>
          <w:rFonts w:hint="eastAsia"/>
        </w:rPr>
        <w:t>基准值</w:t>
      </w:r>
      <w:r>
        <w:rPr>
          <w:b/>
          <w:color w:val="FFFFFF"/>
          <w:sz w:val="0"/>
        </w:rPr>
        <w:t>.</w:t>
      </w:r>
    </w:p>
    <w:p>
      <w:pPr>
        <w:pStyle w:val="a5"/>
        <w:numPr>
          <w:ilvl w:val="0"/>
          <w:numId w:val="0"/>
        </w:numPr>
        <w:ind w:left="833"/>
      </w:pPr>
      <w:r>
        <w:rPr>
          <w:rFonts w:hint="eastAsia"/>
        </w:rPr>
        <w:t>任何要素均有其固定的值域，基准值一般设计为该要素的最小可能值，编码值=观测值×10</w:t>
      </w:r>
      <w:r>
        <w:rPr>
          <w:rFonts w:hint="eastAsia"/>
          <w:vertAlign w:val="superscript"/>
        </w:rPr>
        <w:t>比例因子</w:t>
      </w:r>
      <w:r>
        <w:rPr>
          <w:rFonts w:hint="eastAsia"/>
        </w:rPr>
        <w:t>-基准值，这样不仅保证了编码值非负，而且有利于减小编码值，即有效缩短要素值在数据段的编码占位。要素“纬度（高精度）”0 05 001的基准值为-9000000。</w:t>
      </w:r>
      <w:r>
        <w:rPr>
          <w:b/>
          <w:color w:val="FFFFFF"/>
          <w:sz w:val="0"/>
        </w:rPr>
        <w:t>.</w:t>
      </w:r>
    </w:p>
    <w:p>
      <w:pPr>
        <w:pStyle w:val="a5"/>
        <w:rPr>
          <w:rFonts w:hint="eastAsia"/>
        </w:rPr>
      </w:pPr>
      <w:r>
        <w:rPr>
          <w:rFonts w:hint="eastAsia"/>
        </w:rPr>
        <w:t>数据宽度</w:t>
      </w:r>
      <w:r>
        <w:rPr>
          <w:b/>
          <w:color w:val="FFFFFF"/>
          <w:sz w:val="0"/>
        </w:rPr>
        <w:t>.</w:t>
      </w:r>
    </w:p>
    <w:p>
      <w:pPr>
        <w:pStyle w:val="a5"/>
        <w:numPr>
          <w:ilvl w:val="0"/>
          <w:numId w:val="0"/>
        </w:numPr>
        <w:ind w:left="833"/>
        <w:rPr>
          <w:rFonts w:hint="eastAsia"/>
        </w:rPr>
      </w:pPr>
      <w:r>
        <w:rPr>
          <w:rFonts w:hint="eastAsia"/>
        </w:rPr>
        <w:t>以比特为单位，用于指示在</w:t>
      </w:r>
      <w:r>
        <w:t>4</w:t>
      </w:r>
      <w:r>
        <w:rPr>
          <w:rFonts w:hint="eastAsia"/>
        </w:rPr>
        <w:t>段</w:t>
      </w:r>
      <w:r>
        <w:t>-</w:t>
      </w:r>
      <w:r>
        <w:rPr>
          <w:rFonts w:hint="eastAsia"/>
        </w:rPr>
        <w:t xml:space="preserve">数据段中该要素使用多少比特进行编码。要素“纬度（高精度）”的数据宽度为25（比特）。 </w:t>
      </w:r>
      <w:r>
        <w:rPr>
          <w:b/>
          <w:color w:val="FFFFFF"/>
          <w:sz w:val="0"/>
        </w:rPr>
        <w:t>.</w:t>
      </w:r>
    </w:p>
    <w:p>
      <w:pPr>
        <w:pStyle w:val="a5"/>
        <w:numPr>
          <w:ilvl w:val="0"/>
          <w:numId w:val="0"/>
        </w:numPr>
        <w:ind w:left="424" w:firstLine="420" w:leftChars="202" w:firstLineChars="200"/>
        <w:rPr>
          <w:rFonts w:hint="eastAsia"/>
        </w:rPr>
      </w:pPr>
      <w:r>
        <w:rPr>
          <w:rFonts w:hint="eastAsia"/>
        </w:rPr>
        <w:t>综上所述，根据对要素“纬度（高精度）”的各项属性的定义，要素代码0 05 001在表B中的描述如表9所示。</w:t>
      </w:r>
      <w:r>
        <w:rPr>
          <w:b/>
          <w:color w:val="FFFFFF"/>
          <w:sz w:val="0"/>
        </w:rPr>
        <w:t>.</w:t>
      </w:r>
    </w:p>
    <w:p>
      <w:pPr>
        <w:pStyle w:val="a80"/>
        <w:spacing w:after="0" w:afterLines="0"/>
      </w:pPr>
      <w:r>
        <w:rPr>
          <w:rFonts w:hint="eastAsia"/>
        </w:rPr>
        <w:t>要素描述符在表B中的定义示例</w:t>
      </w:r>
      <w:r>
        <w:rPr>
          <w:b/>
          <w:color w:val="FFFFFF"/>
          <w:sz w:val="0"/>
        </w:rPr>
        <w:t>.</w:t>
      </w:r>
    </w:p>
    <w:tbl>
      <w:tblPr>
        <w:tblStyle w:val="TableNormal"/>
        <w:tblW w:w="81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556"/>
        <w:gridCol w:w="1914"/>
        <w:gridCol w:w="1100"/>
        <w:gridCol w:w="1276"/>
        <w:gridCol w:w="2268"/>
      </w:tblGrid>
      <w:tr>
        <w:tblPrEx>
          <w:tblW w:w="81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1556" w:type="dxa"/>
            <w:shd w:val="clear" w:color="auto" w:fill="auto"/>
            <w:noWrap w:val="0"/>
            <w:vAlign w:val="top"/>
          </w:tcPr>
          <w:p>
            <w:pPr>
              <w:rPr>
                <w:rFonts w:ascii="宋体"/>
                <w:b/>
                <w:sz w:val="18"/>
              </w:rPr>
            </w:pPr>
            <w:r>
              <w:rPr>
                <w:rFonts w:ascii="宋体"/>
                <w:b/>
                <w:sz w:val="18"/>
              </w:rPr>
              <w:t>代码</w:t>
            </w:r>
          </w:p>
        </w:tc>
        <w:tc>
          <w:tcPr>
            <w:tcW w:w="1914" w:type="dxa"/>
            <w:shd w:val="clear" w:color="auto" w:fill="auto"/>
            <w:noWrap w:val="0"/>
            <w:vAlign w:val="top"/>
          </w:tcPr>
          <w:p>
            <w:pPr>
              <w:rPr>
                <w:rFonts w:ascii="宋体"/>
                <w:b/>
                <w:sz w:val="18"/>
              </w:rPr>
            </w:pPr>
            <w:r>
              <w:rPr>
                <w:rFonts w:ascii="宋体"/>
                <w:b/>
                <w:sz w:val="18"/>
              </w:rPr>
              <w:t>名称</w:t>
            </w:r>
          </w:p>
        </w:tc>
        <w:tc>
          <w:tcPr>
            <w:tcW w:w="1100" w:type="dxa"/>
            <w:shd w:val="clear" w:color="auto" w:fill="auto"/>
            <w:noWrap w:val="0"/>
            <w:vAlign w:val="top"/>
          </w:tcPr>
          <w:p>
            <w:pPr>
              <w:rPr>
                <w:rFonts w:ascii="宋体"/>
                <w:b/>
                <w:sz w:val="18"/>
              </w:rPr>
            </w:pPr>
            <w:r>
              <w:rPr>
                <w:rFonts w:ascii="宋体"/>
                <w:b/>
                <w:sz w:val="18"/>
              </w:rPr>
              <w:t>比例因子</w:t>
            </w:r>
          </w:p>
        </w:tc>
        <w:tc>
          <w:tcPr>
            <w:tcW w:w="1276" w:type="dxa"/>
            <w:shd w:val="clear" w:color="auto" w:fill="auto"/>
            <w:noWrap w:val="0"/>
            <w:vAlign w:val="top"/>
          </w:tcPr>
          <w:p>
            <w:pPr>
              <w:rPr>
                <w:rFonts w:ascii="宋体"/>
                <w:b/>
                <w:sz w:val="18"/>
              </w:rPr>
            </w:pPr>
            <w:r>
              <w:rPr>
                <w:rFonts w:ascii="宋体"/>
                <w:b/>
                <w:sz w:val="18"/>
              </w:rPr>
              <w:t>基准值</w:t>
            </w:r>
          </w:p>
        </w:tc>
        <w:tc>
          <w:tcPr>
            <w:tcW w:w="2268" w:type="dxa"/>
            <w:shd w:val="clear" w:color="auto" w:fill="auto"/>
            <w:noWrap w:val="0"/>
            <w:vAlign w:val="top"/>
          </w:tcPr>
          <w:p>
            <w:pPr>
              <w:rPr>
                <w:rFonts w:ascii="宋体"/>
                <w:b/>
                <w:sz w:val="18"/>
              </w:rPr>
            </w:pPr>
            <w:r>
              <w:rPr>
                <w:rFonts w:ascii="宋体"/>
                <w:b/>
                <w:sz w:val="18"/>
              </w:rPr>
              <w:t>数据宽度</w:t>
            </w:r>
          </w:p>
        </w:tc>
      </w:tr>
    </w:tbl>
    <w:p>
      <w:pPr>
        <w:sectPr>
          <w:headerReference w:type="default" r:id="rId31"/>
          <w:footerReference w:type="default" r:id="rId32"/>
          <w:type w:val="nextPage"/>
          <w:pgSz w:w="11906" w:h="16838"/>
          <w:pgMar w:top="1440" w:right="1800" w:bottom="1440" w:left="1800" w:header="1418" w:footer="1020" w:gutter="0"/>
          <w:pgNumType w:start="9"/>
          <w:cols w:num="1" w:space="425"/>
          <w:formProt w:val="0"/>
          <w:titlePg w:val="0"/>
          <w:docGrid w:type="lines" w:linePitch="312" w:charSpace="0"/>
        </w:sectPr>
      </w:pPr>
    </w:p>
    <w:tbl>
      <w:tblPr>
        <w:tblStyle w:val="TableNormal"/>
        <w:tblW w:w="81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556"/>
        <w:gridCol w:w="1914"/>
        <w:gridCol w:w="1100"/>
        <w:gridCol w:w="1276"/>
        <w:gridCol w:w="2268"/>
      </w:tblGrid>
      <w:tr>
        <w:tblPrEx>
          <w:tblW w:w="81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1556" w:type="dxa"/>
            <w:shd w:val="clear" w:color="auto" w:fill="auto"/>
            <w:noWrap w:val="0"/>
            <w:vAlign w:val="top"/>
          </w:tcPr>
          <w:p>
            <w:pPr>
              <w:rPr>
                <w:rFonts w:ascii="宋体"/>
                <w:sz w:val="18"/>
              </w:rPr>
            </w:pPr>
            <w:r>
              <w:rPr>
                <w:rFonts w:ascii="宋体" w:hint="eastAsia"/>
                <w:sz w:val="18"/>
              </w:rPr>
              <w:t>0 05 001</w:t>
            </w:r>
          </w:p>
        </w:tc>
        <w:tc>
          <w:tcPr>
            <w:tcW w:w="1914" w:type="dxa"/>
            <w:shd w:val="clear" w:color="auto" w:fill="auto"/>
            <w:noWrap w:val="0"/>
            <w:vAlign w:val="top"/>
          </w:tcPr>
          <w:p>
            <w:pPr>
              <w:rPr>
                <w:rFonts w:ascii="宋体"/>
                <w:sz w:val="18"/>
              </w:rPr>
            </w:pPr>
            <w:r>
              <w:rPr>
                <w:rFonts w:ascii="宋体"/>
                <w:sz w:val="18"/>
              </w:rPr>
              <w:t>纬度</w:t>
            </w:r>
            <w:r>
              <w:rPr>
                <w:rFonts w:ascii="宋体" w:hint="eastAsia"/>
                <w:sz w:val="18"/>
              </w:rPr>
              <w:t>（</w:t>
            </w:r>
            <w:r>
              <w:rPr>
                <w:rFonts w:ascii="宋体"/>
                <w:sz w:val="18"/>
              </w:rPr>
              <w:t>高精度</w:t>
            </w:r>
            <w:r>
              <w:rPr>
                <w:rFonts w:ascii="宋体" w:hint="eastAsia"/>
                <w:sz w:val="18"/>
              </w:rPr>
              <w:t>）</w:t>
            </w:r>
          </w:p>
        </w:tc>
        <w:tc>
          <w:tcPr>
            <w:tcW w:w="1100" w:type="dxa"/>
            <w:shd w:val="clear" w:color="auto" w:fill="auto"/>
            <w:noWrap w:val="0"/>
            <w:vAlign w:val="top"/>
          </w:tcPr>
          <w:p>
            <w:pPr>
              <w:rPr>
                <w:rFonts w:ascii="宋体"/>
                <w:sz w:val="18"/>
              </w:rPr>
            </w:pPr>
            <w:r>
              <w:rPr>
                <w:rFonts w:ascii="宋体" w:hint="eastAsia"/>
                <w:sz w:val="18"/>
              </w:rPr>
              <w:t>5</w:t>
            </w:r>
          </w:p>
        </w:tc>
        <w:tc>
          <w:tcPr>
            <w:tcW w:w="1276" w:type="dxa"/>
            <w:shd w:val="clear" w:color="auto" w:fill="auto"/>
            <w:noWrap w:val="0"/>
            <w:vAlign w:val="top"/>
          </w:tcPr>
          <w:p>
            <w:pPr>
              <w:rPr>
                <w:rFonts w:ascii="宋体"/>
                <w:sz w:val="18"/>
              </w:rPr>
            </w:pPr>
            <w:r>
              <w:rPr>
                <w:rFonts w:ascii="宋体" w:hint="eastAsia"/>
                <w:sz w:val="18"/>
              </w:rPr>
              <w:t>-9000000</w:t>
            </w:r>
          </w:p>
        </w:tc>
        <w:tc>
          <w:tcPr>
            <w:tcW w:w="2268" w:type="dxa"/>
            <w:shd w:val="clear" w:color="auto" w:fill="auto"/>
            <w:noWrap w:val="0"/>
            <w:vAlign w:val="top"/>
          </w:tcPr>
          <w:p>
            <w:pPr>
              <w:rPr>
                <w:rFonts w:ascii="宋体"/>
                <w:sz w:val="18"/>
              </w:rPr>
            </w:pPr>
            <w:r>
              <w:rPr>
                <w:rFonts w:ascii="宋体" w:hint="eastAsia"/>
                <w:sz w:val="18"/>
              </w:rPr>
              <w:t>25</w:t>
            </w:r>
          </w:p>
        </w:tc>
      </w:tr>
    </w:tbl>
    <w:p>
      <w:pPr>
        <w:pStyle w:val="a"/>
        <w:spacing w:before="156" w:beforeLines="50"/>
        <w:rPr>
          <w:rFonts w:hint="eastAsia"/>
        </w:rPr>
      </w:pPr>
      <w:r>
        <w:rPr>
          <w:rFonts w:hint="eastAsia"/>
        </w:rPr>
        <w:t>如果在一次观测中，观测得到纬度值为-35.58263，则根据表B中对该要素的定义，可按照公式对编码值计算如下：</w:t>
      </w:r>
      <w:r>
        <w:rPr>
          <w:b/>
          <w:color w:val="FFFFFF"/>
          <w:sz w:val="0"/>
        </w:rPr>
        <w:t>.</w:t>
      </w:r>
    </w:p>
    <w:p>
      <w:pPr>
        <w:pStyle w:val="a"/>
        <w:rPr>
          <w:rFonts w:hint="eastAsia"/>
        </w:rPr>
      </w:pPr>
      <w:r>
        <w:rPr>
          <w:rFonts w:hint="eastAsia"/>
        </w:rPr>
        <w:t>编码值 = 观测值 × 10</w:t>
      </w:r>
      <w:r>
        <w:rPr>
          <w:rFonts w:hint="eastAsia"/>
          <w:vertAlign w:val="superscript"/>
        </w:rPr>
        <w:t xml:space="preserve">比例因子 </w:t>
      </w:r>
      <w:r>
        <w:rPr>
          <w:rFonts w:hint="eastAsia"/>
        </w:rPr>
        <w:t>- 基准值 = -37.68263 × 10</w:t>
      </w:r>
      <w:r>
        <w:rPr>
          <w:rFonts w:hint="eastAsia"/>
          <w:vertAlign w:val="superscript"/>
        </w:rPr>
        <w:t>5</w:t>
      </w:r>
      <w:r>
        <w:rPr>
          <w:rFonts w:hint="eastAsia"/>
        </w:rPr>
        <w:t xml:space="preserve"> - （-9000000）= 5231737</w:t>
      </w:r>
      <w:r>
        <w:rPr>
          <w:b/>
          <w:color w:val="FFFFFF"/>
          <w:sz w:val="0"/>
        </w:rPr>
        <w:t>.</w:t>
      </w:r>
    </w:p>
    <w:p>
      <w:pPr>
        <w:pStyle w:val="a"/>
        <w:rPr>
          <w:rFonts w:hint="eastAsia"/>
        </w:rPr>
      </w:pPr>
      <w:r>
        <w:rPr>
          <w:rFonts w:hint="eastAsia"/>
        </w:rPr>
        <w:t>在4段-数据段，需要将5231737</w:t>
      </w:r>
      <w:r>
        <w:rPr>
          <w:rFonts w:hint="eastAsia"/>
          <w:vertAlign w:val="subscript"/>
        </w:rPr>
        <w:t>10</w:t>
      </w:r>
      <w:r>
        <w:rPr>
          <w:rFonts w:hint="eastAsia"/>
        </w:rPr>
        <w:t>转换为宽度是25的二进制数（不足25位高位补0），即，</w:t>
      </w:r>
      <w:r>
        <w:rPr>
          <w:b/>
          <w:color w:val="FFFFFF"/>
          <w:sz w:val="0"/>
        </w:rPr>
        <w:t>.</w:t>
      </w:r>
    </w:p>
    <w:p>
      <w:pPr>
        <w:pStyle w:val="a"/>
        <w:rPr>
          <w:rFonts w:hint="eastAsia"/>
          <w:vertAlign w:val="subscript"/>
        </w:rPr>
      </w:pPr>
      <w:r>
        <w:rPr>
          <w:rFonts w:hint="eastAsia"/>
        </w:rPr>
        <w:t>00</w:t>
      </w:r>
      <w:r>
        <w:t>10011111101010001111001</w:t>
      </w:r>
      <w:r>
        <w:rPr>
          <w:rFonts w:hint="eastAsia"/>
          <w:vertAlign w:val="subscript"/>
        </w:rPr>
        <w:t>2</w:t>
      </w:r>
      <w:r>
        <w:rPr>
          <w:b/>
          <w:color w:val="FFFFFF"/>
          <w:sz w:val="0"/>
        </w:rPr>
        <w:t>.</w:t>
      </w:r>
    </w:p>
    <w:p>
      <w:pPr>
        <w:pStyle w:val="a12"/>
        <w:numPr>
          <w:ilvl w:val="3"/>
        </w:numPr>
        <w:spacing w:before="156" w:after="156"/>
        <w:rPr>
          <w:rFonts w:hint="eastAsia"/>
        </w:rPr>
      </w:pPr>
      <w:r>
        <w:rPr>
          <w:rFonts w:hint="eastAsia"/>
        </w:rPr>
        <w:t>重复描述符</w:t>
      </w:r>
      <w:r>
        <w:rPr>
          <w:b/>
          <w:color w:val="FFFFFF"/>
          <w:sz w:val="0"/>
        </w:rPr>
        <w:t>.</w:t>
      </w:r>
    </w:p>
    <w:p>
      <w:pPr>
        <w:pStyle w:val="a12"/>
        <w:spacing w:before="156" w:after="156"/>
        <w:rPr>
          <w:rFonts w:hint="eastAsia"/>
        </w:rPr>
      </w:pPr>
      <w:r>
        <w:rPr>
          <w:rFonts w:hint="eastAsia"/>
        </w:rPr>
        <w:t>一般重复描述符</w:t>
      </w:r>
      <w:r>
        <w:rPr>
          <w:b/>
          <w:color w:val="FFFFFF"/>
          <w:sz w:val="0"/>
        </w:rPr>
        <w:t>.</w:t>
      </w:r>
    </w:p>
    <w:p>
      <w:pPr>
        <w:pStyle w:val="a"/>
        <w:rPr>
          <w:rFonts w:hint="eastAsia"/>
        </w:rPr>
      </w:pPr>
      <w:r>
        <w:rPr>
          <w:rFonts w:hint="eastAsia"/>
        </w:rPr>
        <w:t>如果有4个有关云的描述符0 08 002、0 20 011、0 20 012、0 20 013，并且根据需求，编码模板中要将这4个描述符重复5次，那么在3段-数据描述段中就可能按照如下繁琐的方式进行描述：</w:t>
      </w:r>
      <w:r>
        <w:rPr>
          <w:b/>
          <w:color w:val="FFFFFF"/>
          <w:sz w:val="0"/>
        </w:rPr>
        <w:t>.</w:t>
      </w:r>
    </w:p>
    <w:p>
      <w:pPr>
        <w:pStyle w:val="a"/>
        <w:rPr>
          <w:rFonts w:hint="eastAsia"/>
        </w:rPr>
      </w:pPr>
      <w:r>
        <w:rPr>
          <w:rFonts w:hint="eastAsia"/>
        </w:rPr>
        <w:t>0 08 002    0 20 011    0 20 012    0 20 013</w:t>
      </w:r>
      <w:r>
        <w:rPr>
          <w:b/>
          <w:color w:val="FFFFFF"/>
          <w:sz w:val="0"/>
        </w:rPr>
        <w:t>.</w:t>
      </w:r>
    </w:p>
    <w:p>
      <w:pPr>
        <w:pStyle w:val="a"/>
      </w:pPr>
      <w:r>
        <w:rPr>
          <w:rFonts w:hint="eastAsia"/>
        </w:rPr>
        <w:t>0 08 002    0 20 011    0 20 012    0 20 013</w:t>
      </w:r>
      <w:r>
        <w:rPr>
          <w:b/>
          <w:color w:val="FFFFFF"/>
          <w:sz w:val="0"/>
        </w:rPr>
        <w:t>.</w:t>
      </w:r>
    </w:p>
    <w:p>
      <w:pPr>
        <w:pStyle w:val="a"/>
      </w:pPr>
      <w:r>
        <w:rPr>
          <w:rFonts w:hint="eastAsia"/>
        </w:rPr>
        <w:t>0 08 002    0 20 011    0 20 012    0 20 013</w:t>
      </w:r>
      <w:r>
        <w:rPr>
          <w:b/>
          <w:color w:val="FFFFFF"/>
          <w:sz w:val="0"/>
        </w:rPr>
        <w:t>.</w:t>
      </w:r>
    </w:p>
    <w:p>
      <w:pPr>
        <w:pStyle w:val="a"/>
        <w:rPr>
          <w:rFonts w:hint="eastAsia"/>
        </w:rPr>
      </w:pPr>
      <w:r>
        <w:rPr>
          <w:rFonts w:hint="eastAsia"/>
        </w:rPr>
        <w:t>0 08 002    0 20 011    0 20 012    0 20 013</w:t>
      </w:r>
      <w:r>
        <w:rPr>
          <w:b/>
          <w:color w:val="FFFFFF"/>
          <w:sz w:val="0"/>
        </w:rPr>
        <w:t>.</w:t>
      </w:r>
    </w:p>
    <w:p>
      <w:pPr>
        <w:pStyle w:val="a"/>
        <w:rPr>
          <w:rFonts w:hint="eastAsia"/>
        </w:rPr>
      </w:pPr>
      <w:r>
        <w:rPr>
          <w:rFonts w:hint="eastAsia"/>
        </w:rPr>
        <w:t>但好在BUFR提供了重复描述符，可以使用它将上述16个描述符精简为5个，即，</w:t>
      </w:r>
      <w:r>
        <w:rPr>
          <w:b/>
          <w:color w:val="FFFFFF"/>
          <w:sz w:val="0"/>
        </w:rPr>
        <w:t>.</w:t>
      </w:r>
    </w:p>
    <w:p>
      <w:pPr>
        <w:pStyle w:val="a"/>
      </w:pPr>
      <w:r>
        <w:rPr>
          <w:rFonts w:hint="eastAsia"/>
        </w:rPr>
        <w:t>1 04 004    0 08 002    0 20 011    0 20 012    0 20 013</w:t>
      </w:r>
      <w:r>
        <w:rPr>
          <w:b/>
          <w:color w:val="FFFFFF"/>
          <w:sz w:val="0"/>
        </w:rPr>
        <w:t>.</w:t>
      </w:r>
    </w:p>
    <w:p>
      <w:pPr>
        <w:pStyle w:val="a"/>
      </w:pPr>
      <w:r>
        <w:t>重复描述符</w:t>
      </w:r>
      <w:r>
        <w:rPr>
          <w:rFonts w:hint="eastAsia"/>
        </w:rPr>
        <w:t>1 04 004：F=1表示该描述符为重复描述符，X=04表示后续的4个描述符将被重复，Y=004表示后续的X个描述符将被重复4次。</w:t>
      </w:r>
      <w:r>
        <w:rPr>
          <w:b/>
          <w:color w:val="FFFFFF"/>
          <w:sz w:val="0"/>
        </w:rPr>
        <w:t>.</w:t>
      </w:r>
    </w:p>
    <w:p>
      <w:pPr>
        <w:pStyle w:val="a12"/>
        <w:spacing w:before="156" w:after="156"/>
        <w:rPr>
          <w:rFonts w:hint="eastAsia"/>
        </w:rPr>
      </w:pPr>
      <w:r>
        <w:rPr>
          <w:rFonts w:hint="eastAsia"/>
        </w:rPr>
        <w:t>延迟重复描述符</w:t>
      </w:r>
      <w:r>
        <w:rPr>
          <w:b/>
          <w:color w:val="FFFFFF"/>
          <w:sz w:val="0"/>
        </w:rPr>
        <w:t>.</w:t>
      </w:r>
    </w:p>
    <w:p>
      <w:pPr>
        <w:pStyle w:val="a"/>
        <w:rPr>
          <w:rFonts w:hint="eastAsia"/>
        </w:rPr>
      </w:pPr>
      <w:r>
        <w:rPr>
          <w:rFonts w:hint="eastAsia"/>
        </w:rPr>
        <w:t>有一种特殊的重复，是允许重复因子的取值（即重复次数）在4段-数据段中进行存储，而不像一般重复那样，在3段-数据描述段的重复描述符中就体现了重复次数（Y）。这种特殊的重复多用于TEMP或者BATHY这样的观测中，其每一次观测的观测层数（即重复次数）不定，这种重复叫做延迟重复。延迟重复描述符中，与一般重复一样，F=1；X=n，n为重复的要素个数；区别于一般重复，Y固定等于000。延迟重复描述符后面总是跟随者0 31入口的要素描述符，且0 31 YYY描述符不包含在待重复的要素个数n当中。所以，如果3段出现下列描述符的序列：1 01 000、0 31 001、 3 03 014，则其含义为：</w:t>
      </w:r>
      <w:r>
        <w:rPr>
          <w:b/>
          <w:color w:val="FFFFFF"/>
          <w:sz w:val="0"/>
        </w:rPr>
        <w:t>.</w:t>
      </w:r>
    </w:p>
    <w:p>
      <w:pPr>
        <w:pStyle w:val="a"/>
        <w:rPr>
          <w:rFonts w:hint="eastAsia"/>
        </w:rPr>
      </w:pPr>
      <w:r>
        <w:rPr>
          <w:rFonts w:hint="eastAsia"/>
        </w:rPr>
        <w:t>1 01 000   F=1    重复描述符</w:t>
      </w:r>
      <w:r>
        <w:rPr>
          <w:b/>
          <w:color w:val="FFFFFF"/>
          <w:sz w:val="0"/>
        </w:rPr>
        <w:t>.</w:t>
      </w:r>
    </w:p>
    <w:p>
      <w:pPr>
        <w:pStyle w:val="a"/>
        <w:rPr>
          <w:rFonts w:hint="eastAsia"/>
        </w:rPr>
      </w:pPr>
      <w:r>
        <w:rPr>
          <w:rFonts w:hint="eastAsia"/>
        </w:rPr>
        <w:t xml:space="preserve">           X=01   重复后续的1个描述符，不包括（也就是跳过）描述符0 31 001</w:t>
      </w:r>
      <w:r>
        <w:rPr>
          <w:b/>
          <w:color w:val="FFFFFF"/>
          <w:sz w:val="0"/>
        </w:rPr>
        <w:t>.</w:t>
      </w:r>
    </w:p>
    <w:p>
      <w:pPr>
        <w:pStyle w:val="a"/>
        <w:rPr>
          <w:rFonts w:hint="eastAsia"/>
        </w:rPr>
      </w:pPr>
      <w:r>
        <w:rPr>
          <w:rFonts w:hint="eastAsia"/>
        </w:rPr>
        <w:t>0 31 001   F=0    要素描述符</w:t>
      </w:r>
      <w:r>
        <w:rPr>
          <w:b/>
          <w:color w:val="FFFFFF"/>
          <w:sz w:val="0"/>
        </w:rPr>
        <w:t>.</w:t>
      </w:r>
    </w:p>
    <w:p>
      <w:pPr>
        <w:pStyle w:val="a"/>
        <w:rPr>
          <w:rFonts w:hint="eastAsia"/>
        </w:rPr>
      </w:pPr>
      <w:r>
        <w:rPr>
          <w:rFonts w:hint="eastAsia"/>
        </w:rPr>
        <w:t xml:space="preserve">           X=31   </w:t>
      </w:r>
      <w:r>
        <w:rPr>
          <w:b/>
          <w:color w:val="FFFFFF"/>
          <w:sz w:val="0"/>
        </w:rPr>
        <w:t>.</w:t>
      </w:r>
    </w:p>
    <w:p>
      <w:pPr>
        <w:pStyle w:val="a"/>
        <w:ind w:left="2310" w:hanging="1890" w:leftChars="200" w:hangingChars="900"/>
        <w:rPr>
          <w:rFonts w:hint="eastAsia"/>
        </w:rPr>
      </w:pPr>
      <w:r>
        <w:rPr>
          <w:rFonts w:hint="eastAsia"/>
        </w:rPr>
        <w:t xml:space="preserve">           Y=001  延迟重复因子，在数据段占用8比特进行编码，这8比特的编码值表示对后续描述符的重复次数</w:t>
      </w:r>
      <w:r>
        <w:rPr>
          <w:b/>
          <w:color w:val="FFFFFF"/>
          <w:sz w:val="0"/>
        </w:rPr>
        <w:t>.</w:t>
      </w:r>
    </w:p>
    <w:p>
      <w:pPr>
        <w:pStyle w:val="a"/>
        <w:ind w:left="2310" w:hanging="1890" w:leftChars="200" w:hangingChars="900"/>
        <w:rPr>
          <w:rFonts w:hint="eastAsia"/>
        </w:rPr>
      </w:pPr>
      <w:r>
        <w:rPr>
          <w:rFonts w:hint="eastAsia"/>
        </w:rPr>
        <w:t>3 03 014   F=3    序列描述符</w:t>
      </w:r>
      <w:r>
        <w:rPr>
          <w:b/>
          <w:color w:val="FFFFFF"/>
          <w:sz w:val="0"/>
        </w:rPr>
        <w:t>.</w:t>
      </w:r>
    </w:p>
    <w:p>
      <w:pPr>
        <w:pStyle w:val="a"/>
        <w:ind w:left="2310" w:hanging="1890" w:leftChars="200" w:hangingChars="900"/>
        <w:rPr>
          <w:rFonts w:hint="eastAsia"/>
        </w:rPr>
      </w:pPr>
      <w:r>
        <w:rPr>
          <w:rFonts w:hint="eastAsia"/>
        </w:rPr>
        <w:t xml:space="preserve">           X=03   类别03-垂直探测的气象数据序列</w:t>
      </w:r>
      <w:r>
        <w:rPr>
          <w:b/>
          <w:color w:val="FFFFFF"/>
          <w:sz w:val="0"/>
        </w:rPr>
        <w:t>.</w:t>
      </w:r>
    </w:p>
    <w:p>
      <w:pPr>
        <w:pStyle w:val="a"/>
        <w:ind w:left="2310" w:hanging="1890" w:leftChars="200" w:hangingChars="900"/>
        <w:rPr>
          <w:rFonts w:hint="eastAsia"/>
        </w:rPr>
        <w:sectPr>
          <w:headerReference w:type="default" r:id="rId33"/>
          <w:footerReference w:type="default" r:id="rId34"/>
          <w:type w:val="nextPage"/>
          <w:pgSz w:w="11906" w:h="16838"/>
          <w:pgMar w:top="1440" w:right="1800" w:bottom="1440" w:left="1800" w:header="1418" w:footer="1020" w:gutter="0"/>
          <w:pgNumType w:start="10"/>
          <w:cols w:num="1" w:space="425"/>
          <w:formProt w:val="0"/>
          <w:titlePg w:val="0"/>
          <w:docGrid w:type="lines" w:linePitch="312" w:charSpace="0"/>
        </w:sectPr>
      </w:pPr>
      <w:r>
        <w:rPr>
          <w:rFonts w:hint="eastAsia"/>
        </w:rPr>
        <w:t xml:space="preserve">           Y=014  类别03的第14个入口</w:t>
      </w:r>
      <w:r>
        <w:rPr>
          <w:b/>
          <w:color w:val="FFFFFF"/>
          <w:sz w:val="0"/>
        </w:rPr>
        <w:t>.</w:t>
      </w:r>
    </w:p>
    <w:p>
      <w:pPr>
        <w:pStyle w:val="a"/>
        <w:spacing w:before="156" w:beforeLines="50"/>
        <w:rPr>
          <w:rFonts w:hint="eastAsia"/>
        </w:rPr>
      </w:pPr>
      <w:r>
        <w:rPr>
          <w:rFonts w:hint="eastAsia"/>
        </w:rPr>
        <w:t>由于3 03 014能够展开成一系列的要素描述符，因此对3 03 014的延迟重复即是对其展开后的所有要素描述符的重复。图8是3 03 014展开后的各个要素描述符及其对应的数据宽度。数据段中对应0 31 001的位置，用8比特表示观测的层数N，后续将使用83*N比特描述每一层的气象要素取值。</w:t>
      </w:r>
      <w:r>
        <w:rPr>
          <w:b/>
          <w:color w:val="FFFFFF"/>
          <w:sz w:val="0"/>
        </w:rPr>
        <w:t>.</w:t>
      </w:r>
    </w:p>
    <w:p>
      <w:pPr>
        <w:pStyle w:val="a"/>
        <w:ind w:firstLine="0" w:firstLineChars="0"/>
        <w:jc w:val="center"/>
        <w:rPr>
          <w:rFonts w:hint="eastAsia"/>
        </w:rPr>
      </w:pPr>
      <w:r>
        <w:pict>
          <v:shape id="_x0000_i1032" type="#_x0000_t75" style="width:343.95pt;height:104.1pt" coordsize="21600,21600" filled="f" stroked="f">
            <v:imagedata r:id="rId35" o:title=""/>
            <o:lock v:ext="edit" aspectratio="t"/>
            <w10:anchorlock/>
          </v:shape>
        </w:pict>
      </w:r>
      <w:r>
        <w:rPr>
          <w:b/>
          <w:color w:val="FFFFFF"/>
          <w:sz w:val="0"/>
        </w:rPr>
        <w:t>.</w:t>
      </w:r>
    </w:p>
    <w:p>
      <w:pPr>
        <w:pStyle w:val="a82"/>
        <w:spacing w:before="0" w:beforeLines="0"/>
        <w:jc w:val="left"/>
        <w:rPr>
          <w:rFonts w:hint="eastAsia"/>
        </w:rPr>
      </w:pPr>
      <w:r>
        <w:t>TEMP观测中使用延迟重复的示例</w:t>
      </w:r>
      <w:r>
        <w:rPr>
          <w:b/>
          <w:color w:val="FFFFFF"/>
          <w:sz w:val="0"/>
        </w:rPr>
        <w:t>.</w:t>
      </w:r>
    </w:p>
    <w:p>
      <w:pPr>
        <w:pStyle w:val="a12"/>
        <w:numPr>
          <w:ilvl w:val="3"/>
        </w:numPr>
        <w:spacing w:before="156" w:after="156"/>
      </w:pPr>
      <w:r>
        <w:rPr>
          <w:rFonts w:hint="eastAsia"/>
        </w:rPr>
        <w:t>表C及其操作描述符</w:t>
      </w:r>
      <w:r>
        <w:rPr>
          <w:b/>
          <w:color w:val="FFFFFF"/>
          <w:sz w:val="0"/>
        </w:rPr>
        <w:t>.</w:t>
      </w:r>
    </w:p>
    <w:p>
      <w:pPr>
        <w:pStyle w:val="a"/>
        <w:rPr>
          <w:rFonts w:hint="eastAsia"/>
        </w:rPr>
      </w:pPr>
      <w:r>
        <w:t>表C为操作表</w:t>
      </w:r>
      <w:r>
        <w:rPr>
          <w:rFonts w:hint="eastAsia"/>
        </w:rPr>
        <w:t>，</w:t>
      </w:r>
      <w:r>
        <w:t>其中定义了一系列操作描述符</w:t>
      </w:r>
      <w:r>
        <w:rPr>
          <w:rFonts w:hint="eastAsia"/>
        </w:rPr>
        <w:t>。</w:t>
      </w:r>
      <w:r>
        <w:rPr>
          <w:rFonts w:hint="eastAsia"/>
          <w:szCs w:val="21"/>
        </w:rPr>
        <w:t>当需要临时重新定义表B中要素描述符的属性时，例如需要改变其数据宽度、比例因子或基准值时，就要用到表C中的操作描述符。</w:t>
      </w:r>
      <w:r>
        <w:rPr>
          <w:b/>
          <w:color w:val="FFFFFF"/>
          <w:sz w:val="0"/>
        </w:rPr>
        <w:t>.</w:t>
      </w:r>
    </w:p>
    <w:p>
      <w:pPr>
        <w:pStyle w:val="a"/>
      </w:pPr>
      <w:r>
        <w:rPr>
          <w:rFonts w:hint="eastAsia"/>
        </w:rPr>
        <w:t>操作描述符由4个属性组成，各个属性说明如下：</w:t>
      </w:r>
      <w:r>
        <w:rPr>
          <w:b/>
          <w:color w:val="FFFFFF"/>
          <w:sz w:val="0"/>
        </w:rPr>
        <w:t>.</w:t>
      </w:r>
    </w:p>
    <w:p>
      <w:pPr>
        <w:pStyle w:val="a5"/>
        <w:rPr>
          <w:rFonts w:hint="eastAsia"/>
        </w:rPr>
      </w:pPr>
      <w:r>
        <w:rPr>
          <w:rFonts w:hint="eastAsia"/>
        </w:rPr>
        <w:t>操作代码</w:t>
      </w:r>
      <w:r>
        <w:rPr>
          <w:b/>
          <w:color w:val="FFFFFF"/>
          <w:sz w:val="0"/>
        </w:rPr>
        <w:t>.</w:t>
      </w:r>
    </w:p>
    <w:p>
      <w:pPr>
        <w:pStyle w:val="a6"/>
        <w:numPr>
          <w:ilvl w:val="0"/>
          <w:numId w:val="0"/>
        </w:numPr>
        <w:tabs>
          <w:tab w:val="clear" w:pos="760"/>
        </w:tabs>
        <w:ind w:left="851"/>
      </w:pPr>
      <w:r>
        <w:rPr>
          <w:rFonts w:hint="eastAsia"/>
        </w:rPr>
        <w:t>对于操作描述符而言，代码中的F=2，即操作代码的格式为2 XX YYY，不同的X取值，表示不同的操作类别；YYY是操作描述符的操作数，用于定义具体的操作；</w:t>
      </w:r>
      <w:r>
        <w:rPr>
          <w:b/>
          <w:color w:val="FFFFFF"/>
          <w:sz w:val="0"/>
        </w:rPr>
        <w:t>.</w:t>
      </w:r>
    </w:p>
    <w:p>
      <w:pPr>
        <w:pStyle w:val="a5"/>
        <w:rPr>
          <w:rFonts w:hint="eastAsia"/>
        </w:rPr>
      </w:pPr>
      <w:r>
        <w:rPr>
          <w:rFonts w:hint="eastAsia"/>
        </w:rPr>
        <w:t>操作名称</w:t>
      </w:r>
      <w:r>
        <w:rPr>
          <w:b/>
          <w:color w:val="FFFFFF"/>
          <w:sz w:val="0"/>
        </w:rPr>
        <w:t>.</w:t>
      </w:r>
    </w:p>
    <w:p>
      <w:pPr>
        <w:pStyle w:val="a5"/>
        <w:numPr>
          <w:ilvl w:val="0"/>
          <w:numId w:val="0"/>
        </w:numPr>
        <w:ind w:left="833"/>
      </w:pPr>
      <w:r>
        <w:rPr>
          <w:rFonts w:hint="eastAsia"/>
        </w:rPr>
        <w:t>每个操作均有对应的名称，例如操作描述符2 01 YYY的名称为“改变数据宽度”；</w:t>
      </w:r>
      <w:r>
        <w:rPr>
          <w:b/>
          <w:color w:val="FFFFFF"/>
          <w:sz w:val="0"/>
        </w:rPr>
        <w:t>.</w:t>
      </w:r>
    </w:p>
    <w:p>
      <w:pPr>
        <w:pStyle w:val="a5"/>
        <w:rPr>
          <w:rFonts w:hint="eastAsia"/>
        </w:rPr>
      </w:pPr>
      <w:r>
        <w:rPr>
          <w:rFonts w:hint="eastAsia"/>
        </w:rPr>
        <w:t>操作定义</w:t>
      </w:r>
      <w:r>
        <w:rPr>
          <w:b/>
          <w:color w:val="FFFFFF"/>
          <w:sz w:val="0"/>
        </w:rPr>
        <w:t>.</w:t>
      </w:r>
    </w:p>
    <w:p>
      <w:pPr>
        <w:pStyle w:val="a5"/>
        <w:numPr>
          <w:ilvl w:val="0"/>
          <w:numId w:val="0"/>
        </w:numPr>
        <w:ind w:left="833"/>
        <w:rPr>
          <w:rFonts w:hint="eastAsia"/>
        </w:rPr>
      </w:pPr>
      <w:r>
        <w:rPr>
          <w:rFonts w:hint="eastAsia"/>
        </w:rPr>
        <w:t>定义操作对象和操作方法。</w:t>
      </w:r>
      <w:r>
        <w:rPr>
          <w:b/>
          <w:color w:val="FFFFFF"/>
          <w:sz w:val="0"/>
        </w:rPr>
        <w:t>.</w:t>
      </w:r>
    </w:p>
    <w:p>
      <w:pPr>
        <w:pStyle w:val="a5"/>
        <w:numPr>
          <w:ilvl w:val="0"/>
          <w:numId w:val="0"/>
        </w:numPr>
        <w:ind w:left="833" w:hanging="408"/>
      </w:pPr>
      <w:r>
        <w:rPr>
          <w:rFonts w:hint="eastAsia"/>
        </w:rPr>
        <w:t>操作描述符在表C中的定义示例如表10所示。</w:t>
      </w:r>
      <w:r>
        <w:rPr>
          <w:b/>
          <w:color w:val="FFFFFF"/>
          <w:sz w:val="0"/>
        </w:rPr>
        <w:t>.</w:t>
      </w:r>
    </w:p>
    <w:p>
      <w:pPr>
        <w:pStyle w:val="a80"/>
        <w:spacing w:after="0" w:afterLines="0"/>
      </w:pPr>
      <w:r>
        <w:rPr>
          <w:rFonts w:hint="eastAsia"/>
        </w:rPr>
        <w:t>操作描述符在表C中的定义示例</w:t>
      </w:r>
      <w:r>
        <w:rPr>
          <w:b/>
          <w:color w:val="FFFFFF"/>
          <w:sz w:val="0"/>
        </w:rPr>
        <w:t>.</w:t>
      </w:r>
    </w:p>
    <w:tbl>
      <w:tblPr>
        <w:tblStyle w:val="TableNormal"/>
        <w:tblW w:w="482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026"/>
        <w:gridCol w:w="1418"/>
        <w:gridCol w:w="5780"/>
      </w:tblGrid>
      <w:tr>
        <w:tblPrEx>
          <w:tblW w:w="482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trHeight w:val="397"/>
        </w:trPr>
        <w:tc>
          <w:tcPr>
            <w:tcW w:w="624" w:type="pct"/>
            <w:shd w:val="clear" w:color="auto" w:fill="auto"/>
            <w:noWrap w:val="0"/>
            <w:vAlign w:val="center"/>
          </w:tcPr>
          <w:p>
            <w:pPr>
              <w:rPr>
                <w:rFonts w:ascii="宋体"/>
                <w:b/>
                <w:sz w:val="18"/>
              </w:rPr>
            </w:pPr>
            <w:r>
              <w:rPr>
                <w:rFonts w:ascii="宋体"/>
                <w:b/>
                <w:sz w:val="18"/>
              </w:rPr>
              <w:t>操作代码</w:t>
            </w:r>
          </w:p>
        </w:tc>
        <w:tc>
          <w:tcPr>
            <w:tcW w:w="862" w:type="pct"/>
            <w:shd w:val="clear" w:color="auto" w:fill="auto"/>
            <w:noWrap w:val="0"/>
            <w:vAlign w:val="center"/>
          </w:tcPr>
          <w:p>
            <w:pPr>
              <w:rPr>
                <w:rFonts w:ascii="宋体"/>
                <w:b/>
                <w:sz w:val="18"/>
              </w:rPr>
            </w:pPr>
            <w:r>
              <w:rPr>
                <w:rFonts w:ascii="宋体" w:hint="eastAsia"/>
                <w:b/>
                <w:sz w:val="18"/>
              </w:rPr>
              <w:t>操作</w:t>
            </w:r>
            <w:r>
              <w:rPr>
                <w:rFonts w:ascii="宋体"/>
                <w:b/>
                <w:sz w:val="18"/>
              </w:rPr>
              <w:t>名称</w:t>
            </w:r>
          </w:p>
        </w:tc>
        <w:tc>
          <w:tcPr>
            <w:tcW w:w="3513" w:type="pct"/>
            <w:shd w:val="clear" w:color="auto" w:fill="auto"/>
            <w:noWrap w:val="0"/>
            <w:vAlign w:val="center"/>
          </w:tcPr>
          <w:p>
            <w:pPr>
              <w:rPr>
                <w:rFonts w:ascii="宋体"/>
                <w:b/>
                <w:sz w:val="18"/>
              </w:rPr>
            </w:pPr>
            <w:r>
              <w:rPr>
                <w:rFonts w:ascii="宋体" w:hint="eastAsia"/>
                <w:b/>
                <w:sz w:val="18"/>
              </w:rPr>
              <w:t>操作</w:t>
            </w:r>
            <w:r>
              <w:rPr>
                <w:rFonts w:ascii="宋体"/>
                <w:b/>
                <w:sz w:val="18"/>
              </w:rPr>
              <w:t>定义</w:t>
            </w:r>
          </w:p>
        </w:tc>
      </w:tr>
      <w:tr>
        <w:tblPrEx>
          <w:tblW w:w="4825" w:type="pct"/>
          <w:tblInd w:w="108" w:type="dxa"/>
          <w:tblCellMar>
            <w:top w:w="0" w:type="dxa"/>
            <w:left w:w="108" w:type="dxa"/>
            <w:bottom w:w="0" w:type="dxa"/>
            <w:right w:w="108" w:type="dxa"/>
          </w:tblCellMar>
        </w:tblPrEx>
        <w:trPr>
          <w:trHeight w:val="796"/>
        </w:trPr>
        <w:tc>
          <w:tcPr>
            <w:tcW w:w="624" w:type="pct"/>
            <w:shd w:val="clear" w:color="auto" w:fill="auto"/>
            <w:noWrap w:val="0"/>
            <w:vAlign w:val="center"/>
          </w:tcPr>
          <w:p>
            <w:pPr>
              <w:rPr>
                <w:rFonts w:ascii="宋体"/>
                <w:sz w:val="18"/>
              </w:rPr>
            </w:pPr>
            <w:r>
              <w:rPr>
                <w:rFonts w:ascii="宋体" w:hint="eastAsia"/>
                <w:sz w:val="18"/>
              </w:rPr>
              <w:t>2 01 YYY</w:t>
            </w:r>
          </w:p>
        </w:tc>
        <w:tc>
          <w:tcPr>
            <w:tcW w:w="862" w:type="pct"/>
            <w:shd w:val="clear" w:color="auto" w:fill="auto"/>
            <w:noWrap w:val="0"/>
            <w:vAlign w:val="center"/>
          </w:tcPr>
          <w:p>
            <w:pPr>
              <w:rPr>
                <w:rFonts w:ascii="宋体"/>
                <w:sz w:val="18"/>
              </w:rPr>
            </w:pPr>
            <w:r>
              <w:rPr>
                <w:rFonts w:ascii="宋体" w:hint="eastAsia"/>
                <w:sz w:val="18"/>
              </w:rPr>
              <w:t>改变数据宽度</w:t>
            </w:r>
          </w:p>
        </w:tc>
        <w:tc>
          <w:tcPr>
            <w:tcW w:w="3513" w:type="pct"/>
            <w:shd w:val="clear" w:color="auto" w:fill="auto"/>
            <w:noWrap w:val="0"/>
            <w:vAlign w:val="center"/>
          </w:tcPr>
          <w:p>
            <w:pPr>
              <w:rPr>
                <w:rFonts w:ascii="宋体"/>
                <w:sz w:val="18"/>
              </w:rPr>
            </w:pPr>
            <w:r>
              <w:rPr>
                <w:rFonts w:ascii="宋体" w:hint="eastAsia"/>
                <w:sz w:val="18"/>
              </w:rPr>
              <w:t xml:space="preserve">表B中每个要素的数据宽度都增加（Y-128）个比特位。但单位为CCITTIA5（字符）数据、代码表和标志表的要素描述符除外。 </w:t>
            </w:r>
          </w:p>
        </w:tc>
      </w:tr>
      <w:tr>
        <w:tblPrEx>
          <w:tblW w:w="4825" w:type="pct"/>
          <w:tblInd w:w="108" w:type="dxa"/>
          <w:tblCellMar>
            <w:top w:w="0" w:type="dxa"/>
            <w:left w:w="108" w:type="dxa"/>
            <w:bottom w:w="0" w:type="dxa"/>
            <w:right w:w="108" w:type="dxa"/>
          </w:tblCellMar>
        </w:tblPrEx>
        <w:trPr>
          <w:trHeight w:val="730"/>
        </w:trPr>
        <w:tc>
          <w:tcPr>
            <w:tcW w:w="624" w:type="pct"/>
            <w:shd w:val="clear" w:color="auto" w:fill="auto"/>
            <w:noWrap w:val="0"/>
            <w:vAlign w:val="center"/>
          </w:tcPr>
          <w:p>
            <w:pPr>
              <w:rPr>
                <w:rFonts w:ascii="宋体" w:hint="eastAsia"/>
                <w:sz w:val="18"/>
              </w:rPr>
            </w:pPr>
            <w:r>
              <w:rPr>
                <w:rFonts w:ascii="宋体" w:hint="eastAsia"/>
                <w:sz w:val="18"/>
              </w:rPr>
              <w:t>2 02 YYY</w:t>
            </w:r>
          </w:p>
        </w:tc>
        <w:tc>
          <w:tcPr>
            <w:tcW w:w="862" w:type="pct"/>
            <w:shd w:val="clear" w:color="auto" w:fill="auto"/>
            <w:noWrap w:val="0"/>
            <w:vAlign w:val="center"/>
          </w:tcPr>
          <w:p>
            <w:pPr>
              <w:rPr>
                <w:rFonts w:ascii="宋体" w:hint="eastAsia"/>
                <w:sz w:val="18"/>
              </w:rPr>
            </w:pPr>
            <w:r>
              <w:rPr>
                <w:rFonts w:ascii="宋体" w:hint="eastAsia"/>
                <w:sz w:val="18"/>
              </w:rPr>
              <w:t>改变比例因子</w:t>
            </w:r>
          </w:p>
        </w:tc>
        <w:tc>
          <w:tcPr>
            <w:tcW w:w="3513" w:type="pct"/>
            <w:shd w:val="clear" w:color="auto" w:fill="auto"/>
            <w:noWrap w:val="0"/>
            <w:vAlign w:val="center"/>
          </w:tcPr>
          <w:p>
            <w:pPr>
              <w:rPr>
                <w:rFonts w:ascii="宋体" w:hint="eastAsia"/>
                <w:sz w:val="18"/>
              </w:rPr>
            </w:pPr>
            <w:r>
              <w:rPr>
                <w:rFonts w:ascii="宋体" w:hint="eastAsia"/>
                <w:sz w:val="18"/>
              </w:rPr>
              <w:t xml:space="preserve">表B中每个非代码表或非标志表的数据要素的标度都增加（Y-128）。但单位为CCITTIA5（字符）数据、代码表和标志表的要素描述符除外。 </w:t>
            </w:r>
          </w:p>
        </w:tc>
      </w:tr>
    </w:tbl>
    <w:p>
      <w:pPr>
        <w:pStyle w:val="a"/>
        <w:spacing w:before="156" w:beforeLines="50"/>
        <w:rPr>
          <w:rFonts w:hint="eastAsia"/>
        </w:rPr>
        <w:sectPr>
          <w:headerReference w:type="default" r:id="rId36"/>
          <w:footerReference w:type="default" r:id="rId37"/>
          <w:type w:val="nextPage"/>
          <w:pgSz w:w="11906" w:h="16838"/>
          <w:pgMar w:top="1440" w:right="1800" w:bottom="1440" w:left="1800" w:header="1418" w:footer="1020" w:gutter="0"/>
          <w:pgNumType w:start="11"/>
          <w:cols w:num="1" w:space="425"/>
          <w:formProt w:val="0"/>
          <w:titlePg w:val="0"/>
          <w:docGrid w:type="lines" w:linePitch="312" w:charSpace="0"/>
        </w:sectPr>
      </w:pPr>
      <w:r>
        <w:rPr>
          <w:rFonts w:hint="eastAsia"/>
        </w:rPr>
        <w:t>图9给出了一段描述符序列，其中使用了2 02 131将要素“秒”的比例因子增加了3（131-128），同时使用2 01 138将要素“秒”的数据宽度增加了10（138-128），由于这些操作仅针对“秒”的属性进行临时性的改变，因此在0 04 006之后，使用2 01 000和2 02 000将这种临时性的改变结束，以保证这一改变性的操作不影响到后续0 05 001、0 06 001等要素。</w:t>
      </w:r>
      <w:r>
        <w:rPr>
          <w:b/>
          <w:color w:val="FFFFFF"/>
          <w:sz w:val="0"/>
        </w:rPr>
        <w:t>.</w:t>
      </w:r>
    </w:p>
    <w:p>
      <w:pPr>
        <w:pStyle w:val="a"/>
        <w:ind w:firstLine="0" w:firstLineChars="0"/>
        <w:jc w:val="center"/>
        <w:rPr>
          <w:rFonts w:hint="eastAsia"/>
        </w:rPr>
      </w:pPr>
      <w:r>
        <w:rPr>
          <w:rFonts w:hint="eastAsia"/>
        </w:rPr>
        <w:pict>
          <v:shape id="_x0000_i1033" type="#_x0000_t75" style="width:199.1pt;height:94.15pt" coordsize="21600,21600" filled="f" stroked="f">
            <v:imagedata r:id="rId38" o:title=""/>
            <o:lock v:ext="edit" aspectratio="t"/>
            <w10:anchorlock/>
          </v:shape>
        </w:pict>
      </w:r>
      <w:r>
        <w:rPr>
          <w:b/>
          <w:color w:val="FFFFFF"/>
          <w:sz w:val="0"/>
        </w:rPr>
        <w:t>.</w:t>
      </w:r>
    </w:p>
    <w:p>
      <w:pPr>
        <w:pStyle w:val="a82"/>
        <w:spacing w:before="0" w:beforeLines="0"/>
        <w:jc w:val="left"/>
      </w:pPr>
      <w:r>
        <w:rPr>
          <w:rFonts w:hint="eastAsia"/>
        </w:rPr>
        <w:t>操作描述符使用示例</w:t>
      </w:r>
      <w:r>
        <w:rPr>
          <w:b/>
          <w:color w:val="FFFFFF"/>
          <w:sz w:val="0"/>
        </w:rPr>
        <w:t>.</w:t>
      </w:r>
    </w:p>
    <w:p>
      <w:pPr>
        <w:pStyle w:val="a12"/>
        <w:numPr>
          <w:ilvl w:val="3"/>
        </w:numPr>
        <w:spacing w:before="156" w:after="156"/>
        <w:rPr>
          <w:rFonts w:hint="eastAsia"/>
        </w:rPr>
      </w:pPr>
      <w:r>
        <w:rPr>
          <w:rFonts w:hint="eastAsia"/>
        </w:rPr>
        <w:t>表D及其序列描述符</w:t>
      </w:r>
      <w:r>
        <w:rPr>
          <w:b/>
          <w:color w:val="FFFFFF"/>
          <w:sz w:val="0"/>
        </w:rPr>
        <w:t>.</w:t>
      </w:r>
    </w:p>
    <w:p>
      <w:pPr>
        <w:pStyle w:val="a"/>
        <w:rPr>
          <w:rFonts w:hint="eastAsia"/>
        </w:rPr>
      </w:pPr>
      <w:r>
        <w:rPr>
          <w:rFonts w:hint="eastAsia"/>
        </w:rPr>
        <w:t>表D为公共序列表，其中定义了一系列序列描述符。序列描述符可以展开为一系列的其它序列描述符、要素描述符、重复描述符、和/或操作描述符。序列描述符实际上并不是必须存在的，其存在的意义仅在于，它能够将一系列通用的描述符序列组织在一起，以便在3段-数据描述符，能够使用尽可能少的描述符来描述一个序列，例如可以使用序列描述符3 07 080这一个描述符表示地面观测的要素序列。</w:t>
      </w:r>
      <w:r>
        <w:rPr>
          <w:b/>
          <w:color w:val="FFFFFF"/>
          <w:sz w:val="0"/>
        </w:rPr>
        <w:t>.</w:t>
      </w:r>
    </w:p>
    <w:p>
      <w:pPr>
        <w:pStyle w:val="a"/>
        <w:rPr>
          <w:rFonts w:hint="eastAsia"/>
        </w:rPr>
      </w:pPr>
      <w:r>
        <w:rPr>
          <w:rFonts w:hint="eastAsia"/>
        </w:rPr>
        <w:t>序列描述符由3个属性组成，各个属性说明如下：</w:t>
      </w:r>
      <w:r>
        <w:rPr>
          <w:b/>
          <w:color w:val="FFFFFF"/>
          <w:sz w:val="0"/>
        </w:rPr>
        <w:t>.</w:t>
      </w:r>
    </w:p>
    <w:p>
      <w:pPr>
        <w:pStyle w:val="a5"/>
        <w:rPr>
          <w:rFonts w:hint="eastAsia"/>
        </w:rPr>
      </w:pPr>
      <w:r>
        <w:rPr>
          <w:rFonts w:hint="eastAsia"/>
        </w:rPr>
        <w:t>序列代码</w:t>
      </w:r>
      <w:r>
        <w:rPr>
          <w:b/>
          <w:color w:val="FFFFFF"/>
          <w:sz w:val="0"/>
        </w:rPr>
        <w:t>.</w:t>
      </w:r>
    </w:p>
    <w:p>
      <w:pPr>
        <w:pStyle w:val="a6"/>
        <w:numPr>
          <w:ilvl w:val="0"/>
          <w:numId w:val="0"/>
        </w:numPr>
        <w:tabs>
          <w:tab w:val="clear" w:pos="760"/>
        </w:tabs>
        <w:ind w:left="851"/>
      </w:pPr>
      <w:r>
        <w:rPr>
          <w:rFonts w:hint="eastAsia"/>
        </w:rPr>
        <w:t>对于序列描述符而言，代码中的F=3，即代码格式为3 XX YYY；</w:t>
      </w:r>
      <w:r>
        <w:rPr>
          <w:b/>
          <w:color w:val="FFFFFF"/>
          <w:sz w:val="0"/>
        </w:rPr>
        <w:t>.</w:t>
      </w:r>
    </w:p>
    <w:p>
      <w:pPr>
        <w:pStyle w:val="a5"/>
        <w:rPr>
          <w:rFonts w:hint="eastAsia"/>
        </w:rPr>
      </w:pPr>
      <w:r>
        <w:rPr>
          <w:rFonts w:hint="eastAsia"/>
        </w:rPr>
        <w:t>序列含义</w:t>
      </w:r>
      <w:r>
        <w:rPr>
          <w:b/>
          <w:color w:val="FFFFFF"/>
          <w:sz w:val="0"/>
        </w:rPr>
        <w:t>.</w:t>
      </w:r>
    </w:p>
    <w:p>
      <w:pPr>
        <w:pStyle w:val="a5"/>
        <w:numPr>
          <w:ilvl w:val="0"/>
          <w:numId w:val="0"/>
        </w:numPr>
        <w:ind w:left="833"/>
      </w:pPr>
      <w:r>
        <w:rPr>
          <w:rFonts w:hint="eastAsia"/>
        </w:rPr>
        <w:t>序列描述符所描述的公共序列的含义，例如序列描述符3 01 001的含义为“WMO区站号”；</w:t>
      </w:r>
      <w:r>
        <w:rPr>
          <w:b/>
          <w:color w:val="FFFFFF"/>
          <w:sz w:val="0"/>
        </w:rPr>
        <w:t>.</w:t>
      </w:r>
    </w:p>
    <w:p>
      <w:pPr>
        <w:pStyle w:val="a5"/>
        <w:rPr>
          <w:rFonts w:hint="eastAsia"/>
        </w:rPr>
      </w:pPr>
      <w:r>
        <w:rPr>
          <w:rFonts w:hint="eastAsia"/>
        </w:rPr>
        <w:t>展开后包含的描述符序列</w:t>
      </w:r>
      <w:r>
        <w:rPr>
          <w:b/>
          <w:color w:val="FFFFFF"/>
          <w:sz w:val="0"/>
        </w:rPr>
        <w:t>.</w:t>
      </w:r>
    </w:p>
    <w:p>
      <w:pPr>
        <w:pStyle w:val="a5"/>
        <w:numPr>
          <w:ilvl w:val="0"/>
          <w:numId w:val="0"/>
        </w:numPr>
        <w:ind w:left="833"/>
        <w:rPr>
          <w:rFonts w:hint="eastAsia"/>
        </w:rPr>
      </w:pPr>
      <w:r>
        <w:rPr>
          <w:rFonts w:hint="eastAsia"/>
        </w:rPr>
        <w:t>序列描述符展开后所包含的其它序列描述符、要素描述符、重复描述符或操作描述符。例如序列描述符3 01 001展开后包含两个要素描述符：WMO区号0 01 001和WMO站号0 01 002。</w:t>
      </w:r>
      <w:r>
        <w:rPr>
          <w:b/>
          <w:color w:val="FFFFFF"/>
          <w:sz w:val="0"/>
        </w:rPr>
        <w:t>.</w:t>
      </w:r>
    </w:p>
    <w:p>
      <w:pPr>
        <w:pStyle w:val="a5"/>
        <w:numPr>
          <w:ilvl w:val="0"/>
          <w:numId w:val="0"/>
        </w:numPr>
        <w:ind w:left="833" w:hanging="408"/>
        <w:rPr>
          <w:rFonts w:hint="eastAsia"/>
        </w:rPr>
      </w:pPr>
      <w:r>
        <w:rPr>
          <w:b/>
          <w:color w:val="FFFFFF"/>
          <w:sz w:val="0"/>
        </w:rPr>
        <w:t>.</w:t>
      </w:r>
    </w:p>
    <w:p>
      <w:pPr>
        <w:pStyle w:val="a"/>
        <w:rPr>
          <w:rFonts w:hint="eastAsia"/>
        </w:rPr>
      </w:pPr>
      <w:r>
        <w:rPr>
          <w:rFonts w:hint="eastAsia"/>
        </w:rPr>
        <w:t>图10给出了描述时间周期的序列描述符3 01 014的展开过程，3 01 014第一次展开称为1 02 002（重复描述符）、3 01 011（序列描述符）和3 01 012（序列描述符），而后，序列描述符3 01 011和3 01 012又可以分别展开称为年、月、日、时、分的要素描述符。由此可以看出，序列描述符3 01 014等效于要素描述符序列：0 04 001、0 04 002、0 04 003、0 04 004、0 04 005。</w:t>
      </w:r>
      <w:r>
        <w:rPr>
          <w:b/>
          <w:color w:val="FFFFFF"/>
          <w:sz w:val="0"/>
        </w:rPr>
        <w:t>.</w:t>
      </w:r>
    </w:p>
    <w:p>
      <w:pPr>
        <w:pStyle w:val="a"/>
        <w:ind w:firstLine="0" w:firstLineChars="0"/>
        <w:jc w:val="center"/>
        <w:rPr>
          <w:rFonts w:hint="eastAsia"/>
        </w:rPr>
        <w:sectPr>
          <w:headerReference w:type="default" r:id="rId39"/>
          <w:footerReference w:type="default" r:id="rId40"/>
          <w:type w:val="nextPage"/>
          <w:pgSz w:w="11906" w:h="16838"/>
          <w:pgMar w:top="1440" w:right="1800" w:bottom="1440" w:left="1800" w:header="1418" w:footer="1020" w:gutter="0"/>
          <w:pgNumType w:start="12"/>
          <w:cols w:num="1" w:space="425"/>
          <w:formProt w:val="0"/>
          <w:titlePg w:val="0"/>
          <w:docGrid w:type="lines" w:linePitch="312" w:charSpace="0"/>
        </w:sectPr>
      </w:pPr>
      <w:r>
        <w:pict>
          <v:shape id="_x0000_i1034" type="#_x0000_t75" style="width:333.1pt;height:142.4pt" coordsize="21600,21600" filled="f" stroked="f">
            <v:imagedata r:id="rId41" o:title=""/>
            <o:lock v:ext="edit" aspectratio="t"/>
            <w10:anchorlock/>
          </v:shape>
        </w:pict>
      </w:r>
      <w:r>
        <w:rPr>
          <w:b/>
          <w:color w:val="FFFFFF"/>
          <w:sz w:val="0"/>
        </w:rPr>
        <w:t>.</w:t>
      </w:r>
    </w:p>
    <w:p>
      <w:pPr>
        <w:pStyle w:val="a82"/>
        <w:spacing w:before="0" w:beforeLines="0"/>
        <w:jc w:val="left"/>
        <w:rPr>
          <w:rFonts w:hint="eastAsia"/>
        </w:rPr>
      </w:pPr>
      <w:r>
        <w:rPr>
          <w:rFonts w:hint="eastAsia"/>
        </w:rPr>
        <w:t>序列描述符展开示例</w:t>
      </w:r>
      <w:r>
        <w:rPr>
          <w:b/>
          <w:color w:val="FFFFFF"/>
          <w:sz w:val="0"/>
        </w:rPr>
        <w:t>.</w:t>
      </w:r>
    </w:p>
    <w:p>
      <w:pPr>
        <w:pStyle w:val="a4"/>
        <w:spacing w:before="156" w:after="156"/>
        <w:rPr>
          <w:rFonts w:hint="eastAsia"/>
        </w:rPr>
      </w:pPr>
      <w:r>
        <w:rPr>
          <w:rFonts w:hint="eastAsia"/>
        </w:rPr>
        <w:t>代码表及标志表</w:t>
      </w:r>
      <w:r>
        <w:rPr>
          <w:b/>
          <w:color w:val="FFFFFF"/>
          <w:sz w:val="0"/>
        </w:rPr>
        <w:t>.</w:t>
      </w:r>
    </w:p>
    <w:p>
      <w:pPr>
        <w:pStyle w:val="a"/>
        <w:ind w:firstLineChars="0"/>
        <w:rPr>
          <w:rFonts w:hint="eastAsia"/>
        </w:rPr>
      </w:pPr>
      <w:r>
        <w:rPr>
          <w:rFonts w:hint="eastAsia"/>
        </w:rPr>
        <w:t>气象要素并不全都是定量的，还有一些是定性的或半定性的，例如测站类型、仪器型号等，对于这些要素，在BUFR表B的要素描述符中，其单位表示为代码表或标志表，即该要素的值对应着一个代码表或者标志表，需要将要素值在代码表/标志表中进行查询，才可以获得取值的含义。</w:t>
      </w:r>
      <w:r>
        <w:rPr>
          <w:b/>
          <w:color w:val="FFFFFF"/>
          <w:sz w:val="0"/>
        </w:rPr>
        <w:t>.</w:t>
      </w:r>
    </w:p>
    <w:p>
      <w:pPr>
        <w:pStyle w:val="a"/>
        <w:ind w:firstLineChars="0"/>
      </w:pPr>
      <w:r>
        <w:rPr>
          <w:rFonts w:hint="eastAsia"/>
        </w:rPr>
        <w:t>代码表和标志表中定义的是定性/半定性的要素描述符所表示的各种含义。其中，代码表包含两个属性：要素代码和对应含义。如表11所示。</w:t>
      </w:r>
      <w:r>
        <w:rPr>
          <w:b/>
          <w:color w:val="FFFFFF"/>
          <w:sz w:val="0"/>
        </w:rPr>
        <w:t>.</w:t>
      </w:r>
    </w:p>
    <w:p>
      <w:pPr>
        <w:pStyle w:val="a80"/>
        <w:spacing w:after="0" w:afterLines="0"/>
      </w:pPr>
      <w:r>
        <w:rPr>
          <w:rFonts w:hint="eastAsia"/>
        </w:rPr>
        <w:t>测站类型0 02 001的代码表</w:t>
      </w:r>
      <w:r>
        <w:rPr>
          <w:b/>
          <w:color w:val="FFFFFF"/>
          <w:sz w:val="0"/>
        </w:rPr>
        <w:t>.</w:t>
      </w:r>
    </w:p>
    <w:tbl>
      <w:tblPr>
        <w:tblStyle w:val="TableNormal"/>
        <w:tblW w:w="474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985"/>
        <w:gridCol w:w="6109"/>
      </w:tblGrid>
      <w:tr>
        <w:tblPrEx>
          <w:tblW w:w="474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1226" w:type="pct"/>
            <w:shd w:val="clear" w:color="auto" w:fill="auto"/>
            <w:noWrap w:val="0"/>
            <w:vAlign w:val="top"/>
          </w:tcPr>
          <w:p>
            <w:pPr>
              <w:rPr>
                <w:rFonts w:ascii="宋体"/>
                <w:b/>
                <w:sz w:val="18"/>
              </w:rPr>
            </w:pPr>
            <w:r>
              <w:rPr>
                <w:rFonts w:ascii="宋体" w:hint="eastAsia"/>
                <w:b/>
                <w:sz w:val="18"/>
              </w:rPr>
              <w:t>要素值</w:t>
            </w:r>
          </w:p>
        </w:tc>
        <w:tc>
          <w:tcPr>
            <w:tcW w:w="3774" w:type="pct"/>
            <w:shd w:val="clear" w:color="auto" w:fill="auto"/>
            <w:noWrap w:val="0"/>
            <w:vAlign w:val="top"/>
          </w:tcPr>
          <w:p>
            <w:pPr>
              <w:rPr>
                <w:rFonts w:ascii="宋体"/>
                <w:b/>
                <w:sz w:val="18"/>
              </w:rPr>
            </w:pPr>
            <w:r>
              <w:rPr>
                <w:rFonts w:ascii="宋体" w:hint="eastAsia"/>
                <w:b/>
                <w:sz w:val="18"/>
              </w:rPr>
              <w:t>含义</w:t>
            </w:r>
          </w:p>
        </w:tc>
      </w:tr>
      <w:tr>
        <w:tblPrEx>
          <w:tblW w:w="4749" w:type="pct"/>
          <w:tblInd w:w="108" w:type="dxa"/>
          <w:tblCellMar>
            <w:top w:w="0" w:type="dxa"/>
            <w:left w:w="108" w:type="dxa"/>
            <w:bottom w:w="0" w:type="dxa"/>
            <w:right w:w="108" w:type="dxa"/>
          </w:tblCellMar>
        </w:tblPrEx>
        <w:tc>
          <w:tcPr>
            <w:tcW w:w="1226" w:type="pct"/>
            <w:shd w:val="clear" w:color="auto" w:fill="auto"/>
            <w:noWrap w:val="0"/>
            <w:vAlign w:val="top"/>
          </w:tcPr>
          <w:p>
            <w:pPr>
              <w:rPr>
                <w:rFonts w:ascii="宋体"/>
                <w:sz w:val="18"/>
              </w:rPr>
            </w:pPr>
            <w:r>
              <w:rPr>
                <w:rFonts w:ascii="宋体" w:hint="eastAsia"/>
                <w:sz w:val="18"/>
              </w:rPr>
              <w:t>0</w:t>
            </w:r>
          </w:p>
        </w:tc>
        <w:tc>
          <w:tcPr>
            <w:tcW w:w="3774" w:type="pct"/>
            <w:shd w:val="clear" w:color="auto" w:fill="auto"/>
            <w:noWrap w:val="0"/>
            <w:vAlign w:val="top"/>
          </w:tcPr>
          <w:p>
            <w:pPr>
              <w:rPr>
                <w:rFonts w:ascii="宋体"/>
                <w:sz w:val="18"/>
              </w:rPr>
            </w:pPr>
            <w:r>
              <w:rPr>
                <w:rFonts w:ascii="宋体" w:hint="eastAsia"/>
                <w:sz w:val="18"/>
              </w:rPr>
              <w:t>自动</w:t>
            </w:r>
          </w:p>
        </w:tc>
      </w:tr>
      <w:tr>
        <w:tblPrEx>
          <w:tblW w:w="4749" w:type="pct"/>
          <w:tblInd w:w="108" w:type="dxa"/>
          <w:tblCellMar>
            <w:top w:w="0" w:type="dxa"/>
            <w:left w:w="108" w:type="dxa"/>
            <w:bottom w:w="0" w:type="dxa"/>
            <w:right w:w="108" w:type="dxa"/>
          </w:tblCellMar>
        </w:tblPrEx>
        <w:tc>
          <w:tcPr>
            <w:tcW w:w="1226" w:type="pct"/>
            <w:shd w:val="clear" w:color="auto" w:fill="auto"/>
            <w:noWrap w:val="0"/>
            <w:vAlign w:val="top"/>
          </w:tcPr>
          <w:p>
            <w:pPr>
              <w:rPr>
                <w:rFonts w:ascii="宋体" w:hint="eastAsia"/>
                <w:sz w:val="18"/>
              </w:rPr>
            </w:pPr>
            <w:r>
              <w:rPr>
                <w:rFonts w:ascii="宋体" w:hint="eastAsia"/>
                <w:sz w:val="18"/>
              </w:rPr>
              <w:t>1</w:t>
            </w:r>
          </w:p>
        </w:tc>
        <w:tc>
          <w:tcPr>
            <w:tcW w:w="3774" w:type="pct"/>
            <w:shd w:val="clear" w:color="auto" w:fill="auto"/>
            <w:noWrap w:val="0"/>
            <w:vAlign w:val="top"/>
          </w:tcPr>
          <w:p>
            <w:pPr>
              <w:rPr>
                <w:rFonts w:ascii="宋体" w:hint="eastAsia"/>
                <w:sz w:val="18"/>
              </w:rPr>
            </w:pPr>
            <w:r>
              <w:rPr>
                <w:rFonts w:ascii="宋体" w:hint="eastAsia"/>
                <w:sz w:val="18"/>
              </w:rPr>
              <w:t>人工</w:t>
            </w:r>
          </w:p>
        </w:tc>
      </w:tr>
      <w:tr>
        <w:tblPrEx>
          <w:tblW w:w="4749" w:type="pct"/>
          <w:tblInd w:w="108" w:type="dxa"/>
          <w:tblCellMar>
            <w:top w:w="0" w:type="dxa"/>
            <w:left w:w="108" w:type="dxa"/>
            <w:bottom w:w="0" w:type="dxa"/>
            <w:right w:w="108" w:type="dxa"/>
          </w:tblCellMar>
        </w:tblPrEx>
        <w:tc>
          <w:tcPr>
            <w:tcW w:w="1226" w:type="pct"/>
            <w:shd w:val="clear" w:color="auto" w:fill="auto"/>
            <w:noWrap w:val="0"/>
            <w:vAlign w:val="top"/>
          </w:tcPr>
          <w:p>
            <w:pPr>
              <w:rPr>
                <w:rFonts w:ascii="宋体" w:hint="eastAsia"/>
                <w:sz w:val="18"/>
              </w:rPr>
            </w:pPr>
            <w:r>
              <w:rPr>
                <w:rFonts w:ascii="宋体" w:hint="eastAsia"/>
                <w:sz w:val="18"/>
              </w:rPr>
              <w:t>2</w:t>
            </w:r>
          </w:p>
        </w:tc>
        <w:tc>
          <w:tcPr>
            <w:tcW w:w="3774" w:type="pct"/>
            <w:shd w:val="clear" w:color="auto" w:fill="auto"/>
            <w:noWrap w:val="0"/>
            <w:vAlign w:val="top"/>
          </w:tcPr>
          <w:p>
            <w:pPr>
              <w:rPr>
                <w:rFonts w:ascii="宋体" w:hint="eastAsia"/>
                <w:sz w:val="18"/>
              </w:rPr>
            </w:pPr>
            <w:r>
              <w:rPr>
                <w:rFonts w:ascii="宋体" w:hint="eastAsia"/>
                <w:sz w:val="18"/>
              </w:rPr>
              <w:t>混合：自动和人工</w:t>
            </w:r>
          </w:p>
        </w:tc>
      </w:tr>
      <w:tr>
        <w:tblPrEx>
          <w:tblW w:w="4749" w:type="pct"/>
          <w:tblInd w:w="108" w:type="dxa"/>
          <w:tblCellMar>
            <w:top w:w="0" w:type="dxa"/>
            <w:left w:w="108" w:type="dxa"/>
            <w:bottom w:w="0" w:type="dxa"/>
            <w:right w:w="108" w:type="dxa"/>
          </w:tblCellMar>
        </w:tblPrEx>
        <w:tc>
          <w:tcPr>
            <w:tcW w:w="1226" w:type="pct"/>
            <w:shd w:val="clear" w:color="auto" w:fill="auto"/>
            <w:noWrap w:val="0"/>
            <w:vAlign w:val="top"/>
          </w:tcPr>
          <w:p>
            <w:pPr>
              <w:rPr>
                <w:rFonts w:ascii="宋体" w:hint="eastAsia"/>
                <w:sz w:val="18"/>
              </w:rPr>
            </w:pPr>
            <w:r>
              <w:rPr>
                <w:rFonts w:ascii="宋体" w:hint="eastAsia"/>
                <w:sz w:val="18"/>
              </w:rPr>
              <w:t>3</w:t>
            </w:r>
          </w:p>
        </w:tc>
        <w:tc>
          <w:tcPr>
            <w:tcW w:w="3774" w:type="pct"/>
            <w:shd w:val="clear" w:color="auto" w:fill="auto"/>
            <w:noWrap w:val="0"/>
            <w:vAlign w:val="top"/>
          </w:tcPr>
          <w:p>
            <w:pPr>
              <w:rPr>
                <w:rFonts w:ascii="宋体" w:hint="eastAsia"/>
                <w:sz w:val="18"/>
              </w:rPr>
            </w:pPr>
            <w:r>
              <w:rPr>
                <w:rFonts w:ascii="宋体" w:hint="eastAsia"/>
                <w:sz w:val="18"/>
              </w:rPr>
              <w:t>缺省</w:t>
            </w:r>
          </w:p>
        </w:tc>
      </w:tr>
    </w:tbl>
    <w:p>
      <w:pPr>
        <w:pStyle w:val="a"/>
        <w:spacing w:before="156" w:beforeLines="50"/>
        <w:rPr>
          <w:rFonts w:hint="eastAsia"/>
        </w:rPr>
      </w:pPr>
      <w:r>
        <w:rPr>
          <w:rFonts w:hint="eastAsia"/>
        </w:rPr>
        <w:t>标志表比代码表复杂，当需要用一个固定值表示该要素的多重含义时，需要使用标志表。标志表包含三个属性：比特位号和其对应含义。以测风仪0 02 002为例，若解得该要素的编码值为6</w:t>
      </w:r>
      <w:r>
        <w:rPr>
          <w:rFonts w:hint="eastAsia"/>
          <w:vertAlign w:val="subscript"/>
        </w:rPr>
        <w:t>10</w:t>
      </w:r>
      <w:r>
        <w:rPr>
          <w:rFonts w:hint="eastAsia"/>
        </w:rPr>
        <w:t>，将其按照表B中定义的数据宽度4，将其转换为4比特的二进制数1100</w:t>
      </w:r>
      <w:r>
        <w:rPr>
          <w:rFonts w:hint="eastAsia"/>
          <w:vertAlign w:val="subscript"/>
        </w:rPr>
        <w:t>2</w:t>
      </w:r>
      <w:r>
        <w:rPr>
          <w:rFonts w:hint="eastAsia"/>
        </w:rPr>
        <w:t>，则从左至右（即从高到低），其置为1的比特位号分别是第1位和第2位，对应其标志表（表12）可知，其含义包括2项，分别是：合格的仪器；原始观测，以节（=哩/小时）为单位。</w:t>
      </w:r>
      <w:r>
        <w:rPr>
          <w:b/>
          <w:color w:val="FFFFFF"/>
          <w:sz w:val="0"/>
        </w:rPr>
        <w:t>.</w:t>
      </w:r>
    </w:p>
    <w:p>
      <w:pPr>
        <w:pStyle w:val="a80"/>
        <w:spacing w:after="0" w:afterLines="0"/>
      </w:pPr>
      <w:r>
        <w:rPr>
          <w:rFonts w:hint="eastAsia"/>
        </w:rPr>
        <w:t>测风仪类型0 02 002的标志表</w:t>
      </w:r>
      <w:r>
        <w:rPr>
          <w:b/>
          <w:color w:val="FFFFFF"/>
          <w:sz w:val="0"/>
        </w:rPr>
        <w:t>.</w:t>
      </w:r>
    </w:p>
    <w:tbl>
      <w:tblPr>
        <w:tblStyle w:val="TableNormal"/>
        <w:tblW w:w="474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985"/>
        <w:gridCol w:w="6096"/>
      </w:tblGrid>
      <w:tr>
        <w:tblPrEx>
          <w:tblW w:w="474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28" w:type="pct"/>
            <w:shd w:val="clear" w:color="auto" w:fill="auto"/>
            <w:noWrap w:val="0"/>
            <w:vAlign w:val="top"/>
          </w:tcPr>
          <w:p>
            <w:pPr>
              <w:rPr>
                <w:rFonts w:ascii="宋体"/>
                <w:b/>
                <w:sz w:val="18"/>
              </w:rPr>
            </w:pPr>
            <w:r>
              <w:rPr>
                <w:rFonts w:ascii="宋体" w:hint="eastAsia"/>
                <w:b/>
                <w:sz w:val="18"/>
              </w:rPr>
              <w:t>比特位号</w:t>
            </w:r>
          </w:p>
        </w:tc>
        <w:tc>
          <w:tcPr>
            <w:tcW w:w="3772" w:type="pct"/>
            <w:shd w:val="clear" w:color="auto" w:fill="auto"/>
            <w:noWrap w:val="0"/>
            <w:vAlign w:val="top"/>
          </w:tcPr>
          <w:p>
            <w:pPr>
              <w:rPr>
                <w:rFonts w:ascii="宋体"/>
                <w:b/>
                <w:sz w:val="18"/>
              </w:rPr>
            </w:pPr>
            <w:r>
              <w:rPr>
                <w:rFonts w:ascii="宋体" w:hint="eastAsia"/>
                <w:b/>
                <w:sz w:val="18"/>
              </w:rPr>
              <w:t>含义</w:t>
            </w:r>
          </w:p>
        </w:tc>
      </w:tr>
      <w:tr>
        <w:tblPrEx>
          <w:tblW w:w="4741" w:type="pct"/>
          <w:tblInd w:w="108" w:type="dxa"/>
          <w:tblCellMar>
            <w:top w:w="0" w:type="dxa"/>
            <w:left w:w="108" w:type="dxa"/>
            <w:bottom w:w="0" w:type="dxa"/>
            <w:right w:w="108" w:type="dxa"/>
          </w:tblCellMar>
        </w:tblPrEx>
        <w:tc>
          <w:tcPr>
            <w:tcW w:w="1228" w:type="pct"/>
            <w:shd w:val="clear" w:color="auto" w:fill="auto"/>
            <w:noWrap w:val="0"/>
            <w:vAlign w:val="top"/>
          </w:tcPr>
          <w:p>
            <w:pPr>
              <w:rPr>
                <w:rFonts w:ascii="宋体"/>
                <w:sz w:val="18"/>
              </w:rPr>
            </w:pPr>
            <w:r>
              <w:rPr>
                <w:rFonts w:ascii="宋体" w:hint="eastAsia"/>
                <w:sz w:val="18"/>
              </w:rPr>
              <w:t>1</w:t>
            </w:r>
          </w:p>
        </w:tc>
        <w:tc>
          <w:tcPr>
            <w:tcW w:w="3772" w:type="pct"/>
            <w:shd w:val="clear" w:color="auto" w:fill="auto"/>
            <w:noWrap w:val="0"/>
            <w:vAlign w:val="top"/>
          </w:tcPr>
          <w:p>
            <w:pPr>
              <w:adjustRightInd w:val="0"/>
              <w:snapToGrid w:val="0"/>
              <w:spacing w:line="320" w:lineRule="atLeast"/>
              <w:rPr>
                <w:rFonts w:ascii="宋体" w:hint="eastAsia"/>
                <w:sz w:val="18"/>
              </w:rPr>
            </w:pPr>
            <w:r>
              <w:rPr>
                <w:rFonts w:ascii="宋体" w:hint="eastAsia"/>
                <w:sz w:val="18"/>
              </w:rPr>
              <w:t>合格的仪器</w:t>
            </w:r>
          </w:p>
        </w:tc>
      </w:tr>
      <w:tr>
        <w:tblPrEx>
          <w:tblW w:w="4741" w:type="pct"/>
          <w:tblInd w:w="108" w:type="dxa"/>
          <w:tblCellMar>
            <w:top w:w="0" w:type="dxa"/>
            <w:left w:w="108" w:type="dxa"/>
            <w:bottom w:w="0" w:type="dxa"/>
            <w:right w:w="108" w:type="dxa"/>
          </w:tblCellMar>
        </w:tblPrEx>
        <w:tc>
          <w:tcPr>
            <w:tcW w:w="1228" w:type="pct"/>
            <w:shd w:val="clear" w:color="auto" w:fill="auto"/>
            <w:noWrap w:val="0"/>
            <w:vAlign w:val="top"/>
          </w:tcPr>
          <w:p>
            <w:pPr>
              <w:rPr>
                <w:rFonts w:ascii="宋体" w:hint="eastAsia"/>
                <w:sz w:val="18"/>
              </w:rPr>
            </w:pPr>
            <w:r>
              <w:rPr>
                <w:rFonts w:ascii="宋体" w:hint="eastAsia"/>
                <w:sz w:val="18"/>
              </w:rPr>
              <w:t>2</w:t>
            </w:r>
          </w:p>
        </w:tc>
        <w:tc>
          <w:tcPr>
            <w:tcW w:w="3772" w:type="pct"/>
            <w:shd w:val="clear" w:color="auto" w:fill="auto"/>
            <w:noWrap w:val="0"/>
            <w:vAlign w:val="top"/>
          </w:tcPr>
          <w:p>
            <w:pPr>
              <w:adjustRightInd w:val="0"/>
              <w:snapToGrid w:val="0"/>
              <w:spacing w:line="320" w:lineRule="atLeast"/>
              <w:rPr>
                <w:rFonts w:ascii="宋体" w:hint="eastAsia"/>
                <w:sz w:val="18"/>
              </w:rPr>
            </w:pPr>
            <w:r>
              <w:rPr>
                <w:rFonts w:ascii="宋体" w:hint="eastAsia"/>
                <w:sz w:val="18"/>
              </w:rPr>
              <w:t>原始观测，以节（＝哩／小时）为单位</w:t>
            </w:r>
          </w:p>
        </w:tc>
      </w:tr>
      <w:tr>
        <w:tblPrEx>
          <w:tblW w:w="4741" w:type="pct"/>
          <w:tblInd w:w="108" w:type="dxa"/>
          <w:tblCellMar>
            <w:top w:w="0" w:type="dxa"/>
            <w:left w:w="108" w:type="dxa"/>
            <w:bottom w:w="0" w:type="dxa"/>
            <w:right w:w="108" w:type="dxa"/>
          </w:tblCellMar>
        </w:tblPrEx>
        <w:tc>
          <w:tcPr>
            <w:tcW w:w="1228" w:type="pct"/>
            <w:shd w:val="clear" w:color="auto" w:fill="auto"/>
            <w:noWrap w:val="0"/>
            <w:vAlign w:val="top"/>
          </w:tcPr>
          <w:p>
            <w:pPr>
              <w:rPr>
                <w:rFonts w:ascii="宋体" w:hint="eastAsia"/>
                <w:sz w:val="18"/>
              </w:rPr>
            </w:pPr>
            <w:r>
              <w:rPr>
                <w:rFonts w:ascii="宋体" w:hint="eastAsia"/>
                <w:sz w:val="18"/>
              </w:rPr>
              <w:t>3</w:t>
            </w:r>
          </w:p>
        </w:tc>
        <w:tc>
          <w:tcPr>
            <w:tcW w:w="3772" w:type="pct"/>
            <w:shd w:val="clear" w:color="auto" w:fill="auto"/>
            <w:noWrap w:val="0"/>
            <w:vAlign w:val="top"/>
          </w:tcPr>
          <w:p>
            <w:pPr>
              <w:adjustRightInd w:val="0"/>
              <w:snapToGrid w:val="0"/>
              <w:spacing w:line="320" w:lineRule="atLeast"/>
              <w:rPr>
                <w:rFonts w:ascii="宋体" w:hint="eastAsia"/>
                <w:sz w:val="18"/>
              </w:rPr>
            </w:pPr>
            <w:r>
              <w:rPr>
                <w:rFonts w:ascii="宋体" w:hint="eastAsia"/>
                <w:sz w:val="18"/>
              </w:rPr>
              <w:t>原始观测，以km/h为单位</w:t>
            </w:r>
          </w:p>
        </w:tc>
      </w:tr>
      <w:tr>
        <w:tblPrEx>
          <w:tblW w:w="4741" w:type="pct"/>
          <w:tblInd w:w="108" w:type="dxa"/>
          <w:tblCellMar>
            <w:top w:w="0" w:type="dxa"/>
            <w:left w:w="108" w:type="dxa"/>
            <w:bottom w:w="0" w:type="dxa"/>
            <w:right w:w="108" w:type="dxa"/>
          </w:tblCellMar>
        </w:tblPrEx>
        <w:tc>
          <w:tcPr>
            <w:tcW w:w="1228" w:type="pct"/>
            <w:shd w:val="clear" w:color="auto" w:fill="auto"/>
            <w:noWrap w:val="0"/>
            <w:vAlign w:val="top"/>
          </w:tcPr>
          <w:p>
            <w:pPr>
              <w:rPr>
                <w:rFonts w:ascii="宋体" w:hint="eastAsia"/>
                <w:sz w:val="18"/>
              </w:rPr>
            </w:pPr>
            <w:r>
              <w:rPr>
                <w:rFonts w:ascii="宋体" w:hint="eastAsia"/>
                <w:sz w:val="18"/>
              </w:rPr>
              <w:t>全部4位</w:t>
            </w:r>
          </w:p>
        </w:tc>
        <w:tc>
          <w:tcPr>
            <w:tcW w:w="3772" w:type="pct"/>
            <w:shd w:val="clear" w:color="auto" w:fill="auto"/>
            <w:noWrap w:val="0"/>
            <w:vAlign w:val="top"/>
          </w:tcPr>
          <w:p>
            <w:pPr>
              <w:adjustRightInd w:val="0"/>
              <w:snapToGrid w:val="0"/>
              <w:spacing w:line="320" w:lineRule="atLeast"/>
              <w:rPr>
                <w:rFonts w:ascii="宋体" w:hint="eastAsia"/>
                <w:sz w:val="18"/>
              </w:rPr>
            </w:pPr>
            <w:r>
              <w:rPr>
                <w:rFonts w:ascii="宋体" w:hint="eastAsia"/>
                <w:sz w:val="18"/>
              </w:rPr>
              <w:t>缺省值</w:t>
            </w:r>
          </w:p>
        </w:tc>
      </w:tr>
    </w:tbl>
    <w:p>
      <w:pPr>
        <w:pStyle w:val="a3"/>
        <w:rPr>
          <w:rFonts w:hint="eastAsia"/>
        </w:rPr>
      </w:pPr>
      <w:bookmarkStart w:id="134" w:name="_Toc489017684"/>
      <w:bookmarkStart w:id="135" w:name="_Toc485644995"/>
      <w:bookmarkStart w:id="136" w:name="_Toc489017997"/>
      <w:r>
        <w:t>BUFR</w:t>
      </w:r>
      <w:r>
        <w:rPr>
          <w:rFonts w:hint="eastAsia"/>
        </w:rPr>
        <w:t>格式编制规则</w:t>
      </w:r>
      <w:bookmarkEnd w:id="134"/>
      <w:bookmarkEnd w:id="135"/>
      <w:bookmarkEnd w:id="136"/>
      <w:r>
        <w:rPr>
          <w:b/>
          <w:color w:val="FFFFFF"/>
          <w:sz w:val="0"/>
        </w:rPr>
        <w:t>.</w:t>
      </w:r>
    </w:p>
    <w:p>
      <w:pPr>
        <w:pStyle w:val="a0"/>
        <w:ind w:left="0"/>
      </w:pPr>
      <w:bookmarkStart w:id="137" w:name="_Toc485644998"/>
      <w:bookmarkStart w:id="138" w:name="_Toc489017685"/>
      <w:bookmarkStart w:id="139" w:name="_Toc489017998"/>
      <w:r>
        <w:rPr>
          <w:rFonts w:hint="eastAsia"/>
        </w:rPr>
        <w:t>格式模板定义方法</w:t>
      </w:r>
      <w:bookmarkEnd w:id="137"/>
      <w:bookmarkEnd w:id="138"/>
      <w:bookmarkEnd w:id="139"/>
      <w:r>
        <w:rPr>
          <w:b/>
          <w:color w:val="FFFFFF"/>
          <w:sz w:val="0"/>
        </w:rPr>
        <w:t>.</w:t>
      </w:r>
    </w:p>
    <w:p>
      <w:pPr>
        <w:pStyle w:val="a4"/>
        <w:spacing w:before="156" w:after="156"/>
        <w:rPr>
          <w:rFonts w:hint="eastAsia"/>
        </w:rPr>
      </w:pPr>
      <w:r>
        <w:rPr>
          <w:rFonts w:hint="eastAsia"/>
        </w:rPr>
        <w:t>格式模板</w:t>
      </w:r>
      <w:r>
        <w:rPr>
          <w:b/>
          <w:color w:val="FFFFFF"/>
          <w:sz w:val="0"/>
        </w:rPr>
        <w:t>.</w:t>
      </w:r>
    </w:p>
    <w:p>
      <w:pPr>
        <w:pStyle w:val="a"/>
        <w:rPr>
          <w:rFonts w:hint="eastAsia"/>
        </w:rPr>
      </w:pPr>
      <w:r>
        <w:rPr>
          <w:rFonts w:hint="eastAsia"/>
        </w:rPr>
        <w:t>所谓BUFR格式模板，即通过3段-数据描述段的一组描述符序列，定义唯一的一种资料类型。格式模板是整份BUFR报文的“索引”，是编码端和解码端共同约定并遵守的“依据”。</w:t>
      </w:r>
      <w:r>
        <w:rPr>
          <w:b/>
          <w:color w:val="FFFFFF"/>
          <w:sz w:val="0"/>
        </w:rPr>
        <w:t>.</w:t>
      </w:r>
    </w:p>
    <w:p>
      <w:pPr>
        <w:pStyle w:val="a4"/>
        <w:spacing w:before="156" w:after="156"/>
      </w:pPr>
      <w:r>
        <w:rPr>
          <w:rFonts w:hint="eastAsia"/>
        </w:rPr>
        <w:t>数据类型定义</w:t>
      </w:r>
      <w:r>
        <w:rPr>
          <w:b/>
          <w:color w:val="FFFFFF"/>
          <w:sz w:val="0"/>
        </w:rPr>
        <w:t>.</w:t>
      </w:r>
    </w:p>
    <w:p>
      <w:pPr>
        <w:pStyle w:val="a"/>
        <w:sectPr>
          <w:headerReference w:type="default" r:id="rId42"/>
          <w:footerReference w:type="default" r:id="rId43"/>
          <w:type w:val="nextPage"/>
          <w:pgSz w:w="11906" w:h="16838"/>
          <w:pgMar w:top="1440" w:right="1800" w:bottom="1440" w:left="1800" w:header="1418" w:footer="1020" w:gutter="0"/>
          <w:pgNumType w:start="13"/>
          <w:cols w:num="1" w:space="425"/>
          <w:formProt w:val="0"/>
          <w:titlePg w:val="0"/>
          <w:docGrid w:type="lines" w:linePitch="312" w:charSpace="0"/>
        </w:sectPr>
      </w:pPr>
      <w:r>
        <w:rPr>
          <w:rFonts w:hint="eastAsia"/>
        </w:rPr>
        <w:t>在进行</w:t>
      </w:r>
      <w:r>
        <w:t>BUFR</w:t>
      </w:r>
      <w:r>
        <w:rPr>
          <w:rFonts w:hint="eastAsia"/>
        </w:rPr>
        <w:t>格式模板定义之前，首要应该明确需要定义的数据类型。</w:t>
      </w:r>
      <w:r>
        <w:t>WMO</w:t>
      </w:r>
      <w:r>
        <w:rPr>
          <w:rFonts w:hint="eastAsia"/>
        </w:rPr>
        <w:t>公共表格</w:t>
      </w:r>
      <w:r>
        <w:t>C-13</w:t>
      </w:r>
      <w:r>
        <w:rPr>
          <w:rFonts w:hint="eastAsia"/>
        </w:rPr>
        <w:t>中定义了各个资料大类（对应于</w:t>
      </w:r>
      <w:r>
        <w:t>1</w:t>
      </w:r>
      <w:r>
        <w:rPr>
          <w:rFonts w:hint="eastAsia"/>
        </w:rPr>
        <w:t>段-指示段第</w:t>
      </w:r>
      <w:r>
        <w:t>11</w:t>
      </w:r>
      <w:r>
        <w:rPr>
          <w:rFonts w:hint="eastAsia"/>
        </w:rPr>
        <w:t>个八位组）及其资料子类（对应于</w:t>
      </w:r>
      <w:r>
        <w:t>1</w:t>
      </w:r>
    </w:p>
    <w:p>
      <w:pPr>
        <w:pStyle w:val="a"/>
      </w:pPr>
      <w:r>
        <w:rPr>
          <w:rFonts w:hint="eastAsia"/>
        </w:rPr>
        <w:t>段-指示段第</w:t>
      </w:r>
      <w:r>
        <w:t>12</w:t>
      </w:r>
      <w:r>
        <w:rPr>
          <w:rFonts w:hint="eastAsia"/>
        </w:rPr>
        <w:t>个八位组）的代码值，在该分类基础上，各编报中心还可通过</w:t>
      </w:r>
      <w:r>
        <w:t>1</w:t>
      </w:r>
      <w:r>
        <w:rPr>
          <w:rFonts w:hint="eastAsia"/>
        </w:rPr>
        <w:t>段第</w:t>
      </w:r>
      <w:r>
        <w:t>13</w:t>
      </w:r>
      <w:r>
        <w:rPr>
          <w:rFonts w:hint="eastAsia"/>
        </w:rPr>
        <w:t>个八位组进行本地资料子类型的扩展。国际资料大类、国际资料子类、本地资料子类</w:t>
      </w:r>
      <w:r>
        <w:t>3</w:t>
      </w:r>
      <w:r>
        <w:rPr>
          <w:rFonts w:hint="eastAsia"/>
        </w:rPr>
        <w:t>个八位组共同确定了最小粒度的一种数据类型，每一种数据类型应该对应唯一的</w:t>
      </w:r>
      <w:r>
        <w:t>BUFR</w:t>
      </w:r>
      <w:r>
        <w:rPr>
          <w:rFonts w:hint="eastAsia"/>
        </w:rPr>
        <w:t>编码模板。</w:t>
      </w:r>
      <w:r>
        <w:rPr>
          <w:b/>
          <w:color w:val="FFFFFF"/>
          <w:sz w:val="0"/>
        </w:rPr>
        <w:t>.</w:t>
      </w:r>
    </w:p>
    <w:p>
      <w:pPr>
        <w:pStyle w:val="a4"/>
        <w:spacing w:before="156" w:after="156"/>
      </w:pPr>
      <w:r>
        <w:rPr>
          <w:rFonts w:hint="eastAsia"/>
        </w:rPr>
        <w:t>要素内容定义</w:t>
      </w:r>
      <w:r>
        <w:rPr>
          <w:b/>
          <w:color w:val="FFFFFF"/>
          <w:sz w:val="0"/>
        </w:rPr>
        <w:t>.</w:t>
      </w:r>
    </w:p>
    <w:p>
      <w:pPr>
        <w:pStyle w:val="a"/>
        <w:rPr>
          <w:rFonts w:hint="eastAsia"/>
        </w:rPr>
      </w:pPr>
      <w:r>
        <w:rPr>
          <w:rFonts w:hint="eastAsia"/>
        </w:rPr>
        <w:t>确定数据类型后，需要明确该类数据包含的要素序列以及这些要素的属性。要素属性中需要明确的项见表13所示。</w:t>
      </w:r>
      <w:r>
        <w:rPr>
          <w:b/>
          <w:color w:val="FFFFFF"/>
          <w:sz w:val="0"/>
        </w:rPr>
        <w:t>.</w:t>
      </w:r>
    </w:p>
    <w:p>
      <w:pPr>
        <w:pStyle w:val="a"/>
        <w:rPr>
          <w:rFonts w:hint="eastAsia"/>
        </w:rPr>
      </w:pPr>
      <w:r>
        <w:rPr>
          <w:b/>
          <w:color w:val="FFFFFF"/>
          <w:sz w:val="0"/>
        </w:rPr>
        <w:t>.</w:t>
      </w:r>
    </w:p>
    <w:p>
      <w:pPr>
        <w:pStyle w:val="a"/>
        <w:rPr>
          <w:rFonts w:hint="eastAsia"/>
        </w:rPr>
      </w:pPr>
      <w:r>
        <w:rPr>
          <w:b/>
          <w:color w:val="FFFFFF"/>
          <w:sz w:val="0"/>
        </w:rPr>
        <w:t>.</w:t>
      </w:r>
    </w:p>
    <w:p>
      <w:pPr>
        <w:pStyle w:val="a"/>
        <w:rPr>
          <w:rFonts w:hint="eastAsia"/>
        </w:rPr>
      </w:pPr>
      <w:r>
        <w:rPr>
          <w:b/>
          <w:color w:val="FFFFFF"/>
          <w:sz w:val="0"/>
        </w:rPr>
        <w:t>.</w:t>
      </w:r>
    </w:p>
    <w:p>
      <w:pPr>
        <w:pStyle w:val="a"/>
      </w:pPr>
      <w:r>
        <w:rPr>
          <w:b/>
          <w:color w:val="FFFFFF"/>
          <w:sz w:val="0"/>
        </w:rPr>
        <w:t>.</w:t>
      </w:r>
    </w:p>
    <w:p>
      <w:pPr>
        <w:pStyle w:val="a80"/>
        <w:spacing w:after="0" w:afterLines="0"/>
      </w:pPr>
      <w:r>
        <w:rPr>
          <w:rFonts w:hint="eastAsia"/>
        </w:rPr>
        <w:t>要素内容</w:t>
      </w:r>
      <w:r>
        <w:rPr>
          <w:b/>
          <w:color w:val="FFFFFF"/>
          <w:sz w:val="0"/>
        </w:rPr>
        <w:t>.</w:t>
      </w:r>
    </w:p>
    <w:tbl>
      <w:tblPr>
        <w:tblStyle w:val="TableNormal"/>
        <w:tblW w:w="475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600"/>
        <w:gridCol w:w="654"/>
        <w:gridCol w:w="758"/>
        <w:gridCol w:w="6099"/>
      </w:tblGrid>
      <w:tr>
        <w:tblPrEx>
          <w:tblW w:w="475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370" w:type="pct"/>
            <w:shd w:val="clear" w:color="auto" w:fill="auto"/>
            <w:noWrap w:val="0"/>
            <w:vAlign w:val="top"/>
          </w:tcPr>
          <w:p>
            <w:pPr>
              <w:jc w:val="center"/>
              <w:rPr>
                <w:rFonts w:ascii="宋体"/>
                <w:b/>
                <w:sz w:val="18"/>
              </w:rPr>
            </w:pPr>
            <w:r>
              <w:rPr>
                <w:rFonts w:ascii="宋体" w:hint="eastAsia"/>
                <w:b/>
                <w:sz w:val="18"/>
              </w:rPr>
              <w:t>序号</w:t>
            </w:r>
          </w:p>
        </w:tc>
        <w:tc>
          <w:tcPr>
            <w:tcW w:w="870" w:type="pct"/>
            <w:gridSpan w:val="2"/>
            <w:shd w:val="clear" w:color="auto" w:fill="auto"/>
            <w:noWrap w:val="0"/>
            <w:vAlign w:val="top"/>
          </w:tcPr>
          <w:p>
            <w:pPr>
              <w:jc w:val="center"/>
              <w:rPr>
                <w:rFonts w:ascii="宋体"/>
                <w:b/>
                <w:sz w:val="18"/>
              </w:rPr>
            </w:pPr>
            <w:r>
              <w:rPr>
                <w:rFonts w:ascii="宋体" w:hint="eastAsia"/>
                <w:b/>
                <w:sz w:val="18"/>
              </w:rPr>
              <w:t>要素属性</w:t>
            </w:r>
          </w:p>
        </w:tc>
        <w:tc>
          <w:tcPr>
            <w:tcW w:w="3759" w:type="pct"/>
            <w:shd w:val="clear" w:color="auto" w:fill="auto"/>
            <w:noWrap w:val="0"/>
            <w:vAlign w:val="top"/>
          </w:tcPr>
          <w:p>
            <w:pPr>
              <w:jc w:val="center"/>
              <w:rPr>
                <w:rFonts w:ascii="宋体"/>
                <w:b/>
                <w:sz w:val="18"/>
              </w:rPr>
            </w:pPr>
            <w:r>
              <w:rPr>
                <w:rFonts w:ascii="宋体" w:hint="eastAsia"/>
                <w:b/>
                <w:sz w:val="18"/>
              </w:rPr>
              <w:t>说明</w:t>
            </w:r>
          </w:p>
        </w:tc>
      </w:tr>
      <w:tr>
        <w:tblPrEx>
          <w:tblW w:w="4759" w:type="pct"/>
          <w:tblInd w:w="108" w:type="dxa"/>
          <w:tblCellMar>
            <w:top w:w="0" w:type="dxa"/>
            <w:left w:w="108" w:type="dxa"/>
            <w:bottom w:w="0" w:type="dxa"/>
            <w:right w:w="108" w:type="dxa"/>
          </w:tblCellMar>
        </w:tblPrEx>
        <w:tc>
          <w:tcPr>
            <w:tcW w:w="370" w:type="pct"/>
            <w:shd w:val="clear" w:color="auto" w:fill="auto"/>
            <w:noWrap w:val="0"/>
            <w:vAlign w:val="top"/>
          </w:tcPr>
          <w:p>
            <w:pPr>
              <w:jc w:val="center"/>
              <w:rPr>
                <w:rFonts w:ascii="宋体"/>
                <w:sz w:val="18"/>
              </w:rPr>
            </w:pPr>
            <w:r>
              <w:rPr>
                <w:rFonts w:ascii="宋体"/>
                <w:sz w:val="18"/>
              </w:rPr>
              <w:t>1</w:t>
            </w:r>
          </w:p>
        </w:tc>
        <w:tc>
          <w:tcPr>
            <w:tcW w:w="870" w:type="pct"/>
            <w:gridSpan w:val="2"/>
            <w:shd w:val="clear" w:color="auto" w:fill="auto"/>
            <w:noWrap w:val="0"/>
            <w:vAlign w:val="top"/>
          </w:tcPr>
          <w:p>
            <w:pPr>
              <w:rPr>
                <w:rFonts w:ascii="宋体"/>
                <w:sz w:val="18"/>
              </w:rPr>
            </w:pPr>
            <w:r>
              <w:rPr>
                <w:rFonts w:ascii="宋体" w:hint="eastAsia"/>
                <w:sz w:val="18"/>
              </w:rPr>
              <w:t>要素名称</w:t>
            </w:r>
          </w:p>
        </w:tc>
        <w:tc>
          <w:tcPr>
            <w:tcW w:w="3759" w:type="pct"/>
            <w:shd w:val="clear" w:color="auto" w:fill="auto"/>
            <w:noWrap w:val="0"/>
            <w:vAlign w:val="top"/>
          </w:tcPr>
          <w:p>
            <w:pPr>
              <w:rPr>
                <w:rFonts w:ascii="宋体"/>
                <w:sz w:val="18"/>
              </w:rPr>
            </w:pPr>
            <w:r>
              <w:rPr>
                <w:rFonts w:ascii="宋体" w:hint="eastAsia"/>
                <w:sz w:val="18"/>
              </w:rPr>
              <w:t>要素的准确名称，以保证观测端和应用端对要素理解的一致性。例如干球温度、湿球温度。</w:t>
            </w:r>
          </w:p>
        </w:tc>
      </w:tr>
      <w:tr>
        <w:tblPrEx>
          <w:tblW w:w="4759" w:type="pct"/>
          <w:tblInd w:w="108" w:type="dxa"/>
          <w:tblCellMar>
            <w:top w:w="0" w:type="dxa"/>
            <w:left w:w="108" w:type="dxa"/>
            <w:bottom w:w="0" w:type="dxa"/>
            <w:right w:w="108" w:type="dxa"/>
          </w:tblCellMar>
        </w:tblPrEx>
        <w:tc>
          <w:tcPr>
            <w:tcW w:w="370" w:type="pct"/>
            <w:shd w:val="clear" w:color="auto" w:fill="auto"/>
            <w:noWrap w:val="0"/>
            <w:vAlign w:val="top"/>
          </w:tcPr>
          <w:p>
            <w:pPr>
              <w:jc w:val="center"/>
              <w:rPr>
                <w:rFonts w:ascii="宋体"/>
                <w:sz w:val="18"/>
              </w:rPr>
            </w:pPr>
            <w:r>
              <w:rPr>
                <w:rFonts w:ascii="宋体"/>
                <w:sz w:val="18"/>
              </w:rPr>
              <w:t>2</w:t>
            </w:r>
          </w:p>
        </w:tc>
        <w:tc>
          <w:tcPr>
            <w:tcW w:w="870" w:type="pct"/>
            <w:gridSpan w:val="2"/>
            <w:shd w:val="clear" w:color="auto" w:fill="auto"/>
            <w:noWrap w:val="0"/>
            <w:vAlign w:val="top"/>
          </w:tcPr>
          <w:p>
            <w:pPr>
              <w:rPr>
                <w:rFonts w:ascii="宋体"/>
                <w:sz w:val="18"/>
              </w:rPr>
            </w:pPr>
            <w:r>
              <w:rPr>
                <w:rFonts w:ascii="宋体" w:hint="eastAsia"/>
                <w:sz w:val="18"/>
              </w:rPr>
              <w:t>要素含义</w:t>
            </w:r>
          </w:p>
        </w:tc>
        <w:tc>
          <w:tcPr>
            <w:tcW w:w="3759" w:type="pct"/>
            <w:shd w:val="clear" w:color="auto" w:fill="auto"/>
            <w:noWrap w:val="0"/>
            <w:vAlign w:val="top"/>
          </w:tcPr>
          <w:p>
            <w:pPr>
              <w:rPr>
                <w:rFonts w:ascii="宋体"/>
                <w:sz w:val="18"/>
              </w:rPr>
            </w:pPr>
            <w:r>
              <w:rPr>
                <w:rFonts w:ascii="宋体" w:hint="eastAsia"/>
                <w:sz w:val="18"/>
              </w:rPr>
              <w:t>要素的准确含义，对要素名称和该要素的观测规范进行准确解释。例如最大风速、极大风速、最大瞬时风速等容易混淆的要素。</w:t>
            </w:r>
          </w:p>
        </w:tc>
      </w:tr>
      <w:tr>
        <w:tblPrEx>
          <w:tblW w:w="4759" w:type="pct"/>
          <w:tblInd w:w="108" w:type="dxa"/>
          <w:tblCellMar>
            <w:top w:w="0" w:type="dxa"/>
            <w:left w:w="108" w:type="dxa"/>
            <w:bottom w:w="0" w:type="dxa"/>
            <w:right w:w="108" w:type="dxa"/>
          </w:tblCellMar>
        </w:tblPrEx>
        <w:tc>
          <w:tcPr>
            <w:tcW w:w="370" w:type="pct"/>
            <w:shd w:val="clear" w:color="auto" w:fill="auto"/>
            <w:noWrap w:val="0"/>
            <w:vAlign w:val="top"/>
          </w:tcPr>
          <w:p>
            <w:pPr>
              <w:jc w:val="center"/>
              <w:rPr>
                <w:rFonts w:ascii="宋体"/>
                <w:sz w:val="18"/>
              </w:rPr>
            </w:pPr>
            <w:r>
              <w:rPr>
                <w:rFonts w:ascii="宋体"/>
                <w:sz w:val="18"/>
              </w:rPr>
              <w:t>3</w:t>
            </w:r>
          </w:p>
        </w:tc>
        <w:tc>
          <w:tcPr>
            <w:tcW w:w="870" w:type="pct"/>
            <w:gridSpan w:val="2"/>
            <w:shd w:val="clear" w:color="auto" w:fill="auto"/>
            <w:noWrap w:val="0"/>
            <w:vAlign w:val="top"/>
          </w:tcPr>
          <w:p>
            <w:pPr>
              <w:rPr>
                <w:rFonts w:ascii="宋体"/>
                <w:sz w:val="18"/>
              </w:rPr>
            </w:pPr>
            <w:r>
              <w:rPr>
                <w:rFonts w:ascii="宋体" w:hint="eastAsia"/>
                <w:sz w:val="18"/>
              </w:rPr>
              <w:t>要素单位</w:t>
            </w:r>
          </w:p>
        </w:tc>
        <w:tc>
          <w:tcPr>
            <w:tcW w:w="3759" w:type="pct"/>
            <w:shd w:val="clear" w:color="auto" w:fill="auto"/>
            <w:noWrap w:val="0"/>
            <w:vAlign w:val="top"/>
          </w:tcPr>
          <w:p>
            <w:pPr>
              <w:rPr>
                <w:rFonts w:ascii="宋体"/>
                <w:sz w:val="18"/>
              </w:rPr>
            </w:pPr>
            <w:r>
              <w:rPr>
                <w:rFonts w:ascii="宋体" w:hint="eastAsia"/>
                <w:sz w:val="18"/>
              </w:rPr>
              <w:t>要素的准确单位。由于</w:t>
            </w:r>
            <w:r>
              <w:rPr>
                <w:rFonts w:ascii="宋体"/>
                <w:sz w:val="18"/>
              </w:rPr>
              <w:t>BUFR</w:t>
            </w:r>
            <w:r>
              <w:rPr>
                <w:rFonts w:ascii="宋体" w:hint="eastAsia"/>
                <w:sz w:val="18"/>
              </w:rPr>
              <w:t>中使用的是</w:t>
            </w:r>
            <w:r>
              <w:rPr>
                <w:rFonts w:ascii="宋体"/>
                <w:sz w:val="18"/>
              </w:rPr>
              <w:t>SI</w:t>
            </w:r>
            <w:r>
              <w:rPr>
                <w:rFonts w:ascii="宋体" w:hint="eastAsia"/>
                <w:sz w:val="18"/>
              </w:rPr>
              <w:t>单位（国际标准单位），与国内使用的要素单位可能存在不一致、需要转换的情况。例如</w:t>
            </w:r>
            <w:r>
              <w:rPr>
                <w:rFonts w:ascii="宋体"/>
                <w:sz w:val="18"/>
              </w:rPr>
              <w:t>BUFR</w:t>
            </w:r>
            <w:r>
              <w:rPr>
                <w:rFonts w:ascii="宋体" w:hint="eastAsia"/>
                <w:sz w:val="18"/>
              </w:rPr>
              <w:t>中温度的单位统一使用开氏度（K）。</w:t>
            </w:r>
          </w:p>
        </w:tc>
      </w:tr>
      <w:tr>
        <w:tblPrEx>
          <w:tblW w:w="4759" w:type="pct"/>
          <w:tblInd w:w="108" w:type="dxa"/>
          <w:tblCellMar>
            <w:top w:w="0" w:type="dxa"/>
            <w:left w:w="108" w:type="dxa"/>
            <w:bottom w:w="0" w:type="dxa"/>
            <w:right w:w="108" w:type="dxa"/>
          </w:tblCellMar>
        </w:tblPrEx>
        <w:tc>
          <w:tcPr>
            <w:tcW w:w="370" w:type="pct"/>
            <w:vMerge w:val="restart"/>
            <w:shd w:val="clear" w:color="auto" w:fill="auto"/>
            <w:noWrap w:val="0"/>
            <w:vAlign w:val="top"/>
          </w:tcPr>
          <w:p>
            <w:pPr>
              <w:jc w:val="center"/>
              <w:rPr>
                <w:rFonts w:ascii="宋体"/>
                <w:sz w:val="18"/>
              </w:rPr>
            </w:pPr>
            <w:r>
              <w:rPr>
                <w:rFonts w:ascii="宋体"/>
                <w:sz w:val="18"/>
              </w:rPr>
              <w:t>4</w:t>
            </w:r>
          </w:p>
        </w:tc>
        <w:tc>
          <w:tcPr>
            <w:tcW w:w="403" w:type="pct"/>
            <w:vMerge w:val="restart"/>
            <w:shd w:val="clear" w:color="auto" w:fill="auto"/>
            <w:noWrap w:val="0"/>
            <w:vAlign w:val="top"/>
          </w:tcPr>
          <w:p>
            <w:pPr>
              <w:rPr>
                <w:rFonts w:ascii="宋体"/>
                <w:sz w:val="18"/>
              </w:rPr>
            </w:pPr>
            <w:r>
              <w:rPr>
                <w:rFonts w:ascii="宋体" w:hint="eastAsia"/>
                <w:sz w:val="18"/>
              </w:rPr>
              <w:t>要素类型</w:t>
            </w:r>
          </w:p>
        </w:tc>
        <w:tc>
          <w:tcPr>
            <w:tcW w:w="467" w:type="pct"/>
            <w:shd w:val="clear" w:color="auto" w:fill="auto"/>
            <w:noWrap w:val="0"/>
            <w:vAlign w:val="top"/>
          </w:tcPr>
          <w:p>
            <w:pPr>
              <w:rPr>
                <w:rFonts w:ascii="宋体"/>
                <w:sz w:val="18"/>
              </w:rPr>
            </w:pPr>
            <w:r>
              <w:rPr>
                <w:rFonts w:ascii="宋体" w:hint="eastAsia"/>
                <w:sz w:val="18"/>
              </w:rPr>
              <w:t>字符型</w:t>
            </w:r>
          </w:p>
        </w:tc>
        <w:tc>
          <w:tcPr>
            <w:tcW w:w="3759" w:type="pct"/>
            <w:shd w:val="clear" w:color="auto" w:fill="auto"/>
            <w:noWrap w:val="0"/>
            <w:vAlign w:val="top"/>
          </w:tcPr>
          <w:p>
            <w:pPr>
              <w:rPr>
                <w:rFonts w:ascii="宋体"/>
                <w:sz w:val="18"/>
              </w:rPr>
            </w:pPr>
            <w:r>
              <w:rPr>
                <w:rFonts w:ascii="宋体" w:hint="eastAsia"/>
                <w:sz w:val="18"/>
              </w:rPr>
              <w:t>要素值为</w:t>
            </w:r>
            <w:r>
              <w:rPr>
                <w:rFonts w:ascii="宋体"/>
                <w:sz w:val="18"/>
              </w:rPr>
              <w:t>ASCII</w:t>
            </w:r>
            <w:r>
              <w:rPr>
                <w:rFonts w:ascii="宋体" w:hint="eastAsia"/>
                <w:sz w:val="18"/>
              </w:rPr>
              <w:t>码字符串。例如观测站站名、船舶呼号等。</w:t>
            </w:r>
          </w:p>
        </w:tc>
      </w:tr>
      <w:tr>
        <w:tblPrEx>
          <w:tblW w:w="4759" w:type="pct"/>
          <w:tblInd w:w="108" w:type="dxa"/>
          <w:tblCellMar>
            <w:top w:w="0" w:type="dxa"/>
            <w:left w:w="108" w:type="dxa"/>
            <w:bottom w:w="0" w:type="dxa"/>
            <w:right w:w="108" w:type="dxa"/>
          </w:tblCellMar>
        </w:tblPrEx>
        <w:tc>
          <w:tcPr>
            <w:tcW w:w="370" w:type="pct"/>
            <w:vMerge/>
            <w:shd w:val="clear" w:color="auto" w:fill="auto"/>
            <w:noWrap w:val="0"/>
            <w:vAlign w:val="top"/>
          </w:tcPr>
          <w:p>
            <w:pPr>
              <w:jc w:val="center"/>
              <w:rPr>
                <w:rFonts w:ascii="宋体"/>
                <w:sz w:val="18"/>
              </w:rPr>
            </w:pPr>
          </w:p>
        </w:tc>
        <w:tc>
          <w:tcPr>
            <w:tcW w:w="403" w:type="pct"/>
            <w:vMerge/>
            <w:shd w:val="clear" w:color="auto" w:fill="auto"/>
            <w:noWrap w:val="0"/>
            <w:vAlign w:val="top"/>
          </w:tcPr>
          <w:p>
            <w:pPr>
              <w:rPr>
                <w:rFonts w:ascii="宋体"/>
                <w:sz w:val="18"/>
              </w:rPr>
            </w:pPr>
          </w:p>
        </w:tc>
        <w:tc>
          <w:tcPr>
            <w:tcW w:w="467" w:type="pct"/>
            <w:shd w:val="clear" w:color="auto" w:fill="auto"/>
            <w:noWrap w:val="0"/>
            <w:vAlign w:val="top"/>
          </w:tcPr>
          <w:p>
            <w:pPr>
              <w:rPr>
                <w:rFonts w:ascii="宋体"/>
                <w:sz w:val="18"/>
              </w:rPr>
            </w:pPr>
            <w:r>
              <w:rPr>
                <w:rFonts w:ascii="宋体" w:hint="eastAsia"/>
                <w:sz w:val="18"/>
              </w:rPr>
              <w:t>数值型</w:t>
            </w:r>
          </w:p>
        </w:tc>
        <w:tc>
          <w:tcPr>
            <w:tcW w:w="3759" w:type="pct"/>
            <w:shd w:val="clear" w:color="auto" w:fill="auto"/>
            <w:noWrap w:val="0"/>
            <w:vAlign w:val="top"/>
          </w:tcPr>
          <w:p>
            <w:pPr>
              <w:rPr>
                <w:rFonts w:ascii="宋体"/>
                <w:sz w:val="18"/>
              </w:rPr>
            </w:pPr>
            <w:r>
              <w:rPr>
                <w:rFonts w:ascii="宋体" w:hint="eastAsia"/>
                <w:sz w:val="18"/>
              </w:rPr>
              <w:t>要素为定量值。例如温度观测值、气压观测值、经纬度、海拔高度等。</w:t>
            </w:r>
          </w:p>
        </w:tc>
      </w:tr>
      <w:tr>
        <w:tblPrEx>
          <w:tblW w:w="4759" w:type="pct"/>
          <w:tblInd w:w="108" w:type="dxa"/>
          <w:tblCellMar>
            <w:top w:w="0" w:type="dxa"/>
            <w:left w:w="108" w:type="dxa"/>
            <w:bottom w:w="0" w:type="dxa"/>
            <w:right w:w="108" w:type="dxa"/>
          </w:tblCellMar>
        </w:tblPrEx>
        <w:tc>
          <w:tcPr>
            <w:tcW w:w="370" w:type="pct"/>
            <w:vMerge/>
            <w:shd w:val="clear" w:color="auto" w:fill="auto"/>
            <w:noWrap w:val="0"/>
            <w:vAlign w:val="top"/>
          </w:tcPr>
          <w:p>
            <w:pPr>
              <w:jc w:val="center"/>
              <w:rPr>
                <w:rFonts w:ascii="宋体"/>
                <w:sz w:val="18"/>
              </w:rPr>
            </w:pPr>
          </w:p>
        </w:tc>
        <w:tc>
          <w:tcPr>
            <w:tcW w:w="403" w:type="pct"/>
            <w:vMerge/>
            <w:shd w:val="clear" w:color="auto" w:fill="auto"/>
            <w:noWrap w:val="0"/>
            <w:vAlign w:val="top"/>
          </w:tcPr>
          <w:p>
            <w:pPr>
              <w:rPr>
                <w:rFonts w:ascii="宋体"/>
                <w:sz w:val="18"/>
              </w:rPr>
            </w:pPr>
          </w:p>
        </w:tc>
        <w:tc>
          <w:tcPr>
            <w:tcW w:w="467" w:type="pct"/>
            <w:shd w:val="clear" w:color="auto" w:fill="auto"/>
            <w:noWrap w:val="0"/>
            <w:vAlign w:val="top"/>
          </w:tcPr>
          <w:p>
            <w:pPr>
              <w:rPr>
                <w:rFonts w:ascii="宋体"/>
                <w:sz w:val="18"/>
              </w:rPr>
            </w:pPr>
            <w:r>
              <w:rPr>
                <w:rFonts w:ascii="宋体" w:hint="eastAsia"/>
                <w:sz w:val="18"/>
              </w:rPr>
              <w:t>代码型</w:t>
            </w:r>
          </w:p>
        </w:tc>
        <w:tc>
          <w:tcPr>
            <w:tcW w:w="3759" w:type="pct"/>
            <w:shd w:val="clear" w:color="auto" w:fill="auto"/>
            <w:noWrap w:val="0"/>
            <w:vAlign w:val="top"/>
          </w:tcPr>
          <w:p>
            <w:pPr>
              <w:rPr>
                <w:rFonts w:ascii="宋体"/>
                <w:sz w:val="18"/>
              </w:rPr>
            </w:pPr>
            <w:r>
              <w:rPr>
                <w:rFonts w:ascii="宋体" w:hint="eastAsia"/>
                <w:sz w:val="18"/>
              </w:rPr>
              <w:t>要素为定性值，用某一个代码值表示一种具体的含义。例如测站类型、天气现象等。</w:t>
            </w:r>
          </w:p>
        </w:tc>
      </w:tr>
      <w:tr>
        <w:tblPrEx>
          <w:tblW w:w="4759" w:type="pct"/>
          <w:tblInd w:w="108" w:type="dxa"/>
          <w:tblCellMar>
            <w:top w:w="0" w:type="dxa"/>
            <w:left w:w="108" w:type="dxa"/>
            <w:bottom w:w="0" w:type="dxa"/>
            <w:right w:w="108" w:type="dxa"/>
          </w:tblCellMar>
        </w:tblPrEx>
        <w:tc>
          <w:tcPr>
            <w:tcW w:w="370" w:type="pct"/>
            <w:vMerge/>
            <w:shd w:val="clear" w:color="auto" w:fill="auto"/>
            <w:noWrap w:val="0"/>
            <w:vAlign w:val="top"/>
          </w:tcPr>
          <w:p>
            <w:pPr>
              <w:jc w:val="center"/>
              <w:rPr>
                <w:rFonts w:ascii="宋体"/>
                <w:sz w:val="18"/>
              </w:rPr>
            </w:pPr>
          </w:p>
        </w:tc>
        <w:tc>
          <w:tcPr>
            <w:tcW w:w="403" w:type="pct"/>
            <w:vMerge/>
            <w:shd w:val="clear" w:color="auto" w:fill="auto"/>
            <w:noWrap w:val="0"/>
            <w:vAlign w:val="top"/>
          </w:tcPr>
          <w:p>
            <w:pPr>
              <w:rPr>
                <w:rFonts w:ascii="宋体"/>
                <w:sz w:val="18"/>
              </w:rPr>
            </w:pPr>
          </w:p>
        </w:tc>
        <w:tc>
          <w:tcPr>
            <w:tcW w:w="467" w:type="pct"/>
            <w:shd w:val="clear" w:color="auto" w:fill="auto"/>
            <w:noWrap w:val="0"/>
            <w:vAlign w:val="top"/>
          </w:tcPr>
          <w:p>
            <w:pPr>
              <w:rPr>
                <w:rFonts w:ascii="宋体"/>
                <w:sz w:val="18"/>
              </w:rPr>
            </w:pPr>
            <w:r>
              <w:rPr>
                <w:rFonts w:ascii="宋体" w:hint="eastAsia"/>
                <w:sz w:val="18"/>
              </w:rPr>
              <w:t>标志型</w:t>
            </w:r>
          </w:p>
        </w:tc>
        <w:tc>
          <w:tcPr>
            <w:tcW w:w="3759" w:type="pct"/>
            <w:shd w:val="clear" w:color="auto" w:fill="auto"/>
            <w:noWrap w:val="0"/>
            <w:vAlign w:val="top"/>
          </w:tcPr>
          <w:p>
            <w:pPr>
              <w:rPr>
                <w:rFonts w:ascii="宋体"/>
                <w:sz w:val="18"/>
              </w:rPr>
            </w:pPr>
            <w:r>
              <w:rPr>
                <w:rFonts w:ascii="宋体" w:hint="eastAsia"/>
                <w:sz w:val="18"/>
              </w:rPr>
              <w:t>要素为定性值，用某一个代码值能够表示一种或多于一种的含义。例如卫星通道，一个代码值可以标志使用了所有卫星通道中的部分通道。</w:t>
            </w:r>
          </w:p>
        </w:tc>
      </w:tr>
      <w:tr>
        <w:tblPrEx>
          <w:tblW w:w="4759" w:type="pct"/>
          <w:tblInd w:w="108" w:type="dxa"/>
          <w:tblCellMar>
            <w:top w:w="0" w:type="dxa"/>
            <w:left w:w="108" w:type="dxa"/>
            <w:bottom w:w="0" w:type="dxa"/>
            <w:right w:w="108" w:type="dxa"/>
          </w:tblCellMar>
        </w:tblPrEx>
        <w:tc>
          <w:tcPr>
            <w:tcW w:w="370" w:type="pct"/>
            <w:shd w:val="clear" w:color="auto" w:fill="auto"/>
            <w:noWrap w:val="0"/>
            <w:vAlign w:val="top"/>
          </w:tcPr>
          <w:p>
            <w:pPr>
              <w:jc w:val="center"/>
              <w:rPr>
                <w:rFonts w:ascii="宋体"/>
                <w:sz w:val="18"/>
              </w:rPr>
            </w:pPr>
            <w:r>
              <w:rPr>
                <w:rFonts w:ascii="宋体"/>
                <w:sz w:val="18"/>
              </w:rPr>
              <w:t>5</w:t>
            </w:r>
          </w:p>
        </w:tc>
        <w:tc>
          <w:tcPr>
            <w:tcW w:w="870" w:type="pct"/>
            <w:gridSpan w:val="2"/>
            <w:shd w:val="clear" w:color="auto" w:fill="auto"/>
            <w:noWrap w:val="0"/>
            <w:vAlign w:val="top"/>
          </w:tcPr>
          <w:p>
            <w:pPr>
              <w:rPr>
                <w:rFonts w:ascii="宋体"/>
                <w:sz w:val="18"/>
              </w:rPr>
            </w:pPr>
            <w:r>
              <w:rPr>
                <w:rFonts w:ascii="宋体" w:hint="eastAsia"/>
                <w:sz w:val="18"/>
              </w:rPr>
              <w:t>要素值域</w:t>
            </w:r>
          </w:p>
        </w:tc>
        <w:tc>
          <w:tcPr>
            <w:tcW w:w="3759" w:type="pct"/>
            <w:shd w:val="clear" w:color="auto" w:fill="auto"/>
            <w:noWrap w:val="0"/>
            <w:vAlign w:val="top"/>
          </w:tcPr>
          <w:p>
            <w:pPr>
              <w:rPr>
                <w:rFonts w:ascii="宋体"/>
                <w:sz w:val="18"/>
              </w:rPr>
            </w:pPr>
            <w:r>
              <w:rPr>
                <w:rFonts w:ascii="宋体" w:hint="eastAsia"/>
                <w:sz w:val="18"/>
              </w:rPr>
              <w:t>根据观测规范，该要素的最大允许值、最小允许值。</w:t>
            </w:r>
          </w:p>
        </w:tc>
      </w:tr>
      <w:tr>
        <w:tblPrEx>
          <w:tblW w:w="4759" w:type="pct"/>
          <w:tblInd w:w="108" w:type="dxa"/>
          <w:tblCellMar>
            <w:top w:w="0" w:type="dxa"/>
            <w:left w:w="108" w:type="dxa"/>
            <w:bottom w:w="0" w:type="dxa"/>
            <w:right w:w="108" w:type="dxa"/>
          </w:tblCellMar>
        </w:tblPrEx>
        <w:tc>
          <w:tcPr>
            <w:tcW w:w="370" w:type="pct"/>
            <w:shd w:val="clear" w:color="auto" w:fill="auto"/>
            <w:noWrap w:val="0"/>
            <w:vAlign w:val="top"/>
          </w:tcPr>
          <w:p>
            <w:pPr>
              <w:jc w:val="center"/>
              <w:rPr>
                <w:rFonts w:ascii="宋体"/>
                <w:sz w:val="18"/>
              </w:rPr>
            </w:pPr>
            <w:r>
              <w:rPr>
                <w:rFonts w:ascii="宋体"/>
                <w:sz w:val="18"/>
              </w:rPr>
              <w:t>6</w:t>
            </w:r>
          </w:p>
        </w:tc>
        <w:tc>
          <w:tcPr>
            <w:tcW w:w="870" w:type="pct"/>
            <w:gridSpan w:val="2"/>
            <w:shd w:val="clear" w:color="auto" w:fill="auto"/>
            <w:noWrap w:val="0"/>
            <w:vAlign w:val="top"/>
          </w:tcPr>
          <w:p>
            <w:pPr>
              <w:rPr>
                <w:rFonts w:ascii="宋体"/>
                <w:sz w:val="18"/>
              </w:rPr>
            </w:pPr>
            <w:r>
              <w:rPr>
                <w:rFonts w:ascii="宋体" w:hint="eastAsia"/>
                <w:sz w:val="18"/>
              </w:rPr>
              <w:t>要素精度</w:t>
            </w:r>
          </w:p>
        </w:tc>
        <w:tc>
          <w:tcPr>
            <w:tcW w:w="3759" w:type="pct"/>
            <w:shd w:val="clear" w:color="auto" w:fill="auto"/>
            <w:noWrap w:val="0"/>
            <w:vAlign w:val="top"/>
          </w:tcPr>
          <w:p>
            <w:pPr>
              <w:rPr>
                <w:rFonts w:ascii="宋体"/>
                <w:sz w:val="18"/>
              </w:rPr>
            </w:pPr>
            <w:r>
              <w:rPr>
                <w:rFonts w:ascii="宋体" w:hint="eastAsia"/>
                <w:sz w:val="18"/>
              </w:rPr>
              <w:t>根据观测规范，该要素观测输出的最大精度。</w:t>
            </w:r>
          </w:p>
        </w:tc>
      </w:tr>
    </w:tbl>
    <w:p>
      <w:pPr>
        <w:pStyle w:val="a"/>
        <w:spacing w:before="156" w:beforeLines="50"/>
      </w:pPr>
      <w:r>
        <w:rPr>
          <w:rFonts w:hint="eastAsia"/>
        </w:rPr>
        <w:t>要素的选择主要可以参考以下内容：</w:t>
      </w:r>
      <w:r>
        <w:rPr>
          <w:b/>
          <w:color w:val="FFFFFF"/>
          <w:sz w:val="0"/>
        </w:rPr>
        <w:t>.</w:t>
      </w:r>
    </w:p>
    <w:p>
      <w:pPr>
        <w:pStyle w:val="a"/>
      </w:pPr>
      <w:r>
        <w:rPr>
          <w:rFonts w:hint="eastAsia"/>
        </w:rPr>
        <w:t>（</w:t>
      </w:r>
      <w:r>
        <w:t>1</w:t>
      </w:r>
      <w:r>
        <w:rPr>
          <w:rFonts w:hint="eastAsia"/>
        </w:rPr>
        <w:t>）</w:t>
      </w:r>
      <w:r>
        <w:t>WMO</w:t>
      </w:r>
      <w:r>
        <w:rPr>
          <w:rFonts w:hint="eastAsia"/>
        </w:rPr>
        <w:t>推荐的该类型数据的</w:t>
      </w:r>
      <w:r>
        <w:t>BUFR</w:t>
      </w:r>
      <w:r>
        <w:rPr>
          <w:rFonts w:hint="eastAsia"/>
        </w:rPr>
        <w:t>编码模板；</w:t>
      </w:r>
      <w:r>
        <w:rPr>
          <w:b/>
          <w:color w:val="FFFFFF"/>
          <w:sz w:val="0"/>
        </w:rPr>
        <w:t>.</w:t>
      </w:r>
    </w:p>
    <w:p>
      <w:pPr>
        <w:pStyle w:val="a"/>
      </w:pPr>
      <w:r>
        <w:rPr>
          <w:rFonts w:hint="eastAsia"/>
        </w:rPr>
        <w:t>（</w:t>
      </w:r>
      <w:r>
        <w:t>2</w:t>
      </w:r>
      <w:r>
        <w:rPr>
          <w:rFonts w:hint="eastAsia"/>
        </w:rPr>
        <w:t>）该类型数据的国内观测规范；</w:t>
      </w:r>
      <w:r>
        <w:rPr>
          <w:b/>
          <w:color w:val="FFFFFF"/>
          <w:sz w:val="0"/>
        </w:rPr>
        <w:t>.</w:t>
      </w:r>
    </w:p>
    <w:p>
      <w:pPr>
        <w:pStyle w:val="a"/>
      </w:pPr>
      <w:r>
        <w:rPr>
          <w:rFonts w:hint="eastAsia"/>
        </w:rPr>
        <w:t>（</w:t>
      </w:r>
      <w:r>
        <w:t>3</w:t>
      </w:r>
      <w:r>
        <w:rPr>
          <w:rFonts w:hint="eastAsia"/>
        </w:rPr>
        <w:t>）职能司针对该类型数据的发文；</w:t>
      </w:r>
      <w:r>
        <w:rPr>
          <w:b/>
          <w:color w:val="FFFFFF"/>
          <w:sz w:val="0"/>
        </w:rPr>
        <w:t>.</w:t>
      </w:r>
    </w:p>
    <w:p>
      <w:pPr>
        <w:pStyle w:val="a"/>
        <w:tabs>
          <w:tab w:val="clear" w:pos="4201"/>
          <w:tab w:val="center" w:pos="4887"/>
          <w:tab w:val="clear" w:pos="9298"/>
        </w:tabs>
      </w:pPr>
      <w:r>
        <w:rPr>
          <w:rFonts w:hint="eastAsia"/>
        </w:rPr>
        <w:t>（</w:t>
      </w:r>
      <w:r>
        <w:t>4</w:t>
      </w:r>
      <w:r>
        <w:rPr>
          <w:rFonts w:hint="eastAsia"/>
        </w:rPr>
        <w:t>）国外同类数据的</w:t>
      </w:r>
      <w:r>
        <w:t>BUFR</w:t>
      </w:r>
      <w:r>
        <w:rPr>
          <w:rFonts w:hint="eastAsia"/>
        </w:rPr>
        <w:t>编码模板。</w:t>
      </w:r>
      <w:r>
        <w:rPr>
          <w:b/>
          <w:color w:val="FFFFFF"/>
          <w:sz w:val="0"/>
        </w:rPr>
        <w:t>.</w:t>
      </w:r>
    </w:p>
    <w:p>
      <w:pPr>
        <w:pStyle w:val="a4"/>
        <w:spacing w:before="156" w:after="156"/>
      </w:pPr>
      <w:r>
        <w:t>WMO</w:t>
      </w:r>
      <w:r>
        <w:rPr>
          <w:rFonts w:hint="eastAsia"/>
        </w:rPr>
        <w:t>推荐模板</w:t>
      </w:r>
      <w:r>
        <w:rPr>
          <w:b/>
          <w:color w:val="FFFFFF"/>
          <w:sz w:val="0"/>
        </w:rPr>
        <w:t>.</w:t>
      </w:r>
    </w:p>
    <w:p>
      <w:pPr>
        <w:pStyle w:val="a"/>
        <w:ind w:firstLineChars="0"/>
      </w:pPr>
      <w:r>
        <w:rPr>
          <w:rFonts w:hint="eastAsia"/>
        </w:rPr>
        <w:t>针对某一类型的数据，如果使用</w:t>
      </w:r>
      <w:r>
        <w:t>WMO</w:t>
      </w:r>
      <w:r>
        <w:rPr>
          <w:rFonts w:hint="eastAsia"/>
        </w:rPr>
        <w:t>推荐的</w:t>
      </w:r>
      <w:r>
        <w:t>BUFR</w:t>
      </w:r>
      <w:r>
        <w:rPr>
          <w:rFonts w:hint="eastAsia"/>
        </w:rPr>
        <w:t>编码模板，其中的描述符序列、要素及其属性均能够满足应用端需求、并能够被观测端所支持，则优先使用该推荐模板作为本类数据的编码模板。这样，数据在参与国际交换之前，就可省去进行模板转换的环节。</w:t>
      </w:r>
      <w:r>
        <w:rPr>
          <w:b/>
          <w:color w:val="FFFFFF"/>
          <w:sz w:val="0"/>
        </w:rPr>
        <w:t>.</w:t>
      </w:r>
    </w:p>
    <w:p>
      <w:pPr>
        <w:pStyle w:val="a"/>
        <w:rPr>
          <w:rFonts w:hint="eastAsia"/>
        </w:rPr>
        <w:sectPr>
          <w:headerReference w:type="default" r:id="rId44"/>
          <w:footerReference w:type="default" r:id="rId45"/>
          <w:type w:val="nextPage"/>
          <w:pgSz w:w="11906" w:h="16838"/>
          <w:pgMar w:top="1440" w:right="1800" w:bottom="1440" w:left="1800" w:header="1418" w:footer="1020" w:gutter="0"/>
          <w:pgNumType w:start="14"/>
          <w:cols w:num="1" w:space="425"/>
          <w:formProt w:val="0"/>
          <w:titlePg w:val="0"/>
          <w:docGrid w:type="lines" w:linePitch="312" w:charSpace="0"/>
        </w:sectPr>
      </w:pPr>
      <w:r>
        <w:t>WMO</w:t>
      </w:r>
      <w:r>
        <w:rPr>
          <w:rFonts w:hint="eastAsia"/>
        </w:rPr>
        <w:t>推荐模板参见《</w:t>
      </w:r>
      <w:r>
        <w:t>Manual on Codes - International Codes, Volume I.2</w:t>
      </w:r>
      <w:r>
        <w:rPr>
          <w:rFonts w:hint="eastAsia"/>
        </w:rPr>
        <w:t>》</w:t>
      </w:r>
      <w:r>
        <w:rPr>
          <w:b/>
          <w:color w:val="FFFFFF"/>
          <w:sz w:val="0"/>
        </w:rPr>
        <w:t>.</w:t>
      </w:r>
    </w:p>
    <w:p>
      <w:pPr>
        <w:pStyle w:val="a"/>
        <w:rPr>
          <w:rFonts w:hint="eastAsia"/>
        </w:rPr>
      </w:pPr>
      <w:r>
        <w:t>d. REGULATIONS FOR REPORTING TRADITIONAL OBSERVATION DATA IN TABLE-DRIVEN CODE FORMS (TDCF): BUFR OR CREX</w:t>
      </w:r>
      <w:r>
        <w:rPr>
          <w:b/>
          <w:color w:val="FFFFFF"/>
          <w:sz w:val="0"/>
        </w:rPr>
        <w:t>.</w:t>
      </w:r>
    </w:p>
    <w:p>
      <w:pPr>
        <w:pStyle w:val="a"/>
        <w:rPr>
          <w:rFonts w:hint="eastAsia"/>
        </w:rPr>
      </w:pPr>
      <w:r>
        <w:rPr>
          <w:rFonts w:hint="eastAsia"/>
        </w:rPr>
        <w:t>下载地址如下：</w:t>
      </w:r>
      <w:r>
        <w:rPr>
          <w:b/>
          <w:color w:val="FFFFFF"/>
          <w:sz w:val="0"/>
        </w:rPr>
        <w:t>.</w:t>
      </w:r>
    </w:p>
    <w:p>
      <w:pPr>
        <w:pStyle w:val="a"/>
        <w:ind w:firstLineChars="0"/>
      </w:pPr>
      <w:r>
        <w:rPr>
          <w:rFonts w:hint="eastAsia"/>
        </w:rPr>
        <w:t>&lt;</w:t>
      </w:r>
      <w:r>
        <w:t>https://library.wmo.int/opac/index.php?lvl=notice_display&amp;id=10684#.WXhgvOwQjKc</w:t>
      </w:r>
      <w:r>
        <w:rPr>
          <w:rFonts w:hint="eastAsia"/>
        </w:rPr>
        <w:t>&gt;</w:t>
      </w:r>
      <w:r>
        <w:rPr>
          <w:b/>
          <w:color w:val="FFFFFF"/>
          <w:sz w:val="0"/>
        </w:rPr>
        <w:t>.</w:t>
      </w:r>
    </w:p>
    <w:p>
      <w:pPr>
        <w:pStyle w:val="a4"/>
        <w:spacing w:before="156" w:after="156"/>
      </w:pPr>
      <w:r>
        <w:rPr>
          <w:rFonts w:hint="eastAsia"/>
        </w:rPr>
        <w:t>自定义模板</w:t>
      </w:r>
      <w:r>
        <w:rPr>
          <w:b/>
          <w:color w:val="FFFFFF"/>
          <w:sz w:val="0"/>
        </w:rPr>
        <w:t>.</w:t>
      </w:r>
    </w:p>
    <w:p>
      <w:pPr>
        <w:pStyle w:val="a12"/>
        <w:numPr>
          <w:ilvl w:val="3"/>
        </w:numPr>
        <w:spacing w:before="156" w:after="156"/>
      </w:pPr>
      <w:r>
        <w:rPr>
          <w:rFonts w:hint="eastAsia"/>
        </w:rPr>
        <w:t>使用国际通用要素描述符</w:t>
      </w:r>
      <w:r>
        <w:rPr>
          <w:b/>
          <w:color w:val="FFFFFF"/>
          <w:sz w:val="0"/>
        </w:rPr>
        <w:t>.</w:t>
      </w:r>
    </w:p>
    <w:p>
      <w:pPr>
        <w:pStyle w:val="a"/>
      </w:pPr>
      <w:r>
        <w:rPr>
          <w:rFonts w:hint="eastAsia"/>
        </w:rPr>
        <w:t>当</w:t>
      </w:r>
      <w:r>
        <w:t>WMO</w:t>
      </w:r>
      <w:r>
        <w:rPr>
          <w:rFonts w:hint="eastAsia"/>
        </w:rPr>
        <w:t>推荐模板不能完全满足需求时，需要自定义模板。对于</w:t>
      </w:r>
      <w:r>
        <w:t>WMO</w:t>
      </w:r>
      <w:r>
        <w:rPr>
          <w:rFonts w:hint="eastAsia"/>
        </w:rPr>
        <w:t>推荐模板中未包含的要素，需要根据其准确的要素含义，在</w:t>
      </w:r>
      <w:r>
        <w:t>WMO</w:t>
      </w:r>
      <w:r>
        <w:rPr>
          <w:rFonts w:hint="eastAsia"/>
        </w:rPr>
        <w:t>标准</w:t>
      </w:r>
      <w:r>
        <w:t>BUFR</w:t>
      </w:r>
      <w:r>
        <w:rPr>
          <w:rFonts w:hint="eastAsia"/>
        </w:rPr>
        <w:t>表</w:t>
      </w:r>
      <w:r>
        <w:t>B</w:t>
      </w:r>
      <w:r>
        <w:rPr>
          <w:rFonts w:hint="eastAsia"/>
        </w:rPr>
        <w:t>中相应的要素入口中进行查找定位。例如温度相关的要素，应该在</w:t>
      </w:r>
      <w:r>
        <w:t>BUFR</w:t>
      </w:r>
      <w:r>
        <w:rPr>
          <w:rFonts w:hint="eastAsia"/>
        </w:rPr>
        <w:t>表</w:t>
      </w:r>
      <w:r>
        <w:t>B</w:t>
      </w:r>
      <w:r>
        <w:rPr>
          <w:rFonts w:hint="eastAsia"/>
        </w:rPr>
        <w:t>的第</w:t>
      </w:r>
      <w:r>
        <w:t>12</w:t>
      </w:r>
      <w:r>
        <w:rPr>
          <w:rFonts w:hint="eastAsia"/>
        </w:rPr>
        <w:t>类入口（</w:t>
      </w:r>
      <w:r>
        <w:t>0 12 yyy</w:t>
      </w:r>
      <w:r>
        <w:rPr>
          <w:rFonts w:hint="eastAsia"/>
        </w:rPr>
        <w:t>）中查找。如果找到对应的要素描述符，并且其比例因子、基准值和要素宽度等属性均满足需求，则可直接使用标准表</w:t>
      </w:r>
      <w:r>
        <w:t>B</w:t>
      </w:r>
      <w:r>
        <w:rPr>
          <w:rFonts w:hint="eastAsia"/>
        </w:rPr>
        <w:t>中的要素描述定义该要素。</w:t>
      </w:r>
      <w:r>
        <w:rPr>
          <w:b/>
          <w:color w:val="FFFFFF"/>
          <w:sz w:val="0"/>
        </w:rPr>
        <w:t>.</w:t>
      </w:r>
    </w:p>
    <w:p>
      <w:pPr>
        <w:pStyle w:val="a12"/>
        <w:numPr>
          <w:ilvl w:val="3"/>
        </w:numPr>
        <w:spacing w:before="156" w:after="156"/>
        <w:rPr>
          <w:rFonts w:hint="eastAsia"/>
        </w:rPr>
      </w:pPr>
      <w:r>
        <w:rPr>
          <w:rFonts w:hint="eastAsia"/>
        </w:rPr>
        <w:t>自定义要素描述符</w:t>
      </w:r>
      <w:r>
        <w:rPr>
          <w:b/>
          <w:color w:val="FFFFFF"/>
          <w:sz w:val="0"/>
        </w:rPr>
        <w:t>.</w:t>
      </w:r>
    </w:p>
    <w:p>
      <w:pPr>
        <w:pStyle w:val="a"/>
      </w:pPr>
      <w:r>
        <w:rPr>
          <w:rFonts w:hint="eastAsia"/>
        </w:rPr>
        <w:t>当在WMO标准BUFR表B中无法找到适合的要素代码，则需要自定义该要素的代码。</w:t>
      </w:r>
      <w:r>
        <w:rPr>
          <w:b/>
          <w:color w:val="FFFFFF"/>
          <w:sz w:val="0"/>
        </w:rPr>
        <w:t>.</w:t>
      </w:r>
    </w:p>
    <w:p>
      <w:pPr>
        <w:pStyle w:val="a12"/>
        <w:spacing w:before="156" w:after="156"/>
        <w:rPr>
          <w:rFonts w:hint="eastAsia"/>
        </w:rPr>
      </w:pPr>
      <w:r>
        <w:rPr>
          <w:rFonts w:hint="eastAsia"/>
        </w:rPr>
        <w:t>自定义原则</w:t>
      </w:r>
      <w:r>
        <w:rPr>
          <w:b/>
          <w:color w:val="FFFFFF"/>
          <w:sz w:val="0"/>
        </w:rPr>
        <w:t>.</w:t>
      </w:r>
    </w:p>
    <w:p>
      <w:pPr>
        <w:pStyle w:val="a"/>
        <w:rPr>
          <w:rFonts w:hint="eastAsia"/>
        </w:rPr>
      </w:pPr>
      <w:r>
        <w:rPr>
          <w:rFonts w:hint="eastAsia"/>
        </w:rPr>
        <w:t>根据</w:t>
      </w:r>
      <w:r>
        <w:t>BUFR</w:t>
      </w:r>
      <w:r>
        <w:rPr>
          <w:rFonts w:hint="eastAsia"/>
        </w:rPr>
        <w:t>码表的规则，要素描述符代码</w:t>
      </w:r>
      <w:r>
        <w:t xml:space="preserve">F X Y </w:t>
      </w:r>
      <w:r>
        <w:rPr>
          <w:rFonts w:hint="eastAsia"/>
        </w:rPr>
        <w:t>（其中</w:t>
      </w:r>
      <w:r>
        <w:t>F=0</w:t>
      </w:r>
      <w:r>
        <w:rPr>
          <w:rFonts w:hint="eastAsia"/>
        </w:rPr>
        <w:t>）中，</w:t>
      </w:r>
      <w:r>
        <w:t>1</w:t>
      </w:r>
      <w:r>
        <w:rPr>
          <w:rFonts w:hint="eastAsia"/>
        </w:rPr>
        <w:t>≤</w:t>
      </w:r>
      <w:r>
        <w:t>X&lt;48,1</w:t>
      </w:r>
      <w:r>
        <w:rPr>
          <w:rFonts w:hint="eastAsia"/>
        </w:rPr>
        <w:t>≤</w:t>
      </w:r>
      <w:r>
        <w:t>Y</w:t>
      </w:r>
      <w:r>
        <w:rPr>
          <w:rFonts w:hint="eastAsia"/>
        </w:rPr>
        <w:t>＜</w:t>
      </w:r>
      <w:r>
        <w:t>192</w:t>
      </w:r>
      <w:r>
        <w:rPr>
          <w:rFonts w:hint="eastAsia"/>
        </w:rPr>
        <w:t>为国际通用（如图1所示），而</w:t>
      </w:r>
      <w:r>
        <w:t>48</w:t>
      </w:r>
      <w:r>
        <w:rPr>
          <w:rFonts w:hint="eastAsia"/>
        </w:rPr>
        <w:t>≤</w:t>
      </w:r>
      <w:r>
        <w:t>X</w:t>
      </w:r>
      <w:r>
        <w:rPr>
          <w:rFonts w:hint="eastAsia"/>
        </w:rPr>
        <w:t>≤</w:t>
      </w:r>
      <w:r>
        <w:t>63</w:t>
      </w:r>
      <w:r>
        <w:rPr>
          <w:rFonts w:hint="eastAsia"/>
        </w:rPr>
        <w:t>，</w:t>
      </w:r>
      <w:r>
        <w:t>192</w:t>
      </w:r>
      <w:r>
        <w:rPr>
          <w:rFonts w:hint="eastAsia"/>
        </w:rPr>
        <w:t>≤</w:t>
      </w:r>
      <w:r>
        <w:t>Y</w:t>
      </w:r>
      <w:r>
        <w:rPr>
          <w:rFonts w:hint="eastAsia"/>
        </w:rPr>
        <w:t>≤</w:t>
      </w:r>
      <w:r>
        <w:t>255,</w:t>
      </w:r>
      <w:r>
        <w:rPr>
          <w:rFonts w:hint="eastAsia"/>
        </w:rPr>
        <w:t>留给编报中心自定义使用，自定义使用的代码不能参与国际交换，如图11所示。</w:t>
      </w:r>
      <w:r>
        <w:rPr>
          <w:b/>
          <w:color w:val="FFFFFF"/>
          <w:sz w:val="0"/>
        </w:rPr>
        <w:t>.</w:t>
      </w:r>
    </w:p>
    <w:p>
      <w:pPr>
        <w:pStyle w:val="a"/>
        <w:ind w:firstLine="0" w:firstLineChars="0"/>
        <w:jc w:val="center"/>
        <w:rPr>
          <w:rFonts w:hint="eastAsia"/>
        </w:rPr>
      </w:pPr>
      <w:r>
        <w:pict>
          <v:shape id="_x0000_i1035" type="#_x0000_t75" style="width:161pt;height:106.1pt" coordsize="21600,21600" filled="f" stroked="f">
            <v:imagedata r:id="rId46" o:title="" croptop="2402f" cropbottom="2693f"/>
            <o:lock v:ext="edit" aspectratio="t"/>
            <w10:anchorlock/>
          </v:shape>
        </w:pict>
      </w:r>
      <w:r>
        <w:rPr>
          <w:b/>
          <w:color w:val="FFFFFF"/>
          <w:sz w:val="0"/>
        </w:rPr>
        <w:t>.</w:t>
      </w:r>
    </w:p>
    <w:p>
      <w:pPr>
        <w:pStyle w:val="a82"/>
        <w:spacing w:before="0" w:beforeLines="0"/>
        <w:ind w:left="0" w:hanging="708" w:leftChars="-337" w:hangingChars="337"/>
        <w:rPr>
          <w:rFonts w:hint="eastAsia"/>
        </w:rPr>
      </w:pPr>
      <w:r>
        <w:rPr>
          <w:rFonts w:hint="eastAsia"/>
        </w:rPr>
        <w:t>要素描述符代码范围</w:t>
      </w:r>
      <w:r>
        <w:rPr>
          <w:b/>
          <w:color w:val="FFFFFF"/>
          <w:sz w:val="0"/>
        </w:rPr>
        <w:t>.</w:t>
      </w:r>
    </w:p>
    <w:p>
      <w:pPr>
        <w:pStyle w:val="a12"/>
        <w:spacing w:before="156" w:after="156"/>
        <w:rPr>
          <w:rFonts w:hint="eastAsia"/>
        </w:rPr>
      </w:pPr>
      <w:r>
        <w:rPr>
          <w:rFonts w:hint="eastAsia"/>
        </w:rPr>
        <w:t>代码定义</w:t>
      </w:r>
      <w:r>
        <w:rPr>
          <w:b/>
          <w:color w:val="FFFFFF"/>
          <w:sz w:val="0"/>
        </w:rPr>
        <w:t>.</w:t>
      </w:r>
    </w:p>
    <w:p>
      <w:pPr>
        <w:pStyle w:val="a"/>
      </w:pPr>
      <w:r>
        <w:rPr>
          <w:rFonts w:hint="eastAsia"/>
        </w:rPr>
        <w:t>根据上述自定义原则，自定义要素描述符的代码时，分为两种情况：</w:t>
      </w:r>
      <w:r>
        <w:rPr>
          <w:b/>
          <w:color w:val="FFFFFF"/>
          <w:sz w:val="0"/>
        </w:rPr>
        <w:t>.</w:t>
      </w:r>
    </w:p>
    <w:p>
      <w:pPr>
        <w:pStyle w:val="a"/>
        <w:ind w:firstLineChars="0"/>
      </w:pPr>
      <w:r>
        <w:rPr>
          <w:rFonts w:hint="eastAsia"/>
        </w:rPr>
        <w:t>（</w:t>
      </w:r>
      <w:r>
        <w:t>1</w:t>
      </w:r>
      <w:r>
        <w:rPr>
          <w:rFonts w:hint="eastAsia"/>
        </w:rPr>
        <w:t>）如果该要素符合</w:t>
      </w:r>
      <w:r>
        <w:t>1</w:t>
      </w:r>
      <w:r>
        <w:rPr>
          <w:rFonts w:hint="eastAsia"/>
        </w:rPr>
        <w:t>≤</w:t>
      </w:r>
      <w:r>
        <w:t>X&lt;48</w:t>
      </w:r>
      <w:r>
        <w:rPr>
          <w:rFonts w:hint="eastAsia"/>
        </w:rPr>
        <w:t>中的某一入口类别，只是在该类别中找不到恰当的代码，则自定义要素描述须在该入口中进行扩展，即从</w:t>
      </w:r>
      <w:r>
        <w:t>Y=192</w:t>
      </w:r>
      <w:r>
        <w:rPr>
          <w:rFonts w:hint="eastAsia"/>
        </w:rPr>
        <w:t>开始定义，例如区域站站号可能包含字符，但在</w:t>
      </w:r>
      <w:r>
        <w:t>BUFR</w:t>
      </w:r>
      <w:r>
        <w:rPr>
          <w:rFonts w:hint="eastAsia"/>
        </w:rPr>
        <w:t>表</w:t>
      </w:r>
      <w:r>
        <w:t>B</w:t>
      </w:r>
      <w:r>
        <w:rPr>
          <w:rFonts w:hint="eastAsia"/>
        </w:rPr>
        <w:t>的</w:t>
      </w:r>
      <w:r>
        <w:t>0 01 yyy</w:t>
      </w:r>
      <w:r>
        <w:rPr>
          <w:rFonts w:hint="eastAsia"/>
        </w:rPr>
        <w:t>入口中，找不到字符型的站号标识，因此将该要素描述符自定义为</w:t>
      </w:r>
      <w:r>
        <w:t>0 01 yyy</w:t>
      </w:r>
      <w:r>
        <w:rPr>
          <w:rFonts w:hint="eastAsia"/>
        </w:rPr>
        <w:t>入口下的</w:t>
      </w:r>
      <w:r>
        <w:t>0 01 192</w:t>
      </w:r>
      <w:r>
        <w:rPr>
          <w:rFonts w:hint="eastAsia"/>
        </w:rPr>
        <w:t>。</w:t>
      </w:r>
      <w:r>
        <w:rPr>
          <w:b/>
          <w:color w:val="FFFFFF"/>
          <w:sz w:val="0"/>
        </w:rPr>
        <w:t>.</w:t>
      </w:r>
    </w:p>
    <w:p>
      <w:pPr>
        <w:pStyle w:val="a"/>
        <w:ind w:firstLineChars="0"/>
        <w:sectPr>
          <w:headerReference w:type="default" r:id="rId47"/>
          <w:footerReference w:type="default" r:id="rId48"/>
          <w:type w:val="nextPage"/>
          <w:pgSz w:w="11906" w:h="16838"/>
          <w:pgMar w:top="1440" w:right="1800" w:bottom="1440" w:left="1800" w:header="1418" w:footer="1020" w:gutter="0"/>
          <w:pgNumType w:start="15"/>
          <w:cols w:num="1" w:space="425"/>
          <w:formProt w:val="0"/>
          <w:titlePg w:val="0"/>
          <w:docGrid w:type="lines" w:linePitch="312" w:charSpace="0"/>
        </w:sectPr>
      </w:pPr>
      <w:r>
        <w:rPr>
          <w:rFonts w:hint="eastAsia"/>
        </w:rPr>
        <w:t>（</w:t>
      </w:r>
      <w:r>
        <w:t>2</w:t>
      </w:r>
      <w:r>
        <w:rPr>
          <w:rFonts w:hint="eastAsia"/>
        </w:rPr>
        <w:t>）如果该要素不符合</w:t>
      </w:r>
      <w:r>
        <w:t>1</w:t>
      </w:r>
      <w:r>
        <w:rPr>
          <w:rFonts w:hint="eastAsia"/>
        </w:rPr>
        <w:t>≤</w:t>
      </w:r>
      <w:r>
        <w:t>X&lt;48</w:t>
      </w:r>
      <w:r>
        <w:rPr>
          <w:rFonts w:hint="eastAsia"/>
        </w:rPr>
        <w:t>中任何一个入口类别，则需要定义一个新的入口。即从</w:t>
      </w:r>
      <w:r>
        <w:t>X=48</w:t>
      </w:r>
      <w:r>
        <w:rPr>
          <w:rFonts w:hint="eastAsia"/>
        </w:rPr>
        <w:t>开始定义，例如要素“计算机通信状态”在表</w:t>
      </w:r>
      <w:r>
        <w:t>B</w:t>
      </w:r>
      <w:r>
        <w:rPr>
          <w:rFonts w:hint="eastAsia"/>
        </w:rPr>
        <w:t>中找不到相应入口和要素描述符，因此自定义</w:t>
      </w:r>
      <w:r>
        <w:t>0 48 yyy</w:t>
      </w:r>
      <w:r>
        <w:rPr>
          <w:rFonts w:hint="eastAsia"/>
        </w:rPr>
        <w:t>入口，作为设备状态入口，且自定义要素描述符</w:t>
      </w:r>
      <w:r>
        <w:t>0 48 001</w:t>
      </w:r>
      <w:r>
        <w:rPr>
          <w:rFonts w:hint="eastAsia"/>
        </w:rPr>
        <w:t>表示计算机通信状态。</w:t>
      </w:r>
      <w:r>
        <w:rPr>
          <w:b/>
          <w:color w:val="FFFFFF"/>
          <w:sz w:val="0"/>
        </w:rPr>
        <w:t>.</w:t>
      </w:r>
    </w:p>
    <w:p>
      <w:pPr>
        <w:pStyle w:val="a12"/>
        <w:spacing w:before="156" w:after="156"/>
      </w:pPr>
      <w:r>
        <w:rPr>
          <w:rFonts w:hint="eastAsia"/>
        </w:rPr>
        <w:t>单位定义</w:t>
      </w:r>
      <w:r>
        <w:rPr>
          <w:b/>
          <w:color w:val="FFFFFF"/>
          <w:sz w:val="0"/>
        </w:rPr>
        <w:t>.</w:t>
      </w:r>
    </w:p>
    <w:p>
      <w:pPr>
        <w:pStyle w:val="a"/>
      </w:pPr>
      <w:r>
        <w:t>自定义的要素描述符原则上应同样适用国际标准单位</w:t>
      </w:r>
      <w:r>
        <w:rPr>
          <w:rFonts w:hint="eastAsia"/>
        </w:rPr>
        <w:t>（</w:t>
      </w:r>
      <w:r>
        <w:t>SI</w:t>
      </w:r>
      <w:r>
        <w:rPr>
          <w:rFonts w:hint="eastAsia"/>
        </w:rPr>
        <w:t>），</w:t>
      </w:r>
      <w:r>
        <w:t>但考虑到国内一些观测要素的特殊性</w:t>
      </w:r>
      <w:r>
        <w:rPr>
          <w:rFonts w:hint="eastAsia"/>
        </w:rPr>
        <w:t>，</w:t>
      </w:r>
      <w:r>
        <w:t>允许使用非SI单位</w:t>
      </w:r>
      <w:r>
        <w:rPr>
          <w:rFonts w:hint="eastAsia"/>
        </w:rPr>
        <w:t>。</w:t>
      </w:r>
      <w:r>
        <w:t>例如</w:t>
      </w:r>
      <w:r>
        <w:rPr>
          <w:rFonts w:hint="eastAsia"/>
        </w:rPr>
        <w:t>，</w:t>
      </w:r>
      <w:r>
        <w:t>在高空观测中</w:t>
      </w:r>
      <w:r>
        <w:rPr>
          <w:rFonts w:hint="eastAsia"/>
        </w:rPr>
        <w:t>，气球的平均升速使用了自定义的要素描述符0 02 198，其单位是</w:t>
      </w:r>
      <w:r>
        <w:rPr>
          <w:rFonts w:hAnsi="宋体" w:cs="Arial" w:hint="eastAsia"/>
          <w:sz w:val="20"/>
          <w:szCs w:val="18"/>
        </w:rPr>
        <w:t>m min</w:t>
      </w:r>
      <w:r>
        <w:rPr>
          <w:rFonts w:hAnsi="宋体" w:cs="Arial" w:hint="eastAsia"/>
          <w:sz w:val="20"/>
          <w:szCs w:val="18"/>
          <w:vertAlign w:val="superscript"/>
        </w:rPr>
        <w:t>-1</w:t>
      </w:r>
      <w:r>
        <w:rPr>
          <w:rFonts w:hAnsi="宋体" w:cs="Arial" w:hint="eastAsia"/>
          <w:sz w:val="20"/>
          <w:szCs w:val="18"/>
        </w:rPr>
        <w:t>。</w:t>
      </w:r>
      <w:r>
        <w:rPr>
          <w:b/>
          <w:color w:val="FFFFFF"/>
          <w:sz w:val="0"/>
        </w:rPr>
        <w:t>.</w:t>
      </w:r>
    </w:p>
    <w:p>
      <w:pPr>
        <w:pStyle w:val="a12"/>
        <w:spacing w:before="156" w:after="156"/>
      </w:pPr>
      <w:r>
        <w:rPr>
          <w:rFonts w:hint="eastAsia"/>
        </w:rPr>
        <w:t>比例因子定义</w:t>
      </w:r>
      <w:r>
        <w:rPr>
          <w:b/>
          <w:color w:val="FFFFFF"/>
          <w:sz w:val="0"/>
        </w:rPr>
        <w:t>.</w:t>
      </w:r>
    </w:p>
    <w:p>
      <w:pPr>
        <w:pStyle w:val="a"/>
      </w:pPr>
      <w:r>
        <w:rPr>
          <w:rFonts w:hint="eastAsia"/>
        </w:rPr>
        <w:t>比例因子和要素值的精度相关。例如某要素的精度是</w:t>
      </w:r>
      <w:r>
        <w:t>10</w:t>
      </w:r>
      <w:r>
        <w:rPr>
          <w:vertAlign w:val="superscript"/>
        </w:rPr>
        <w:t>-2</w:t>
      </w:r>
      <w:r>
        <w:rPr>
          <w:rFonts w:hint="eastAsia"/>
        </w:rPr>
        <w:t>（</w:t>
      </w:r>
      <w:r>
        <w:t>0.01</w:t>
      </w:r>
      <w:r>
        <w:rPr>
          <w:rFonts w:hint="eastAsia"/>
        </w:rPr>
        <w:t>），为了保证该要素的编码值为整数，则需要将该要素放大至少</w:t>
      </w:r>
      <w:r>
        <w:t>10</w:t>
      </w:r>
      <w:r>
        <w:rPr>
          <w:vertAlign w:val="superscript"/>
        </w:rPr>
        <w:t>2</w:t>
      </w:r>
      <w:r>
        <w:rPr>
          <w:rFonts w:hint="eastAsia"/>
        </w:rPr>
        <w:t>倍，因此将该要素的比例因子定义为</w:t>
      </w:r>
      <w:r>
        <w:t>2</w:t>
      </w:r>
      <w:r>
        <w:rPr>
          <w:rFonts w:hint="eastAsia"/>
        </w:rPr>
        <w:t>；另一要素的精度是</w:t>
      </w:r>
      <w:r>
        <w:t>10</w:t>
      </w:r>
      <w:r>
        <w:rPr>
          <w:vertAlign w:val="superscript"/>
        </w:rPr>
        <w:t>5</w:t>
      </w:r>
      <w:r>
        <w:rPr>
          <w:rFonts w:hint="eastAsia"/>
        </w:rPr>
        <w:t>（</w:t>
      </w:r>
      <w:r>
        <w:t>100000</w:t>
      </w:r>
      <w:r>
        <w:rPr>
          <w:rFonts w:hint="eastAsia"/>
        </w:rPr>
        <w:t>），为了有效减少该要素值在编码时所占用的比特位数（即数据宽度），则需要将该要素缩小至少</w:t>
      </w:r>
      <w:r>
        <w:t>10</w:t>
      </w:r>
      <w:r>
        <w:rPr>
          <w:vertAlign w:val="superscript"/>
        </w:rPr>
        <w:t>5</w:t>
      </w:r>
      <w:r>
        <w:rPr>
          <w:rFonts w:hint="eastAsia"/>
        </w:rPr>
        <w:t>倍，因此将该要素的比例因子定义为</w:t>
      </w:r>
      <w:r>
        <w:t>-5</w:t>
      </w:r>
      <w:r>
        <w:rPr>
          <w:rFonts w:hint="eastAsia"/>
        </w:rPr>
        <w:t>。</w:t>
      </w:r>
      <w:r>
        <w:rPr>
          <w:b/>
          <w:color w:val="FFFFFF"/>
          <w:sz w:val="0"/>
        </w:rPr>
        <w:t>.</w:t>
      </w:r>
    </w:p>
    <w:p>
      <w:pPr>
        <w:pStyle w:val="a12"/>
        <w:spacing w:before="156" w:after="156"/>
      </w:pPr>
      <w:r>
        <w:rPr>
          <w:rFonts w:hint="eastAsia"/>
        </w:rPr>
        <w:t>基准值定义</w:t>
      </w:r>
      <w:r>
        <w:rPr>
          <w:b/>
          <w:color w:val="FFFFFF"/>
          <w:sz w:val="0"/>
        </w:rPr>
        <w:t>.</w:t>
      </w:r>
    </w:p>
    <w:p>
      <w:pPr>
        <w:pStyle w:val="a"/>
      </w:pPr>
      <w:r>
        <w:rPr>
          <w:rFonts w:hint="eastAsia"/>
        </w:rPr>
        <w:t>基准值和要素值的值域相关。例如某要素的观测值的值域为</w:t>
      </w:r>
      <w:r>
        <w:t>-90</w:t>
      </w:r>
      <w:r>
        <w:rPr>
          <w:rFonts w:hint="eastAsia"/>
        </w:rPr>
        <w:t>到</w:t>
      </w:r>
      <w:r>
        <w:t>+90</w:t>
      </w:r>
      <w:r>
        <w:rPr>
          <w:rFonts w:hint="eastAsia"/>
        </w:rPr>
        <w:t>之间，且比例因子已经确定为</w:t>
      </w:r>
      <w:r>
        <w:t>2</w:t>
      </w:r>
      <w:r>
        <w:rPr>
          <w:rFonts w:hint="eastAsia"/>
        </w:rPr>
        <w:t>，则通过比例因子对该要素进行放大后，编码值的值域范围为</w:t>
      </w:r>
      <w:r>
        <w:t>-9000</w:t>
      </w:r>
      <w:r>
        <w:rPr>
          <w:rFonts w:hint="eastAsia"/>
        </w:rPr>
        <w:t>到</w:t>
      </w:r>
      <w:r>
        <w:t>+9000</w:t>
      </w:r>
      <w:r>
        <w:rPr>
          <w:rFonts w:hint="eastAsia"/>
        </w:rPr>
        <w:t>之间，则为了保证该要素的编码值为非负，因此将其基准值定义为</w:t>
      </w:r>
      <w:r>
        <w:t>-9000</w:t>
      </w:r>
      <w:r>
        <w:rPr>
          <w:rFonts w:hint="eastAsia"/>
        </w:rPr>
        <w:t>。</w:t>
      </w:r>
      <w:r>
        <w:rPr>
          <w:b/>
          <w:color w:val="FFFFFF"/>
          <w:sz w:val="0"/>
        </w:rPr>
        <w:t>.</w:t>
      </w:r>
    </w:p>
    <w:p>
      <w:pPr>
        <w:pStyle w:val="a12"/>
        <w:spacing w:before="156" w:after="156"/>
      </w:pPr>
      <w:r>
        <w:rPr>
          <w:rFonts w:hint="eastAsia"/>
        </w:rPr>
        <w:t>数据宽度定义</w:t>
      </w:r>
      <w:r>
        <w:rPr>
          <w:b/>
          <w:color w:val="FFFFFF"/>
          <w:sz w:val="0"/>
        </w:rPr>
        <w:t>.</w:t>
      </w:r>
    </w:p>
    <w:p>
      <w:pPr>
        <w:pStyle w:val="a"/>
      </w:pPr>
      <w:r>
        <w:rPr>
          <w:rFonts w:hint="eastAsia"/>
        </w:rPr>
        <w:t>数据宽度和编码值的最大值相关。同样使用上述例子，经过比例因子和基准值的换算后，得到编码值的最大值为</w:t>
      </w:r>
      <w:r>
        <w:t>18000</w:t>
      </w:r>
      <w:r>
        <w:rPr>
          <w:rFonts w:hint="eastAsia"/>
        </w:rPr>
        <w:t>，将其换算为二进制得到</w:t>
      </w:r>
      <w:r>
        <w:t>100011001010000</w:t>
      </w:r>
      <w:r>
        <w:rPr>
          <w:rFonts w:hint="eastAsia"/>
        </w:rPr>
        <w:t>，占用</w:t>
      </w:r>
      <w:r>
        <w:t>15</w:t>
      </w:r>
      <w:r>
        <w:rPr>
          <w:rFonts w:hint="eastAsia"/>
        </w:rPr>
        <w:t>比特。因此将该要素的数据宽度定义为</w:t>
      </w:r>
      <w:r>
        <w:t>15</w:t>
      </w:r>
      <w:r>
        <w:rPr>
          <w:rFonts w:hint="eastAsia"/>
        </w:rPr>
        <w:t>。</w:t>
      </w:r>
      <w:r>
        <w:rPr>
          <w:b/>
          <w:color w:val="FFFFFF"/>
          <w:sz w:val="0"/>
        </w:rPr>
        <w:t>.</w:t>
      </w:r>
    </w:p>
    <w:p>
      <w:pPr>
        <w:pStyle w:val="a4"/>
        <w:spacing w:before="156" w:after="156"/>
      </w:pPr>
      <w:r>
        <w:rPr>
          <w:rFonts w:hint="eastAsia"/>
        </w:rPr>
        <w:t>要素顺序</w:t>
      </w:r>
      <w:r>
        <w:rPr>
          <w:b/>
          <w:color w:val="FFFFFF"/>
          <w:sz w:val="0"/>
        </w:rPr>
        <w:t>.</w:t>
      </w:r>
    </w:p>
    <w:p>
      <w:pPr>
        <w:pStyle w:val="a"/>
      </w:pPr>
      <w:r>
        <w:rPr>
          <w:rFonts w:hint="eastAsia"/>
        </w:rPr>
        <w:t>定义了模板中包含的全部要素内容后，需要确定这些要素的编码顺序。一般而言，要素按照如下次序进行排列。</w:t>
      </w:r>
      <w:r>
        <w:rPr>
          <w:b/>
          <w:color w:val="FFFFFF"/>
          <w:sz w:val="0"/>
        </w:rPr>
        <w:t>.</w:t>
      </w:r>
    </w:p>
    <w:p>
      <w:pPr>
        <w:pStyle w:val="a"/>
        <w:rPr>
          <w:rFonts w:hint="eastAsia"/>
        </w:rPr>
      </w:pPr>
      <w:r>
        <w:rPr>
          <w:rFonts w:hint="eastAsia"/>
        </w:rPr>
        <w:t>（</w:t>
      </w:r>
      <w:r>
        <w:t>1</w:t>
      </w:r>
      <w:r>
        <w:rPr>
          <w:rFonts w:hint="eastAsia"/>
        </w:rPr>
        <w:t>）测站（卫星）基本信息，如站号（卫星标识）、站名、测站经纬度、高度、测站类型等等；</w:t>
      </w:r>
      <w:r>
        <w:rPr>
          <w:b/>
          <w:color w:val="FFFFFF"/>
          <w:sz w:val="0"/>
        </w:rPr>
        <w:t>.</w:t>
      </w:r>
    </w:p>
    <w:p>
      <w:pPr>
        <w:pStyle w:val="a"/>
      </w:pPr>
      <w:r>
        <w:rPr>
          <w:rFonts w:hint="eastAsia"/>
        </w:rPr>
        <w:t>（</w:t>
      </w:r>
      <w:r>
        <w:t>2</w:t>
      </w:r>
      <w:r>
        <w:rPr>
          <w:rFonts w:hint="eastAsia"/>
        </w:rPr>
        <w:t>）按照观测项目分类，将同一类观测项目的要素组织在一起。例如气压相关、温度相关、测风相关的要素分别组织在一起；</w:t>
      </w:r>
      <w:r>
        <w:rPr>
          <w:b/>
          <w:color w:val="FFFFFF"/>
          <w:sz w:val="0"/>
        </w:rPr>
        <w:t>.</w:t>
      </w:r>
    </w:p>
    <w:p>
      <w:pPr>
        <w:pStyle w:val="a"/>
      </w:pPr>
      <w:r>
        <w:rPr>
          <w:rFonts w:hint="eastAsia"/>
        </w:rPr>
        <w:t>（</w:t>
      </w:r>
      <w:r>
        <w:t>3</w:t>
      </w:r>
      <w:r>
        <w:rPr>
          <w:rFonts w:hint="eastAsia"/>
        </w:rPr>
        <w:t>）每个观测项目内部，按照先瞬时值、后统计值的次序排列要素，例如先编瞬时温度，再编平均温度、最高温度、最低温度等。</w:t>
      </w:r>
      <w:r>
        <w:rPr>
          <w:b/>
          <w:color w:val="FFFFFF"/>
          <w:sz w:val="0"/>
        </w:rPr>
        <w:t>.</w:t>
      </w:r>
    </w:p>
    <w:p>
      <w:pPr>
        <w:pStyle w:val="a4"/>
        <w:spacing w:before="156" w:after="156"/>
        <w:rPr>
          <w:rFonts w:hint="eastAsia"/>
        </w:rPr>
      </w:pPr>
      <w:r>
        <w:rPr>
          <w:rFonts w:hint="eastAsia"/>
        </w:rPr>
        <w:t>重复描述符的使用</w:t>
      </w:r>
      <w:r>
        <w:rPr>
          <w:b/>
          <w:color w:val="FFFFFF"/>
          <w:sz w:val="0"/>
        </w:rPr>
        <w:t>.</w:t>
      </w:r>
    </w:p>
    <w:p>
      <w:pPr>
        <w:pStyle w:val="a"/>
        <w:ind w:left="210" w:leftChars="100"/>
        <w:rPr>
          <w:rFonts w:hint="eastAsia"/>
        </w:rPr>
      </w:pPr>
      <w:r>
        <w:rPr>
          <w:rFonts w:hint="eastAsia"/>
        </w:rPr>
        <w:t>延迟重复的规则带来了BUFR的“潜能”之一，即如果建立延迟重复并将数据段中的重复计数（0</w:t>
      </w:r>
      <w:r>
        <w:rPr>
          <w:rFonts w:hint="eastAsia"/>
        </w:rPr>
        <w:t xml:space="preserve"> 31</w:t>
      </w:r>
      <w:r>
        <w:rPr>
          <w:rFonts w:hint="eastAsia"/>
        </w:rPr>
        <w:br/>
      </w:r>
      <w:r>
        <w:rPr>
          <w:rFonts w:hint="eastAsi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https://d.book118.com/786014102141010044</w:t>
        </w:r>
      </w:hyperlink>
    </w:p>
    <w:p>
      <w:pPr>
        <w:pStyle w:val="a"/>
        <w:ind w:left="210" w:leftChars="100"/>
        <w:rPr>
          <w:rFonts w:hint="eastAsia"/>
        </w:rPr>
      </w:pPr>
    </w:p>
    <w:sectPr>
      <w:headerReference w:type="default" r:id="rId50"/>
      <w:footerReference w:type="default" r:id="rId51"/>
      <w:type w:val="nextPage"/>
      <w:pgSz w:w="11906" w:h="16838"/>
      <w:pgMar w:top="1440" w:right="1800" w:bottom="1440" w:left="1800" w:header="1418" w:footer="1020" w:gutter="0"/>
      <w:pgNumType w:start="16"/>
      <w:cols w:num="1" w:space="425"/>
      <w:formProt w:val="0"/>
      <w:titlePg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1" w:usb1="080E0000" w:usb2="00000010" w:usb3="00000000" w:csb0="0004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I</w:t>
    </w:r>
    <w:r>
      <w:fldChar w:fldCharType="end"/>
    </w:r>
  </w:p>
  <w:p>
    <w:pPr>
      <w:pStyle w:val="a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1</w:t>
    </w:r>
    <w:r>
      <w:fldChar w:fldCharType="end"/>
    </w:r>
  </w:p>
  <w:p>
    <w:pPr>
      <w:pStyle w:val="a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2</w:t>
    </w:r>
    <w:r>
      <w:fldChar w:fldCharType="end"/>
    </w:r>
  </w:p>
  <w:p>
    <w:pPr>
      <w:pStyle w:val="a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3</w:t>
    </w:r>
    <w:r>
      <w:fldChar w:fldCharType="end"/>
    </w:r>
  </w:p>
  <w:p>
    <w:pPr>
      <w:pStyle w:val="a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4</w:t>
    </w:r>
    <w:r>
      <w:fldChar w:fldCharType="end"/>
    </w:r>
  </w:p>
  <w:p>
    <w:pPr>
      <w:pStyle w:val="a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5</w:t>
    </w:r>
    <w:r>
      <w:fldChar w:fldCharType="end"/>
    </w:r>
  </w:p>
  <w:p>
    <w:pPr>
      <w:pStyle w:val="a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6</w:t>
    </w:r>
    <w:r>
      <w:fldChar w:fldCharType="end"/>
    </w:r>
  </w:p>
  <w:p>
    <w:pPr>
      <w:pStyle w:val="a1"/>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7</w:t>
    </w:r>
    <w:r>
      <w:fldChar w:fldCharType="end"/>
    </w:r>
  </w:p>
  <w:p>
    <w:pPr>
      <w:pStyle w:val="a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8</w:t>
    </w:r>
    <w:r>
      <w:fldChar w:fldCharType="end"/>
    </w:r>
  </w:p>
  <w:p>
    <w:pPr>
      <w:pStyle w:val="a1"/>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9</w:t>
    </w:r>
    <w:r>
      <w:fldChar w:fldCharType="end"/>
    </w:r>
  </w:p>
  <w:p>
    <w:pPr>
      <w:pStyle w:val="a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10</w:t>
    </w:r>
    <w:r>
      <w:fldChar w:fldCharType="end"/>
    </w:r>
  </w:p>
  <w:p>
    <w:pPr>
      <w:pStyle w:val="a1"/>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11</w:t>
    </w:r>
    <w:r>
      <w:fldChar w:fldCharType="end"/>
    </w:r>
  </w:p>
  <w:p>
    <w:pPr>
      <w:pStyle w:val="a1"/>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12</w:t>
    </w:r>
    <w:r>
      <w:fldChar w:fldCharType="end"/>
    </w:r>
  </w:p>
  <w:p>
    <w:pPr>
      <w:pStyle w:val="a1"/>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13</w:t>
    </w:r>
    <w:r>
      <w:fldChar w:fldCharType="end"/>
    </w:r>
  </w:p>
  <w:p>
    <w:pPr>
      <w:pStyle w:val="a1"/>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14</w:t>
    </w:r>
    <w:r>
      <w:fldChar w:fldCharType="end"/>
    </w:r>
  </w:p>
  <w:p>
    <w:pPr>
      <w:pStyle w:val="a1"/>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15</w:t>
    </w:r>
    <w:r>
      <w:fldChar w:fldCharType="end"/>
    </w:r>
  </w:p>
  <w:p>
    <w:pPr>
      <w:pStyle w:val="a1"/>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eastAsia="zh-CN"/>
      </w:rPr>
      <w:t>16</w:t>
    </w:r>
    <w:r>
      <w:fldChar w:fldCharType="end"/>
    </w:r>
  </w:p>
  <w:p>
    <w:pPr>
      <w:pStyle w:val="a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2"/>
    </w:pPr>
    <w:r>
      <w:t xml:space="preserve"> </w:t>
    </w:r>
  </w:p>
  <w:p>
    <w:r>
      <w:t>实用文档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9102AD"/>
    <w:multiLevelType w:val="multilevel"/>
    <w:tmpl w:val="079102AD"/>
    <w:lvl w:ilvl="0">
      <w:start w:val="1"/>
      <w:numFmt w:val="decimal"/>
      <w:pStyle w:val="a15"/>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
    <w:nsid w:val="093C6778"/>
    <w:multiLevelType w:val="multilevel"/>
    <w:tmpl w:val="093C6778"/>
    <w:lvl w:ilvl="0">
      <w:start w:val="1"/>
      <w:numFmt w:val="decimal"/>
      <w:pStyle w:val="a71"/>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nsid w:val="0AE367E9"/>
    <w:multiLevelType w:val="multilevel"/>
    <w:tmpl w:val="0AE367E9"/>
    <w:lvl w:ilvl="0">
      <w:start w:val="1"/>
      <w:numFmt w:val="none"/>
      <w:pStyle w:val="a9"/>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3">
    <w:nsid w:val="0D983844"/>
    <w:multiLevelType w:val="multilevel"/>
    <w:tmpl w:val="0D983844"/>
    <w:lvl w:ilvl="0">
      <w:start w:val="1"/>
      <w:numFmt w:val="decimal"/>
      <w:pStyle w:val="a82"/>
      <w:suff w:val="nothing"/>
      <w:lvlText w:val="图%1　"/>
      <w:lvlJc w:val="left"/>
      <w:pPr>
        <w:ind w:left="3402"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
    <w:nsid w:val="0DDE2B46"/>
    <w:multiLevelType w:val="multilevel"/>
    <w:tmpl w:val="0DDE2B46"/>
    <w:lvl w:ilvl="0">
      <w:start w:val="1"/>
      <w:numFmt w:val="lowerLetter"/>
      <w:pStyle w:val="a75"/>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5">
    <w:nsid w:val="1DBF583A"/>
    <w:multiLevelType w:val="multilevel"/>
    <w:tmpl w:val="1DBF583A"/>
    <w:lvl w:ilvl="0">
      <w:start w:val="1"/>
      <w:numFmt w:val="decimal"/>
      <w:pStyle w:val="a22"/>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6">
    <w:nsid w:val="1FC91163"/>
    <w:multiLevelType w:val="multilevel"/>
    <w:tmpl w:val="1FC91163"/>
    <w:lvl w:ilvl="0">
      <w:start w:val="1"/>
      <w:numFmt w:val="decimal"/>
      <w:pStyle w:val="a3"/>
      <w:suff w:val="nothing"/>
      <w:lvlText w:val="%1　"/>
      <w:lvlJc w:val="left"/>
      <w:pPr>
        <w:ind w:left="0" w:firstLine="0"/>
      </w:pPr>
      <w:rPr>
        <w:rFonts w:ascii="黑体" w:eastAsia="黑体" w:hAnsi="Times New Roman" w:hint="eastAsia"/>
        <w:b w:val="0"/>
        <w:i w:val="0"/>
        <w:sz w:val="21"/>
        <w:szCs w:val="21"/>
      </w:rPr>
    </w:lvl>
    <w:lvl w:ilvl="1">
      <w:start w:val="1"/>
      <w:numFmt w:val="decimal"/>
      <w:pStyle w:val="a0"/>
      <w:suff w:val="nothing"/>
      <w:lvlText w:val="%1.%2　"/>
      <w:lvlJc w:val="left"/>
      <w:pPr>
        <w:ind w:left="568"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4"/>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pStyle w:val="a12"/>
      <w:suff w:val="nothing"/>
      <w:lvlText w:val="%1.%2.%3.%4.%5　"/>
      <w:lvlJc w:val="left"/>
      <w:pPr>
        <w:ind w:left="0" w:firstLine="0"/>
      </w:pPr>
      <w:rPr>
        <w:rFonts w:ascii="黑体" w:eastAsia="黑体" w:hAnsi="Times New Roman" w:hint="eastAsia"/>
        <w:b w:val="0"/>
        <w:i w:val="0"/>
        <w:sz w:val="21"/>
      </w:rPr>
    </w:lvl>
    <w:lvl w:ilvl="5">
      <w:start w:val="1"/>
      <w:numFmt w:val="decimal"/>
      <w:pStyle w:val="a13"/>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7">
    <w:nsid w:val="212C5A5F"/>
    <w:multiLevelType w:val="multilevel"/>
    <w:tmpl w:val="212C5A5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22827D5B"/>
    <w:multiLevelType w:val="multilevel"/>
    <w:tmpl w:val="22827D5B"/>
    <w:lvl w:ilvl="0">
      <w:start w:val="1"/>
      <w:numFmt w:val="none"/>
      <w:pStyle w:val="a21"/>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9">
    <w:nsid w:val="2A8F7113"/>
    <w:multiLevelType w:val="multilevel"/>
    <w:tmpl w:val="2A8F7113"/>
    <w:lvl w:ilvl="0">
      <w:start w:val="1"/>
      <w:numFmt w:val="upperLetter"/>
      <w:pStyle w:val="a53"/>
      <w:suff w:val="space"/>
      <w:lvlText w:val="%1"/>
      <w:lvlJc w:val="left"/>
      <w:pPr>
        <w:ind w:left="623" w:hanging="425"/>
      </w:pPr>
      <w:rPr>
        <w:rFonts w:hint="eastAsia"/>
      </w:rPr>
    </w:lvl>
    <w:lvl w:ilvl="1">
      <w:start w:val="1"/>
      <w:numFmt w:val="decimal"/>
      <w:pStyle w:val="a54"/>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0">
    <w:nsid w:val="2C5917C3"/>
    <w:multiLevelType w:val="multilevel"/>
    <w:tmpl w:val="2C5917C3"/>
    <w:lvl w:ilvl="0">
      <w:start w:val="1"/>
      <w:numFmt w:val="none"/>
      <w:pStyle w:val="a5"/>
      <w:suff w:val="nothing"/>
      <w:lvlText w:val="%1——"/>
      <w:lvlJc w:val="left"/>
      <w:pPr>
        <w:ind w:left="833" w:hanging="408"/>
      </w:pPr>
      <w:rPr>
        <w:rFonts w:hint="eastAsia"/>
        <w:lang w:val="en-US"/>
      </w:rPr>
    </w:lvl>
    <w:lvl w:ilvl="1">
      <w:start w:val="1"/>
      <w:numFmt w:val="bullet"/>
      <w:pStyle w:val="a6"/>
      <w:lvlText w:val=""/>
      <w:lvlJc w:val="left"/>
      <w:pPr>
        <w:tabs>
          <w:tab w:val="left" w:pos="760"/>
        </w:tabs>
        <w:ind w:left="1264" w:hanging="413"/>
      </w:pPr>
      <w:rPr>
        <w:rFonts w:ascii="Symbol" w:hAnsi="Symbol" w:hint="default"/>
        <w:color w:val="auto"/>
      </w:rPr>
    </w:lvl>
    <w:lvl w:ilvl="2">
      <w:start w:val="1"/>
      <w:numFmt w:val="bullet"/>
      <w:pStyle w:val="a17"/>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nsid w:val="3D733618"/>
    <w:multiLevelType w:val="multilevel"/>
    <w:tmpl w:val="3D733618"/>
    <w:lvl w:ilvl="0">
      <w:start w:val="1"/>
      <w:numFmt w:val="decimal"/>
      <w:pStyle w:val="FootnoteText"/>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12">
    <w:nsid w:val="42D06AAD"/>
    <w:multiLevelType w:val="multilevel"/>
    <w:tmpl w:val="42D06AA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44C50F90"/>
    <w:multiLevelType w:val="multilevel"/>
    <w:tmpl w:val="44C50F90"/>
    <w:lvl w:ilvl="0">
      <w:start w:val="1"/>
      <w:numFmt w:val="lowerLetter"/>
      <w:pStyle w:val="a16"/>
      <w:lvlText w:val="%1)"/>
      <w:lvlJc w:val="left"/>
      <w:pPr>
        <w:tabs>
          <w:tab w:val="left" w:pos="840"/>
        </w:tabs>
        <w:ind w:left="839" w:hanging="419"/>
      </w:pPr>
      <w:rPr>
        <w:rFonts w:ascii="宋体" w:eastAsia="宋体" w:hint="eastAsia"/>
        <w:b w:val="0"/>
        <w:i w:val="0"/>
        <w:sz w:val="21"/>
        <w:szCs w:val="21"/>
      </w:rPr>
    </w:lvl>
    <w:lvl w:ilvl="1">
      <w:start w:val="1"/>
      <w:numFmt w:val="decimal"/>
      <w:pStyle w:val="a11"/>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nsid w:val="4B733A5F"/>
    <w:multiLevelType w:val="multilevel"/>
    <w:tmpl w:val="4B733A5F"/>
    <w:lvl w:ilvl="0">
      <w:start w:val="1"/>
      <w:numFmt w:val="decimal"/>
      <w:pStyle w:val="a19"/>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15">
    <w:nsid w:val="60B55DC2"/>
    <w:multiLevelType w:val="multilevel"/>
    <w:tmpl w:val="60B55DC2"/>
    <w:lvl w:ilvl="0">
      <w:start w:val="1"/>
      <w:numFmt w:val="upperLetter"/>
      <w:pStyle w:val="a42"/>
      <w:lvlText w:val="%1"/>
      <w:lvlJc w:val="left"/>
      <w:pPr>
        <w:tabs>
          <w:tab w:val="left" w:pos="0"/>
        </w:tabs>
        <w:ind w:left="0" w:hanging="425"/>
      </w:pPr>
      <w:rPr>
        <w:rFonts w:hint="eastAsia"/>
      </w:rPr>
    </w:lvl>
    <w:lvl w:ilvl="1">
      <w:start w:val="1"/>
      <w:numFmt w:val="decimal"/>
      <w:pStyle w:val="a43"/>
      <w:suff w:val="nothing"/>
      <w:lvlText w:val="表%1.%2　"/>
      <w:lvlJc w:val="left"/>
      <w:pPr>
        <w:ind w:left="4678"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16">
    <w:nsid w:val="646260FA"/>
    <w:multiLevelType w:val="multilevel"/>
    <w:tmpl w:val="646260FA"/>
    <w:lvl w:ilvl="0">
      <w:start w:val="1"/>
      <w:numFmt w:val="decimal"/>
      <w:pStyle w:val="a80"/>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7">
    <w:nsid w:val="657D3FBC"/>
    <w:multiLevelType w:val="multilevel"/>
    <w:tmpl w:val="657D3FBC"/>
    <w:lvl w:ilvl="0">
      <w:start w:val="1"/>
      <w:numFmt w:val="upperLetter"/>
      <w:pStyle w:val="a40"/>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57"/>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58"/>
      <w:suff w:val="nothing"/>
      <w:lvlText w:val="%1.%2.%3　"/>
      <w:lvlJc w:val="left"/>
      <w:pPr>
        <w:ind w:left="0" w:firstLine="0"/>
      </w:pPr>
      <w:rPr>
        <w:rFonts w:ascii="黑体" w:eastAsia="黑体" w:hAnsi="Times New Roman" w:hint="eastAsia"/>
        <w:b w:val="0"/>
        <w:i w:val="0"/>
        <w:sz w:val="21"/>
      </w:rPr>
    </w:lvl>
    <w:lvl w:ilvl="3">
      <w:start w:val="1"/>
      <w:numFmt w:val="decimal"/>
      <w:pStyle w:val="a44"/>
      <w:suff w:val="nothing"/>
      <w:lvlText w:val="%1.%2.%3.%4　"/>
      <w:lvlJc w:val="left"/>
      <w:pPr>
        <w:ind w:left="0" w:firstLine="0"/>
      </w:pPr>
      <w:rPr>
        <w:rFonts w:ascii="黑体" w:eastAsia="黑体" w:hAnsi="Times New Roman" w:hint="eastAsia"/>
        <w:b w:val="0"/>
        <w:i w:val="0"/>
        <w:sz w:val="21"/>
      </w:rPr>
    </w:lvl>
    <w:lvl w:ilvl="4">
      <w:start w:val="1"/>
      <w:numFmt w:val="decimal"/>
      <w:pStyle w:val="a48"/>
      <w:suff w:val="nothing"/>
      <w:lvlText w:val="%1.%2.%3.%4.%5　"/>
      <w:lvlJc w:val="left"/>
      <w:pPr>
        <w:ind w:left="0" w:firstLine="0"/>
      </w:pPr>
      <w:rPr>
        <w:rFonts w:ascii="黑体" w:eastAsia="黑体" w:hAnsi="Times New Roman" w:hint="eastAsia"/>
        <w:b w:val="0"/>
        <w:i w:val="0"/>
        <w:sz w:val="21"/>
      </w:rPr>
    </w:lvl>
    <w:lvl w:ilvl="5">
      <w:start w:val="1"/>
      <w:numFmt w:val="decimal"/>
      <w:pStyle w:val="a51"/>
      <w:suff w:val="nothing"/>
      <w:lvlText w:val="%1.%2.%3.%4.%5.%6　"/>
      <w:lvlJc w:val="left"/>
      <w:pPr>
        <w:ind w:left="0" w:firstLine="0"/>
      </w:pPr>
      <w:rPr>
        <w:rFonts w:ascii="黑体" w:eastAsia="黑体" w:hAnsi="Times New Roman" w:hint="eastAsia"/>
        <w:b w:val="0"/>
        <w:i w:val="0"/>
        <w:sz w:val="21"/>
      </w:rPr>
    </w:lvl>
    <w:lvl w:ilvl="6">
      <w:start w:val="1"/>
      <w:numFmt w:val="decimal"/>
      <w:pStyle w:val="a55"/>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8">
    <w:nsid w:val="6D6C07CD"/>
    <w:multiLevelType w:val="multilevel"/>
    <w:tmpl w:val="6D6C07CD"/>
    <w:lvl w:ilvl="0">
      <w:start w:val="1"/>
      <w:numFmt w:val="lowerLetter"/>
      <w:pStyle w:val="a60"/>
      <w:lvlText w:val="%1)"/>
      <w:lvlJc w:val="left"/>
      <w:pPr>
        <w:tabs>
          <w:tab w:val="left" w:pos="839"/>
        </w:tabs>
        <w:ind w:left="839" w:hanging="419"/>
      </w:pPr>
      <w:rPr>
        <w:rFonts w:ascii="宋体" w:eastAsia="宋体" w:hint="eastAsia"/>
        <w:b w:val="0"/>
        <w:i w:val="0"/>
        <w:sz w:val="21"/>
      </w:rPr>
    </w:lvl>
    <w:lvl w:ilvl="1">
      <w:start w:val="1"/>
      <w:numFmt w:val="decimal"/>
      <w:pStyle w:val="a50"/>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19">
    <w:nsid w:val="6DBF04F4"/>
    <w:multiLevelType w:val="multilevel"/>
    <w:tmpl w:val="6DBF04F4"/>
    <w:lvl w:ilvl="0">
      <w:start w:val="1"/>
      <w:numFmt w:val="none"/>
      <w:pStyle w:val="a14"/>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num w:numId="1">
    <w:abstractNumId w:val="11"/>
  </w:num>
  <w:num w:numId="2">
    <w:abstractNumId w:val="6"/>
  </w:num>
  <w:num w:numId="3">
    <w:abstractNumId w:val="10"/>
  </w:num>
  <w:num w:numId="4">
    <w:abstractNumId w:val="2"/>
  </w:num>
  <w:num w:numId="5">
    <w:abstractNumId w:val="13"/>
  </w:num>
  <w:num w:numId="6">
    <w:abstractNumId w:val="19"/>
  </w:num>
  <w:num w:numId="7">
    <w:abstractNumId w:val="0"/>
  </w:num>
  <w:num w:numId="8">
    <w:abstractNumId w:val="14"/>
  </w:num>
  <w:num w:numId="9">
    <w:abstractNumId w:val="8"/>
  </w:num>
  <w:num w:numId="10">
    <w:abstractNumId w:val="5"/>
  </w:num>
  <w:num w:numId="11">
    <w:abstractNumId w:val="17"/>
  </w:num>
  <w:num w:numId="12">
    <w:abstractNumId w:val="15"/>
  </w:num>
  <w:num w:numId="13">
    <w:abstractNumId w:val="18"/>
  </w:num>
  <w:num w:numId="14">
    <w:abstractNumId w:val="9"/>
  </w:num>
  <w:num w:numId="15">
    <w:abstractNumId w:val="1"/>
  </w:num>
  <w:num w:numId="16">
    <w:abstractNumId w:val="4"/>
  </w:num>
  <w:num w:numId="17">
    <w:abstractNumId w:val="16"/>
  </w:num>
  <w:num w:numId="18">
    <w:abstractNumId w:val="3"/>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925"/>
    <w:rsid w:val="00000244"/>
    <w:rsid w:val="0000185F"/>
    <w:rsid w:val="0000586F"/>
    <w:rsid w:val="00013D86"/>
    <w:rsid w:val="00013E02"/>
    <w:rsid w:val="00015D59"/>
    <w:rsid w:val="00016F2C"/>
    <w:rsid w:val="0002143C"/>
    <w:rsid w:val="0002361C"/>
    <w:rsid w:val="00025A65"/>
    <w:rsid w:val="000269B2"/>
    <w:rsid w:val="00026C31"/>
    <w:rsid w:val="00027280"/>
    <w:rsid w:val="000320A7"/>
    <w:rsid w:val="00033A3C"/>
    <w:rsid w:val="00033B91"/>
    <w:rsid w:val="000356C2"/>
    <w:rsid w:val="00035876"/>
    <w:rsid w:val="00035925"/>
    <w:rsid w:val="00036E33"/>
    <w:rsid w:val="00051DCE"/>
    <w:rsid w:val="00052F55"/>
    <w:rsid w:val="00053EED"/>
    <w:rsid w:val="000558E4"/>
    <w:rsid w:val="000604BC"/>
    <w:rsid w:val="00063893"/>
    <w:rsid w:val="00066207"/>
    <w:rsid w:val="00067CDF"/>
    <w:rsid w:val="00074FBE"/>
    <w:rsid w:val="00083A09"/>
    <w:rsid w:val="0009005E"/>
    <w:rsid w:val="00092857"/>
    <w:rsid w:val="000968F0"/>
    <w:rsid w:val="000A20A9"/>
    <w:rsid w:val="000A3433"/>
    <w:rsid w:val="000A3E41"/>
    <w:rsid w:val="000A48B1"/>
    <w:rsid w:val="000B1E41"/>
    <w:rsid w:val="000B3143"/>
    <w:rsid w:val="000C1763"/>
    <w:rsid w:val="000C4058"/>
    <w:rsid w:val="000C6B05"/>
    <w:rsid w:val="000C6DD6"/>
    <w:rsid w:val="000C7190"/>
    <w:rsid w:val="000C73D4"/>
    <w:rsid w:val="000C7E5E"/>
    <w:rsid w:val="000D2CF3"/>
    <w:rsid w:val="000D3D4C"/>
    <w:rsid w:val="000D4F51"/>
    <w:rsid w:val="000D65E6"/>
    <w:rsid w:val="000D718B"/>
    <w:rsid w:val="000E0C46"/>
    <w:rsid w:val="000E3626"/>
    <w:rsid w:val="000E5E30"/>
    <w:rsid w:val="000F030C"/>
    <w:rsid w:val="000F129C"/>
    <w:rsid w:val="000F30BA"/>
    <w:rsid w:val="000F4961"/>
    <w:rsid w:val="000F6E96"/>
    <w:rsid w:val="000F7A3F"/>
    <w:rsid w:val="001039E1"/>
    <w:rsid w:val="001056DE"/>
    <w:rsid w:val="001124C0"/>
    <w:rsid w:val="00126B36"/>
    <w:rsid w:val="0013175F"/>
    <w:rsid w:val="00131877"/>
    <w:rsid w:val="00131C40"/>
    <w:rsid w:val="00131EC2"/>
    <w:rsid w:val="00135133"/>
    <w:rsid w:val="00135263"/>
    <w:rsid w:val="00145D0A"/>
    <w:rsid w:val="0015123D"/>
    <w:rsid w:val="001512B4"/>
    <w:rsid w:val="0016178A"/>
    <w:rsid w:val="001620A5"/>
    <w:rsid w:val="00162FCE"/>
    <w:rsid w:val="00164E53"/>
    <w:rsid w:val="0016699D"/>
    <w:rsid w:val="001705CD"/>
    <w:rsid w:val="00175159"/>
    <w:rsid w:val="00176208"/>
    <w:rsid w:val="0018211B"/>
    <w:rsid w:val="00183D2E"/>
    <w:rsid w:val="001840D3"/>
    <w:rsid w:val="001900F8"/>
    <w:rsid w:val="00191258"/>
    <w:rsid w:val="00192680"/>
    <w:rsid w:val="00193037"/>
    <w:rsid w:val="00193A2C"/>
    <w:rsid w:val="0019486F"/>
    <w:rsid w:val="00194BA4"/>
    <w:rsid w:val="00194BDB"/>
    <w:rsid w:val="001A02E1"/>
    <w:rsid w:val="001A1892"/>
    <w:rsid w:val="001A288E"/>
    <w:rsid w:val="001A409E"/>
    <w:rsid w:val="001B243B"/>
    <w:rsid w:val="001B610D"/>
    <w:rsid w:val="001B68D9"/>
    <w:rsid w:val="001B6DC2"/>
    <w:rsid w:val="001C149C"/>
    <w:rsid w:val="001C21AC"/>
    <w:rsid w:val="001C4446"/>
    <w:rsid w:val="001C47BA"/>
    <w:rsid w:val="001C502C"/>
    <w:rsid w:val="001C59EA"/>
    <w:rsid w:val="001C757E"/>
    <w:rsid w:val="001C79A9"/>
    <w:rsid w:val="001C79FA"/>
    <w:rsid w:val="001D406C"/>
    <w:rsid w:val="001D41EE"/>
    <w:rsid w:val="001D44A8"/>
    <w:rsid w:val="001D48AF"/>
    <w:rsid w:val="001D6F12"/>
    <w:rsid w:val="001E0380"/>
    <w:rsid w:val="001E13B1"/>
    <w:rsid w:val="001E4844"/>
    <w:rsid w:val="001E5208"/>
    <w:rsid w:val="001E606B"/>
    <w:rsid w:val="001F27BD"/>
    <w:rsid w:val="001F3A19"/>
    <w:rsid w:val="001F3F9E"/>
    <w:rsid w:val="00202D21"/>
    <w:rsid w:val="00207745"/>
    <w:rsid w:val="00211636"/>
    <w:rsid w:val="002308FB"/>
    <w:rsid w:val="00234467"/>
    <w:rsid w:val="00237D8D"/>
    <w:rsid w:val="002409E3"/>
    <w:rsid w:val="00241DA2"/>
    <w:rsid w:val="00245EAB"/>
    <w:rsid w:val="00247FEE"/>
    <w:rsid w:val="002505AC"/>
    <w:rsid w:val="0025082A"/>
    <w:rsid w:val="00250E7D"/>
    <w:rsid w:val="00251F21"/>
    <w:rsid w:val="002565D5"/>
    <w:rsid w:val="002622C0"/>
    <w:rsid w:val="00267098"/>
    <w:rsid w:val="002674F6"/>
    <w:rsid w:val="002778AE"/>
    <w:rsid w:val="0028269A"/>
    <w:rsid w:val="0028347D"/>
    <w:rsid w:val="00283590"/>
    <w:rsid w:val="00286973"/>
    <w:rsid w:val="00290E72"/>
    <w:rsid w:val="00294E70"/>
    <w:rsid w:val="00295A1F"/>
    <w:rsid w:val="002A13F7"/>
    <w:rsid w:val="002A1924"/>
    <w:rsid w:val="002A688F"/>
    <w:rsid w:val="002A7420"/>
    <w:rsid w:val="002B0F12"/>
    <w:rsid w:val="002B1308"/>
    <w:rsid w:val="002B22C2"/>
    <w:rsid w:val="002B4554"/>
    <w:rsid w:val="002B71FF"/>
    <w:rsid w:val="002B72E7"/>
    <w:rsid w:val="002B7A89"/>
    <w:rsid w:val="002B7AB5"/>
    <w:rsid w:val="002C72D8"/>
    <w:rsid w:val="002D11FA"/>
    <w:rsid w:val="002D6802"/>
    <w:rsid w:val="002E0D31"/>
    <w:rsid w:val="002E0DDF"/>
    <w:rsid w:val="002E2906"/>
    <w:rsid w:val="002E363B"/>
    <w:rsid w:val="002E3D2C"/>
    <w:rsid w:val="002E5635"/>
    <w:rsid w:val="002E57E5"/>
    <w:rsid w:val="002E64C3"/>
    <w:rsid w:val="002E6A2C"/>
    <w:rsid w:val="002F090B"/>
    <w:rsid w:val="002F1D8C"/>
    <w:rsid w:val="002F21DA"/>
    <w:rsid w:val="002F33AF"/>
    <w:rsid w:val="002F7CB0"/>
    <w:rsid w:val="003018E2"/>
    <w:rsid w:val="00301F39"/>
    <w:rsid w:val="00312F75"/>
    <w:rsid w:val="00313F22"/>
    <w:rsid w:val="003214DB"/>
    <w:rsid w:val="0032464A"/>
    <w:rsid w:val="00325926"/>
    <w:rsid w:val="00327A8A"/>
    <w:rsid w:val="003301BC"/>
    <w:rsid w:val="00336610"/>
    <w:rsid w:val="00337B03"/>
    <w:rsid w:val="00343F73"/>
    <w:rsid w:val="00345060"/>
    <w:rsid w:val="00345BBB"/>
    <w:rsid w:val="0035323B"/>
    <w:rsid w:val="0035357D"/>
    <w:rsid w:val="00355467"/>
    <w:rsid w:val="00356B04"/>
    <w:rsid w:val="003609D2"/>
    <w:rsid w:val="003636EE"/>
    <w:rsid w:val="00363F22"/>
    <w:rsid w:val="0036719A"/>
    <w:rsid w:val="00371BF9"/>
    <w:rsid w:val="00375564"/>
    <w:rsid w:val="003812CD"/>
    <w:rsid w:val="00382893"/>
    <w:rsid w:val="00383191"/>
    <w:rsid w:val="003833DC"/>
    <w:rsid w:val="00386DED"/>
    <w:rsid w:val="003912E7"/>
    <w:rsid w:val="003925C5"/>
    <w:rsid w:val="00393947"/>
    <w:rsid w:val="003A2275"/>
    <w:rsid w:val="003A6A4F"/>
    <w:rsid w:val="003A7088"/>
    <w:rsid w:val="003B00DF"/>
    <w:rsid w:val="003B1275"/>
    <w:rsid w:val="003B1778"/>
    <w:rsid w:val="003B3786"/>
    <w:rsid w:val="003B3C62"/>
    <w:rsid w:val="003B7D54"/>
    <w:rsid w:val="003C0FDD"/>
    <w:rsid w:val="003C11CB"/>
    <w:rsid w:val="003C75F3"/>
    <w:rsid w:val="003C78A3"/>
    <w:rsid w:val="003E1867"/>
    <w:rsid w:val="003E4DCC"/>
    <w:rsid w:val="003E549C"/>
    <w:rsid w:val="003E5729"/>
    <w:rsid w:val="003E62C3"/>
    <w:rsid w:val="003F2899"/>
    <w:rsid w:val="003F3485"/>
    <w:rsid w:val="003F40EF"/>
    <w:rsid w:val="003F4EE0"/>
    <w:rsid w:val="0040120D"/>
    <w:rsid w:val="00402153"/>
    <w:rsid w:val="00402762"/>
    <w:rsid w:val="00402FC1"/>
    <w:rsid w:val="00425082"/>
    <w:rsid w:val="00431DEB"/>
    <w:rsid w:val="00434CC0"/>
    <w:rsid w:val="0043664F"/>
    <w:rsid w:val="00436C04"/>
    <w:rsid w:val="00442E90"/>
    <w:rsid w:val="00446B29"/>
    <w:rsid w:val="00453F9A"/>
    <w:rsid w:val="00456849"/>
    <w:rsid w:val="004653CD"/>
    <w:rsid w:val="00471E91"/>
    <w:rsid w:val="00474675"/>
    <w:rsid w:val="0047470C"/>
    <w:rsid w:val="004778B3"/>
    <w:rsid w:val="004808F1"/>
    <w:rsid w:val="0048350C"/>
    <w:rsid w:val="004847B7"/>
    <w:rsid w:val="00491DE8"/>
    <w:rsid w:val="004A35F9"/>
    <w:rsid w:val="004A3EFB"/>
    <w:rsid w:val="004B0EB4"/>
    <w:rsid w:val="004B24C1"/>
    <w:rsid w:val="004B3664"/>
    <w:rsid w:val="004C0243"/>
    <w:rsid w:val="004C1EA1"/>
    <w:rsid w:val="004C292F"/>
    <w:rsid w:val="004C4C29"/>
    <w:rsid w:val="004C6AB2"/>
    <w:rsid w:val="004E084D"/>
    <w:rsid w:val="004E0B28"/>
    <w:rsid w:val="004E2F67"/>
    <w:rsid w:val="004E308B"/>
    <w:rsid w:val="004F415B"/>
    <w:rsid w:val="00503C1D"/>
    <w:rsid w:val="00510280"/>
    <w:rsid w:val="00513678"/>
    <w:rsid w:val="00513D73"/>
    <w:rsid w:val="00514A43"/>
    <w:rsid w:val="005174E5"/>
    <w:rsid w:val="00517A1F"/>
    <w:rsid w:val="00522393"/>
    <w:rsid w:val="00522620"/>
    <w:rsid w:val="00525656"/>
    <w:rsid w:val="0052610E"/>
    <w:rsid w:val="00531FAD"/>
    <w:rsid w:val="00532659"/>
    <w:rsid w:val="00534743"/>
    <w:rsid w:val="00534C02"/>
    <w:rsid w:val="00535636"/>
    <w:rsid w:val="00537B85"/>
    <w:rsid w:val="0054264B"/>
    <w:rsid w:val="00543786"/>
    <w:rsid w:val="005533D7"/>
    <w:rsid w:val="00560B6F"/>
    <w:rsid w:val="00564E29"/>
    <w:rsid w:val="005703DE"/>
    <w:rsid w:val="005750AF"/>
    <w:rsid w:val="00575588"/>
    <w:rsid w:val="0058464E"/>
    <w:rsid w:val="00584D3A"/>
    <w:rsid w:val="00593B48"/>
    <w:rsid w:val="005A01CB"/>
    <w:rsid w:val="005A124F"/>
    <w:rsid w:val="005A350B"/>
    <w:rsid w:val="005A58FF"/>
    <w:rsid w:val="005A5EAF"/>
    <w:rsid w:val="005A64C0"/>
    <w:rsid w:val="005A7D83"/>
    <w:rsid w:val="005B2E1B"/>
    <w:rsid w:val="005B3C11"/>
    <w:rsid w:val="005B4F12"/>
    <w:rsid w:val="005C1C28"/>
    <w:rsid w:val="005C5620"/>
    <w:rsid w:val="005C6DB5"/>
    <w:rsid w:val="005D2B0D"/>
    <w:rsid w:val="005D6B65"/>
    <w:rsid w:val="005E19E7"/>
    <w:rsid w:val="005E2A38"/>
    <w:rsid w:val="005F015E"/>
    <w:rsid w:val="005F0D35"/>
    <w:rsid w:val="005F3EE6"/>
    <w:rsid w:val="005F4C26"/>
    <w:rsid w:val="00600F75"/>
    <w:rsid w:val="006024B5"/>
    <w:rsid w:val="0060350C"/>
    <w:rsid w:val="00612F0C"/>
    <w:rsid w:val="0061716C"/>
    <w:rsid w:val="006201AE"/>
    <w:rsid w:val="006243A1"/>
    <w:rsid w:val="00625E2D"/>
    <w:rsid w:val="00632E56"/>
    <w:rsid w:val="006341C7"/>
    <w:rsid w:val="00635CBA"/>
    <w:rsid w:val="00636B1E"/>
    <w:rsid w:val="00637D1A"/>
    <w:rsid w:val="0064296B"/>
    <w:rsid w:val="0064338B"/>
    <w:rsid w:val="006442EC"/>
    <w:rsid w:val="00646542"/>
    <w:rsid w:val="006504F4"/>
    <w:rsid w:val="00654BC9"/>
    <w:rsid w:val="00655010"/>
    <w:rsid w:val="006552FD"/>
    <w:rsid w:val="00663AF3"/>
    <w:rsid w:val="00666712"/>
    <w:rsid w:val="00666B6C"/>
    <w:rsid w:val="006742C4"/>
    <w:rsid w:val="00674D51"/>
    <w:rsid w:val="006778F4"/>
    <w:rsid w:val="00682005"/>
    <w:rsid w:val="00682682"/>
    <w:rsid w:val="00682702"/>
    <w:rsid w:val="00682CAE"/>
    <w:rsid w:val="0068617A"/>
    <w:rsid w:val="00686A21"/>
    <w:rsid w:val="00692368"/>
    <w:rsid w:val="00695979"/>
    <w:rsid w:val="006A2977"/>
    <w:rsid w:val="006A2EBC"/>
    <w:rsid w:val="006A3F7E"/>
    <w:rsid w:val="006A5776"/>
    <w:rsid w:val="006A5EA0"/>
    <w:rsid w:val="006A783B"/>
    <w:rsid w:val="006A7B33"/>
    <w:rsid w:val="006B4E13"/>
    <w:rsid w:val="006B6303"/>
    <w:rsid w:val="006B75DD"/>
    <w:rsid w:val="006C2E84"/>
    <w:rsid w:val="006C67E0"/>
    <w:rsid w:val="006C7ABA"/>
    <w:rsid w:val="006D0D60"/>
    <w:rsid w:val="006D1122"/>
    <w:rsid w:val="006D3C00"/>
    <w:rsid w:val="006D43A5"/>
    <w:rsid w:val="006D4F7E"/>
    <w:rsid w:val="006D5DB5"/>
    <w:rsid w:val="006D6CF4"/>
    <w:rsid w:val="006D71D1"/>
    <w:rsid w:val="006E3675"/>
    <w:rsid w:val="006E4A7F"/>
    <w:rsid w:val="00704DF6"/>
    <w:rsid w:val="0070651C"/>
    <w:rsid w:val="00711F81"/>
    <w:rsid w:val="00712664"/>
    <w:rsid w:val="007132A3"/>
    <w:rsid w:val="00716421"/>
    <w:rsid w:val="00716C81"/>
    <w:rsid w:val="007202ED"/>
    <w:rsid w:val="00724EFB"/>
    <w:rsid w:val="0073015F"/>
    <w:rsid w:val="00730D6B"/>
    <w:rsid w:val="00734E20"/>
    <w:rsid w:val="00735FCE"/>
    <w:rsid w:val="007419C3"/>
    <w:rsid w:val="00744F22"/>
    <w:rsid w:val="007467A7"/>
    <w:rsid w:val="007469DD"/>
    <w:rsid w:val="0074741B"/>
    <w:rsid w:val="0074759E"/>
    <w:rsid w:val="007478EA"/>
    <w:rsid w:val="007523BC"/>
    <w:rsid w:val="0075415C"/>
    <w:rsid w:val="00763502"/>
    <w:rsid w:val="00772461"/>
    <w:rsid w:val="0077510E"/>
    <w:rsid w:val="00784DC2"/>
    <w:rsid w:val="007913AB"/>
    <w:rsid w:val="007914F7"/>
    <w:rsid w:val="00794DE4"/>
    <w:rsid w:val="007A6D8E"/>
    <w:rsid w:val="007B1625"/>
    <w:rsid w:val="007B68DF"/>
    <w:rsid w:val="007B706E"/>
    <w:rsid w:val="007B71EB"/>
    <w:rsid w:val="007C6205"/>
    <w:rsid w:val="007C686A"/>
    <w:rsid w:val="007C728E"/>
    <w:rsid w:val="007D00FB"/>
    <w:rsid w:val="007D2C53"/>
    <w:rsid w:val="007D3D60"/>
    <w:rsid w:val="007D53DA"/>
    <w:rsid w:val="007E1980"/>
    <w:rsid w:val="007E2C54"/>
    <w:rsid w:val="007E4A31"/>
    <w:rsid w:val="007E4B76"/>
    <w:rsid w:val="007E5EA8"/>
    <w:rsid w:val="007F0CF1"/>
    <w:rsid w:val="007F12A5"/>
    <w:rsid w:val="007F4CF1"/>
    <w:rsid w:val="007F4F3A"/>
    <w:rsid w:val="007F5507"/>
    <w:rsid w:val="007F758D"/>
    <w:rsid w:val="007F7D52"/>
    <w:rsid w:val="00805142"/>
    <w:rsid w:val="0080654C"/>
    <w:rsid w:val="008071C6"/>
    <w:rsid w:val="00814639"/>
    <w:rsid w:val="0081775A"/>
    <w:rsid w:val="00817A00"/>
    <w:rsid w:val="00822762"/>
    <w:rsid w:val="0082511C"/>
    <w:rsid w:val="00825995"/>
    <w:rsid w:val="00833C22"/>
    <w:rsid w:val="00835DB3"/>
    <w:rsid w:val="0083617B"/>
    <w:rsid w:val="008371BD"/>
    <w:rsid w:val="0084615C"/>
    <w:rsid w:val="008504A8"/>
    <w:rsid w:val="0085282E"/>
    <w:rsid w:val="00852CBF"/>
    <w:rsid w:val="00860101"/>
    <w:rsid w:val="0087198C"/>
    <w:rsid w:val="00872C1F"/>
    <w:rsid w:val="00873B42"/>
    <w:rsid w:val="008856D8"/>
    <w:rsid w:val="00892380"/>
    <w:rsid w:val="00892E82"/>
    <w:rsid w:val="00896854"/>
    <w:rsid w:val="008B3EC4"/>
    <w:rsid w:val="008C1B58"/>
    <w:rsid w:val="008C39AE"/>
    <w:rsid w:val="008C590D"/>
    <w:rsid w:val="008C6295"/>
    <w:rsid w:val="008C6379"/>
    <w:rsid w:val="008E031B"/>
    <w:rsid w:val="008E2797"/>
    <w:rsid w:val="008E47DC"/>
    <w:rsid w:val="008E7029"/>
    <w:rsid w:val="008E7EF6"/>
    <w:rsid w:val="008F1F98"/>
    <w:rsid w:val="008F1FA6"/>
    <w:rsid w:val="008F310B"/>
    <w:rsid w:val="008F6758"/>
    <w:rsid w:val="00902A6B"/>
    <w:rsid w:val="00902B31"/>
    <w:rsid w:val="009040DD"/>
    <w:rsid w:val="00905B47"/>
    <w:rsid w:val="009077E6"/>
    <w:rsid w:val="0091331C"/>
    <w:rsid w:val="00913AB5"/>
    <w:rsid w:val="0091524A"/>
    <w:rsid w:val="00917CC1"/>
    <w:rsid w:val="009279DE"/>
    <w:rsid w:val="00930116"/>
    <w:rsid w:val="00933C80"/>
    <w:rsid w:val="00937900"/>
    <w:rsid w:val="0094212C"/>
    <w:rsid w:val="00954689"/>
    <w:rsid w:val="0095653A"/>
    <w:rsid w:val="009617C9"/>
    <w:rsid w:val="00961C93"/>
    <w:rsid w:val="00965324"/>
    <w:rsid w:val="00967E58"/>
    <w:rsid w:val="0097091E"/>
    <w:rsid w:val="00974107"/>
    <w:rsid w:val="009760D3"/>
    <w:rsid w:val="00977132"/>
    <w:rsid w:val="00981613"/>
    <w:rsid w:val="00981A4B"/>
    <w:rsid w:val="00982501"/>
    <w:rsid w:val="009877D3"/>
    <w:rsid w:val="00994E8F"/>
    <w:rsid w:val="009951DC"/>
    <w:rsid w:val="009959BB"/>
    <w:rsid w:val="00996670"/>
    <w:rsid w:val="00997158"/>
    <w:rsid w:val="009A0B39"/>
    <w:rsid w:val="009A3A7C"/>
    <w:rsid w:val="009B2ADB"/>
    <w:rsid w:val="009B603A"/>
    <w:rsid w:val="009C096C"/>
    <w:rsid w:val="009C2D0E"/>
    <w:rsid w:val="009C3DAC"/>
    <w:rsid w:val="009C42E0"/>
    <w:rsid w:val="009C4675"/>
    <w:rsid w:val="009C5301"/>
    <w:rsid w:val="009C6F82"/>
    <w:rsid w:val="009D5362"/>
    <w:rsid w:val="009E1415"/>
    <w:rsid w:val="009E59AD"/>
    <w:rsid w:val="009E6116"/>
    <w:rsid w:val="009F4A6A"/>
    <w:rsid w:val="009F6D46"/>
    <w:rsid w:val="00A008F2"/>
    <w:rsid w:val="00A018FC"/>
    <w:rsid w:val="00A02E43"/>
    <w:rsid w:val="00A04627"/>
    <w:rsid w:val="00A065F9"/>
    <w:rsid w:val="00A07B5D"/>
    <w:rsid w:val="00A07F34"/>
    <w:rsid w:val="00A1513A"/>
    <w:rsid w:val="00A15BC6"/>
    <w:rsid w:val="00A15D16"/>
    <w:rsid w:val="00A22154"/>
    <w:rsid w:val="00A25682"/>
    <w:rsid w:val="00A25C38"/>
    <w:rsid w:val="00A31623"/>
    <w:rsid w:val="00A35CD7"/>
    <w:rsid w:val="00A36BBE"/>
    <w:rsid w:val="00A40BC5"/>
    <w:rsid w:val="00A4307A"/>
    <w:rsid w:val="00A44189"/>
    <w:rsid w:val="00A471EA"/>
    <w:rsid w:val="00A47EBB"/>
    <w:rsid w:val="00A50C32"/>
    <w:rsid w:val="00A51CDD"/>
    <w:rsid w:val="00A61119"/>
    <w:rsid w:val="00A62503"/>
    <w:rsid w:val="00A6730D"/>
    <w:rsid w:val="00A71625"/>
    <w:rsid w:val="00A71B9B"/>
    <w:rsid w:val="00A73213"/>
    <w:rsid w:val="00A751C7"/>
    <w:rsid w:val="00A80987"/>
    <w:rsid w:val="00A8753B"/>
    <w:rsid w:val="00A87844"/>
    <w:rsid w:val="00A91E4B"/>
    <w:rsid w:val="00A967A4"/>
    <w:rsid w:val="00AA038C"/>
    <w:rsid w:val="00AA5EDF"/>
    <w:rsid w:val="00AA7A09"/>
    <w:rsid w:val="00AB2EC0"/>
    <w:rsid w:val="00AB3B50"/>
    <w:rsid w:val="00AC05B1"/>
    <w:rsid w:val="00AC243F"/>
    <w:rsid w:val="00AC33D3"/>
    <w:rsid w:val="00AC3BD0"/>
    <w:rsid w:val="00AC4A0C"/>
    <w:rsid w:val="00AC4C59"/>
    <w:rsid w:val="00AC741A"/>
    <w:rsid w:val="00AD356C"/>
    <w:rsid w:val="00AE153A"/>
    <w:rsid w:val="00AE2914"/>
    <w:rsid w:val="00AE52B4"/>
    <w:rsid w:val="00AE5CCF"/>
    <w:rsid w:val="00AE6D15"/>
    <w:rsid w:val="00AE7304"/>
    <w:rsid w:val="00B04182"/>
    <w:rsid w:val="00B0469D"/>
    <w:rsid w:val="00B05B28"/>
    <w:rsid w:val="00B07AE3"/>
    <w:rsid w:val="00B11430"/>
    <w:rsid w:val="00B119EF"/>
    <w:rsid w:val="00B12FFF"/>
    <w:rsid w:val="00B331ED"/>
    <w:rsid w:val="00B353EB"/>
    <w:rsid w:val="00B37875"/>
    <w:rsid w:val="00B43846"/>
    <w:rsid w:val="00B439C4"/>
    <w:rsid w:val="00B4535E"/>
    <w:rsid w:val="00B52A8C"/>
    <w:rsid w:val="00B5473F"/>
    <w:rsid w:val="00B636A8"/>
    <w:rsid w:val="00B665C6"/>
    <w:rsid w:val="00B71586"/>
    <w:rsid w:val="00B805AF"/>
    <w:rsid w:val="00B8481E"/>
    <w:rsid w:val="00B8603E"/>
    <w:rsid w:val="00B869EC"/>
    <w:rsid w:val="00B9397A"/>
    <w:rsid w:val="00B9416D"/>
    <w:rsid w:val="00B9633D"/>
    <w:rsid w:val="00BA0B75"/>
    <w:rsid w:val="00BA10CC"/>
    <w:rsid w:val="00BA1D89"/>
    <w:rsid w:val="00BA2EBE"/>
    <w:rsid w:val="00BB0F28"/>
    <w:rsid w:val="00BB385B"/>
    <w:rsid w:val="00BB3BF0"/>
    <w:rsid w:val="00BB458A"/>
    <w:rsid w:val="00BB4E23"/>
    <w:rsid w:val="00BC5384"/>
    <w:rsid w:val="00BC6105"/>
    <w:rsid w:val="00BD00D3"/>
    <w:rsid w:val="00BD146A"/>
    <w:rsid w:val="00BD1659"/>
    <w:rsid w:val="00BD3AA9"/>
    <w:rsid w:val="00BD4A18"/>
    <w:rsid w:val="00BD6DB2"/>
    <w:rsid w:val="00BE0502"/>
    <w:rsid w:val="00BE063B"/>
    <w:rsid w:val="00BE11CF"/>
    <w:rsid w:val="00BE21AB"/>
    <w:rsid w:val="00BE387A"/>
    <w:rsid w:val="00BE4ECC"/>
    <w:rsid w:val="00BE55CB"/>
    <w:rsid w:val="00BE6306"/>
    <w:rsid w:val="00BE76E3"/>
    <w:rsid w:val="00BF1425"/>
    <w:rsid w:val="00BF37EC"/>
    <w:rsid w:val="00BF3C78"/>
    <w:rsid w:val="00BF617A"/>
    <w:rsid w:val="00BF6FCE"/>
    <w:rsid w:val="00C00B9D"/>
    <w:rsid w:val="00C01CF3"/>
    <w:rsid w:val="00C031F8"/>
    <w:rsid w:val="00C0379D"/>
    <w:rsid w:val="00C03931"/>
    <w:rsid w:val="00C057B9"/>
    <w:rsid w:val="00C05FE3"/>
    <w:rsid w:val="00C129C8"/>
    <w:rsid w:val="00C2136D"/>
    <w:rsid w:val="00C214EE"/>
    <w:rsid w:val="00C21616"/>
    <w:rsid w:val="00C2314B"/>
    <w:rsid w:val="00C24033"/>
    <w:rsid w:val="00C24971"/>
    <w:rsid w:val="00C26BE5"/>
    <w:rsid w:val="00C26E4D"/>
    <w:rsid w:val="00C27909"/>
    <w:rsid w:val="00C27B03"/>
    <w:rsid w:val="00C314E1"/>
    <w:rsid w:val="00C34397"/>
    <w:rsid w:val="00C34A55"/>
    <w:rsid w:val="00C35142"/>
    <w:rsid w:val="00C36A34"/>
    <w:rsid w:val="00C3788B"/>
    <w:rsid w:val="00C4095D"/>
    <w:rsid w:val="00C4735E"/>
    <w:rsid w:val="00C55AE0"/>
    <w:rsid w:val="00C55D53"/>
    <w:rsid w:val="00C601D2"/>
    <w:rsid w:val="00C61B3C"/>
    <w:rsid w:val="00C63011"/>
    <w:rsid w:val="00C65BCC"/>
    <w:rsid w:val="00C66970"/>
    <w:rsid w:val="00C67474"/>
    <w:rsid w:val="00C70747"/>
    <w:rsid w:val="00C775FA"/>
    <w:rsid w:val="00C82E75"/>
    <w:rsid w:val="00C8691C"/>
    <w:rsid w:val="00CA168A"/>
    <w:rsid w:val="00CA1D2F"/>
    <w:rsid w:val="00CA357E"/>
    <w:rsid w:val="00CA44F9"/>
    <w:rsid w:val="00CA4A69"/>
    <w:rsid w:val="00CA7B31"/>
    <w:rsid w:val="00CB35D5"/>
    <w:rsid w:val="00CB4497"/>
    <w:rsid w:val="00CB7625"/>
    <w:rsid w:val="00CC3E0C"/>
    <w:rsid w:val="00CC58D3"/>
    <w:rsid w:val="00CC784D"/>
    <w:rsid w:val="00CC7AC9"/>
    <w:rsid w:val="00CD2F1E"/>
    <w:rsid w:val="00CD6A4C"/>
    <w:rsid w:val="00CD7823"/>
    <w:rsid w:val="00CE6FDF"/>
    <w:rsid w:val="00D022BD"/>
    <w:rsid w:val="00D0337B"/>
    <w:rsid w:val="00D079B2"/>
    <w:rsid w:val="00D10E62"/>
    <w:rsid w:val="00D114E9"/>
    <w:rsid w:val="00D16247"/>
    <w:rsid w:val="00D17366"/>
    <w:rsid w:val="00D2342F"/>
    <w:rsid w:val="00D276E5"/>
    <w:rsid w:val="00D429C6"/>
    <w:rsid w:val="00D44221"/>
    <w:rsid w:val="00D44DB2"/>
    <w:rsid w:val="00D456F5"/>
    <w:rsid w:val="00D47748"/>
    <w:rsid w:val="00D4781D"/>
    <w:rsid w:val="00D54CC3"/>
    <w:rsid w:val="00D56DFB"/>
    <w:rsid w:val="00D6041A"/>
    <w:rsid w:val="00D6170F"/>
    <w:rsid w:val="00D633EB"/>
    <w:rsid w:val="00D6340C"/>
    <w:rsid w:val="00D67211"/>
    <w:rsid w:val="00D77DF0"/>
    <w:rsid w:val="00D82FF7"/>
    <w:rsid w:val="00D847FE"/>
    <w:rsid w:val="00D91171"/>
    <w:rsid w:val="00D95DC9"/>
    <w:rsid w:val="00D964EA"/>
    <w:rsid w:val="00D966D0"/>
    <w:rsid w:val="00DA0C59"/>
    <w:rsid w:val="00DA3644"/>
    <w:rsid w:val="00DA3991"/>
    <w:rsid w:val="00DB0990"/>
    <w:rsid w:val="00DB210D"/>
    <w:rsid w:val="00DB436D"/>
    <w:rsid w:val="00DB590A"/>
    <w:rsid w:val="00DB7E6C"/>
    <w:rsid w:val="00DC67FE"/>
    <w:rsid w:val="00DD20F9"/>
    <w:rsid w:val="00DD397D"/>
    <w:rsid w:val="00DD3A26"/>
    <w:rsid w:val="00DD5A29"/>
    <w:rsid w:val="00DD5D9D"/>
    <w:rsid w:val="00DD67A3"/>
    <w:rsid w:val="00DE255D"/>
    <w:rsid w:val="00DE35CB"/>
    <w:rsid w:val="00DE4794"/>
    <w:rsid w:val="00DE5C02"/>
    <w:rsid w:val="00DE655D"/>
    <w:rsid w:val="00DF0244"/>
    <w:rsid w:val="00DF0859"/>
    <w:rsid w:val="00DF1FB9"/>
    <w:rsid w:val="00DF21E9"/>
    <w:rsid w:val="00DF583C"/>
    <w:rsid w:val="00DF67A5"/>
    <w:rsid w:val="00E00F14"/>
    <w:rsid w:val="00E021B1"/>
    <w:rsid w:val="00E06386"/>
    <w:rsid w:val="00E10785"/>
    <w:rsid w:val="00E13BF6"/>
    <w:rsid w:val="00E1597B"/>
    <w:rsid w:val="00E15D84"/>
    <w:rsid w:val="00E17088"/>
    <w:rsid w:val="00E20FFF"/>
    <w:rsid w:val="00E24EB4"/>
    <w:rsid w:val="00E26FBF"/>
    <w:rsid w:val="00E30ADF"/>
    <w:rsid w:val="00E320ED"/>
    <w:rsid w:val="00E33AFB"/>
    <w:rsid w:val="00E34218"/>
    <w:rsid w:val="00E35795"/>
    <w:rsid w:val="00E3579B"/>
    <w:rsid w:val="00E37152"/>
    <w:rsid w:val="00E41E1D"/>
    <w:rsid w:val="00E45EE5"/>
    <w:rsid w:val="00E46282"/>
    <w:rsid w:val="00E5216E"/>
    <w:rsid w:val="00E55520"/>
    <w:rsid w:val="00E56B46"/>
    <w:rsid w:val="00E74C8D"/>
    <w:rsid w:val="00E74E11"/>
    <w:rsid w:val="00E8214A"/>
    <w:rsid w:val="00E82344"/>
    <w:rsid w:val="00E8256C"/>
    <w:rsid w:val="00E84C82"/>
    <w:rsid w:val="00E84D64"/>
    <w:rsid w:val="00E84DD0"/>
    <w:rsid w:val="00E87408"/>
    <w:rsid w:val="00E914C4"/>
    <w:rsid w:val="00E93128"/>
    <w:rsid w:val="00E934F5"/>
    <w:rsid w:val="00E96961"/>
    <w:rsid w:val="00EA29EC"/>
    <w:rsid w:val="00EA591C"/>
    <w:rsid w:val="00EA72EC"/>
    <w:rsid w:val="00EB11CB"/>
    <w:rsid w:val="00EB275A"/>
    <w:rsid w:val="00EB5178"/>
    <w:rsid w:val="00EB62DA"/>
    <w:rsid w:val="00EB786A"/>
    <w:rsid w:val="00EC1578"/>
    <w:rsid w:val="00EC1C72"/>
    <w:rsid w:val="00EC236B"/>
    <w:rsid w:val="00EC3CC9"/>
    <w:rsid w:val="00EC680A"/>
    <w:rsid w:val="00EC7632"/>
    <w:rsid w:val="00ED550D"/>
    <w:rsid w:val="00EE025D"/>
    <w:rsid w:val="00EE2BED"/>
    <w:rsid w:val="00EE374B"/>
    <w:rsid w:val="00EE7C79"/>
    <w:rsid w:val="00EF033E"/>
    <w:rsid w:val="00EF0C3A"/>
    <w:rsid w:val="00EF4981"/>
    <w:rsid w:val="00EF706B"/>
    <w:rsid w:val="00F02360"/>
    <w:rsid w:val="00F11695"/>
    <w:rsid w:val="00F11BB5"/>
    <w:rsid w:val="00F1205F"/>
    <w:rsid w:val="00F1417B"/>
    <w:rsid w:val="00F34B99"/>
    <w:rsid w:val="00F4088A"/>
    <w:rsid w:val="00F52C32"/>
    <w:rsid w:val="00F52DAB"/>
    <w:rsid w:val="00F5304C"/>
    <w:rsid w:val="00F543F0"/>
    <w:rsid w:val="00F5576C"/>
    <w:rsid w:val="00F55B7F"/>
    <w:rsid w:val="00F67F9A"/>
    <w:rsid w:val="00F76078"/>
    <w:rsid w:val="00F81D29"/>
    <w:rsid w:val="00F835E4"/>
    <w:rsid w:val="00F87AD4"/>
    <w:rsid w:val="00F90450"/>
    <w:rsid w:val="00F91C4D"/>
    <w:rsid w:val="00F92FD9"/>
    <w:rsid w:val="00F947EC"/>
    <w:rsid w:val="00F95BB4"/>
    <w:rsid w:val="00F95F0D"/>
    <w:rsid w:val="00FA36C1"/>
    <w:rsid w:val="00FA6684"/>
    <w:rsid w:val="00FA731E"/>
    <w:rsid w:val="00FB2B38"/>
    <w:rsid w:val="00FB4B6A"/>
    <w:rsid w:val="00FB65D7"/>
    <w:rsid w:val="00FB77C7"/>
    <w:rsid w:val="00FC6358"/>
    <w:rsid w:val="00FD01CF"/>
    <w:rsid w:val="00FD02D1"/>
    <w:rsid w:val="00FD320D"/>
    <w:rsid w:val="00FD4889"/>
    <w:rsid w:val="00FE23DE"/>
    <w:rsid w:val="00FE47DB"/>
    <w:rsid w:val="00FE79EC"/>
    <w:rsid w:val="00FF19B1"/>
    <w:rsid w:val="0C3B52A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lsdException w:name="toc 3" w:semiHidden="0" w:uiPriority="39" w:unhideWhenUsed="0"/>
    <w:lsdException w:name="toc 4" w:semiHidden="0" w:uiPriority="39" w:unhideWhenUsed="0"/>
    <w:lsdException w:name="toc 5" w:uiPriority="0" w:unhideWhenUsed="0"/>
    <w:lsdException w:name="toc 6" w:uiPriority="0" w:unhideWhenUsed="0"/>
    <w:lsdException w:name="toc 7" w:uiPriority="0" w:unhideWhenUsed="0"/>
    <w:lsdException w:name="toc 8" w:uiPriority="0" w:unhideWhenUsed="0"/>
    <w:lsdException w:name="toc 9" w:uiPriority="0" w:unhideWhenUsed="0"/>
    <w:lsdException w:name="Normal Indent" w:semiHidden="0" w:uiPriority="0" w:unhideWhenUsed="0"/>
    <w:lsdException w:name="footnote text" w:semiHidden="0" w:uiPriority="0" w:unhideWhenUsed="0"/>
    <w:lsdException w:name="annotation text" w:semiHidden="0"/>
    <w:lsdException w:name="header" w:semiHidden="0" w:unhideWhenUsed="0"/>
    <w:lsdException w:name="footer" w:semiHidden="0" w:unhideWhenUsed="0"/>
    <w:lsdException w:name="index heading" w:semiHidden="0" w:uiPriority="0" w:unhideWhenUsed="0"/>
    <w:lsdException w:name="caption" w:semiHidden="0" w:uiPriority="35"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uiPriority="0" w:unhideWhenUsed="0"/>
    <w:lsdException w:name="annotation reference" w:semiHidden="0"/>
    <w:lsdException w:name="line number" w:semiHidden="0" w:uiPriority="0" w:unhideWhenUsed="0"/>
    <w:lsdException w:name="page number" w:semiHidden="0" w:uiPriority="0" w:unhideWhenUsed="0"/>
    <w:lsdException w:name="endnote reference" w:uiPriority="0" w:unhideWhenUsed="0"/>
    <w:lsdException w:name="endnote text"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unhideWhenUsed="0"/>
    <w:lsdException w:name="Plain Text" w:semiHidden="0" w:uiPriority="0" w:unhideWhenUsed="0"/>
    <w:lsdException w:name="E-mail Signature" w:semiHidden="0" w:uiPriority="0" w:unhideWhenUsed="0"/>
    <w:lsdException w:name="Normal (Web)" w:semiHidden="0" w:uiPriority="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paragraph" w:styleId="Heading1">
    <w:name w:val="heading 1"/>
    <w:basedOn w:val="Normal"/>
    <w:next w:val="Normal"/>
    <w:link w:val="1Char"/>
    <w:uiPriority w:val="99"/>
    <w:qFormat/>
    <w:pPr>
      <w:keepNext/>
      <w:keepLines/>
      <w:spacing w:before="340" w:after="330" w:line="578" w:lineRule="auto"/>
      <w:outlineLvl w:val="0"/>
    </w:pPr>
    <w:rPr>
      <w:b/>
      <w:bCs/>
      <w:kern w:val="44"/>
      <w:sz w:val="44"/>
      <w:szCs w:val="44"/>
    </w:rPr>
  </w:style>
  <w:style w:type="character" w:default="1" w:styleId="DefaultParagraphFont">
    <w:name w:val="Default Paragraph Font"/>
    <w:semiHidden/>
  </w:style>
  <w:style w:type="table" w:default="1" w:styleId="TableNormal">
    <w:name w:val="Normal Table"/>
    <w:semiHidden/>
    <w:tblPr>
      <w:tblStyle w:val="TableNormal"/>
      <w:tblCellMar>
        <w:top w:w="0" w:type="dxa"/>
        <w:left w:w="108" w:type="dxa"/>
        <w:bottom w:w="0" w:type="dxa"/>
        <w:right w:w="108" w:type="dxa"/>
      </w:tblCellMar>
    </w:tblPr>
  </w:style>
  <w:style w:type="paragraph" w:styleId="TOC7">
    <w:name w:val="toc 7"/>
    <w:basedOn w:val="Normal"/>
    <w:next w:val="Normal"/>
    <w:semiHidden/>
    <w:pPr>
      <w:tabs>
        <w:tab w:val="right" w:leader="dot" w:pos="9241"/>
      </w:tabs>
      <w:ind w:firstLine="500" w:firstLineChars="500"/>
      <w:jc w:val="left"/>
    </w:pPr>
    <w:rPr>
      <w:rFonts w:ascii="宋体"/>
      <w:szCs w:val="21"/>
    </w:rPr>
  </w:style>
  <w:style w:type="paragraph" w:styleId="Index8">
    <w:name w:val="index 8"/>
    <w:basedOn w:val="Normal"/>
    <w:next w:val="Normal"/>
    <w:pPr>
      <w:ind w:left="1680" w:hanging="210"/>
      <w:jc w:val="left"/>
    </w:pPr>
    <w:rPr>
      <w:rFonts w:ascii="Calibri" w:hAnsi="Calibri"/>
      <w:sz w:val="20"/>
      <w:szCs w:val="20"/>
    </w:rPr>
  </w:style>
  <w:style w:type="paragraph" w:styleId="NormalIndent">
    <w:name w:val="Normal Indent"/>
    <w:basedOn w:val="Normal"/>
    <w:pPr>
      <w:snapToGrid w:val="0"/>
      <w:spacing w:line="300" w:lineRule="auto"/>
      <w:ind w:firstLine="420"/>
    </w:pPr>
    <w:rPr>
      <w:szCs w:val="20"/>
    </w:rPr>
  </w:style>
  <w:style w:type="paragraph" w:styleId="Caption">
    <w:name w:val="caption"/>
    <w:basedOn w:val="Normal"/>
    <w:next w:val="Normal"/>
    <w:uiPriority w:val="35"/>
    <w:qFormat/>
    <w:pPr>
      <w:spacing w:before="152" w:after="160"/>
    </w:pPr>
    <w:rPr>
      <w:rFonts w:ascii="Arial" w:eastAsia="黑体" w:hAnsi="Arial" w:cs="Arial"/>
      <w:sz w:val="20"/>
      <w:szCs w:val="20"/>
    </w:rPr>
  </w:style>
  <w:style w:type="paragraph" w:styleId="Index5">
    <w:name w:val="index 5"/>
    <w:basedOn w:val="Normal"/>
    <w:next w:val="Normal"/>
    <w:pPr>
      <w:ind w:left="1050" w:hanging="210"/>
      <w:jc w:val="left"/>
    </w:pPr>
    <w:rPr>
      <w:rFonts w:ascii="Calibri" w:hAnsi="Calibri"/>
      <w:sz w:val="20"/>
      <w:szCs w:val="20"/>
    </w:rPr>
  </w:style>
  <w:style w:type="paragraph" w:styleId="DocumentMap">
    <w:name w:val="Document Map"/>
    <w:basedOn w:val="Normal"/>
    <w:link w:val="Char8"/>
    <w:uiPriority w:val="99"/>
    <w:semiHidden/>
    <w:pPr>
      <w:shd w:val="clear" w:color="auto" w:fill="000080"/>
    </w:pPr>
  </w:style>
  <w:style w:type="paragraph" w:styleId="CommentText">
    <w:name w:val="annotation text"/>
    <w:basedOn w:val="Normal"/>
    <w:link w:val="Char5"/>
    <w:uiPriority w:val="99"/>
    <w:unhideWhenUsed/>
    <w:pPr>
      <w:jc w:val="left"/>
    </w:pPr>
    <w:rPr>
      <w:rFonts w:ascii="Calibri" w:hAnsi="Calibri"/>
      <w:szCs w:val="22"/>
    </w:rPr>
  </w:style>
  <w:style w:type="paragraph" w:styleId="Index6">
    <w:name w:val="index 6"/>
    <w:basedOn w:val="Normal"/>
    <w:next w:val="Normal"/>
    <w:pPr>
      <w:ind w:left="1260" w:hanging="210"/>
      <w:jc w:val="left"/>
    </w:pPr>
    <w:rPr>
      <w:rFonts w:ascii="Calibri" w:hAnsi="Calibri"/>
      <w:sz w:val="20"/>
      <w:szCs w:val="20"/>
    </w:rPr>
  </w:style>
  <w:style w:type="paragraph" w:styleId="Index4">
    <w:name w:val="index 4"/>
    <w:basedOn w:val="Normal"/>
    <w:next w:val="Normal"/>
    <w:pPr>
      <w:ind w:left="840" w:hanging="210"/>
      <w:jc w:val="left"/>
    </w:pPr>
    <w:rPr>
      <w:rFonts w:ascii="Calibri" w:hAnsi="Calibri"/>
      <w:sz w:val="20"/>
      <w:szCs w:val="20"/>
    </w:rPr>
  </w:style>
  <w:style w:type="paragraph" w:styleId="TOC5">
    <w:name w:val="toc 5"/>
    <w:basedOn w:val="Normal"/>
    <w:next w:val="Normal"/>
    <w:semiHidden/>
    <w:pPr>
      <w:tabs>
        <w:tab w:val="right" w:leader="dot" w:pos="9241"/>
      </w:tabs>
      <w:ind w:firstLine="300" w:firstLineChars="300"/>
      <w:jc w:val="left"/>
    </w:pPr>
    <w:rPr>
      <w:rFonts w:ascii="宋体"/>
      <w:szCs w:val="21"/>
    </w:rPr>
  </w:style>
  <w:style w:type="paragraph" w:styleId="TOC3">
    <w:name w:val="toc 3"/>
    <w:basedOn w:val="Normal"/>
    <w:next w:val="Normal"/>
    <w:uiPriority w:val="39"/>
    <w:pPr>
      <w:tabs>
        <w:tab w:val="right" w:leader="dot" w:pos="9241"/>
      </w:tabs>
      <w:ind w:firstLine="100" w:firstLineChars="100"/>
      <w:jc w:val="left"/>
    </w:pPr>
    <w:rPr>
      <w:rFonts w:ascii="宋体"/>
      <w:szCs w:val="21"/>
    </w:rPr>
  </w:style>
  <w:style w:type="paragraph" w:styleId="PlainText">
    <w:name w:val="Plain Text"/>
    <w:basedOn w:val="Normal"/>
    <w:link w:val="Char4"/>
    <w:pPr>
      <w:widowControl/>
      <w:jc w:val="left"/>
    </w:pPr>
    <w:rPr>
      <w:rFonts w:ascii="Courier New" w:eastAsia="Times New Roman" w:hAnsi="Courier New"/>
      <w:kern w:val="0"/>
      <w:sz w:val="20"/>
      <w:szCs w:val="20"/>
      <w:lang w:val="cs-CZ" w:eastAsia="en-US"/>
    </w:rPr>
  </w:style>
  <w:style w:type="paragraph" w:styleId="TOC8">
    <w:name w:val="toc 8"/>
    <w:basedOn w:val="Normal"/>
    <w:next w:val="Normal"/>
    <w:semiHidden/>
    <w:pPr>
      <w:tabs>
        <w:tab w:val="right" w:leader="dot" w:pos="9241"/>
      </w:tabs>
      <w:ind w:firstLine="607" w:firstLineChars="600"/>
      <w:jc w:val="left"/>
    </w:pPr>
    <w:rPr>
      <w:rFonts w:ascii="宋体"/>
      <w:szCs w:val="21"/>
    </w:rPr>
  </w:style>
  <w:style w:type="paragraph" w:styleId="Index3">
    <w:name w:val="index 3"/>
    <w:basedOn w:val="Normal"/>
    <w:next w:val="Normal"/>
    <w:pPr>
      <w:ind w:left="630" w:hanging="210"/>
      <w:jc w:val="left"/>
    </w:pPr>
    <w:rPr>
      <w:rFonts w:ascii="Calibri" w:hAnsi="Calibri"/>
      <w:sz w:val="20"/>
      <w:szCs w:val="20"/>
    </w:rPr>
  </w:style>
  <w:style w:type="paragraph" w:styleId="Date">
    <w:name w:val="Date"/>
    <w:basedOn w:val="Normal"/>
    <w:next w:val="Normal"/>
    <w:link w:val="Char10"/>
    <w:rPr>
      <w:szCs w:val="20"/>
    </w:rPr>
  </w:style>
  <w:style w:type="paragraph" w:styleId="EndnoteText">
    <w:name w:val="endnote text"/>
    <w:basedOn w:val="Normal"/>
    <w:link w:val="Char13"/>
    <w:semiHidden/>
    <w:pPr>
      <w:snapToGrid w:val="0"/>
      <w:jc w:val="left"/>
    </w:pPr>
  </w:style>
  <w:style w:type="paragraph" w:styleId="BalloonText">
    <w:name w:val="Balloon Text"/>
    <w:basedOn w:val="Normal"/>
    <w:link w:val="Char7"/>
    <w:uiPriority w:val="99"/>
    <w:unhideWhenUsed/>
    <w:rPr>
      <w:rFonts w:ascii="Calibri" w:hAnsi="Calibri"/>
      <w:sz w:val="18"/>
      <w:szCs w:val="18"/>
    </w:rPr>
  </w:style>
  <w:style w:type="paragraph" w:styleId="Footer">
    <w:name w:val="footer"/>
    <w:basedOn w:val="Normal"/>
    <w:link w:val="Char3"/>
    <w:uiPriority w:val="99"/>
    <w:pPr>
      <w:snapToGrid w:val="0"/>
      <w:ind w:right="210" w:rightChars="100"/>
      <w:jc w:val="right"/>
    </w:pPr>
    <w:rPr>
      <w:sz w:val="18"/>
      <w:szCs w:val="18"/>
    </w:rPr>
  </w:style>
  <w:style w:type="paragraph" w:styleId="Header">
    <w:name w:val="header"/>
    <w:basedOn w:val="Normal"/>
    <w:link w:val="Char2"/>
    <w:uiPriority w:val="99"/>
    <w:pPr>
      <w:snapToGrid w:val="0"/>
      <w:jc w:val="left"/>
    </w:pPr>
    <w:rPr>
      <w:sz w:val="18"/>
      <w:szCs w:val="18"/>
    </w:rPr>
  </w:style>
  <w:style w:type="paragraph" w:styleId="TOC1">
    <w:name w:val="toc 1"/>
    <w:basedOn w:val="Normal"/>
    <w:next w:val="Normal"/>
    <w:uiPriority w:val="39"/>
    <w:qFormat/>
    <w:pPr>
      <w:tabs>
        <w:tab w:val="right" w:leader="dot" w:pos="9242"/>
      </w:tabs>
      <w:spacing w:before="25" w:beforeLines="25" w:after="25" w:afterLines="25"/>
      <w:jc w:val="left"/>
    </w:pPr>
    <w:rPr>
      <w:rFonts w:ascii="宋体"/>
      <w:szCs w:val="21"/>
    </w:rPr>
  </w:style>
  <w:style w:type="paragraph" w:styleId="TOC4">
    <w:name w:val="toc 4"/>
    <w:basedOn w:val="Normal"/>
    <w:next w:val="Normal"/>
    <w:uiPriority w:val="39"/>
    <w:pPr>
      <w:tabs>
        <w:tab w:val="right" w:leader="dot" w:pos="9241"/>
      </w:tabs>
      <w:ind w:firstLine="200" w:firstLineChars="200"/>
      <w:jc w:val="left"/>
    </w:pPr>
    <w:rPr>
      <w:rFonts w:ascii="宋体"/>
      <w:szCs w:val="21"/>
    </w:rPr>
  </w:style>
  <w:style w:type="paragraph" w:styleId="IndexHeading">
    <w:name w:val="index heading"/>
    <w:basedOn w:val="Normal"/>
    <w:next w:val="Index1"/>
    <w:pPr>
      <w:spacing w:before="120" w:after="120"/>
      <w:jc w:val="center"/>
    </w:pPr>
    <w:rPr>
      <w:rFonts w:ascii="Calibri" w:hAnsi="Calibri"/>
      <w:b/>
      <w:bCs/>
      <w:iCs/>
      <w:szCs w:val="20"/>
    </w:rPr>
  </w:style>
  <w:style w:type="paragraph" w:styleId="Index1">
    <w:name w:val="index 1"/>
    <w:basedOn w:val="Normal"/>
    <w:next w:val="a"/>
    <w:pPr>
      <w:tabs>
        <w:tab w:val="right" w:leader="dot" w:pos="9299"/>
      </w:tabs>
      <w:jc w:val="left"/>
    </w:pPr>
    <w:rPr>
      <w:rFonts w:ascii="宋体"/>
      <w:szCs w:val="21"/>
    </w:rPr>
  </w:style>
  <w:style w:type="paragraph" w:customStyle="1" w:styleId="a">
    <w:name w:val="段"/>
    <w:link w:val="Char"/>
    <w:pPr>
      <w:tabs>
        <w:tab w:val="center" w:pos="4201"/>
        <w:tab w:val="right" w:leader="dot" w:pos="9298"/>
      </w:tabs>
      <w:autoSpaceDE w:val="0"/>
      <w:autoSpaceDN w:val="0"/>
      <w:ind w:firstLine="420" w:firstLineChars="200"/>
      <w:jc w:val="both"/>
    </w:pPr>
    <w:rPr>
      <w:rFonts w:ascii="宋体"/>
      <w:sz w:val="21"/>
      <w:lang w:val="en-US" w:eastAsia="zh-CN" w:bidi="ar-SA"/>
    </w:rPr>
  </w:style>
  <w:style w:type="paragraph" w:styleId="FootnoteText">
    <w:name w:val="footnote text"/>
    <w:basedOn w:val="Normal"/>
    <w:link w:val="Char12"/>
    <w:pPr>
      <w:numPr>
        <w:ilvl w:val="0"/>
        <w:numId w:val="1"/>
      </w:numPr>
      <w:snapToGrid w:val="0"/>
      <w:jc w:val="left"/>
    </w:pPr>
    <w:rPr>
      <w:rFonts w:ascii="宋体"/>
      <w:sz w:val="18"/>
      <w:szCs w:val="18"/>
    </w:rPr>
  </w:style>
  <w:style w:type="paragraph" w:styleId="TOC6">
    <w:name w:val="toc 6"/>
    <w:basedOn w:val="Normal"/>
    <w:next w:val="Normal"/>
    <w:semiHidden/>
    <w:pPr>
      <w:tabs>
        <w:tab w:val="right" w:leader="dot" w:pos="9241"/>
      </w:tabs>
      <w:ind w:firstLine="400" w:firstLineChars="400"/>
      <w:jc w:val="left"/>
    </w:pPr>
    <w:rPr>
      <w:rFonts w:ascii="宋体"/>
      <w:szCs w:val="21"/>
    </w:rPr>
  </w:style>
  <w:style w:type="paragraph" w:styleId="Index7">
    <w:name w:val="index 7"/>
    <w:basedOn w:val="Normal"/>
    <w:next w:val="Normal"/>
    <w:pPr>
      <w:ind w:left="1470" w:hanging="210"/>
      <w:jc w:val="left"/>
    </w:pPr>
    <w:rPr>
      <w:rFonts w:ascii="Calibri" w:hAnsi="Calibri"/>
      <w:sz w:val="20"/>
      <w:szCs w:val="20"/>
    </w:rPr>
  </w:style>
  <w:style w:type="paragraph" w:styleId="Index9">
    <w:name w:val="index 9"/>
    <w:basedOn w:val="Normal"/>
    <w:next w:val="Normal"/>
    <w:pPr>
      <w:ind w:left="1890" w:hanging="210"/>
      <w:jc w:val="left"/>
    </w:pPr>
    <w:rPr>
      <w:rFonts w:ascii="Calibri" w:hAnsi="Calibri"/>
      <w:sz w:val="20"/>
      <w:szCs w:val="20"/>
    </w:rPr>
  </w:style>
  <w:style w:type="paragraph" w:styleId="TOC2">
    <w:name w:val="toc 2"/>
    <w:basedOn w:val="Normal"/>
    <w:next w:val="Normal"/>
    <w:uiPriority w:val="39"/>
    <w:pPr>
      <w:tabs>
        <w:tab w:val="right" w:leader="dot" w:pos="9242"/>
      </w:tabs>
    </w:pPr>
    <w:rPr>
      <w:rFonts w:ascii="宋体"/>
      <w:szCs w:val="21"/>
    </w:rPr>
  </w:style>
  <w:style w:type="paragraph" w:styleId="TOC9">
    <w:name w:val="toc 9"/>
    <w:basedOn w:val="Normal"/>
    <w:next w:val="Normal"/>
    <w:semiHidden/>
    <w:pPr>
      <w:ind w:left="1470"/>
      <w:jc w:val="left"/>
    </w:pPr>
    <w:rPr>
      <w:sz w:val="20"/>
      <w:szCs w:val="20"/>
    </w:rPr>
  </w:style>
  <w:style w:type="paragraph" w:styleId="NormalWeb">
    <w:name w:val="Normal (Web)"/>
    <w:basedOn w:val="Normal"/>
    <w:unhideWhenUsed/>
    <w:pPr>
      <w:widowControl/>
      <w:spacing w:before="100" w:beforeAutospacing="1" w:after="100" w:afterAutospacing="1"/>
      <w:jc w:val="left"/>
    </w:pPr>
    <w:rPr>
      <w:rFonts w:ascii="宋体" w:hAnsi="宋体" w:cs="宋体"/>
      <w:kern w:val="0"/>
      <w:sz w:val="24"/>
    </w:rPr>
  </w:style>
  <w:style w:type="paragraph" w:styleId="Index2">
    <w:name w:val="index 2"/>
    <w:basedOn w:val="Normal"/>
    <w:next w:val="Normal"/>
    <w:pPr>
      <w:ind w:left="420" w:hanging="210"/>
      <w:jc w:val="left"/>
    </w:pPr>
    <w:rPr>
      <w:rFonts w:ascii="Calibri" w:hAnsi="Calibri"/>
      <w:sz w:val="20"/>
      <w:szCs w:val="20"/>
    </w:rPr>
  </w:style>
  <w:style w:type="paragraph" w:styleId="Title">
    <w:name w:val="Title"/>
    <w:basedOn w:val="Normal"/>
    <w:next w:val="Normal"/>
    <w:link w:val="Char11"/>
    <w:qFormat/>
    <w:pPr>
      <w:spacing w:before="240" w:after="60"/>
      <w:jc w:val="center"/>
      <w:outlineLvl w:val="0"/>
    </w:pPr>
    <w:rPr>
      <w:rFonts w:ascii="Cambria" w:hAnsi="Cambria"/>
      <w:b/>
      <w:bCs/>
      <w:sz w:val="32"/>
      <w:szCs w:val="32"/>
    </w:rPr>
  </w:style>
  <w:style w:type="paragraph" w:styleId="CommentSubject">
    <w:name w:val="annotation subject"/>
    <w:basedOn w:val="CommentText"/>
    <w:next w:val="CommentText"/>
    <w:link w:val="Char6"/>
    <w:uiPriority w:val="99"/>
    <w:unhideWhenUsed/>
    <w:rPr>
      <w:b/>
      <w:bCs/>
    </w:rPr>
  </w:style>
  <w:style w:type="table" w:styleId="TableGrid">
    <w:name w:val="Table Grid"/>
    <w:basedOn w:val="TableNormal"/>
    <w:rPr>
      <w:rFonts w:ascii="宋体"/>
      <w:sz w:val="18"/>
      <w:szCs w:val="18"/>
    </w:rPr>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ndnoteReference">
    <w:name w:val="endnote reference"/>
    <w:semiHidden/>
    <w:rPr>
      <w:vertAlign w:val="superscript"/>
    </w:rPr>
  </w:style>
  <w:style w:type="character" w:styleId="PageNumber">
    <w:name w:val="page number"/>
    <w:rPr>
      <w:rFonts w:ascii="Times New Roman" w:eastAsia="宋体" w:hAnsi="Times New Roman"/>
      <w:sz w:val="18"/>
    </w:rPr>
  </w:style>
  <w:style w:type="character" w:styleId="FollowedHyperlink">
    <w:name w:val="FollowedHyperlink"/>
    <w:rPr>
      <w:color w:val="800080"/>
      <w:u w:val="single"/>
    </w:rPr>
  </w:style>
  <w:style w:type="character" w:styleId="Hyperlink">
    <w:name w:val="Hyperlink"/>
    <w:uiPriority w:val="99"/>
    <w:rPr>
      <w:color w:val="0000FF"/>
      <w:spacing w:val="0"/>
      <w:w w:val="100"/>
      <w:szCs w:val="21"/>
      <w:u w:val="single"/>
      <w:lang w:val="x-none"/>
    </w:rPr>
  </w:style>
  <w:style w:type="character" w:styleId="CommentReference">
    <w:name w:val="annotation reference"/>
    <w:uiPriority w:val="99"/>
    <w:unhideWhenUsed/>
    <w:rPr>
      <w:sz w:val="21"/>
      <w:szCs w:val="21"/>
    </w:rPr>
  </w:style>
  <w:style w:type="character" w:styleId="FootnoteReference">
    <w:name w:val="footnote reference"/>
    <w:semiHidden/>
    <w:rPr>
      <w:vertAlign w:val="superscript"/>
    </w:rPr>
  </w:style>
  <w:style w:type="character" w:customStyle="1" w:styleId="Char">
    <w:name w:val="段 Char"/>
    <w:link w:val="a"/>
    <w:rPr>
      <w:rFonts w:ascii="宋体"/>
      <w:sz w:val="21"/>
      <w:lang w:val="en-US" w:eastAsia="zh-CN" w:bidi="ar-SA"/>
    </w:rPr>
  </w:style>
  <w:style w:type="paragraph" w:customStyle="1" w:styleId="a0">
    <w:name w:val="一级条标题"/>
    <w:next w:val="a"/>
    <w:pPr>
      <w:numPr>
        <w:ilvl w:val="1"/>
        <w:numId w:val="2"/>
      </w:numPr>
      <w:spacing w:before="156" w:beforeLines="50" w:after="156" w:afterLines="50"/>
      <w:outlineLvl w:val="2"/>
    </w:pPr>
    <w:rPr>
      <w:rFonts w:ascii="黑体" w:eastAsia="黑体"/>
      <w:sz w:val="21"/>
      <w:szCs w:val="21"/>
      <w:lang w:val="en-US" w:eastAsia="zh-CN" w:bidi="ar-SA"/>
    </w:rPr>
  </w:style>
  <w:style w:type="paragraph" w:customStyle="1" w:styleId="a1">
    <w:name w:val="标准书脚_奇数页"/>
    <w:pPr>
      <w:spacing w:before="120"/>
      <w:ind w:right="198"/>
      <w:jc w:val="right"/>
    </w:pPr>
    <w:rPr>
      <w:rFonts w:ascii="宋体"/>
      <w:sz w:val="18"/>
      <w:szCs w:val="18"/>
      <w:lang w:val="en-US" w:eastAsia="zh-CN" w:bidi="ar-SA"/>
    </w:rPr>
  </w:style>
  <w:style w:type="paragraph" w:customStyle="1" w:styleId="a2">
    <w:name w:val="标准书眉_奇数页"/>
    <w:next w:val="Normal"/>
    <w:pPr>
      <w:tabs>
        <w:tab w:val="center" w:pos="4154"/>
        <w:tab w:val="right" w:pos="8306"/>
      </w:tabs>
      <w:spacing w:after="220"/>
      <w:jc w:val="right"/>
    </w:pPr>
    <w:rPr>
      <w:rFonts w:ascii="黑体" w:eastAsia="黑体"/>
      <w:sz w:val="21"/>
      <w:szCs w:val="21"/>
      <w:lang w:val="en-US" w:eastAsia="zh-CN" w:bidi="ar-SA"/>
    </w:rPr>
  </w:style>
  <w:style w:type="paragraph" w:customStyle="1" w:styleId="a3">
    <w:name w:val="章标题"/>
    <w:next w:val="a"/>
    <w:pPr>
      <w:numPr>
        <w:ilvl w:val="0"/>
        <w:numId w:val="2"/>
      </w:numPr>
      <w:spacing w:before="312" w:beforeLines="100" w:after="312" w:afterLines="100"/>
      <w:jc w:val="both"/>
      <w:outlineLvl w:val="1"/>
    </w:pPr>
    <w:rPr>
      <w:rFonts w:ascii="黑体" w:eastAsia="黑体"/>
      <w:sz w:val="21"/>
      <w:lang w:val="en-US" w:eastAsia="zh-CN" w:bidi="ar-SA"/>
    </w:rPr>
  </w:style>
  <w:style w:type="paragraph" w:customStyle="1" w:styleId="a4">
    <w:name w:val="二级条标题"/>
    <w:basedOn w:val="a0"/>
    <w:next w:val="a"/>
    <w:pPr>
      <w:numPr>
        <w:ilvl w:val="2"/>
        <w:numId w:val="2"/>
      </w:numPr>
      <w:spacing w:before="50" w:after="50"/>
      <w:outlineLvl w:val="3"/>
    </w:pPr>
  </w:style>
  <w:style w:type="paragraph" w:customStyle="1" w:styleId="2">
    <w:name w:val="封面标准号2"/>
    <w:pPr>
      <w:framePr w:w="9140" w:h="1242" w:hRule="exact" w:hSpace="284" w:wrap="around" w:vAnchor="page" w:hAnchor="page" w:x="1645" w:y="2910" w:anchorLock="1"/>
      <w:spacing w:before="357" w:line="280" w:lineRule="exact"/>
      <w:jc w:val="right"/>
    </w:pPr>
    <w:rPr>
      <w:rFonts w:ascii="黑体" w:eastAsia="黑体"/>
      <w:sz w:val="28"/>
      <w:szCs w:val="28"/>
      <w:lang w:val="en-US" w:eastAsia="zh-CN" w:bidi="ar-SA"/>
    </w:rPr>
  </w:style>
  <w:style w:type="paragraph" w:customStyle="1" w:styleId="a5">
    <w:name w:val="列项——（一级）"/>
    <w:pPr>
      <w:widowControl w:val="0"/>
      <w:numPr>
        <w:ilvl w:val="0"/>
        <w:numId w:val="3"/>
      </w:numPr>
      <w:jc w:val="both"/>
    </w:pPr>
    <w:rPr>
      <w:rFonts w:ascii="宋体"/>
      <w:sz w:val="21"/>
      <w:lang w:val="en-US" w:eastAsia="zh-CN" w:bidi="ar-SA"/>
    </w:rPr>
  </w:style>
  <w:style w:type="paragraph" w:customStyle="1" w:styleId="a6">
    <w:name w:val="列项●（二级）"/>
    <w:pPr>
      <w:numPr>
        <w:ilvl w:val="1"/>
        <w:numId w:val="3"/>
      </w:numPr>
      <w:tabs>
        <w:tab w:val="left" w:pos="840"/>
      </w:tabs>
      <w:jc w:val="both"/>
    </w:pPr>
    <w:rPr>
      <w:rFonts w:ascii="宋体"/>
      <w:sz w:val="21"/>
      <w:lang w:val="en-US" w:eastAsia="zh-CN" w:bidi="ar-SA"/>
    </w:rPr>
  </w:style>
  <w:style w:type="paragraph" w:customStyle="1" w:styleId="a7">
    <w:name w:val="目次、标准名称标题"/>
    <w:basedOn w:val="Normal"/>
    <w:next w:val="a"/>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8">
    <w:name w:val="三级条标题"/>
    <w:basedOn w:val="a4"/>
    <w:next w:val="a"/>
    <w:pPr>
      <w:numPr>
        <w:ilvl w:val="0"/>
        <w:numId w:val="0"/>
      </w:numPr>
      <w:outlineLvl w:val="4"/>
    </w:pPr>
  </w:style>
  <w:style w:type="paragraph" w:customStyle="1" w:styleId="a9">
    <w:name w:val="示例"/>
    <w:next w:val="a10"/>
    <w:pPr>
      <w:widowControl w:val="0"/>
      <w:numPr>
        <w:ilvl w:val="0"/>
        <w:numId w:val="4"/>
      </w:numPr>
      <w:jc w:val="both"/>
    </w:pPr>
    <w:rPr>
      <w:rFonts w:ascii="宋体"/>
      <w:sz w:val="18"/>
      <w:szCs w:val="18"/>
      <w:lang w:val="en-US" w:eastAsia="zh-CN" w:bidi="ar-SA"/>
    </w:rPr>
  </w:style>
  <w:style w:type="paragraph" w:customStyle="1" w:styleId="a10">
    <w:name w:val="示例内容"/>
    <w:pPr>
      <w:ind w:firstLine="200" w:firstLineChars="200"/>
    </w:pPr>
    <w:rPr>
      <w:rFonts w:ascii="宋体"/>
      <w:sz w:val="18"/>
      <w:szCs w:val="18"/>
      <w:lang w:val="en-US" w:eastAsia="zh-CN" w:bidi="ar-SA"/>
    </w:rPr>
  </w:style>
  <w:style w:type="paragraph" w:customStyle="1" w:styleId="a11">
    <w:name w:val="数字编号列项（二级）"/>
    <w:pPr>
      <w:numPr>
        <w:ilvl w:val="1"/>
        <w:numId w:val="5"/>
      </w:numPr>
      <w:jc w:val="both"/>
    </w:pPr>
    <w:rPr>
      <w:rFonts w:ascii="宋体"/>
      <w:sz w:val="21"/>
      <w:lang w:val="en-US" w:eastAsia="zh-CN" w:bidi="ar-SA"/>
    </w:rPr>
  </w:style>
  <w:style w:type="paragraph" w:customStyle="1" w:styleId="a12">
    <w:name w:val="四级条标题"/>
    <w:basedOn w:val="a8"/>
    <w:next w:val="a"/>
    <w:pPr>
      <w:numPr>
        <w:ilvl w:val="4"/>
        <w:numId w:val="2"/>
      </w:numPr>
      <w:outlineLvl w:val="5"/>
    </w:pPr>
  </w:style>
  <w:style w:type="paragraph" w:customStyle="1" w:styleId="a13">
    <w:name w:val="五级条标题"/>
    <w:basedOn w:val="a12"/>
    <w:next w:val="a"/>
    <w:pPr>
      <w:numPr>
        <w:ilvl w:val="5"/>
        <w:numId w:val="2"/>
      </w:numPr>
      <w:outlineLvl w:val="6"/>
    </w:pPr>
  </w:style>
  <w:style w:type="paragraph" w:customStyle="1" w:styleId="a14">
    <w:name w:val="注："/>
    <w:next w:val="a"/>
    <w:pPr>
      <w:widowControl w:val="0"/>
      <w:numPr>
        <w:ilvl w:val="0"/>
        <w:numId w:val="6"/>
      </w:numPr>
      <w:autoSpaceDE w:val="0"/>
      <w:autoSpaceDN w:val="0"/>
      <w:jc w:val="both"/>
    </w:pPr>
    <w:rPr>
      <w:rFonts w:ascii="宋体"/>
      <w:sz w:val="18"/>
      <w:szCs w:val="18"/>
      <w:lang w:val="en-US" w:eastAsia="zh-CN" w:bidi="ar-SA"/>
    </w:rPr>
  </w:style>
  <w:style w:type="paragraph" w:customStyle="1" w:styleId="a15">
    <w:name w:val="注×："/>
    <w:pPr>
      <w:widowControl w:val="0"/>
      <w:numPr>
        <w:ilvl w:val="0"/>
        <w:numId w:val="7"/>
      </w:numPr>
      <w:autoSpaceDE w:val="0"/>
      <w:autoSpaceDN w:val="0"/>
      <w:jc w:val="both"/>
    </w:pPr>
    <w:rPr>
      <w:rFonts w:ascii="宋体"/>
      <w:sz w:val="18"/>
      <w:szCs w:val="18"/>
      <w:lang w:val="en-US" w:eastAsia="zh-CN" w:bidi="ar-SA"/>
    </w:rPr>
  </w:style>
  <w:style w:type="paragraph" w:customStyle="1" w:styleId="a16">
    <w:name w:val="字母编号列项（一级）"/>
    <w:pPr>
      <w:numPr>
        <w:ilvl w:val="0"/>
        <w:numId w:val="5"/>
      </w:numPr>
      <w:jc w:val="both"/>
    </w:pPr>
    <w:rPr>
      <w:rFonts w:ascii="宋体"/>
      <w:sz w:val="21"/>
      <w:lang w:val="en-US" w:eastAsia="zh-CN" w:bidi="ar-SA"/>
    </w:rPr>
  </w:style>
  <w:style w:type="paragraph" w:customStyle="1" w:styleId="a17">
    <w:name w:val="列项◆（三级）"/>
    <w:basedOn w:val="Normal"/>
    <w:pPr>
      <w:numPr>
        <w:ilvl w:val="2"/>
        <w:numId w:val="3"/>
      </w:numPr>
    </w:pPr>
    <w:rPr>
      <w:rFonts w:ascii="宋体"/>
      <w:szCs w:val="21"/>
    </w:rPr>
  </w:style>
  <w:style w:type="paragraph" w:customStyle="1" w:styleId="a18">
    <w:name w:val="编号列项（三级）"/>
    <w:rPr>
      <w:rFonts w:ascii="宋体"/>
      <w:sz w:val="21"/>
      <w:lang w:val="en-US" w:eastAsia="zh-CN" w:bidi="ar-SA"/>
    </w:rPr>
  </w:style>
  <w:style w:type="paragraph" w:customStyle="1" w:styleId="a19">
    <w:name w:val="示例×："/>
    <w:basedOn w:val="a3"/>
    <w:qFormat/>
    <w:pPr>
      <w:numPr>
        <w:ilvl w:val="0"/>
        <w:numId w:val="8"/>
      </w:numPr>
      <w:spacing w:before="0" w:beforeLines="0" w:after="0" w:afterLines="0"/>
      <w:outlineLvl w:val="9"/>
    </w:pPr>
    <w:rPr>
      <w:rFonts w:ascii="宋体" w:eastAsia="宋体"/>
      <w:sz w:val="18"/>
      <w:szCs w:val="18"/>
    </w:rPr>
  </w:style>
  <w:style w:type="paragraph" w:customStyle="1" w:styleId="a20">
    <w:name w:val="二级无"/>
    <w:basedOn w:val="a4"/>
    <w:pPr>
      <w:spacing w:before="0" w:beforeLines="0" w:after="0" w:afterLines="0"/>
    </w:pPr>
    <w:rPr>
      <w:rFonts w:ascii="宋体" w:eastAsia="宋体"/>
    </w:rPr>
  </w:style>
  <w:style w:type="paragraph" w:customStyle="1" w:styleId="a21">
    <w:name w:val="注：（正文）"/>
    <w:basedOn w:val="a14"/>
    <w:next w:val="a"/>
    <w:pPr>
      <w:numPr>
        <w:ilvl w:val="0"/>
        <w:numId w:val="9"/>
      </w:numPr>
    </w:pPr>
  </w:style>
  <w:style w:type="paragraph" w:customStyle="1" w:styleId="a22">
    <w:name w:val="注×：（正文）"/>
    <w:pPr>
      <w:numPr>
        <w:ilvl w:val="0"/>
        <w:numId w:val="10"/>
      </w:numPr>
      <w:jc w:val="both"/>
    </w:pPr>
    <w:rPr>
      <w:rFonts w:ascii="宋体"/>
      <w:sz w:val="18"/>
      <w:szCs w:val="18"/>
      <w:lang w:val="en-US" w:eastAsia="zh-CN" w:bidi="ar-SA"/>
    </w:rPr>
  </w:style>
  <w:style w:type="paragraph" w:customStyle="1" w:styleId="a23">
    <w:name w:val="标准标志"/>
    <w:next w:val="Normal"/>
    <w:pPr>
      <w:framePr w:w="2546" w:h="1389" w:hRule="exact" w:hSpace="181" w:vSpace="181" w:wrap="around" w:vAnchor="margin" w:hAnchor="margin" w:x="6522" w:y="398" w:anchorLock="1"/>
      <w:shd w:val="solid" w:color="FFFFFF" w:fill="FFFFFF"/>
      <w:spacing w:line="0" w:lineRule="atLeast"/>
      <w:jc w:val="right"/>
    </w:pPr>
    <w:rPr>
      <w:b/>
      <w:w w:val="170"/>
      <w:sz w:val="96"/>
      <w:szCs w:val="96"/>
      <w:lang w:val="en-US" w:eastAsia="zh-CN" w:bidi="ar-SA"/>
    </w:rPr>
  </w:style>
  <w:style w:type="paragraph" w:customStyle="1" w:styleId="a24">
    <w:name w:val="标准称谓"/>
    <w:next w:val="Normal"/>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lang w:val="en-US" w:eastAsia="zh-CN" w:bidi="ar-SA"/>
    </w:rPr>
  </w:style>
  <w:style w:type="paragraph" w:customStyle="1" w:styleId="a25">
    <w:name w:val="标准书脚_偶数页"/>
    <w:pPr>
      <w:spacing w:before="120"/>
      <w:ind w:left="221"/>
    </w:pPr>
    <w:rPr>
      <w:rFonts w:ascii="宋体"/>
      <w:sz w:val="18"/>
      <w:szCs w:val="18"/>
      <w:lang w:val="en-US" w:eastAsia="zh-CN" w:bidi="ar-SA"/>
    </w:rPr>
  </w:style>
  <w:style w:type="paragraph" w:customStyle="1" w:styleId="a26">
    <w:name w:val="标准书眉_偶数页"/>
    <w:basedOn w:val="a2"/>
    <w:next w:val="Normal"/>
    <w:pPr>
      <w:jc w:val="left"/>
    </w:pPr>
    <w:rPr>
      <w:rFonts w:ascii="黑体" w:eastAsia="黑体"/>
    </w:rPr>
  </w:style>
  <w:style w:type="paragraph" w:customStyle="1" w:styleId="a27">
    <w:name w:val="标准书眉一"/>
    <w:pPr>
      <w:jc w:val="both"/>
    </w:pPr>
    <w:rPr>
      <w:lang w:val="en-US" w:eastAsia="zh-CN" w:bidi="ar-SA"/>
    </w:rPr>
  </w:style>
  <w:style w:type="paragraph" w:customStyle="1" w:styleId="a28">
    <w:name w:val="参考文献"/>
    <w:basedOn w:val="Normal"/>
    <w:next w:val="a"/>
    <w:pPr>
      <w:keepNext/>
      <w:pageBreakBefore/>
      <w:widowControl/>
      <w:shd w:val="clear" w:color="FFFFFF" w:fill="FFFFFF"/>
      <w:spacing w:before="640" w:after="200"/>
      <w:jc w:val="center"/>
      <w:outlineLvl w:val="0"/>
    </w:pPr>
    <w:rPr>
      <w:rFonts w:ascii="黑体" w:eastAsia="黑体"/>
      <w:kern w:val="0"/>
      <w:szCs w:val="20"/>
    </w:rPr>
  </w:style>
  <w:style w:type="paragraph" w:customStyle="1" w:styleId="a29">
    <w:name w:val="参考文献、索引标题"/>
    <w:basedOn w:val="Normal"/>
    <w:next w:val="a"/>
    <w:pPr>
      <w:keepNext/>
      <w:pageBreakBefore/>
      <w:widowControl/>
      <w:shd w:val="clear" w:color="FFFFFF" w:fill="FFFFFF"/>
      <w:spacing w:before="640" w:after="200"/>
      <w:jc w:val="center"/>
      <w:outlineLvl w:val="0"/>
    </w:pPr>
    <w:rPr>
      <w:rFonts w:ascii="黑体" w:eastAsia="黑体"/>
      <w:kern w:val="0"/>
      <w:szCs w:val="20"/>
    </w:rPr>
  </w:style>
  <w:style w:type="character" w:customStyle="1" w:styleId="a30">
    <w:name w:val="发布"/>
    <w:rPr>
      <w:rFonts w:ascii="黑体" w:eastAsia="黑体"/>
      <w:spacing w:val="85"/>
      <w:w w:val="100"/>
      <w:position w:val="3"/>
      <w:sz w:val="28"/>
      <w:szCs w:val="28"/>
    </w:rPr>
  </w:style>
  <w:style w:type="paragraph" w:customStyle="1" w:styleId="a31">
    <w:name w:val="发布部门"/>
    <w:next w:val="a"/>
    <w:pPr>
      <w:framePr w:w="7938" w:h="1134" w:hRule="exact" w:hSpace="125" w:vSpace="181" w:wrap="around" w:vAnchor="page" w:hAnchor="page" w:x="2150" w:y="14630" w:anchorLock="1"/>
      <w:jc w:val="center"/>
    </w:pPr>
    <w:rPr>
      <w:rFonts w:ascii="宋体"/>
      <w:b/>
      <w:spacing w:val="20"/>
      <w:w w:val="135"/>
      <w:sz w:val="28"/>
      <w:lang w:val="en-US" w:eastAsia="zh-CN" w:bidi="ar-SA"/>
    </w:rPr>
  </w:style>
  <w:style w:type="paragraph" w:customStyle="1" w:styleId="a32">
    <w:name w:val="发布日期"/>
    <w:pPr>
      <w:framePr w:w="3997" w:h="471" w:hRule="exact" w:vSpace="181" w:wrap="around" w:vAnchor="margin" w:hAnchor="page" w:x="7089" w:y="14097" w:anchorLock="1"/>
    </w:pPr>
    <w:rPr>
      <w:rFonts w:eastAsia="黑体"/>
      <w:sz w:val="28"/>
      <w:lang w:val="en-US" w:eastAsia="zh-CN" w:bidi="ar-SA"/>
    </w:rPr>
  </w:style>
  <w:style w:type="paragraph" w:customStyle="1" w:styleId="a33">
    <w:name w:val="封面标准代替信息"/>
    <w:pPr>
      <w:framePr w:w="9140" w:h="1242" w:hRule="exact" w:hSpace="284" w:wrap="around" w:vAnchor="page" w:hAnchor="page" w:x="1645" w:y="2910" w:anchorLock="1"/>
      <w:spacing w:before="57" w:line="280" w:lineRule="exact"/>
      <w:jc w:val="right"/>
    </w:pPr>
    <w:rPr>
      <w:rFonts w:ascii="宋体"/>
      <w:sz w:val="21"/>
      <w:szCs w:val="21"/>
      <w:lang w:val="en-US" w:eastAsia="zh-CN" w:bidi="ar-SA"/>
    </w:rPr>
  </w:style>
  <w:style w:type="paragraph" w:customStyle="1" w:styleId="1">
    <w:name w:val="封面标准号1"/>
    <w:pPr>
      <w:widowControl w:val="0"/>
      <w:kinsoku w:val="0"/>
      <w:overflowPunct w:val="0"/>
      <w:autoSpaceDE w:val="0"/>
      <w:autoSpaceDN w:val="0"/>
      <w:spacing w:before="308"/>
      <w:jc w:val="right"/>
      <w:textAlignment w:val="center"/>
    </w:pPr>
    <w:rPr>
      <w:sz w:val="28"/>
      <w:lang w:val="en-US" w:eastAsia="zh-CN" w:bidi="ar-SA"/>
    </w:rPr>
  </w:style>
  <w:style w:type="paragraph" w:customStyle="1" w:styleId="a34">
    <w:name w:val="封面标准名称"/>
    <w:pPr>
      <w:framePr w:w="9639" w:h="6917" w:hRule="exact" w:wrap="around" w:vAnchor="page" w:hAnchor="page" w:xAlign="center" w:y="6408" w:anchorLock="1"/>
      <w:widowControl w:val="0"/>
      <w:spacing w:line="680" w:lineRule="exact"/>
      <w:jc w:val="center"/>
      <w:textAlignment w:val="center"/>
    </w:pPr>
    <w:rPr>
      <w:rFonts w:ascii="黑体" w:eastAsia="黑体"/>
      <w:sz w:val="52"/>
      <w:lang w:val="en-US" w:eastAsia="zh-CN" w:bidi="ar-SA"/>
    </w:rPr>
  </w:style>
  <w:style w:type="paragraph" w:customStyle="1" w:styleId="a35">
    <w:name w:val="封面标准英文名称"/>
    <w:basedOn w:val="a34"/>
    <w:pPr>
      <w:spacing w:before="370" w:line="400" w:lineRule="exact"/>
    </w:pPr>
    <w:rPr>
      <w:rFonts w:ascii="Times New Roman"/>
      <w:sz w:val="28"/>
      <w:szCs w:val="28"/>
    </w:rPr>
  </w:style>
  <w:style w:type="paragraph" w:customStyle="1" w:styleId="a36">
    <w:name w:val="封面一致性程度标识"/>
    <w:basedOn w:val="a35"/>
    <w:pPr>
      <w:spacing w:before="440"/>
    </w:pPr>
    <w:rPr>
      <w:rFonts w:ascii="宋体" w:eastAsia="宋体"/>
    </w:rPr>
  </w:style>
  <w:style w:type="paragraph" w:customStyle="1" w:styleId="a37">
    <w:name w:val="封面标准文稿类别"/>
    <w:basedOn w:val="a36"/>
    <w:pPr>
      <w:spacing w:after="160" w:line="240" w:lineRule="auto"/>
    </w:pPr>
    <w:rPr>
      <w:sz w:val="24"/>
    </w:rPr>
  </w:style>
  <w:style w:type="paragraph" w:customStyle="1" w:styleId="a38">
    <w:name w:val="封面标准文稿编辑信息"/>
    <w:basedOn w:val="a37"/>
    <w:pPr>
      <w:spacing w:before="180" w:line="180" w:lineRule="exact"/>
    </w:pPr>
    <w:rPr>
      <w:sz w:val="21"/>
    </w:rPr>
  </w:style>
  <w:style w:type="paragraph" w:customStyle="1" w:styleId="a39">
    <w:name w:val="封面正文"/>
    <w:pPr>
      <w:jc w:val="both"/>
    </w:pPr>
    <w:rPr>
      <w:lang w:val="en-US" w:eastAsia="zh-CN" w:bidi="ar-SA"/>
    </w:rPr>
  </w:style>
  <w:style w:type="paragraph" w:customStyle="1" w:styleId="a40">
    <w:name w:val="附录标识"/>
    <w:basedOn w:val="Normal"/>
    <w:next w:val="a"/>
    <w:pPr>
      <w:keepNext/>
      <w:widowControl/>
      <w:numPr>
        <w:ilvl w:val="0"/>
        <w:numId w:val="11"/>
      </w:numPr>
      <w:shd w:val="clear" w:color="FFFFFF" w:fill="FFFFFF"/>
      <w:tabs>
        <w:tab w:val="left" w:pos="6405"/>
      </w:tabs>
      <w:spacing w:before="640" w:after="280"/>
      <w:jc w:val="center"/>
      <w:outlineLvl w:val="0"/>
    </w:pPr>
    <w:rPr>
      <w:rFonts w:ascii="黑体" w:eastAsia="黑体"/>
      <w:kern w:val="0"/>
      <w:szCs w:val="20"/>
    </w:rPr>
  </w:style>
  <w:style w:type="paragraph" w:customStyle="1" w:styleId="a41">
    <w:name w:val="附录标题"/>
    <w:basedOn w:val="a"/>
    <w:next w:val="a"/>
    <w:pPr>
      <w:ind w:firstLine="0" w:firstLineChars="0"/>
      <w:jc w:val="center"/>
    </w:pPr>
    <w:rPr>
      <w:rFonts w:ascii="黑体" w:eastAsia="黑体"/>
    </w:rPr>
  </w:style>
  <w:style w:type="paragraph" w:customStyle="1" w:styleId="a42">
    <w:name w:val="附录表标号"/>
    <w:basedOn w:val="Normal"/>
    <w:next w:val="a"/>
    <w:pPr>
      <w:numPr>
        <w:ilvl w:val="0"/>
        <w:numId w:val="12"/>
      </w:numPr>
      <w:spacing w:line="14" w:lineRule="exact"/>
      <w:jc w:val="center"/>
      <w:outlineLvl w:val="0"/>
    </w:pPr>
    <w:rPr>
      <w:color w:val="FFFFFF"/>
    </w:rPr>
  </w:style>
  <w:style w:type="paragraph" w:customStyle="1" w:styleId="a43">
    <w:name w:val="附录表标题"/>
    <w:basedOn w:val="Normal"/>
    <w:next w:val="a"/>
    <w:pPr>
      <w:numPr>
        <w:ilvl w:val="1"/>
        <w:numId w:val="12"/>
      </w:numPr>
      <w:spacing w:before="50" w:beforeLines="50" w:after="50" w:afterLines="50"/>
      <w:jc w:val="center"/>
    </w:pPr>
    <w:rPr>
      <w:rFonts w:ascii="黑体" w:eastAsia="黑体"/>
      <w:szCs w:val="21"/>
    </w:rPr>
  </w:style>
  <w:style w:type="paragraph" w:customStyle="1" w:styleId="a44">
    <w:name w:val="附录二级条标题"/>
    <w:basedOn w:val="Normal"/>
    <w:next w:val="a"/>
    <w:pPr>
      <w:widowControl/>
      <w:numPr>
        <w:ilvl w:val="3"/>
        <w:numId w:val="11"/>
      </w:numPr>
      <w:tabs>
        <w:tab w:val="left" w:pos="360"/>
      </w:tabs>
      <w:wordWrap w:val="0"/>
      <w:overflowPunct w:val="0"/>
      <w:autoSpaceDE w:val="0"/>
      <w:autoSpaceDN w:val="0"/>
      <w:spacing w:before="50" w:beforeLines="50" w:after="50" w:afterLines="50"/>
      <w:textAlignment w:val="baseline"/>
      <w:outlineLvl w:val="3"/>
    </w:pPr>
    <w:rPr>
      <w:rFonts w:ascii="黑体" w:eastAsia="黑体"/>
      <w:kern w:val="21"/>
      <w:szCs w:val="20"/>
    </w:rPr>
  </w:style>
  <w:style w:type="paragraph" w:customStyle="1" w:styleId="a45">
    <w:name w:val="附录二级无"/>
    <w:basedOn w:val="a44"/>
    <w:pPr>
      <w:tabs>
        <w:tab w:val="clear" w:pos="360"/>
      </w:tabs>
      <w:spacing w:before="0" w:beforeLines="0" w:after="0" w:afterLines="0"/>
    </w:pPr>
    <w:rPr>
      <w:rFonts w:ascii="宋体" w:eastAsia="宋体"/>
      <w:szCs w:val="21"/>
    </w:rPr>
  </w:style>
  <w:style w:type="paragraph" w:customStyle="1" w:styleId="a46">
    <w:name w:val="附录公式"/>
    <w:basedOn w:val="a"/>
    <w:next w:val="a"/>
    <w:link w:val="Char0"/>
    <w:qFormat/>
  </w:style>
  <w:style w:type="character" w:customStyle="1" w:styleId="Char0">
    <w:name w:val="附录公式 Char"/>
    <w:basedOn w:val="Char"/>
    <w:link w:val="a46"/>
  </w:style>
  <w:style w:type="paragraph" w:customStyle="1" w:styleId="a47">
    <w:name w:val="附录公式编号制表符"/>
    <w:basedOn w:val="Normal"/>
    <w:next w:val="a"/>
    <w:qFormat/>
    <w:pPr>
      <w:widowControl/>
      <w:tabs>
        <w:tab w:val="center" w:pos="4201"/>
        <w:tab w:val="right" w:leader="dot" w:pos="9298"/>
      </w:tabs>
      <w:autoSpaceDE w:val="0"/>
      <w:autoSpaceDN w:val="0"/>
    </w:pPr>
    <w:rPr>
      <w:rFonts w:ascii="宋体"/>
      <w:kern w:val="0"/>
      <w:szCs w:val="20"/>
      <w:lang w:val="x-none"/>
    </w:rPr>
  </w:style>
  <w:style w:type="paragraph" w:customStyle="1" w:styleId="a48">
    <w:name w:val="附录三级条标题"/>
    <w:basedOn w:val="a44"/>
    <w:next w:val="a"/>
    <w:pPr>
      <w:numPr>
        <w:ilvl w:val="4"/>
        <w:numId w:val="11"/>
      </w:numPr>
      <w:outlineLvl w:val="4"/>
    </w:pPr>
  </w:style>
  <w:style w:type="paragraph" w:customStyle="1" w:styleId="a49">
    <w:name w:val="附录三级无"/>
    <w:basedOn w:val="a48"/>
    <w:pPr>
      <w:tabs>
        <w:tab w:val="clear" w:pos="360"/>
      </w:tabs>
      <w:spacing w:before="0" w:beforeLines="0" w:after="0" w:afterLines="0"/>
    </w:pPr>
    <w:rPr>
      <w:rFonts w:ascii="宋体" w:eastAsia="宋体"/>
      <w:szCs w:val="21"/>
    </w:rPr>
  </w:style>
  <w:style w:type="paragraph" w:customStyle="1" w:styleId="a50">
    <w:name w:val="附录数字编号列项（二级）"/>
    <w:qFormat/>
    <w:pPr>
      <w:numPr>
        <w:ilvl w:val="1"/>
        <w:numId w:val="13"/>
      </w:numPr>
    </w:pPr>
    <w:rPr>
      <w:rFonts w:ascii="宋体"/>
      <w:sz w:val="21"/>
      <w:lang w:val="en-US" w:eastAsia="zh-CN" w:bidi="ar-SA"/>
    </w:rPr>
  </w:style>
  <w:style w:type="paragraph" w:customStyle="1" w:styleId="a51">
    <w:name w:val="附录四级条标题"/>
    <w:basedOn w:val="a48"/>
    <w:next w:val="a"/>
    <w:pPr>
      <w:numPr>
        <w:ilvl w:val="5"/>
        <w:numId w:val="11"/>
      </w:numPr>
      <w:outlineLvl w:val="5"/>
    </w:pPr>
  </w:style>
  <w:style w:type="paragraph" w:customStyle="1" w:styleId="a52">
    <w:name w:val="附录四级无"/>
    <w:basedOn w:val="a51"/>
    <w:pPr>
      <w:tabs>
        <w:tab w:val="clear" w:pos="360"/>
      </w:tabs>
      <w:spacing w:before="0" w:beforeLines="0" w:after="0" w:afterLines="0"/>
    </w:pPr>
    <w:rPr>
      <w:rFonts w:ascii="宋体" w:eastAsia="宋体"/>
      <w:szCs w:val="21"/>
    </w:rPr>
  </w:style>
  <w:style w:type="paragraph" w:customStyle="1" w:styleId="a53">
    <w:name w:val="附录图标号"/>
    <w:basedOn w:val="Normal"/>
    <w:pPr>
      <w:keepNext/>
      <w:pageBreakBefore/>
      <w:widowControl/>
      <w:numPr>
        <w:ilvl w:val="0"/>
        <w:numId w:val="14"/>
      </w:numPr>
      <w:spacing w:line="14" w:lineRule="exact"/>
      <w:ind w:left="0" w:firstLine="363"/>
      <w:jc w:val="center"/>
      <w:outlineLvl w:val="0"/>
    </w:pPr>
    <w:rPr>
      <w:color w:val="FFFFFF"/>
    </w:rPr>
  </w:style>
  <w:style w:type="paragraph" w:customStyle="1" w:styleId="a54">
    <w:name w:val="附录图标题"/>
    <w:basedOn w:val="Normal"/>
    <w:next w:val="a"/>
    <w:pPr>
      <w:numPr>
        <w:ilvl w:val="1"/>
        <w:numId w:val="14"/>
      </w:numPr>
      <w:tabs>
        <w:tab w:val="left" w:pos="363"/>
      </w:tabs>
      <w:spacing w:before="50" w:beforeLines="50" w:after="50" w:afterLines="50"/>
      <w:ind w:left="0" w:firstLine="0"/>
      <w:jc w:val="center"/>
    </w:pPr>
    <w:rPr>
      <w:rFonts w:ascii="黑体" w:eastAsia="黑体"/>
      <w:szCs w:val="21"/>
    </w:rPr>
  </w:style>
  <w:style w:type="paragraph" w:customStyle="1" w:styleId="a55">
    <w:name w:val="附录五级条标题"/>
    <w:basedOn w:val="a51"/>
    <w:next w:val="a"/>
    <w:pPr>
      <w:numPr>
        <w:ilvl w:val="6"/>
        <w:numId w:val="11"/>
      </w:numPr>
      <w:outlineLvl w:val="6"/>
    </w:pPr>
  </w:style>
  <w:style w:type="paragraph" w:customStyle="1" w:styleId="a56">
    <w:name w:val="附录五级无"/>
    <w:basedOn w:val="a55"/>
    <w:pPr>
      <w:tabs>
        <w:tab w:val="clear" w:pos="360"/>
      </w:tabs>
      <w:spacing w:before="0" w:beforeLines="0" w:after="0" w:afterLines="0"/>
    </w:pPr>
    <w:rPr>
      <w:rFonts w:ascii="宋体" w:eastAsia="宋体"/>
      <w:szCs w:val="21"/>
    </w:rPr>
  </w:style>
  <w:style w:type="paragraph" w:customStyle="1" w:styleId="a57">
    <w:name w:val="附录章标题"/>
    <w:next w:val="a"/>
    <w:pPr>
      <w:numPr>
        <w:ilvl w:val="1"/>
        <w:numId w:val="11"/>
      </w:numPr>
      <w:tabs>
        <w:tab w:val="left" w:pos="360"/>
      </w:tabs>
      <w:wordWrap w:val="0"/>
      <w:overflowPunct w:val="0"/>
      <w:autoSpaceDE w:val="0"/>
      <w:spacing w:before="100" w:beforeLines="100" w:after="100" w:afterLines="100"/>
      <w:jc w:val="both"/>
      <w:textAlignment w:val="baseline"/>
      <w:outlineLvl w:val="1"/>
    </w:pPr>
    <w:rPr>
      <w:rFonts w:ascii="黑体" w:eastAsia="黑体"/>
      <w:kern w:val="21"/>
      <w:sz w:val="21"/>
      <w:lang w:val="en-US" w:eastAsia="zh-CN" w:bidi="ar-SA"/>
    </w:rPr>
  </w:style>
  <w:style w:type="paragraph" w:customStyle="1" w:styleId="a58">
    <w:name w:val="附录一级条标题"/>
    <w:basedOn w:val="a57"/>
    <w:next w:val="a"/>
    <w:pPr>
      <w:numPr>
        <w:ilvl w:val="2"/>
        <w:numId w:val="11"/>
      </w:numPr>
      <w:autoSpaceDN w:val="0"/>
      <w:spacing w:before="50" w:beforeLines="50" w:after="50" w:afterLines="50"/>
      <w:outlineLvl w:val="2"/>
    </w:pPr>
  </w:style>
  <w:style w:type="paragraph" w:customStyle="1" w:styleId="a59">
    <w:name w:val="附录一级无"/>
    <w:basedOn w:val="a58"/>
    <w:pPr>
      <w:tabs>
        <w:tab w:val="clear" w:pos="360"/>
      </w:tabs>
      <w:spacing w:before="0" w:beforeLines="0" w:after="0" w:afterLines="0"/>
    </w:pPr>
    <w:rPr>
      <w:rFonts w:ascii="宋体" w:eastAsia="宋体"/>
      <w:szCs w:val="21"/>
    </w:rPr>
  </w:style>
  <w:style w:type="paragraph" w:customStyle="1" w:styleId="a60">
    <w:name w:val="附录字母编号列项（一级）"/>
    <w:qFormat/>
    <w:pPr>
      <w:numPr>
        <w:ilvl w:val="0"/>
        <w:numId w:val="13"/>
      </w:numPr>
    </w:pPr>
    <w:rPr>
      <w:rFonts w:ascii="宋体"/>
      <w:sz w:val="21"/>
      <w:lang w:val="en-US" w:eastAsia="zh-CN" w:bidi="ar-SA"/>
    </w:rPr>
  </w:style>
  <w:style w:type="paragraph" w:customStyle="1" w:styleId="a61">
    <w:name w:val="列项说明"/>
    <w:basedOn w:val="Normal"/>
    <w:pPr>
      <w:adjustRightInd w:val="0"/>
      <w:spacing w:line="320" w:lineRule="exact"/>
      <w:ind w:left="400" w:hanging="200" w:leftChars="200" w:hangingChars="200"/>
      <w:jc w:val="left"/>
      <w:textAlignment w:val="baseline"/>
    </w:pPr>
    <w:rPr>
      <w:rFonts w:ascii="宋体"/>
      <w:kern w:val="0"/>
      <w:szCs w:val="20"/>
    </w:rPr>
  </w:style>
  <w:style w:type="paragraph" w:customStyle="1" w:styleId="a62">
    <w:name w:val="列项说明数字编号"/>
    <w:pPr>
      <w:ind w:left="600" w:hanging="200" w:leftChars="400" w:hangingChars="200"/>
    </w:pPr>
    <w:rPr>
      <w:rFonts w:ascii="宋体"/>
      <w:sz w:val="21"/>
      <w:lang w:val="en-US" w:eastAsia="zh-CN" w:bidi="ar-SA"/>
    </w:rPr>
  </w:style>
  <w:style w:type="paragraph" w:customStyle="1" w:styleId="a63">
    <w:name w:val="目次、索引正文"/>
    <w:pPr>
      <w:spacing w:line="320" w:lineRule="exact"/>
      <w:jc w:val="both"/>
    </w:pPr>
    <w:rPr>
      <w:rFonts w:ascii="宋体"/>
      <w:sz w:val="21"/>
      <w:lang w:val="en-US" w:eastAsia="zh-CN" w:bidi="ar-SA"/>
    </w:rPr>
  </w:style>
  <w:style w:type="paragraph" w:customStyle="1" w:styleId="a64">
    <w:name w:val="其他标准标志"/>
    <w:basedOn w:val="a23"/>
    <w:pPr>
      <w:framePr w:w="6101" w:vAnchor="page" w:hAnchor="page" w:x="4673" w:y="942"/>
    </w:pPr>
    <w:rPr>
      <w:w w:val="130"/>
    </w:rPr>
  </w:style>
  <w:style w:type="paragraph" w:customStyle="1" w:styleId="a65">
    <w:name w:val="其他标准称谓"/>
    <w:next w:val="Normal"/>
    <w:pPr>
      <w:framePr w:hSpace="181" w:vSpace="181" w:wrap="around" w:vAnchor="page" w:hAnchor="page" w:x="1419" w:y="2286" w:anchorLock="1"/>
      <w:spacing w:line="0" w:lineRule="atLeast"/>
      <w:jc w:val="distribute"/>
    </w:pPr>
    <w:rPr>
      <w:rFonts w:ascii="黑体" w:eastAsia="黑体" w:hAnsi="宋体"/>
      <w:spacing w:val="-40"/>
      <w:sz w:val="48"/>
      <w:szCs w:val="52"/>
      <w:lang w:val="en-US" w:eastAsia="zh-CN" w:bidi="ar-SA"/>
    </w:rPr>
  </w:style>
  <w:style w:type="paragraph" w:customStyle="1" w:styleId="a66">
    <w:name w:val="其他发布部门"/>
    <w:basedOn w:val="a31"/>
    <w:pPr>
      <w:framePr w:y="15310"/>
      <w:spacing w:line="0" w:lineRule="atLeast"/>
    </w:pPr>
    <w:rPr>
      <w:rFonts w:ascii="黑体" w:eastAsia="黑体"/>
      <w:b w:val="0"/>
    </w:rPr>
  </w:style>
  <w:style w:type="paragraph" w:customStyle="1" w:styleId="a67">
    <w:name w:val="前言、引言标题"/>
    <w:next w:val="a"/>
    <w:pPr>
      <w:keepNext/>
      <w:pageBreakBefore/>
      <w:shd w:val="clear" w:color="FFFFFF" w:fill="FFFFFF"/>
      <w:spacing w:before="640" w:after="560"/>
      <w:jc w:val="center"/>
      <w:outlineLvl w:val="0"/>
    </w:pPr>
    <w:rPr>
      <w:rFonts w:ascii="黑体" w:eastAsia="黑体"/>
      <w:sz w:val="32"/>
      <w:lang w:val="en-US" w:eastAsia="zh-CN" w:bidi="ar-SA"/>
    </w:rPr>
  </w:style>
  <w:style w:type="paragraph" w:customStyle="1" w:styleId="a68">
    <w:name w:val="三级无"/>
    <w:basedOn w:val="a8"/>
    <w:pPr>
      <w:spacing w:before="0" w:beforeLines="0" w:after="0" w:afterLines="0"/>
    </w:pPr>
    <w:rPr>
      <w:rFonts w:ascii="宋体" w:eastAsia="宋体"/>
    </w:rPr>
  </w:style>
  <w:style w:type="paragraph" w:customStyle="1" w:styleId="a69">
    <w:name w:val="实施日期"/>
    <w:basedOn w:val="a32"/>
    <w:pPr>
      <w:framePr w:vAnchor="page" w:hAnchor="page"/>
      <w:jc w:val="right"/>
    </w:pPr>
  </w:style>
  <w:style w:type="paragraph" w:customStyle="1" w:styleId="a70">
    <w:name w:val="示例后文字"/>
    <w:basedOn w:val="a"/>
    <w:next w:val="a"/>
    <w:qFormat/>
    <w:pPr>
      <w:ind w:firstLine="360"/>
    </w:pPr>
    <w:rPr>
      <w:sz w:val="18"/>
    </w:rPr>
  </w:style>
  <w:style w:type="paragraph" w:customStyle="1" w:styleId="a71">
    <w:name w:val="首示例"/>
    <w:next w:val="a"/>
    <w:link w:val="Char1"/>
    <w:qFormat/>
    <w:pPr>
      <w:numPr>
        <w:ilvl w:val="0"/>
        <w:numId w:val="15"/>
      </w:numPr>
      <w:tabs>
        <w:tab w:val="left" w:pos="360"/>
      </w:tabs>
      <w:ind w:firstLine="0"/>
    </w:pPr>
    <w:rPr>
      <w:rFonts w:ascii="宋体" w:hAnsi="宋体"/>
      <w:kern w:val="2"/>
      <w:sz w:val="18"/>
      <w:szCs w:val="18"/>
      <w:lang w:val="en-US" w:eastAsia="zh-CN" w:bidi="ar-SA"/>
    </w:rPr>
  </w:style>
  <w:style w:type="character" w:customStyle="1" w:styleId="Char1">
    <w:name w:val="首示例 Char"/>
    <w:link w:val="a71"/>
    <w:rPr>
      <w:rFonts w:ascii="宋体" w:hAnsi="宋体"/>
      <w:kern w:val="2"/>
      <w:sz w:val="18"/>
      <w:szCs w:val="18"/>
      <w:lang w:bidi="ar-SA"/>
    </w:rPr>
  </w:style>
  <w:style w:type="paragraph" w:customStyle="1" w:styleId="a72">
    <w:name w:val="四级无"/>
    <w:basedOn w:val="a12"/>
    <w:pPr>
      <w:spacing w:before="0" w:beforeLines="0" w:after="0" w:afterLines="0"/>
    </w:pPr>
    <w:rPr>
      <w:rFonts w:ascii="宋体" w:eastAsia="宋体"/>
    </w:rPr>
  </w:style>
  <w:style w:type="paragraph" w:customStyle="1" w:styleId="a73">
    <w:name w:val="条文脚注"/>
    <w:basedOn w:val="FootnoteText"/>
    <w:pPr>
      <w:numPr>
        <w:ilvl w:val="0"/>
        <w:numId w:val="0"/>
      </w:numPr>
      <w:tabs>
        <w:tab w:val="clear" w:pos="0"/>
      </w:tabs>
      <w:jc w:val="both"/>
    </w:pPr>
    <w:rPr>
      <w:rFonts w:ascii="宋体"/>
    </w:rPr>
  </w:style>
  <w:style w:type="paragraph" w:customStyle="1" w:styleId="a74">
    <w:name w:val="图标脚注说明"/>
    <w:basedOn w:val="a"/>
    <w:pPr>
      <w:ind w:left="840" w:hanging="420" w:firstLineChars="0"/>
    </w:pPr>
    <w:rPr>
      <w:sz w:val="18"/>
      <w:szCs w:val="18"/>
    </w:rPr>
  </w:style>
  <w:style w:type="paragraph" w:customStyle="1" w:styleId="a75">
    <w:name w:val="图表脚注说明"/>
    <w:basedOn w:val="Normal"/>
    <w:pPr>
      <w:numPr>
        <w:ilvl w:val="0"/>
        <w:numId w:val="16"/>
      </w:numPr>
    </w:pPr>
    <w:rPr>
      <w:rFonts w:ascii="宋体"/>
      <w:sz w:val="18"/>
      <w:szCs w:val="18"/>
    </w:rPr>
  </w:style>
  <w:style w:type="paragraph" w:customStyle="1" w:styleId="a76">
    <w:name w:val="图的脚注"/>
    <w:next w:val="a"/>
    <w:qFormat/>
    <w:pPr>
      <w:widowControl w:val="0"/>
      <w:ind w:left="840" w:hanging="420" w:leftChars="200" w:hangingChars="200"/>
      <w:jc w:val="both"/>
    </w:pPr>
    <w:rPr>
      <w:rFonts w:ascii="宋体"/>
      <w:sz w:val="18"/>
      <w:lang w:val="en-US" w:eastAsia="zh-CN" w:bidi="ar-SA"/>
    </w:rPr>
  </w:style>
  <w:style w:type="paragraph" w:customStyle="1" w:styleId="a77">
    <w:name w:val="文献分类号"/>
    <w:pPr>
      <w:framePr w:hSpace="180" w:vSpace="180" w:wrap="around" w:vAnchor="margin" w:hAnchor="margin" w:y="1" w:anchorLock="1"/>
      <w:widowControl w:val="0"/>
      <w:textAlignment w:val="center"/>
    </w:pPr>
    <w:rPr>
      <w:rFonts w:ascii="黑体" w:eastAsia="黑体"/>
      <w:sz w:val="21"/>
      <w:szCs w:val="21"/>
      <w:lang w:val="en-US" w:eastAsia="zh-CN" w:bidi="ar-SA"/>
    </w:rPr>
  </w:style>
  <w:style w:type="paragraph" w:customStyle="1" w:styleId="a78">
    <w:name w:val="五级无"/>
    <w:basedOn w:val="a13"/>
    <w:pPr>
      <w:spacing w:before="0" w:beforeLines="0" w:after="0" w:afterLines="0"/>
    </w:pPr>
    <w:rPr>
      <w:rFonts w:ascii="宋体" w:eastAsia="宋体"/>
    </w:rPr>
  </w:style>
  <w:style w:type="paragraph" w:customStyle="1" w:styleId="a79">
    <w:name w:val="一级无"/>
    <w:basedOn w:val="a0"/>
    <w:pPr>
      <w:spacing w:before="0" w:beforeLines="0" w:after="0" w:afterLines="0"/>
    </w:pPr>
    <w:rPr>
      <w:rFonts w:ascii="宋体" w:eastAsia="宋体"/>
    </w:rPr>
  </w:style>
  <w:style w:type="paragraph" w:customStyle="1" w:styleId="a80">
    <w:name w:val="正文表标题"/>
    <w:next w:val="a"/>
    <w:pPr>
      <w:numPr>
        <w:ilvl w:val="0"/>
        <w:numId w:val="17"/>
      </w:numPr>
      <w:spacing w:before="156" w:beforeLines="50" w:after="156" w:afterLines="50"/>
      <w:jc w:val="center"/>
    </w:pPr>
    <w:rPr>
      <w:rFonts w:ascii="黑体" w:eastAsia="黑体"/>
      <w:sz w:val="21"/>
      <w:lang w:val="en-US" w:eastAsia="zh-CN" w:bidi="ar-SA"/>
    </w:rPr>
  </w:style>
  <w:style w:type="paragraph" w:customStyle="1" w:styleId="a81">
    <w:name w:val="正文公式编号制表符"/>
    <w:basedOn w:val="a"/>
    <w:next w:val="a"/>
    <w:qFormat/>
    <w:pPr>
      <w:ind w:firstLine="0" w:firstLineChars="0"/>
    </w:pPr>
  </w:style>
  <w:style w:type="paragraph" w:customStyle="1" w:styleId="a82">
    <w:name w:val="正文图标题"/>
    <w:next w:val="a"/>
    <w:pPr>
      <w:numPr>
        <w:ilvl w:val="0"/>
        <w:numId w:val="18"/>
      </w:numPr>
      <w:spacing w:before="156" w:beforeLines="50" w:after="156" w:afterLines="50"/>
      <w:jc w:val="center"/>
    </w:pPr>
    <w:rPr>
      <w:rFonts w:ascii="黑体" w:eastAsia="黑体"/>
      <w:sz w:val="21"/>
      <w:lang w:val="en-US" w:eastAsia="zh-CN" w:bidi="ar-SA"/>
    </w:rPr>
  </w:style>
  <w:style w:type="paragraph" w:customStyle="1" w:styleId="a83">
    <w:name w:val="终结线"/>
    <w:basedOn w:val="Normal"/>
    <w:pPr>
      <w:framePr w:hSpace="181" w:vSpace="181" w:wrap="around" w:vAnchor="text" w:hAnchor="margin" w:xAlign="center" w:y="285"/>
    </w:pPr>
  </w:style>
  <w:style w:type="paragraph" w:customStyle="1" w:styleId="a84">
    <w:name w:val="其他发布日期"/>
    <w:basedOn w:val="a32"/>
    <w:pPr>
      <w:framePr w:vAnchor="page" w:hAnchor="page" w:x="1419"/>
    </w:pPr>
  </w:style>
  <w:style w:type="paragraph" w:customStyle="1" w:styleId="a85">
    <w:name w:val="其他实施日期"/>
    <w:basedOn w:val="a69"/>
  </w:style>
  <w:style w:type="paragraph" w:customStyle="1" w:styleId="20">
    <w:name w:val="封面标准名称2"/>
    <w:basedOn w:val="a34"/>
    <w:pPr>
      <w:framePr w:y="4469"/>
      <w:spacing w:before="630" w:beforeLines="630"/>
    </w:pPr>
  </w:style>
  <w:style w:type="paragraph" w:customStyle="1" w:styleId="21">
    <w:name w:val="封面标准英文名称2"/>
    <w:basedOn w:val="a35"/>
    <w:pPr>
      <w:framePr w:y="4469"/>
    </w:pPr>
  </w:style>
  <w:style w:type="paragraph" w:customStyle="1" w:styleId="22">
    <w:name w:val="封面一致性程度标识2"/>
    <w:basedOn w:val="a36"/>
    <w:pPr>
      <w:framePr w:y="4469"/>
    </w:pPr>
  </w:style>
  <w:style w:type="paragraph" w:customStyle="1" w:styleId="23">
    <w:name w:val="封面标准文稿类别2"/>
    <w:basedOn w:val="a37"/>
    <w:pPr>
      <w:framePr w:y="4469"/>
    </w:pPr>
  </w:style>
  <w:style w:type="paragraph" w:customStyle="1" w:styleId="24">
    <w:name w:val="封面标准文稿编辑信息2"/>
    <w:basedOn w:val="a38"/>
    <w:pPr>
      <w:framePr w:y="4469"/>
    </w:pPr>
  </w:style>
  <w:style w:type="paragraph" w:styleId="ListParagraph">
    <w:name w:val="List Paragraph"/>
    <w:basedOn w:val="Normal"/>
    <w:uiPriority w:val="34"/>
    <w:qFormat/>
    <w:pPr>
      <w:ind w:firstLine="420" w:firstLineChars="200"/>
    </w:pPr>
  </w:style>
  <w:style w:type="character" w:customStyle="1" w:styleId="1Char">
    <w:name w:val="标题 1 Char"/>
    <w:link w:val="Heading1"/>
    <w:uiPriority w:val="99"/>
    <w:rPr>
      <w:b/>
      <w:bCs/>
      <w:kern w:val="44"/>
      <w:sz w:val="44"/>
      <w:szCs w:val="44"/>
    </w:rPr>
  </w:style>
  <w:style w:type="character" w:customStyle="1" w:styleId="Char2">
    <w:name w:val="页眉 Char"/>
    <w:link w:val="Header"/>
    <w:uiPriority w:val="99"/>
    <w:rPr>
      <w:kern w:val="2"/>
      <w:sz w:val="18"/>
      <w:szCs w:val="18"/>
    </w:rPr>
  </w:style>
  <w:style w:type="character" w:customStyle="1" w:styleId="Char3">
    <w:name w:val="页脚 Char"/>
    <w:link w:val="Footer"/>
    <w:uiPriority w:val="99"/>
    <w:rPr>
      <w:kern w:val="2"/>
      <w:sz w:val="18"/>
      <w:szCs w:val="18"/>
    </w:rPr>
  </w:style>
  <w:style w:type="paragraph" w:customStyle="1" w:styleId="a86">
    <w:name w:val="图表脚注"/>
    <w:next w:val="a"/>
    <w:pPr>
      <w:jc w:val="both"/>
    </w:pPr>
    <w:rPr>
      <w:rFonts w:ascii="宋体"/>
      <w:sz w:val="18"/>
      <w:lang w:val="en-US" w:eastAsia="zh-CN" w:bidi="ar-SA"/>
    </w:rPr>
  </w:style>
  <w:style w:type="paragraph" w:customStyle="1" w:styleId="Char30">
    <w:name w:val="Char3"/>
    <w:basedOn w:val="Normal"/>
    <w:pPr>
      <w:widowControl/>
      <w:jc w:val="left"/>
    </w:pPr>
    <w:rPr>
      <w:rFonts w:eastAsia="Times New Roman"/>
      <w:kern w:val="0"/>
      <w:sz w:val="24"/>
      <w:lang w:val="pl-PL" w:eastAsia="pl-PL"/>
    </w:rPr>
  </w:style>
  <w:style w:type="character" w:customStyle="1" w:styleId="Char4">
    <w:name w:val="纯文本 Char"/>
    <w:link w:val="PlainText"/>
    <w:rPr>
      <w:rFonts w:ascii="Courier New" w:eastAsia="Times New Roman" w:hAnsi="Courier New" w:cs="Arial"/>
      <w:lang w:val="cs-CZ" w:eastAsia="en-US"/>
    </w:rPr>
  </w:style>
  <w:style w:type="character" w:customStyle="1" w:styleId="Char5">
    <w:name w:val="批注文字 Char"/>
    <w:link w:val="CommentText"/>
    <w:uiPriority w:val="99"/>
    <w:rPr>
      <w:rFonts w:ascii="Calibri" w:hAnsi="Calibri"/>
      <w:kern w:val="2"/>
      <w:sz w:val="21"/>
      <w:szCs w:val="22"/>
    </w:rPr>
  </w:style>
  <w:style w:type="character" w:customStyle="1" w:styleId="Char6">
    <w:name w:val="批注主题 Char"/>
    <w:link w:val="CommentSubject"/>
    <w:uiPriority w:val="99"/>
    <w:rPr>
      <w:rFonts w:ascii="Calibri" w:hAnsi="Calibri"/>
      <w:b/>
      <w:bCs/>
      <w:kern w:val="2"/>
      <w:sz w:val="21"/>
      <w:szCs w:val="22"/>
    </w:rPr>
  </w:style>
  <w:style w:type="character" w:customStyle="1" w:styleId="Char7">
    <w:name w:val="批注框文本 Char"/>
    <w:link w:val="BalloonText"/>
    <w:uiPriority w:val="99"/>
    <w:rPr>
      <w:rFonts w:ascii="Calibri" w:hAnsi="Calibri"/>
      <w:kern w:val="2"/>
      <w:sz w:val="18"/>
      <w:szCs w:val="18"/>
    </w:rPr>
  </w:style>
  <w:style w:type="character" w:customStyle="1" w:styleId="shorttext">
    <w:name w:val="short_text"/>
    <w:basedOn w:val="DefaultParagraphFont"/>
  </w:style>
  <w:style w:type="character" w:customStyle="1" w:styleId="Char8">
    <w:name w:val="文档结构图 Char"/>
    <w:link w:val="DocumentMap"/>
    <w:uiPriority w:val="99"/>
    <w:semiHidden/>
    <w:rPr>
      <w:kern w:val="2"/>
      <w:sz w:val="21"/>
      <w:szCs w:val="24"/>
      <w:shd w:val="clear" w:color="auto" w:fill="000080"/>
    </w:rPr>
  </w:style>
  <w:style w:type="paragraph" w:customStyle="1" w:styleId="Char9">
    <w:name w:val="Char"/>
    <w:basedOn w:val="Normal"/>
    <w:pPr>
      <w:ind w:firstLine="617" w:firstLineChars="257"/>
    </w:pPr>
    <w:rPr>
      <w:rFonts w:ascii="仿宋_GB2312" w:eastAsia="仿宋_GB2312" w:hAnsi="Tahoma" w:cs="Arial"/>
      <w:sz w:val="24"/>
    </w:rPr>
  </w:style>
  <w:style w:type="character" w:customStyle="1" w:styleId="high-light-bg">
    <w:name w:val="high-light-bg"/>
    <w:basedOn w:val="DefaultParagraphFont"/>
  </w:style>
  <w:style w:type="paragraph" w:customStyle="1" w:styleId="156">
    <w:name w:val="156"/>
    <w:hidden/>
    <w:uiPriority w:val="99"/>
    <w:semiHidden/>
    <w:rPr>
      <w:rFonts w:ascii="Calibri" w:hAnsi="Calibri"/>
      <w:kern w:val="2"/>
      <w:sz w:val="21"/>
      <w:szCs w:val="22"/>
      <w:lang w:val="en-US" w:eastAsia="zh-CN" w:bidi="ar-SA"/>
    </w:rPr>
  </w:style>
  <w:style w:type="paragraph" w:customStyle="1" w:styleId="157">
    <w:name w:val="157"/>
    <w:basedOn w:val="Heading1"/>
    <w:next w:val="Normal"/>
    <w:uiPriority w:val="39"/>
    <w:semiHidden/>
    <w:unhideWhenUsed/>
    <w:qFormat/>
    <w:pPr>
      <w:widowControl/>
      <w:spacing w:before="480" w:after="0" w:line="276" w:lineRule="auto"/>
      <w:jc w:val="left"/>
      <w:outlineLvl w:val="9"/>
    </w:pPr>
    <w:rPr>
      <w:rFonts w:ascii="Cambria" w:hAnsi="Cambria"/>
      <w:color w:val="365F91"/>
      <w:kern w:val="0"/>
      <w:sz w:val="28"/>
      <w:szCs w:val="28"/>
    </w:rPr>
  </w:style>
  <w:style w:type="character" w:customStyle="1" w:styleId="apple-converted-space">
    <w:name w:val="apple-converted-space"/>
    <w:basedOn w:val="DefaultParagraphFont"/>
  </w:style>
  <w:style w:type="character" w:customStyle="1" w:styleId="Char10">
    <w:name w:val="日期 Char"/>
    <w:link w:val="Date"/>
    <w:rPr>
      <w:kern w:val="2"/>
      <w:sz w:val="21"/>
    </w:rPr>
  </w:style>
  <w:style w:type="paragraph" w:customStyle="1" w:styleId="CharCharChar1CharCharCharCharCharCharCharCharCharChar">
    <w:name w:val="Char Char Char1 Char Char Char Char Char Char Char Char Char Char"/>
    <w:basedOn w:val="Normal"/>
    <w:rPr>
      <w:rFonts w:ascii="宋体" w:hAnsi="宋体" w:cs="Courier New"/>
      <w:sz w:val="32"/>
      <w:szCs w:val="32"/>
    </w:rPr>
  </w:style>
  <w:style w:type="character" w:customStyle="1" w:styleId="Char11">
    <w:name w:val="标题 Char"/>
    <w:link w:val="Title"/>
    <w:rPr>
      <w:rFonts w:ascii="Cambria" w:hAnsi="Cambria"/>
      <w:b/>
      <w:bCs/>
      <w:kern w:val="2"/>
      <w:sz w:val="32"/>
      <w:szCs w:val="32"/>
    </w:rPr>
  </w:style>
  <w:style w:type="character" w:customStyle="1" w:styleId="Char12">
    <w:name w:val="脚注文本 Char"/>
    <w:link w:val="FootnoteText"/>
    <w:rPr>
      <w:rFonts w:ascii="宋体"/>
      <w:kern w:val="2"/>
      <w:sz w:val="18"/>
      <w:szCs w:val="18"/>
    </w:rPr>
  </w:style>
  <w:style w:type="character" w:customStyle="1" w:styleId="Char13">
    <w:name w:val="尾注文本 Char"/>
    <w:link w:val="EndnoteText"/>
    <w:semiHidden/>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customizations.xml.rels><?xml version="1.0" encoding="utf-8" standalone="yes"?><Relationships xmlns="http://schemas.openxmlformats.org/package/2006/relationships"><Relationship Id="rId1" Type="http://schemas.microsoft.com/office/2006/relationships/attachedToolbars" Target="attachedToolbars.bin" /></Relationship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3.xml" /><Relationship Id="rId12" Type="http://schemas.openxmlformats.org/officeDocument/2006/relationships/image" Target="media/image1.png"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image" Target="media/image2.png" /><Relationship Id="rId16" Type="http://schemas.openxmlformats.org/officeDocument/2006/relationships/header" Target="header7.xml" /><Relationship Id="rId17" Type="http://schemas.openxmlformats.org/officeDocument/2006/relationships/footer" Target="footer5.xml" /><Relationship Id="rId18" Type="http://schemas.openxmlformats.org/officeDocument/2006/relationships/image" Target="media/image3.png"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image" Target="media/image4.png" /><Relationship Id="rId22" Type="http://schemas.openxmlformats.org/officeDocument/2006/relationships/header" Target="header9.xml" /><Relationship Id="rId23" Type="http://schemas.openxmlformats.org/officeDocument/2006/relationships/footer" Target="footer7.xml" /><Relationship Id="rId24" Type="http://schemas.openxmlformats.org/officeDocument/2006/relationships/image" Target="media/image5.png" /><Relationship Id="rId25" Type="http://schemas.openxmlformats.org/officeDocument/2006/relationships/image" Target="media/image6.png" /><Relationship Id="rId26" Type="http://schemas.openxmlformats.org/officeDocument/2006/relationships/header" Target="header10.xml" /><Relationship Id="rId27" Type="http://schemas.openxmlformats.org/officeDocument/2006/relationships/footer" Target="footer8.xml" /><Relationship Id="rId28" Type="http://schemas.openxmlformats.org/officeDocument/2006/relationships/image" Target="media/image7.png"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header" Target="header12.xml" /><Relationship Id="rId32" Type="http://schemas.openxmlformats.org/officeDocument/2006/relationships/footer" Target="footer10.xml" /><Relationship Id="rId33" Type="http://schemas.openxmlformats.org/officeDocument/2006/relationships/header" Target="header13.xml" /><Relationship Id="rId34" Type="http://schemas.openxmlformats.org/officeDocument/2006/relationships/footer" Target="footer11.xml" /><Relationship Id="rId35" Type="http://schemas.openxmlformats.org/officeDocument/2006/relationships/image" Target="media/image8.png" /><Relationship Id="rId36" Type="http://schemas.openxmlformats.org/officeDocument/2006/relationships/header" Target="header14.xml" /><Relationship Id="rId37" Type="http://schemas.openxmlformats.org/officeDocument/2006/relationships/footer" Target="footer12.xml" /><Relationship Id="rId38" Type="http://schemas.openxmlformats.org/officeDocument/2006/relationships/image" Target="media/image9.png" /><Relationship Id="rId39" Type="http://schemas.openxmlformats.org/officeDocument/2006/relationships/header" Target="header15.xml" /><Relationship Id="rId4" Type="http://schemas.openxmlformats.org/officeDocument/2006/relationships/header" Target="header1.xml" /><Relationship Id="rId40" Type="http://schemas.openxmlformats.org/officeDocument/2006/relationships/footer" Target="footer13.xml" /><Relationship Id="rId41" Type="http://schemas.openxmlformats.org/officeDocument/2006/relationships/image" Target="media/image10.png" /><Relationship Id="rId42" Type="http://schemas.openxmlformats.org/officeDocument/2006/relationships/header" Target="header16.xml" /><Relationship Id="rId43" Type="http://schemas.openxmlformats.org/officeDocument/2006/relationships/footer" Target="footer14.xml" /><Relationship Id="rId44" Type="http://schemas.openxmlformats.org/officeDocument/2006/relationships/header" Target="header17.xml" /><Relationship Id="rId45" Type="http://schemas.openxmlformats.org/officeDocument/2006/relationships/footer" Target="footer15.xml" /><Relationship Id="rId46" Type="http://schemas.openxmlformats.org/officeDocument/2006/relationships/image" Target="media/image11.png" /><Relationship Id="rId47" Type="http://schemas.openxmlformats.org/officeDocument/2006/relationships/header" Target="header18.xml" /><Relationship Id="rId48" Type="http://schemas.openxmlformats.org/officeDocument/2006/relationships/footer" Target="footer16.xml" /><Relationship Id="rId49" Type="http://schemas.openxmlformats.org/officeDocument/2006/relationships/hyperlink" Target="https://d.book118.com/786014102141010044" TargetMode="External" /><Relationship Id="rId5" Type="http://schemas.openxmlformats.org/officeDocument/2006/relationships/header" Target="header2.xml" /><Relationship Id="rId50" Type="http://schemas.openxmlformats.org/officeDocument/2006/relationships/header" Target="header19.xml" /><Relationship Id="rId51" Type="http://schemas.openxmlformats.org/officeDocument/2006/relationships/footer" Target="footer17.xml" /><Relationship Id="rId52" Type="http://schemas.microsoft.com/office/2006/relationships/keyMapCustomizations" Target="customizations.xml" /><Relationship Id="rId53" Type="http://schemas.openxmlformats.org/officeDocument/2006/relationships/theme" Target="theme/theme1.xml" /><Relationship Id="rId54" Type="http://schemas.openxmlformats.org/officeDocument/2006/relationships/numbering" Target="numbering.xml" /><Relationship Id="rId55" Type="http://schemas.openxmlformats.org/officeDocument/2006/relationships/styles" Target="styles.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header" Target="header4.xml" /><Relationship Id="rId9" Type="http://schemas.openxmlformats.org/officeDocument/2006/relationships/footer" Target="foot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19</Pages>
  <Words>5689</Words>
  <Characters>32428</Characters>
  <Application>Microsoft Office Word</Application>
  <DocSecurity>0</DocSecurity>
  <Lines>270</Lines>
  <Paragraphs>76</Paragraphs>
  <ScaleCrop>false</ScaleCrop>
  <Company>NMIC</Company>
  <LinksUpToDate>false</LinksUpToDate>
  <CharactersWithSpaces>38041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lastModifiedBy>小海豹</cp:lastModifiedBy>
  <cp:revision>65</cp:revision>
  <cp:lastPrinted>2016-10-16T03:15:00Z</cp:lastPrinted>
  <dcterms:created xsi:type="dcterms:W3CDTF">2017-07-09T22:22:00Z</dcterms:created>
  <dcterms:modified xsi:type="dcterms:W3CDTF">2023-11-26T13:24:42Z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EBBCE33D82414239BF55BC14D7889838_13</vt:lpwstr>
  </property>
  <property fmtid="{D5CDD505-2E9C-101B-9397-08002B2CF9AE}" pid="3" name="KSOProductBuildVer">
    <vt:lpwstr>2052-12.1.0.15990</vt:lpwstr>
  </property>
</Properties>
</file>