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2018-2023年云南林业职业技术学院高职单招（数学／语文／英语）历年常考试题库含答案解析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屠格涅夫最后一部作品是（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A.《贵族之家》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B.《处女地》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C.《散文诗集》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D.《初恋》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下列各句中，同时采用了对偶、夸张的是（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A.恨相见得迟，怨归去得疾。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B.泪添九曲黄河溢，恨压三峰华岳低。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D.忽如一夜春风来，千树万树梨花开。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《箱子岩》一文重点描写了大端阳节什么场面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A.狮子舞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B.社戏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C.灯会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D.赛龙舟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“其身正，不令而行；其身不正，虽令不从”这句话出自于（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在下列词作中富有主见的是（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A.李煜《虞美人（春花秋月何时了）》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B.柳永《八声甘州（对潇潇暮雨洒江天）》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C.苏轼《水调歌头（明月几时有）》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D.李清照《声声慢（寻寻觅觅）》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29452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下列成语出于《庄子·秋水》的是（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C.贻笑大方，分崩离析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D.祸起萧墙、分崩离析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《箱子岩》一文选自散文集（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A.《湘行散记》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C.《从文自传》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我国田园诗派的开创者是（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朱光潜的主要美学论著有（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A.《美的历程》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B.《美学散步》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C.《西方美学史》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D.《七缀集》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下列诗句中，运用反比的是（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https://d.book118.com/786020132233010052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786020132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