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复合微生物肥料项目规划设计方案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13" w:history="1">
        <w:r>
          <w:rPr>
            <w:rFonts w:ascii="仿宋" w:eastAsia="仿宋" w:hAnsi="仿宋" w:cs="仿宋" w:hint="eastAsia"/>
            <w:lang w:eastAsia="zh-CN"/>
          </w:rPr>
          <w:t>序言</w:t>
        </w:r>
        <w:r>
          <w:tab/>
        </w:r>
        <w:r>
          <w:fldChar w:fldCharType="begin"/>
        </w:r>
        <w:r>
          <w:instrText xml:space="preserve"> PAGEREF _Toc11213 \h </w:instrText>
        </w:r>
        <w:r>
          <w:fldChar w:fldCharType="separate"/>
        </w:r>
        <w:r>
          <w:t>3</w:t>
        </w:r>
        <w:r>
          <w:fldChar w:fldCharType="end"/>
        </w:r>
      </w:hyperlink>
    </w:p>
    <w:p>
      <w:pPr>
        <w:pStyle w:val="TOC1"/>
        <w:tabs>
          <w:tab w:val="right" w:leader="dot" w:pos="8306"/>
        </w:tabs>
      </w:pPr>
      <w:hyperlink w:anchor="_Toc20646" w:history="1">
        <w:r>
          <w:rPr>
            <w:rFonts w:ascii="仿宋" w:eastAsia="仿宋" w:hAnsi="仿宋" w:cs="仿宋" w:hint="eastAsia"/>
            <w:lang w:eastAsia="zh-CN"/>
          </w:rPr>
          <w:t>一、复合微生物肥料项目概论</w:t>
        </w:r>
        <w:r>
          <w:tab/>
        </w:r>
        <w:r>
          <w:fldChar w:fldCharType="begin"/>
        </w:r>
        <w:r>
          <w:instrText xml:space="preserve"> PAGEREF _Toc20646 \h </w:instrText>
        </w:r>
        <w:r>
          <w:fldChar w:fldCharType="separate"/>
        </w:r>
        <w:r>
          <w:t>3</w:t>
        </w:r>
        <w:r>
          <w:fldChar w:fldCharType="end"/>
        </w:r>
      </w:hyperlink>
    </w:p>
    <w:p>
      <w:pPr>
        <w:pStyle w:val="TOC2"/>
        <w:tabs>
          <w:tab w:val="right" w:leader="dot" w:pos="8306"/>
        </w:tabs>
      </w:pPr>
      <w:hyperlink w:anchor="_Toc29395" w:history="1">
        <w:r>
          <w:rPr>
            <w:rFonts w:ascii="仿宋" w:eastAsia="仿宋" w:hAnsi="仿宋" w:cs="仿宋" w:hint="eastAsia"/>
            <w:lang w:eastAsia="zh-CN"/>
          </w:rPr>
          <w:t>(一)、复合微生物肥料项目概况</w:t>
        </w:r>
        <w:r>
          <w:tab/>
        </w:r>
        <w:r>
          <w:fldChar w:fldCharType="begin"/>
        </w:r>
        <w:r>
          <w:instrText xml:space="preserve"> PAGEREF _Toc29395 \h </w:instrText>
        </w:r>
        <w:r>
          <w:fldChar w:fldCharType="separate"/>
        </w:r>
        <w:r>
          <w:t>3</w:t>
        </w:r>
        <w:r>
          <w:fldChar w:fldCharType="end"/>
        </w:r>
      </w:hyperlink>
    </w:p>
    <w:p>
      <w:pPr>
        <w:pStyle w:val="TOC2"/>
        <w:tabs>
          <w:tab w:val="right" w:leader="dot" w:pos="8306"/>
        </w:tabs>
      </w:pPr>
      <w:hyperlink w:anchor="_Toc15568" w:history="1">
        <w:r>
          <w:rPr>
            <w:rFonts w:ascii="仿宋" w:eastAsia="仿宋" w:hAnsi="仿宋" w:cs="仿宋" w:hint="eastAsia"/>
            <w:lang w:eastAsia="zh-CN"/>
          </w:rPr>
          <w:t>(二)、复合微生物肥料项目目标</w:t>
        </w:r>
        <w:r>
          <w:tab/>
        </w:r>
        <w:r>
          <w:fldChar w:fldCharType="begin"/>
        </w:r>
        <w:r>
          <w:instrText xml:space="preserve"> PAGEREF _Toc15568 \h </w:instrText>
        </w:r>
        <w:r>
          <w:fldChar w:fldCharType="separate"/>
        </w:r>
        <w:r>
          <w:t>5</w:t>
        </w:r>
        <w:r>
          <w:fldChar w:fldCharType="end"/>
        </w:r>
      </w:hyperlink>
    </w:p>
    <w:p>
      <w:pPr>
        <w:pStyle w:val="TOC2"/>
        <w:tabs>
          <w:tab w:val="right" w:leader="dot" w:pos="8306"/>
        </w:tabs>
      </w:pPr>
      <w:hyperlink w:anchor="_Toc25914" w:history="1">
        <w:r>
          <w:rPr>
            <w:rFonts w:ascii="仿宋" w:eastAsia="仿宋" w:hAnsi="仿宋" w:cs="仿宋" w:hint="eastAsia"/>
            <w:lang w:eastAsia="zh-CN"/>
          </w:rPr>
          <w:t>(三)、复合微生物肥料项目提出的理由</w:t>
        </w:r>
        <w:r>
          <w:tab/>
        </w:r>
        <w:r>
          <w:fldChar w:fldCharType="begin"/>
        </w:r>
        <w:r>
          <w:instrText xml:space="preserve"> PAGEREF _Toc25914 \h </w:instrText>
        </w:r>
        <w:r>
          <w:fldChar w:fldCharType="separate"/>
        </w:r>
        <w:r>
          <w:t>6</w:t>
        </w:r>
        <w:r>
          <w:fldChar w:fldCharType="end"/>
        </w:r>
      </w:hyperlink>
    </w:p>
    <w:p>
      <w:pPr>
        <w:pStyle w:val="TOC2"/>
        <w:tabs>
          <w:tab w:val="right" w:leader="dot" w:pos="8306"/>
        </w:tabs>
      </w:pPr>
      <w:hyperlink w:anchor="_Toc20746" w:history="1">
        <w:r>
          <w:rPr>
            <w:rFonts w:ascii="仿宋" w:eastAsia="仿宋" w:hAnsi="仿宋" w:cs="仿宋" w:hint="eastAsia"/>
            <w:lang w:eastAsia="zh-CN"/>
          </w:rPr>
          <w:t>(四)、复合微生物肥料项目意义</w:t>
        </w:r>
        <w:r>
          <w:tab/>
        </w:r>
        <w:r>
          <w:fldChar w:fldCharType="begin"/>
        </w:r>
        <w:r>
          <w:instrText xml:space="preserve"> PAGEREF _Toc20746 \h </w:instrText>
        </w:r>
        <w:r>
          <w:fldChar w:fldCharType="separate"/>
        </w:r>
        <w:r>
          <w:t>8</w:t>
        </w:r>
        <w:r>
          <w:fldChar w:fldCharType="end"/>
        </w:r>
      </w:hyperlink>
    </w:p>
    <w:p>
      <w:pPr>
        <w:pStyle w:val="TOC2"/>
        <w:tabs>
          <w:tab w:val="right" w:leader="dot" w:pos="8306"/>
        </w:tabs>
      </w:pPr>
      <w:hyperlink w:anchor="_Toc13789" w:history="1">
        <w:r>
          <w:rPr>
            <w:rFonts w:ascii="仿宋" w:eastAsia="仿宋" w:hAnsi="仿宋" w:cs="仿宋" w:hint="eastAsia"/>
            <w:lang w:eastAsia="zh-CN"/>
          </w:rPr>
          <w:t>(五)、复合微生物肥料项目背景</w:t>
        </w:r>
        <w:r>
          <w:tab/>
        </w:r>
        <w:r>
          <w:fldChar w:fldCharType="begin"/>
        </w:r>
        <w:r>
          <w:instrText xml:space="preserve"> PAGEREF _Toc13789 \h </w:instrText>
        </w:r>
        <w:r>
          <w:fldChar w:fldCharType="separate"/>
        </w:r>
        <w:r>
          <w:t>9</w:t>
        </w:r>
        <w:r>
          <w:fldChar w:fldCharType="end"/>
        </w:r>
      </w:hyperlink>
    </w:p>
    <w:p>
      <w:pPr>
        <w:pStyle w:val="TOC1"/>
        <w:tabs>
          <w:tab w:val="right" w:leader="dot" w:pos="8306"/>
        </w:tabs>
      </w:pPr>
      <w:hyperlink w:anchor="_Toc18509" w:history="1">
        <w:r>
          <w:rPr>
            <w:rFonts w:ascii="仿宋" w:eastAsia="仿宋" w:hAnsi="仿宋" w:cs="仿宋" w:hint="eastAsia"/>
            <w:lang w:eastAsia="zh-CN"/>
          </w:rPr>
          <w:t>二、复合微生物肥料项目文档管理</w:t>
        </w:r>
        <w:r>
          <w:tab/>
        </w:r>
        <w:r>
          <w:fldChar w:fldCharType="begin"/>
        </w:r>
        <w:r>
          <w:instrText xml:space="preserve"> PAGEREF _Toc18509 \h </w:instrText>
        </w:r>
        <w:r>
          <w:fldChar w:fldCharType="separate"/>
        </w:r>
        <w:r>
          <w:t>10</w:t>
        </w:r>
        <w:r>
          <w:fldChar w:fldCharType="end"/>
        </w:r>
      </w:hyperlink>
    </w:p>
    <w:p>
      <w:pPr>
        <w:pStyle w:val="TOC2"/>
        <w:tabs>
          <w:tab w:val="right" w:leader="dot" w:pos="8306"/>
        </w:tabs>
      </w:pPr>
      <w:hyperlink w:anchor="_Toc24886" w:history="1">
        <w:r>
          <w:rPr>
            <w:rFonts w:ascii="仿宋" w:eastAsia="仿宋" w:hAnsi="仿宋" w:cs="仿宋" w:hint="eastAsia"/>
            <w:lang w:eastAsia="zh-CN"/>
          </w:rPr>
          <w:t>(一)、文档编制与审查</w:t>
        </w:r>
        <w:r>
          <w:tab/>
        </w:r>
        <w:r>
          <w:fldChar w:fldCharType="begin"/>
        </w:r>
        <w:r>
          <w:instrText xml:space="preserve"> PAGEREF _Toc24886 \h </w:instrText>
        </w:r>
        <w:r>
          <w:fldChar w:fldCharType="separate"/>
        </w:r>
        <w:r>
          <w:t>10</w:t>
        </w:r>
        <w:r>
          <w:fldChar w:fldCharType="end"/>
        </w:r>
      </w:hyperlink>
    </w:p>
    <w:p>
      <w:pPr>
        <w:pStyle w:val="TOC2"/>
        <w:tabs>
          <w:tab w:val="right" w:leader="dot" w:pos="8306"/>
        </w:tabs>
      </w:pPr>
      <w:hyperlink w:anchor="_Toc11523" w:history="1">
        <w:r>
          <w:rPr>
            <w:rFonts w:ascii="仿宋" w:eastAsia="仿宋" w:hAnsi="仿宋" w:cs="仿宋" w:hint="eastAsia"/>
            <w:lang w:eastAsia="zh-CN"/>
          </w:rPr>
          <w:t>(二)、文档发布与分发</w:t>
        </w:r>
        <w:r>
          <w:tab/>
        </w:r>
        <w:r>
          <w:fldChar w:fldCharType="begin"/>
        </w:r>
        <w:r>
          <w:instrText xml:space="preserve"> PAGEREF _Toc11523 \h </w:instrText>
        </w:r>
        <w:r>
          <w:fldChar w:fldCharType="separate"/>
        </w:r>
        <w:r>
          <w:t>11</w:t>
        </w:r>
        <w:r>
          <w:fldChar w:fldCharType="end"/>
        </w:r>
      </w:hyperlink>
    </w:p>
    <w:p>
      <w:pPr>
        <w:pStyle w:val="TOC2"/>
        <w:tabs>
          <w:tab w:val="right" w:leader="dot" w:pos="8306"/>
        </w:tabs>
      </w:pPr>
      <w:hyperlink w:anchor="_Toc12404" w:history="1">
        <w:r>
          <w:rPr>
            <w:rFonts w:ascii="仿宋" w:eastAsia="仿宋" w:hAnsi="仿宋" w:cs="仿宋" w:hint="eastAsia"/>
            <w:lang w:eastAsia="zh-CN"/>
          </w:rPr>
          <w:t>(三)、文档存档与归档</w:t>
        </w:r>
        <w:r>
          <w:tab/>
        </w:r>
        <w:r>
          <w:fldChar w:fldCharType="begin"/>
        </w:r>
        <w:r>
          <w:instrText xml:space="preserve"> PAGEREF _Toc12404 \h </w:instrText>
        </w:r>
        <w:r>
          <w:fldChar w:fldCharType="separate"/>
        </w:r>
        <w:r>
          <w:t>12</w:t>
        </w:r>
        <w:r>
          <w:fldChar w:fldCharType="end"/>
        </w:r>
      </w:hyperlink>
    </w:p>
    <w:p>
      <w:pPr>
        <w:pStyle w:val="TOC1"/>
        <w:tabs>
          <w:tab w:val="right" w:leader="dot" w:pos="8306"/>
        </w:tabs>
      </w:pPr>
      <w:hyperlink w:anchor="_Toc12871" w:history="1">
        <w:r>
          <w:rPr>
            <w:rFonts w:ascii="仿宋" w:eastAsia="仿宋" w:hAnsi="仿宋" w:cs="仿宋" w:hint="eastAsia"/>
            <w:lang w:eastAsia="zh-CN"/>
          </w:rPr>
          <w:t>三、工艺说明</w:t>
        </w:r>
        <w:r>
          <w:tab/>
        </w:r>
        <w:r>
          <w:fldChar w:fldCharType="begin"/>
        </w:r>
        <w:r>
          <w:instrText xml:space="preserve"> PAGEREF _Toc12871 \h </w:instrText>
        </w:r>
        <w:r>
          <w:fldChar w:fldCharType="separate"/>
        </w:r>
        <w:r>
          <w:t>13</w:t>
        </w:r>
        <w:r>
          <w:fldChar w:fldCharType="end"/>
        </w:r>
      </w:hyperlink>
    </w:p>
    <w:p>
      <w:pPr>
        <w:pStyle w:val="TOC2"/>
        <w:tabs>
          <w:tab w:val="right" w:leader="dot" w:pos="8306"/>
        </w:tabs>
      </w:pPr>
      <w:hyperlink w:anchor="_Toc1608" w:history="1">
        <w:r>
          <w:rPr>
            <w:rFonts w:ascii="仿宋" w:eastAsia="仿宋" w:hAnsi="仿宋" w:cs="仿宋" w:hint="eastAsia"/>
            <w:lang w:eastAsia="zh-CN"/>
          </w:rPr>
          <w:t>(一)、技术管理特点</w:t>
        </w:r>
        <w:r>
          <w:tab/>
        </w:r>
        <w:r>
          <w:fldChar w:fldCharType="begin"/>
        </w:r>
        <w:r>
          <w:instrText xml:space="preserve"> PAGEREF _Toc1608 \h </w:instrText>
        </w:r>
        <w:r>
          <w:fldChar w:fldCharType="separate"/>
        </w:r>
        <w:r>
          <w:t>13</w:t>
        </w:r>
        <w:r>
          <w:fldChar w:fldCharType="end"/>
        </w:r>
      </w:hyperlink>
    </w:p>
    <w:p>
      <w:pPr>
        <w:pStyle w:val="TOC2"/>
        <w:tabs>
          <w:tab w:val="right" w:leader="dot" w:pos="8306"/>
        </w:tabs>
      </w:pPr>
      <w:hyperlink w:anchor="_Toc17411" w:history="1">
        <w:r>
          <w:rPr>
            <w:rFonts w:ascii="仿宋" w:eastAsia="仿宋" w:hAnsi="仿宋" w:cs="仿宋" w:hint="eastAsia"/>
            <w:lang w:eastAsia="zh-CN"/>
          </w:rPr>
          <w:t>(二)、复合微生物肥料项目工艺技术设计方案</w:t>
        </w:r>
        <w:r>
          <w:tab/>
        </w:r>
        <w:r>
          <w:fldChar w:fldCharType="begin"/>
        </w:r>
        <w:r>
          <w:instrText xml:space="preserve"> PAGEREF _Toc17411 \h </w:instrText>
        </w:r>
        <w:r>
          <w:fldChar w:fldCharType="separate"/>
        </w:r>
        <w:r>
          <w:t>14</w:t>
        </w:r>
        <w:r>
          <w:fldChar w:fldCharType="end"/>
        </w:r>
      </w:hyperlink>
    </w:p>
    <w:p>
      <w:pPr>
        <w:pStyle w:val="TOC2"/>
        <w:tabs>
          <w:tab w:val="right" w:leader="dot" w:pos="8306"/>
        </w:tabs>
      </w:pPr>
      <w:hyperlink w:anchor="_Toc19213" w:history="1">
        <w:r>
          <w:rPr>
            <w:rFonts w:ascii="仿宋" w:eastAsia="仿宋" w:hAnsi="仿宋" w:cs="仿宋" w:hint="eastAsia"/>
            <w:lang w:eastAsia="zh-CN"/>
          </w:rPr>
          <w:t>(三)、设备选型方案</w:t>
        </w:r>
        <w:r>
          <w:tab/>
        </w:r>
        <w:r>
          <w:fldChar w:fldCharType="begin"/>
        </w:r>
        <w:r>
          <w:instrText xml:space="preserve"> PAGEREF _Toc19213 \h </w:instrText>
        </w:r>
        <w:r>
          <w:fldChar w:fldCharType="separate"/>
        </w:r>
        <w:r>
          <w:t>16</w:t>
        </w:r>
        <w:r>
          <w:fldChar w:fldCharType="end"/>
        </w:r>
      </w:hyperlink>
    </w:p>
    <w:p>
      <w:pPr>
        <w:pStyle w:val="TOC1"/>
        <w:tabs>
          <w:tab w:val="right" w:leader="dot" w:pos="8306"/>
        </w:tabs>
      </w:pPr>
      <w:hyperlink w:anchor="_Toc27887" w:history="1">
        <w:r>
          <w:rPr>
            <w:rFonts w:ascii="仿宋" w:eastAsia="仿宋" w:hAnsi="仿宋" w:cs="仿宋" w:hint="eastAsia"/>
            <w:lang w:eastAsia="zh-CN"/>
          </w:rPr>
          <w:t>四、复合微生物肥料项目土建工程</w:t>
        </w:r>
        <w:r>
          <w:tab/>
        </w:r>
        <w:r>
          <w:fldChar w:fldCharType="begin"/>
        </w:r>
        <w:r>
          <w:instrText xml:space="preserve"> PAGEREF _Toc27887 \h </w:instrText>
        </w:r>
        <w:r>
          <w:fldChar w:fldCharType="separate"/>
        </w:r>
        <w:r>
          <w:t>17</w:t>
        </w:r>
        <w:r>
          <w:fldChar w:fldCharType="end"/>
        </w:r>
      </w:hyperlink>
    </w:p>
    <w:p>
      <w:pPr>
        <w:pStyle w:val="TOC2"/>
        <w:tabs>
          <w:tab w:val="right" w:leader="dot" w:pos="8306"/>
        </w:tabs>
      </w:pPr>
      <w:hyperlink w:anchor="_Toc15157" w:history="1">
        <w:r>
          <w:rPr>
            <w:rFonts w:ascii="仿宋" w:eastAsia="仿宋" w:hAnsi="仿宋" w:cs="仿宋" w:hint="eastAsia"/>
            <w:lang w:eastAsia="zh-CN"/>
          </w:rPr>
          <w:t>(一)、建筑工程设计原则</w:t>
        </w:r>
        <w:r>
          <w:tab/>
        </w:r>
        <w:r>
          <w:fldChar w:fldCharType="begin"/>
        </w:r>
        <w:r>
          <w:instrText xml:space="preserve"> PAGEREF _Toc15157 \h </w:instrText>
        </w:r>
        <w:r>
          <w:fldChar w:fldCharType="separate"/>
        </w:r>
        <w:r>
          <w:t>17</w:t>
        </w:r>
        <w:r>
          <w:fldChar w:fldCharType="end"/>
        </w:r>
      </w:hyperlink>
    </w:p>
    <w:p>
      <w:pPr>
        <w:pStyle w:val="TOC2"/>
        <w:tabs>
          <w:tab w:val="right" w:leader="dot" w:pos="8306"/>
        </w:tabs>
      </w:pPr>
      <w:hyperlink w:anchor="_Toc27090" w:history="1">
        <w:r>
          <w:rPr>
            <w:rFonts w:ascii="仿宋" w:eastAsia="仿宋" w:hAnsi="仿宋" w:cs="仿宋" w:hint="eastAsia"/>
            <w:lang w:eastAsia="zh-CN"/>
          </w:rPr>
          <w:t>(二)、土建工程设计年限及安全等级</w:t>
        </w:r>
        <w:r>
          <w:tab/>
        </w:r>
        <w:r>
          <w:fldChar w:fldCharType="begin"/>
        </w:r>
        <w:r>
          <w:instrText xml:space="preserve"> PAGEREF _Toc27090 \h </w:instrText>
        </w:r>
        <w:r>
          <w:fldChar w:fldCharType="separate"/>
        </w:r>
        <w:r>
          <w:t>18</w:t>
        </w:r>
        <w:r>
          <w:fldChar w:fldCharType="end"/>
        </w:r>
      </w:hyperlink>
    </w:p>
    <w:p>
      <w:pPr>
        <w:pStyle w:val="TOC2"/>
        <w:tabs>
          <w:tab w:val="right" w:leader="dot" w:pos="8306"/>
        </w:tabs>
      </w:pPr>
      <w:hyperlink w:anchor="_Toc12834" w:history="1">
        <w:r>
          <w:rPr>
            <w:rFonts w:ascii="仿宋" w:eastAsia="仿宋" w:hAnsi="仿宋" w:cs="仿宋" w:hint="eastAsia"/>
            <w:lang w:eastAsia="zh-CN"/>
          </w:rPr>
          <w:t>(三)、建筑工程设计总体要求</w:t>
        </w:r>
        <w:r>
          <w:tab/>
        </w:r>
        <w:r>
          <w:fldChar w:fldCharType="begin"/>
        </w:r>
        <w:r>
          <w:instrText xml:space="preserve"> PAGEREF _Toc12834 \h </w:instrText>
        </w:r>
        <w:r>
          <w:fldChar w:fldCharType="separate"/>
        </w:r>
        <w:r>
          <w:t>19</w:t>
        </w:r>
        <w:r>
          <w:fldChar w:fldCharType="end"/>
        </w:r>
      </w:hyperlink>
    </w:p>
    <w:p>
      <w:pPr>
        <w:pStyle w:val="TOC2"/>
        <w:tabs>
          <w:tab w:val="right" w:leader="dot" w:pos="8306"/>
        </w:tabs>
      </w:pPr>
      <w:hyperlink w:anchor="_Toc15209" w:history="1">
        <w:r>
          <w:rPr>
            <w:rFonts w:ascii="仿宋" w:eastAsia="仿宋" w:hAnsi="仿宋" w:cs="仿宋" w:hint="eastAsia"/>
            <w:lang w:eastAsia="zh-CN"/>
          </w:rPr>
          <w:t>(四)、土建工程建设指标</w:t>
        </w:r>
        <w:r>
          <w:tab/>
        </w:r>
        <w:r>
          <w:fldChar w:fldCharType="begin"/>
        </w:r>
        <w:r>
          <w:instrText xml:space="preserve"> PAGEREF _Toc15209 \h </w:instrText>
        </w:r>
        <w:r>
          <w:fldChar w:fldCharType="separate"/>
        </w:r>
        <w:r>
          <w:t>20</w:t>
        </w:r>
        <w:r>
          <w:fldChar w:fldCharType="end"/>
        </w:r>
      </w:hyperlink>
    </w:p>
    <w:p>
      <w:pPr>
        <w:pStyle w:val="TOC1"/>
        <w:tabs>
          <w:tab w:val="right" w:leader="dot" w:pos="8306"/>
        </w:tabs>
      </w:pPr>
      <w:hyperlink w:anchor="_Toc7387" w:history="1">
        <w:r>
          <w:rPr>
            <w:rFonts w:ascii="仿宋" w:eastAsia="仿宋" w:hAnsi="仿宋" w:cs="仿宋" w:hint="eastAsia"/>
            <w:lang w:eastAsia="zh-CN"/>
          </w:rPr>
          <w:t>五、复合微生物肥料项目选址可行性分析</w:t>
        </w:r>
        <w:r>
          <w:tab/>
        </w:r>
        <w:r>
          <w:fldChar w:fldCharType="begin"/>
        </w:r>
        <w:r>
          <w:instrText xml:space="preserve"> PAGEREF _Toc7387 \h </w:instrText>
        </w:r>
        <w:r>
          <w:fldChar w:fldCharType="separate"/>
        </w:r>
        <w:r>
          <w:t>20</w:t>
        </w:r>
        <w:r>
          <w:fldChar w:fldCharType="end"/>
        </w:r>
      </w:hyperlink>
    </w:p>
    <w:p>
      <w:pPr>
        <w:pStyle w:val="TOC2"/>
        <w:tabs>
          <w:tab w:val="right" w:leader="dot" w:pos="8306"/>
        </w:tabs>
      </w:pPr>
      <w:hyperlink w:anchor="_Toc21728" w:history="1">
        <w:r>
          <w:rPr>
            <w:rFonts w:ascii="仿宋" w:eastAsia="仿宋" w:hAnsi="仿宋" w:cs="仿宋" w:hint="eastAsia"/>
            <w:lang w:eastAsia="zh-CN"/>
          </w:rPr>
          <w:t>(一)、复合微生物肥料项目选址</w:t>
        </w:r>
        <w:r>
          <w:tab/>
        </w:r>
        <w:r>
          <w:fldChar w:fldCharType="begin"/>
        </w:r>
        <w:r>
          <w:instrText xml:space="preserve"> PAGEREF _Toc21728 \h </w:instrText>
        </w:r>
        <w:r>
          <w:fldChar w:fldCharType="separate"/>
        </w:r>
        <w:r>
          <w:t>20</w:t>
        </w:r>
        <w:r>
          <w:fldChar w:fldCharType="end"/>
        </w:r>
      </w:hyperlink>
    </w:p>
    <w:p>
      <w:pPr>
        <w:pStyle w:val="TOC2"/>
        <w:tabs>
          <w:tab w:val="right" w:leader="dot" w:pos="8306"/>
        </w:tabs>
      </w:pPr>
      <w:hyperlink w:anchor="_Toc23347" w:history="1">
        <w:r>
          <w:rPr>
            <w:rFonts w:ascii="仿宋" w:eastAsia="仿宋" w:hAnsi="仿宋" w:cs="仿宋" w:hint="eastAsia"/>
            <w:lang w:eastAsia="zh-CN"/>
          </w:rPr>
          <w:t>(二)、用地控制指标</w:t>
        </w:r>
        <w:r>
          <w:tab/>
        </w:r>
        <w:r>
          <w:fldChar w:fldCharType="begin"/>
        </w:r>
        <w:r>
          <w:instrText xml:space="preserve"> PAGEREF _Toc23347 \h </w:instrText>
        </w:r>
        <w:r>
          <w:fldChar w:fldCharType="separate"/>
        </w:r>
        <w:r>
          <w:t>20</w:t>
        </w:r>
        <w:r>
          <w:fldChar w:fldCharType="end"/>
        </w:r>
      </w:hyperlink>
    </w:p>
    <w:p>
      <w:pPr>
        <w:pStyle w:val="TOC2"/>
        <w:tabs>
          <w:tab w:val="right" w:leader="dot" w:pos="8306"/>
        </w:tabs>
      </w:pPr>
      <w:hyperlink w:anchor="_Toc12997" w:history="1">
        <w:r>
          <w:rPr>
            <w:rFonts w:ascii="仿宋" w:eastAsia="仿宋" w:hAnsi="仿宋" w:cs="仿宋" w:hint="eastAsia"/>
            <w:lang w:eastAsia="zh-CN"/>
          </w:rPr>
          <w:t>(三)、节约用地措施</w:t>
        </w:r>
        <w:r>
          <w:tab/>
        </w:r>
        <w:r>
          <w:fldChar w:fldCharType="begin"/>
        </w:r>
        <w:r>
          <w:instrText xml:space="preserve"> PAGEREF _Toc12997 \h </w:instrText>
        </w:r>
        <w:r>
          <w:fldChar w:fldCharType="separate"/>
        </w:r>
        <w:r>
          <w:t>22</w:t>
        </w:r>
        <w:r>
          <w:fldChar w:fldCharType="end"/>
        </w:r>
      </w:hyperlink>
    </w:p>
    <w:p>
      <w:pPr>
        <w:pStyle w:val="TOC2"/>
        <w:tabs>
          <w:tab w:val="right" w:leader="dot" w:pos="8306"/>
        </w:tabs>
      </w:pPr>
      <w:hyperlink w:anchor="_Toc19293" w:history="1">
        <w:r>
          <w:rPr>
            <w:rFonts w:ascii="仿宋" w:eastAsia="仿宋" w:hAnsi="仿宋" w:cs="仿宋" w:hint="eastAsia"/>
            <w:lang w:eastAsia="zh-CN"/>
          </w:rPr>
          <w:t>(四)、总图布置方案</w:t>
        </w:r>
        <w:r>
          <w:tab/>
        </w:r>
        <w:r>
          <w:fldChar w:fldCharType="begin"/>
        </w:r>
        <w:r>
          <w:instrText xml:space="preserve"> PAGEREF _Toc19293 \h </w:instrText>
        </w:r>
        <w:r>
          <w:fldChar w:fldCharType="separate"/>
        </w:r>
        <w:r>
          <w:t>24</w:t>
        </w:r>
        <w:r>
          <w:fldChar w:fldCharType="end"/>
        </w:r>
      </w:hyperlink>
    </w:p>
    <w:p>
      <w:pPr>
        <w:pStyle w:val="TOC2"/>
        <w:tabs>
          <w:tab w:val="right" w:leader="dot" w:pos="8306"/>
        </w:tabs>
      </w:pPr>
      <w:hyperlink w:anchor="_Toc18138" w:history="1">
        <w:r>
          <w:rPr>
            <w:rFonts w:ascii="仿宋" w:eastAsia="仿宋" w:hAnsi="仿宋" w:cs="仿宋" w:hint="eastAsia"/>
            <w:lang w:eastAsia="zh-CN"/>
          </w:rPr>
          <w:t>(五)、选址综合评价</w:t>
        </w:r>
        <w:r>
          <w:tab/>
        </w:r>
        <w:r>
          <w:fldChar w:fldCharType="begin"/>
        </w:r>
        <w:r>
          <w:instrText xml:space="preserve"> PAGEREF _Toc18138 \h </w:instrText>
        </w:r>
        <w:r>
          <w:fldChar w:fldCharType="separate"/>
        </w:r>
        <w:r>
          <w:t>25</w:t>
        </w:r>
        <w:r>
          <w:fldChar w:fldCharType="end"/>
        </w:r>
      </w:hyperlink>
    </w:p>
    <w:p>
      <w:pPr>
        <w:pStyle w:val="TOC1"/>
        <w:tabs>
          <w:tab w:val="right" w:leader="dot" w:pos="8306"/>
        </w:tabs>
      </w:pPr>
      <w:hyperlink w:anchor="_Toc23307" w:history="1">
        <w:r>
          <w:rPr>
            <w:rFonts w:ascii="仿宋" w:eastAsia="仿宋" w:hAnsi="仿宋" w:cs="仿宋" w:hint="eastAsia"/>
            <w:lang w:eastAsia="zh-CN"/>
          </w:rPr>
          <w:t>六、复合微生物肥料项目危机管理</w:t>
        </w:r>
        <w:r>
          <w:tab/>
        </w:r>
        <w:r>
          <w:fldChar w:fldCharType="begin"/>
        </w:r>
        <w:r>
          <w:instrText xml:space="preserve"> PAGEREF _Toc23307 \h </w:instrText>
        </w:r>
        <w:r>
          <w:fldChar w:fldCharType="separate"/>
        </w:r>
        <w:r>
          <w:t>26</w:t>
        </w:r>
        <w:r>
          <w:fldChar w:fldCharType="end"/>
        </w:r>
      </w:hyperlink>
    </w:p>
    <w:p>
      <w:pPr>
        <w:pStyle w:val="TOC2"/>
        <w:tabs>
          <w:tab w:val="right" w:leader="dot" w:pos="8306"/>
        </w:tabs>
      </w:pPr>
      <w:hyperlink w:anchor="_Toc18225" w:history="1">
        <w:r>
          <w:rPr>
            <w:rFonts w:ascii="仿宋" w:eastAsia="仿宋" w:hAnsi="仿宋" w:cs="仿宋" w:hint="eastAsia"/>
            <w:lang w:eastAsia="zh-CN"/>
          </w:rPr>
          <w:t>(一)、危机预警与识别</w:t>
        </w:r>
        <w:r>
          <w:tab/>
        </w:r>
        <w:r>
          <w:fldChar w:fldCharType="begin"/>
        </w:r>
        <w:r>
          <w:instrText xml:space="preserve"> PAGEREF _Toc18225 \h </w:instrText>
        </w:r>
        <w:r>
          <w:fldChar w:fldCharType="separate"/>
        </w:r>
        <w:r>
          <w:t>26</w:t>
        </w:r>
        <w:r>
          <w:fldChar w:fldCharType="end"/>
        </w:r>
      </w:hyperlink>
    </w:p>
    <w:p>
      <w:pPr>
        <w:pStyle w:val="TOC2"/>
        <w:tabs>
          <w:tab w:val="right" w:leader="dot" w:pos="8306"/>
        </w:tabs>
      </w:pPr>
      <w:hyperlink w:anchor="_Toc4736" w:history="1">
        <w:r>
          <w:rPr>
            <w:rFonts w:ascii="仿宋" w:eastAsia="仿宋" w:hAnsi="仿宋" w:cs="仿宋" w:hint="eastAsia"/>
            <w:lang w:eastAsia="zh-CN"/>
          </w:rPr>
          <w:t>(二)、危机应对与恢复</w:t>
        </w:r>
        <w:r>
          <w:tab/>
        </w:r>
        <w:r>
          <w:fldChar w:fldCharType="begin"/>
        </w:r>
        <w:r>
          <w:instrText xml:space="preserve"> PAGEREF _Toc4736 \h </w:instrText>
        </w:r>
        <w:r>
          <w:fldChar w:fldCharType="separate"/>
        </w:r>
        <w:r>
          <w:t>27</w:t>
        </w:r>
        <w:r>
          <w:fldChar w:fldCharType="end"/>
        </w:r>
      </w:hyperlink>
    </w:p>
    <w:p>
      <w:pPr>
        <w:pStyle w:val="TOC1"/>
        <w:tabs>
          <w:tab w:val="right" w:leader="dot" w:pos="8306"/>
        </w:tabs>
      </w:pPr>
      <w:hyperlink w:anchor="_Toc9083" w:history="1">
        <w:r>
          <w:rPr>
            <w:rFonts w:ascii="仿宋" w:eastAsia="仿宋" w:hAnsi="仿宋" w:cs="仿宋" w:hint="eastAsia"/>
            <w:lang w:eastAsia="zh-CN"/>
          </w:rPr>
          <w:t>七、复合微生物肥料项目计划安排</w:t>
        </w:r>
        <w:r>
          <w:tab/>
        </w:r>
        <w:r>
          <w:fldChar w:fldCharType="begin"/>
        </w:r>
        <w:r>
          <w:instrText xml:space="preserve"> PAGEREF _Toc9083 \h </w:instrText>
        </w:r>
        <w:r>
          <w:fldChar w:fldCharType="separate"/>
        </w:r>
        <w:r>
          <w:t>28</w:t>
        </w:r>
        <w:r>
          <w:fldChar w:fldCharType="end"/>
        </w:r>
      </w:hyperlink>
    </w:p>
    <w:p>
      <w:pPr>
        <w:pStyle w:val="TOC2"/>
        <w:tabs>
          <w:tab w:val="right" w:leader="dot" w:pos="8306"/>
        </w:tabs>
      </w:pPr>
      <w:hyperlink w:anchor="_Toc28996" w:history="1">
        <w:r>
          <w:rPr>
            <w:rFonts w:ascii="仿宋" w:eastAsia="仿宋" w:hAnsi="仿宋" w:cs="仿宋" w:hint="eastAsia"/>
            <w:lang w:eastAsia="zh-CN"/>
          </w:rPr>
          <w:t>(一)、建设周期</w:t>
        </w:r>
        <w:r>
          <w:tab/>
        </w:r>
        <w:r>
          <w:fldChar w:fldCharType="begin"/>
        </w:r>
        <w:r>
          <w:instrText xml:space="preserve"> PAGEREF _Toc28996 \h </w:instrText>
        </w:r>
        <w:r>
          <w:fldChar w:fldCharType="separate"/>
        </w:r>
        <w:r>
          <w:t>28</w:t>
        </w:r>
        <w:r>
          <w:fldChar w:fldCharType="end"/>
        </w:r>
      </w:hyperlink>
    </w:p>
    <w:p>
      <w:pPr>
        <w:pStyle w:val="TOC2"/>
        <w:tabs>
          <w:tab w:val="right" w:leader="dot" w:pos="8306"/>
        </w:tabs>
      </w:pPr>
      <w:hyperlink w:anchor="_Toc14701" w:history="1">
        <w:r>
          <w:rPr>
            <w:rFonts w:ascii="仿宋" w:eastAsia="仿宋" w:hAnsi="仿宋" w:cs="仿宋" w:hint="eastAsia"/>
            <w:lang w:eastAsia="zh-CN"/>
          </w:rPr>
          <w:t>(二)、建设进度</w:t>
        </w:r>
        <w:r>
          <w:tab/>
        </w:r>
        <w:r>
          <w:fldChar w:fldCharType="begin"/>
        </w:r>
        <w:r>
          <w:instrText xml:space="preserve"> PAGEREF _Toc14701 \h </w:instrText>
        </w:r>
        <w:r>
          <w:fldChar w:fldCharType="separate"/>
        </w:r>
        <w:r>
          <w:t>29</w:t>
        </w:r>
        <w:r>
          <w:fldChar w:fldCharType="end"/>
        </w:r>
      </w:hyperlink>
    </w:p>
    <w:p>
      <w:pPr>
        <w:pStyle w:val="TOC2"/>
        <w:tabs>
          <w:tab w:val="right" w:leader="dot" w:pos="8306"/>
        </w:tabs>
      </w:pPr>
      <w:hyperlink w:anchor="_Toc29013" w:history="1">
        <w:r>
          <w:rPr>
            <w:rFonts w:ascii="仿宋" w:eastAsia="仿宋" w:hAnsi="仿宋" w:cs="仿宋" w:hint="eastAsia"/>
            <w:lang w:eastAsia="zh-CN"/>
          </w:rPr>
          <w:t>(三)、进度安排注意事项</w:t>
        </w:r>
        <w:r>
          <w:tab/>
        </w:r>
        <w:r>
          <w:fldChar w:fldCharType="begin"/>
        </w:r>
        <w:r>
          <w:instrText xml:space="preserve"> PAGEREF _Toc29013 \h </w:instrText>
        </w:r>
        <w:r>
          <w:fldChar w:fldCharType="separate"/>
        </w:r>
        <w:r>
          <w:t>30</w:t>
        </w:r>
        <w:r>
          <w:fldChar w:fldCharType="end"/>
        </w:r>
      </w:hyperlink>
    </w:p>
    <w:p>
      <w:pPr>
        <w:pStyle w:val="TOC2"/>
        <w:tabs>
          <w:tab w:val="right" w:leader="dot" w:pos="8306"/>
        </w:tabs>
      </w:pPr>
      <w:hyperlink w:anchor="_Toc27045" w:history="1">
        <w:r>
          <w:rPr>
            <w:rFonts w:ascii="仿宋" w:eastAsia="仿宋" w:hAnsi="仿宋" w:cs="仿宋" w:hint="eastAsia"/>
            <w:lang w:eastAsia="zh-CN"/>
          </w:rPr>
          <w:t>(四)、人力资源配置</w:t>
        </w:r>
        <w:r>
          <w:tab/>
        </w:r>
        <w:r>
          <w:fldChar w:fldCharType="begin"/>
        </w:r>
        <w:r>
          <w:instrText xml:space="preserve"> PAGEREF _Toc27045 \h </w:instrText>
        </w:r>
        <w:r>
          <w:fldChar w:fldCharType="separate"/>
        </w:r>
        <w:r>
          <w:t>32</w:t>
        </w:r>
        <w:r>
          <w:fldChar w:fldCharType="end"/>
        </w:r>
      </w:hyperlink>
    </w:p>
    <w:p>
      <w:pPr>
        <w:pStyle w:val="TOC1"/>
        <w:tabs>
          <w:tab w:val="right" w:leader="dot" w:pos="8306"/>
        </w:tabs>
      </w:pPr>
      <w:hyperlink w:anchor="_Toc27917" w:history="1">
        <w:r>
          <w:rPr>
            <w:rFonts w:ascii="仿宋" w:eastAsia="仿宋" w:hAnsi="仿宋" w:cs="仿宋" w:hint="eastAsia"/>
            <w:lang w:eastAsia="zh-CN"/>
          </w:rPr>
          <w:t>八、复合微生物肥料项目投资规划</w:t>
        </w:r>
        <w:r>
          <w:tab/>
        </w:r>
        <w:r>
          <w:fldChar w:fldCharType="begin"/>
        </w:r>
        <w:r>
          <w:instrText xml:space="preserve"> PAGEREF _Toc27917 \h </w:instrText>
        </w:r>
        <w:r>
          <w:fldChar w:fldCharType="separate"/>
        </w:r>
        <w:r>
          <w:t>33</w:t>
        </w:r>
        <w:r>
          <w:fldChar w:fldCharType="end"/>
        </w:r>
      </w:hyperlink>
    </w:p>
    <w:p>
      <w:pPr>
        <w:pStyle w:val="TOC2"/>
        <w:tabs>
          <w:tab w:val="right" w:leader="dot" w:pos="8306"/>
        </w:tabs>
      </w:pPr>
      <w:hyperlink w:anchor="_Toc30847" w:history="1">
        <w:r>
          <w:rPr>
            <w:rFonts w:ascii="仿宋" w:eastAsia="仿宋" w:hAnsi="仿宋" w:cs="仿宋" w:hint="eastAsia"/>
            <w:lang w:eastAsia="zh-CN"/>
          </w:rPr>
          <w:t>(一)、复合微生物肥料项目总投资估算</w:t>
        </w:r>
        <w:r>
          <w:tab/>
        </w:r>
        <w:r>
          <w:fldChar w:fldCharType="begin"/>
        </w:r>
        <w:r>
          <w:instrText xml:space="preserve"> PAGEREF _Toc30847 \h </w:instrText>
        </w:r>
        <w:r>
          <w:fldChar w:fldCharType="separate"/>
        </w:r>
        <w:r>
          <w:t>33</w:t>
        </w:r>
        <w:r>
          <w:fldChar w:fldCharType="end"/>
        </w:r>
      </w:hyperlink>
    </w:p>
    <w:p>
      <w:pPr>
        <w:pStyle w:val="TOC2"/>
        <w:tabs>
          <w:tab w:val="right" w:leader="dot" w:pos="8306"/>
        </w:tabs>
      </w:pPr>
      <w:hyperlink w:anchor="_Toc17689" w:history="1">
        <w:r>
          <w:rPr>
            <w:rFonts w:ascii="仿宋" w:eastAsia="仿宋" w:hAnsi="仿宋" w:cs="仿宋" w:hint="eastAsia"/>
            <w:lang w:eastAsia="zh-CN"/>
          </w:rPr>
          <w:t>(二)、资金筹措</w:t>
        </w:r>
        <w:r>
          <w:tab/>
        </w:r>
        <w:r>
          <w:fldChar w:fldCharType="begin"/>
        </w:r>
        <w:r>
          <w:instrText xml:space="preserve"> PAGEREF _Toc17689 \h </w:instrText>
        </w:r>
        <w:r>
          <w:fldChar w:fldCharType="separate"/>
        </w:r>
        <w:r>
          <w:t>34</w:t>
        </w:r>
        <w:r>
          <w:fldChar w:fldCharType="end"/>
        </w:r>
      </w:hyperlink>
    </w:p>
    <w:p>
      <w:pPr>
        <w:pStyle w:val="TOC1"/>
        <w:tabs>
          <w:tab w:val="right" w:leader="dot" w:pos="8306"/>
        </w:tabs>
      </w:pPr>
      <w:hyperlink w:anchor="_Toc17072" w:history="1">
        <w:r>
          <w:rPr>
            <w:rFonts w:ascii="仿宋" w:eastAsia="仿宋" w:hAnsi="仿宋" w:cs="仿宋" w:hint="eastAsia"/>
            <w:lang w:eastAsia="zh-CN"/>
          </w:rPr>
          <w:t>九、复合微生物肥料项目风险管理</w:t>
        </w:r>
        <w:r>
          <w:tab/>
        </w:r>
        <w:r>
          <w:fldChar w:fldCharType="begin"/>
        </w:r>
        <w:r>
          <w:instrText xml:space="preserve"> PAGEREF _Toc17072 \h </w:instrText>
        </w:r>
        <w:r>
          <w:fldChar w:fldCharType="separate"/>
        </w:r>
        <w:r>
          <w:t>35</w:t>
        </w:r>
        <w:r>
          <w:fldChar w:fldCharType="end"/>
        </w:r>
      </w:hyperlink>
    </w:p>
    <w:p>
      <w:pPr>
        <w:pStyle w:val="TOC2"/>
        <w:tabs>
          <w:tab w:val="right" w:leader="dot" w:pos="8306"/>
        </w:tabs>
      </w:pPr>
      <w:hyperlink w:anchor="_Toc20267" w:history="1">
        <w:r>
          <w:rPr>
            <w:rFonts w:ascii="仿宋" w:eastAsia="仿宋" w:hAnsi="仿宋" w:cs="仿宋" w:hint="eastAsia"/>
            <w:lang w:eastAsia="zh-CN"/>
          </w:rPr>
          <w:t>(一)、风险识别与评估</w:t>
        </w:r>
        <w:r>
          <w:tab/>
        </w:r>
        <w:r>
          <w:fldChar w:fldCharType="begin"/>
        </w:r>
        <w:r>
          <w:instrText xml:space="preserve"> PAGEREF _Toc20267 \h </w:instrText>
        </w:r>
        <w:r>
          <w:fldChar w:fldCharType="separate"/>
        </w:r>
        <w:r>
          <w:t>35</w:t>
        </w:r>
        <w:r>
          <w:fldChar w:fldCharType="end"/>
        </w:r>
      </w:hyperlink>
    </w:p>
    <w:p>
      <w:pPr>
        <w:pStyle w:val="TOC2"/>
        <w:tabs>
          <w:tab w:val="right" w:leader="dot" w:pos="8306"/>
        </w:tabs>
      </w:pPr>
      <w:hyperlink w:anchor="_Toc19367" w:history="1">
        <w:r>
          <w:rPr>
            <w:rFonts w:ascii="仿宋" w:eastAsia="仿宋" w:hAnsi="仿宋" w:cs="仿宋" w:hint="eastAsia"/>
            <w:lang w:eastAsia="zh-CN"/>
          </w:rPr>
          <w:t>(二)、风险应对策略</w:t>
        </w:r>
        <w:r>
          <w:tab/>
        </w:r>
        <w:r>
          <w:fldChar w:fldCharType="begin"/>
        </w:r>
        <w:r>
          <w:instrText xml:space="preserve"> PAGEREF _Toc19367 \h </w:instrText>
        </w:r>
        <w:r>
          <w:fldChar w:fldCharType="separate"/>
        </w:r>
        <w:r>
          <w:t>36</w:t>
        </w:r>
        <w:r>
          <w:fldChar w:fldCharType="end"/>
        </w:r>
      </w:hyperlink>
    </w:p>
    <w:p>
      <w:pPr>
        <w:pStyle w:val="TOC2"/>
        <w:tabs>
          <w:tab w:val="right" w:leader="dot" w:pos="8306"/>
        </w:tabs>
      </w:pPr>
      <w:hyperlink w:anchor="_Toc7001" w:history="1">
        <w:r>
          <w:rPr>
            <w:rFonts w:ascii="仿宋" w:eastAsia="仿宋" w:hAnsi="仿宋" w:cs="仿宋" w:hint="eastAsia"/>
            <w:lang w:eastAsia="zh-CN"/>
          </w:rPr>
          <w:t>(三)、风险监控与控制</w:t>
        </w:r>
        <w:r>
          <w:tab/>
        </w:r>
        <w:r>
          <w:fldChar w:fldCharType="begin"/>
        </w:r>
        <w:r>
          <w:instrText xml:space="preserve"> PAGEREF _Toc7001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0" w:history="1">
        <w:r>
          <w:rPr>
            <w:rFonts w:ascii="仿宋" w:eastAsia="仿宋" w:hAnsi="仿宋" w:cs="仿宋" w:hint="eastAsia"/>
            <w:lang w:eastAsia="zh-CN"/>
          </w:rPr>
          <w:t>十、复合微生物肥料项目社会影响</w:t>
        </w:r>
        <w:r>
          <w:tab/>
        </w:r>
        <w:r>
          <w:fldChar w:fldCharType="begin"/>
        </w:r>
        <w:r>
          <w:instrText xml:space="preserve"> PAGEREF _Toc7170 \h </w:instrText>
        </w:r>
        <w:r>
          <w:fldChar w:fldCharType="separate"/>
        </w:r>
        <w:r>
          <w:t>39</w:t>
        </w:r>
        <w:r>
          <w:fldChar w:fldCharType="end"/>
        </w:r>
      </w:hyperlink>
    </w:p>
    <w:p>
      <w:pPr>
        <w:pStyle w:val="TOC2"/>
        <w:tabs>
          <w:tab w:val="right" w:leader="dot" w:pos="8306"/>
        </w:tabs>
      </w:pPr>
      <w:hyperlink w:anchor="_Toc19774" w:history="1">
        <w:r>
          <w:rPr>
            <w:rFonts w:ascii="仿宋" w:eastAsia="仿宋" w:hAnsi="仿宋" w:cs="仿宋" w:hint="eastAsia"/>
            <w:lang w:eastAsia="zh-CN"/>
          </w:rPr>
          <w:t>(一)、社会责任与义务</w:t>
        </w:r>
        <w:r>
          <w:tab/>
        </w:r>
        <w:r>
          <w:fldChar w:fldCharType="begin"/>
        </w:r>
        <w:r>
          <w:instrText xml:space="preserve"> PAGEREF _Toc19774 \h </w:instrText>
        </w:r>
        <w:r>
          <w:fldChar w:fldCharType="separate"/>
        </w:r>
        <w:r>
          <w:t>39</w:t>
        </w:r>
        <w:r>
          <w:fldChar w:fldCharType="end"/>
        </w:r>
      </w:hyperlink>
    </w:p>
    <w:p>
      <w:pPr>
        <w:pStyle w:val="TOC2"/>
        <w:tabs>
          <w:tab w:val="right" w:leader="dot" w:pos="8306"/>
        </w:tabs>
      </w:pPr>
      <w:hyperlink w:anchor="_Toc22677" w:history="1">
        <w:r>
          <w:rPr>
            <w:rFonts w:ascii="仿宋" w:eastAsia="仿宋" w:hAnsi="仿宋" w:cs="仿宋" w:hint="eastAsia"/>
            <w:lang w:eastAsia="zh-CN"/>
          </w:rPr>
          <w:t>(二)、社会参与与沟通</w:t>
        </w:r>
        <w:r>
          <w:tab/>
        </w:r>
        <w:r>
          <w:fldChar w:fldCharType="begin"/>
        </w:r>
        <w:r>
          <w:instrText xml:space="preserve"> PAGEREF _Toc22677 \h </w:instrText>
        </w:r>
        <w:r>
          <w:fldChar w:fldCharType="separate"/>
        </w:r>
        <w:r>
          <w:t>39</w:t>
        </w:r>
        <w:r>
          <w:fldChar w:fldCharType="end"/>
        </w:r>
      </w:hyperlink>
    </w:p>
    <w:p>
      <w:pPr>
        <w:pStyle w:val="TOC1"/>
        <w:tabs>
          <w:tab w:val="right" w:leader="dot" w:pos="8306"/>
        </w:tabs>
      </w:pPr>
      <w:hyperlink w:anchor="_Toc28505" w:history="1">
        <w:r>
          <w:rPr>
            <w:rFonts w:ascii="仿宋" w:eastAsia="仿宋" w:hAnsi="仿宋" w:cs="仿宋" w:hint="eastAsia"/>
            <w:lang w:eastAsia="zh-CN"/>
          </w:rPr>
          <w:t>十一、复合微生物肥料项目经营效益</w:t>
        </w:r>
        <w:r>
          <w:tab/>
        </w:r>
        <w:r>
          <w:fldChar w:fldCharType="begin"/>
        </w:r>
        <w:r>
          <w:instrText xml:space="preserve"> PAGEREF _Toc28505 \h </w:instrText>
        </w:r>
        <w:r>
          <w:fldChar w:fldCharType="separate"/>
        </w:r>
        <w:r>
          <w:t>40</w:t>
        </w:r>
        <w:r>
          <w:fldChar w:fldCharType="end"/>
        </w:r>
      </w:hyperlink>
    </w:p>
    <w:p>
      <w:pPr>
        <w:pStyle w:val="TOC2"/>
        <w:tabs>
          <w:tab w:val="right" w:leader="dot" w:pos="8306"/>
        </w:tabs>
      </w:pPr>
      <w:hyperlink w:anchor="_Toc32479" w:history="1">
        <w:r>
          <w:rPr>
            <w:rFonts w:ascii="仿宋" w:eastAsia="仿宋" w:hAnsi="仿宋" w:cs="仿宋" w:hint="eastAsia"/>
            <w:lang w:eastAsia="zh-CN"/>
          </w:rPr>
          <w:t>(一)、经济评价财务测算</w:t>
        </w:r>
        <w:r>
          <w:tab/>
        </w:r>
        <w:r>
          <w:fldChar w:fldCharType="begin"/>
        </w:r>
        <w:r>
          <w:instrText xml:space="preserve"> PAGEREF _Toc32479 \h </w:instrText>
        </w:r>
        <w:r>
          <w:fldChar w:fldCharType="separate"/>
        </w:r>
        <w:r>
          <w:t>40</w:t>
        </w:r>
        <w:r>
          <w:fldChar w:fldCharType="end"/>
        </w:r>
      </w:hyperlink>
    </w:p>
    <w:p>
      <w:pPr>
        <w:pStyle w:val="TOC2"/>
        <w:tabs>
          <w:tab w:val="right" w:leader="dot" w:pos="8306"/>
        </w:tabs>
      </w:pPr>
      <w:hyperlink w:anchor="_Toc6726" w:history="1">
        <w:r>
          <w:rPr>
            <w:rFonts w:ascii="仿宋" w:eastAsia="仿宋" w:hAnsi="仿宋" w:cs="仿宋" w:hint="eastAsia"/>
            <w:lang w:eastAsia="zh-CN"/>
          </w:rPr>
          <w:t>(二)、复合微生物肥料项目盈利能力分析</w:t>
        </w:r>
        <w:r>
          <w:tab/>
        </w:r>
        <w:r>
          <w:fldChar w:fldCharType="begin"/>
        </w:r>
        <w:r>
          <w:instrText xml:space="preserve"> PAGEREF _Toc6726 \h </w:instrText>
        </w:r>
        <w:r>
          <w:fldChar w:fldCharType="separate"/>
        </w:r>
        <w:r>
          <w:t>42</w:t>
        </w:r>
        <w:r>
          <w:fldChar w:fldCharType="end"/>
        </w:r>
      </w:hyperlink>
    </w:p>
    <w:p>
      <w:pPr>
        <w:pStyle w:val="TOC1"/>
        <w:tabs>
          <w:tab w:val="right" w:leader="dot" w:pos="8306"/>
        </w:tabs>
      </w:pPr>
      <w:hyperlink w:anchor="_Toc23002" w:history="1">
        <w:r>
          <w:rPr>
            <w:rFonts w:ascii="仿宋" w:eastAsia="仿宋" w:hAnsi="仿宋" w:cs="仿宋" w:hint="eastAsia"/>
            <w:lang w:eastAsia="zh-CN"/>
          </w:rPr>
          <w:t>十二、复合微生物肥料项目创新与研发</w:t>
        </w:r>
        <w:r>
          <w:tab/>
        </w:r>
        <w:r>
          <w:fldChar w:fldCharType="begin"/>
        </w:r>
        <w:r>
          <w:instrText xml:space="preserve"> PAGEREF _Toc23002 \h </w:instrText>
        </w:r>
        <w:r>
          <w:fldChar w:fldCharType="separate"/>
        </w:r>
        <w:r>
          <w:t>42</w:t>
        </w:r>
        <w:r>
          <w:fldChar w:fldCharType="end"/>
        </w:r>
      </w:hyperlink>
    </w:p>
    <w:p>
      <w:pPr>
        <w:pStyle w:val="TOC2"/>
        <w:tabs>
          <w:tab w:val="right" w:leader="dot" w:pos="8306"/>
        </w:tabs>
      </w:pPr>
      <w:hyperlink w:anchor="_Toc22199" w:history="1">
        <w:r>
          <w:rPr>
            <w:rFonts w:ascii="仿宋" w:eastAsia="仿宋" w:hAnsi="仿宋" w:cs="仿宋" w:hint="eastAsia"/>
            <w:lang w:eastAsia="zh-CN"/>
          </w:rPr>
          <w:t>(一)、创新策略与方向</w:t>
        </w:r>
        <w:r>
          <w:tab/>
        </w:r>
        <w:r>
          <w:fldChar w:fldCharType="begin"/>
        </w:r>
        <w:r>
          <w:instrText xml:space="preserve"> PAGEREF _Toc22199 \h </w:instrText>
        </w:r>
        <w:r>
          <w:fldChar w:fldCharType="separate"/>
        </w:r>
        <w:r>
          <w:t>42</w:t>
        </w:r>
        <w:r>
          <w:fldChar w:fldCharType="end"/>
        </w:r>
      </w:hyperlink>
    </w:p>
    <w:p>
      <w:pPr>
        <w:pStyle w:val="TOC2"/>
        <w:tabs>
          <w:tab w:val="right" w:leader="dot" w:pos="8306"/>
        </w:tabs>
      </w:pPr>
      <w:hyperlink w:anchor="_Toc6787" w:history="1">
        <w:r>
          <w:rPr>
            <w:rFonts w:ascii="仿宋" w:eastAsia="仿宋" w:hAnsi="仿宋" w:cs="仿宋" w:hint="eastAsia"/>
            <w:lang w:eastAsia="zh-CN"/>
          </w:rPr>
          <w:t>(二)、研发规划与投入</w:t>
        </w:r>
        <w:r>
          <w:tab/>
        </w:r>
        <w:r>
          <w:fldChar w:fldCharType="begin"/>
        </w:r>
        <w:r>
          <w:instrText xml:space="preserve"> PAGEREF _Toc6787 \h </w:instrText>
        </w:r>
        <w:r>
          <w:fldChar w:fldCharType="separate"/>
        </w:r>
        <w:r>
          <w:t>44</w:t>
        </w:r>
        <w:r>
          <w:fldChar w:fldCharType="end"/>
        </w:r>
      </w:hyperlink>
    </w:p>
    <w:p>
      <w:pPr>
        <w:pStyle w:val="TOC1"/>
        <w:tabs>
          <w:tab w:val="right" w:leader="dot" w:pos="8306"/>
        </w:tabs>
      </w:pPr>
      <w:hyperlink w:anchor="_Toc6245" w:history="1">
        <w:r>
          <w:rPr>
            <w:rFonts w:ascii="仿宋" w:eastAsia="仿宋" w:hAnsi="仿宋" w:cs="仿宋" w:hint="eastAsia"/>
            <w:lang w:eastAsia="zh-CN"/>
          </w:rPr>
          <w:t>十三、营销与推广策略</w:t>
        </w:r>
        <w:r>
          <w:tab/>
        </w:r>
        <w:r>
          <w:fldChar w:fldCharType="begin"/>
        </w:r>
        <w:r>
          <w:instrText xml:space="preserve"> PAGEREF _Toc6245 \h </w:instrText>
        </w:r>
        <w:r>
          <w:fldChar w:fldCharType="separate"/>
        </w:r>
        <w:r>
          <w:t>46</w:t>
        </w:r>
        <w:r>
          <w:fldChar w:fldCharType="end"/>
        </w:r>
      </w:hyperlink>
    </w:p>
    <w:p>
      <w:pPr>
        <w:pStyle w:val="TOC2"/>
        <w:tabs>
          <w:tab w:val="right" w:leader="dot" w:pos="8306"/>
        </w:tabs>
      </w:pPr>
      <w:hyperlink w:anchor="_Toc6557" w:history="1">
        <w:r>
          <w:rPr>
            <w:rFonts w:ascii="仿宋" w:eastAsia="仿宋" w:hAnsi="仿宋" w:cs="仿宋" w:hint="eastAsia"/>
            <w:lang w:eastAsia="zh-CN"/>
          </w:rPr>
          <w:t>(一)、产品/服务定位与特点</w:t>
        </w:r>
        <w:r>
          <w:tab/>
        </w:r>
        <w:r>
          <w:fldChar w:fldCharType="begin"/>
        </w:r>
        <w:r>
          <w:instrText xml:space="preserve"> PAGEREF _Toc6557 \h </w:instrText>
        </w:r>
        <w:r>
          <w:fldChar w:fldCharType="separate"/>
        </w:r>
        <w:r>
          <w:t>46</w:t>
        </w:r>
        <w:r>
          <w:fldChar w:fldCharType="end"/>
        </w:r>
      </w:hyperlink>
    </w:p>
    <w:p>
      <w:pPr>
        <w:pStyle w:val="TOC2"/>
        <w:tabs>
          <w:tab w:val="right" w:leader="dot" w:pos="8306"/>
        </w:tabs>
      </w:pPr>
      <w:hyperlink w:anchor="_Toc24908" w:history="1">
        <w:r>
          <w:rPr>
            <w:rFonts w:ascii="仿宋" w:eastAsia="仿宋" w:hAnsi="仿宋" w:cs="仿宋" w:hint="eastAsia"/>
            <w:lang w:eastAsia="zh-CN"/>
          </w:rPr>
          <w:t>(二)、市场定位与竞争分析</w:t>
        </w:r>
        <w:r>
          <w:tab/>
        </w:r>
        <w:r>
          <w:fldChar w:fldCharType="begin"/>
        </w:r>
        <w:r>
          <w:instrText xml:space="preserve"> PAGEREF _Toc24908 \h </w:instrText>
        </w:r>
        <w:r>
          <w:fldChar w:fldCharType="separate"/>
        </w:r>
        <w:r>
          <w:t>47</w:t>
        </w:r>
        <w:r>
          <w:fldChar w:fldCharType="end"/>
        </w:r>
      </w:hyperlink>
    </w:p>
    <w:p>
      <w:pPr>
        <w:pStyle w:val="TOC2"/>
        <w:tabs>
          <w:tab w:val="right" w:leader="dot" w:pos="8306"/>
        </w:tabs>
      </w:pPr>
      <w:hyperlink w:anchor="_Toc13422" w:history="1">
        <w:r>
          <w:rPr>
            <w:rFonts w:ascii="仿宋" w:eastAsia="仿宋" w:hAnsi="仿宋" w:cs="仿宋" w:hint="eastAsia"/>
            <w:lang w:eastAsia="zh-CN"/>
          </w:rPr>
          <w:t>(三)、营销渠道与策略</w:t>
        </w:r>
        <w:r>
          <w:tab/>
        </w:r>
        <w:r>
          <w:fldChar w:fldCharType="begin"/>
        </w:r>
        <w:r>
          <w:instrText xml:space="preserve"> PAGEREF _Toc13422 \h </w:instrText>
        </w:r>
        <w:r>
          <w:fldChar w:fldCharType="separate"/>
        </w:r>
        <w:r>
          <w:t>48</w:t>
        </w:r>
        <w:r>
          <w:fldChar w:fldCharType="end"/>
        </w:r>
      </w:hyperlink>
    </w:p>
    <w:p>
      <w:pPr>
        <w:pStyle w:val="TOC2"/>
        <w:tabs>
          <w:tab w:val="right" w:leader="dot" w:pos="8306"/>
        </w:tabs>
      </w:pPr>
      <w:hyperlink w:anchor="_Toc22503" w:history="1">
        <w:r>
          <w:rPr>
            <w:rFonts w:ascii="仿宋" w:eastAsia="仿宋" w:hAnsi="仿宋" w:cs="仿宋" w:hint="eastAsia"/>
            <w:lang w:eastAsia="zh-CN"/>
          </w:rPr>
          <w:t>(四)、推广与宣传活动</w:t>
        </w:r>
        <w:r>
          <w:tab/>
        </w:r>
        <w:r>
          <w:fldChar w:fldCharType="begin"/>
        </w:r>
        <w:r>
          <w:instrText xml:space="preserve"> PAGEREF _Toc22503 \h </w:instrText>
        </w:r>
        <w:r>
          <w:fldChar w:fldCharType="separate"/>
        </w:r>
        <w:r>
          <w:t>49</w:t>
        </w:r>
        <w:r>
          <w:fldChar w:fldCharType="end"/>
        </w:r>
      </w:hyperlink>
    </w:p>
    <w:p>
      <w:pPr>
        <w:pStyle w:val="TOC1"/>
        <w:tabs>
          <w:tab w:val="right" w:leader="dot" w:pos="8306"/>
        </w:tabs>
      </w:pPr>
      <w:hyperlink w:anchor="_Toc1167" w:history="1">
        <w:r>
          <w:rPr>
            <w:rFonts w:ascii="仿宋" w:eastAsia="仿宋" w:hAnsi="仿宋" w:cs="仿宋" w:hint="eastAsia"/>
            <w:lang w:eastAsia="zh-CN"/>
          </w:rPr>
          <w:t>十四、复合微生物肥料项目工程方案分析</w:t>
        </w:r>
        <w:r>
          <w:tab/>
        </w:r>
        <w:r>
          <w:fldChar w:fldCharType="begin"/>
        </w:r>
        <w:r>
          <w:instrText xml:space="preserve"> PAGEREF _Toc1167 \h </w:instrText>
        </w:r>
        <w:r>
          <w:fldChar w:fldCharType="separate"/>
        </w:r>
        <w:r>
          <w:t>55</w:t>
        </w:r>
        <w:r>
          <w:fldChar w:fldCharType="end"/>
        </w:r>
      </w:hyperlink>
    </w:p>
    <w:p>
      <w:pPr>
        <w:pStyle w:val="TOC2"/>
        <w:tabs>
          <w:tab w:val="right" w:leader="dot" w:pos="8306"/>
        </w:tabs>
      </w:pPr>
      <w:hyperlink w:anchor="_Toc12371" w:history="1">
        <w:r>
          <w:rPr>
            <w:rFonts w:ascii="仿宋" w:eastAsia="仿宋" w:hAnsi="仿宋" w:cs="仿宋" w:hint="eastAsia"/>
            <w:lang w:eastAsia="zh-CN"/>
          </w:rPr>
          <w:t>(一)、建筑工程设计原则</w:t>
        </w:r>
        <w:r>
          <w:tab/>
        </w:r>
        <w:r>
          <w:fldChar w:fldCharType="begin"/>
        </w:r>
        <w:r>
          <w:instrText xml:space="preserve"> PAGEREF _Toc12371 \h </w:instrText>
        </w:r>
        <w:r>
          <w:fldChar w:fldCharType="separate"/>
        </w:r>
        <w:r>
          <w:t>55</w:t>
        </w:r>
        <w:r>
          <w:fldChar w:fldCharType="end"/>
        </w:r>
      </w:hyperlink>
    </w:p>
    <w:p>
      <w:pPr>
        <w:pStyle w:val="TOC2"/>
        <w:tabs>
          <w:tab w:val="right" w:leader="dot" w:pos="8306"/>
        </w:tabs>
      </w:pPr>
      <w:hyperlink w:anchor="_Toc29440" w:history="1">
        <w:r>
          <w:rPr>
            <w:rFonts w:ascii="仿宋" w:eastAsia="仿宋" w:hAnsi="仿宋" w:cs="仿宋" w:hint="eastAsia"/>
            <w:lang w:eastAsia="zh-CN"/>
          </w:rPr>
          <w:t>(二)、土建工程建设指标</w:t>
        </w:r>
        <w:r>
          <w:tab/>
        </w:r>
        <w:r>
          <w:fldChar w:fldCharType="begin"/>
        </w:r>
        <w:r>
          <w:instrText xml:space="preserve"> PAGEREF _Toc29440 \h </w:instrText>
        </w:r>
        <w:r>
          <w:fldChar w:fldCharType="separate"/>
        </w:r>
        <w:r>
          <w:t>58</w:t>
        </w:r>
        <w:r>
          <w:fldChar w:fldCharType="end"/>
        </w:r>
      </w:hyperlink>
    </w:p>
    <w:p>
      <w:pPr>
        <w:pStyle w:val="TOC1"/>
        <w:tabs>
          <w:tab w:val="right" w:leader="dot" w:pos="8306"/>
        </w:tabs>
      </w:pPr>
      <w:hyperlink w:anchor="_Toc1919" w:history="1">
        <w:r>
          <w:rPr>
            <w:rFonts w:ascii="仿宋" w:eastAsia="仿宋" w:hAnsi="仿宋" w:cs="仿宋" w:hint="eastAsia"/>
            <w:lang w:eastAsia="zh-CN"/>
          </w:rPr>
          <w:t>十五、复合微生物肥料项目实施时间节点</w:t>
        </w:r>
        <w:r>
          <w:tab/>
        </w:r>
        <w:r>
          <w:fldChar w:fldCharType="begin"/>
        </w:r>
        <w:r>
          <w:instrText xml:space="preserve"> PAGEREF _Toc1919 \h </w:instrText>
        </w:r>
        <w:r>
          <w:fldChar w:fldCharType="separate"/>
        </w:r>
        <w:r>
          <w:t>60</w:t>
        </w:r>
        <w:r>
          <w:fldChar w:fldCharType="end"/>
        </w:r>
      </w:hyperlink>
    </w:p>
    <w:p>
      <w:pPr>
        <w:pStyle w:val="TOC2"/>
        <w:tabs>
          <w:tab w:val="right" w:leader="dot" w:pos="8306"/>
        </w:tabs>
      </w:pPr>
      <w:hyperlink w:anchor="_Toc26913" w:history="1">
        <w:r>
          <w:rPr>
            <w:rFonts w:ascii="仿宋" w:eastAsia="仿宋" w:hAnsi="仿宋" w:cs="仿宋" w:hint="eastAsia"/>
            <w:lang w:eastAsia="zh-CN"/>
          </w:rPr>
          <w:t>(一)、复合微生物肥料项目启动阶段时间节点</w:t>
        </w:r>
        <w:r>
          <w:tab/>
        </w:r>
        <w:r>
          <w:fldChar w:fldCharType="begin"/>
        </w:r>
        <w:r>
          <w:instrText xml:space="preserve"> PAGEREF _Toc26913 \h </w:instrText>
        </w:r>
        <w:r>
          <w:fldChar w:fldCharType="separate"/>
        </w:r>
        <w:r>
          <w:t>60</w:t>
        </w:r>
        <w:r>
          <w:fldChar w:fldCharType="end"/>
        </w:r>
      </w:hyperlink>
    </w:p>
    <w:p>
      <w:pPr>
        <w:pStyle w:val="TOC2"/>
        <w:tabs>
          <w:tab w:val="right" w:leader="dot" w:pos="8306"/>
        </w:tabs>
      </w:pPr>
      <w:hyperlink w:anchor="_Toc2253" w:history="1">
        <w:r>
          <w:rPr>
            <w:rFonts w:ascii="仿宋" w:eastAsia="仿宋" w:hAnsi="仿宋" w:cs="仿宋" w:hint="eastAsia"/>
            <w:lang w:eastAsia="zh-CN"/>
          </w:rPr>
          <w:t>(二)、复合微生物肥料项目执行阶段时间节点</w:t>
        </w:r>
        <w:r>
          <w:tab/>
        </w:r>
        <w:r>
          <w:fldChar w:fldCharType="begin"/>
        </w:r>
        <w:r>
          <w:instrText xml:space="preserve"> PAGEREF _Toc2253 \h </w:instrText>
        </w:r>
        <w:r>
          <w:fldChar w:fldCharType="separate"/>
        </w:r>
        <w:r>
          <w:t>61</w:t>
        </w:r>
        <w:r>
          <w:fldChar w:fldCharType="end"/>
        </w:r>
      </w:hyperlink>
    </w:p>
    <w:p>
      <w:pPr>
        <w:pStyle w:val="TOC2"/>
        <w:tabs>
          <w:tab w:val="right" w:leader="dot" w:pos="8306"/>
        </w:tabs>
      </w:pPr>
      <w:hyperlink w:anchor="_Toc13893" w:history="1">
        <w:r>
          <w:rPr>
            <w:rFonts w:ascii="仿宋" w:eastAsia="仿宋" w:hAnsi="仿宋" w:cs="仿宋" w:hint="eastAsia"/>
            <w:lang w:eastAsia="zh-CN"/>
          </w:rPr>
          <w:t>(三)、复合微生物肥料项目完成阶段时间节点</w:t>
        </w:r>
        <w:r>
          <w:tab/>
        </w:r>
        <w:r>
          <w:fldChar w:fldCharType="begin"/>
        </w:r>
        <w:r>
          <w:instrText xml:space="preserve"> PAGEREF _Toc13893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46"/>
      <w:r>
        <w:rPr>
          <w:rFonts w:ascii="仿宋" w:eastAsia="仿宋" w:hAnsi="仿宋" w:cs="仿宋" w:hint="eastAsia"/>
          <w:sz w:val="28"/>
          <w:lang w:eastAsia="zh-CN"/>
        </w:rPr>
        <w:t>一、复合微生物肥料项目概论</w:t>
      </w:r>
      <w:bookmarkEnd w:id="2"/>
    </w:p>
    <w:p>
      <w:pPr>
        <w:pStyle w:val="Heading2"/>
        <w:rPr>
          <w:rFonts w:ascii="仿宋" w:eastAsia="仿宋" w:hAnsi="仿宋" w:cs="仿宋" w:hint="eastAsia"/>
          <w:lang w:eastAsia="zh-CN"/>
        </w:rPr>
      </w:pPr>
      <w:bookmarkStart w:id="3" w:name="_Toc29395"/>
      <w:r>
        <w:rPr>
          <w:rFonts w:ascii="仿宋" w:eastAsia="仿宋" w:hAnsi="仿宋" w:cs="仿宋" w:hint="eastAsia"/>
          <w:lang w:eastAsia="zh-CN"/>
        </w:rPr>
        <w:t>(一)、复合微生物肥料项目概况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起源追溯至对市场的深入洞察。市场的不断演变与变革为复合微生物肥料项目提供了难得的机遇。当前市场存在的需求缺口和变革的大环境共同构成了复合微生物肥料项目的背景。这个复合微生物肥料项目旨在充分利用市场机遇，填补行业中尚未满足的需求，为客户提供全新的解决方案。市场的变革和需求的增长使得这个复合微生物肥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复合微生物肥料项目名称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正式命名为复合微生物肥料。这个名称不仅仅是一个标识，更代表了复合微生物肥料项目的核心理念和愿景。它蕴含着复合微生物肥料项目所要解决问题的关键字，具有强烈的表达和辨识度，为复合微生物肥料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复合微生物肥料项目目标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核心目标是提供一种全新、高效的解决方案，满足客户日益增长的需求。复合微生物肥料项目追求的不仅仅是满足市场需求，更是在市场中获得卓越的竞争优势。通过不断提升产品或服务的质量和创新水平，复合微生物肥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复合微生物肥料项目范围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全面涵盖了产品研发、制造、市场推广和售后服务，确保从产品设计到最终用户体验的全方位关注。这一全面的复合微生物肥料项目范围是为了确保复合微生物肥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复合微生物肥料项目时间表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复合微生物肥料项目计划在未来18个月内完成，包括研发、测试、市场试点和正式推出等不同阶段。这个时间表的合理设计是为了确保复合微生物肥料项目各个阶段的顺利推进，以便按时交付高质量的成果。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复合微生物肥料项目预算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总预算估算为XX百万美元，主要分配在研发、市场推广、人员培训和运营等方面。这一充足的预算为复合微生物肥料项目提供了充足的资源，确保复合微生物肥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复合微生物肥料项目风险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可能面临的风险包括市场接受度低、技术难题、竞争激烈等。复合微生物肥料项目团队已经制定了相应的风险应对计划，通过前瞻性的风险管理，确保复合微生物肥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复合微生物肥料项目团队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复合微生物肥料项目汇聚了一支经验丰富、多领域专业素养的核心团队，确保复合微生物肥料项目在各个方面都能拥有高水平的执行力。团队的协同作战是复合微生物肥料项目成功的关键因素之一。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复合微生物肥料项目背景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复合微生物肥料项目的背景根植于市场对更高效、创新产品的渴望，同时也受到科技发展对行业格局的深刻改变的影响。这为复合微生物肥料项目提供了广阔的发展空间和市场需求。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复合微生物肥料项目现状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截至目前，复合微生物肥料项目已完成市场调研和技术验证，取得了初步的成功。这为复合微生物肥料项目在未来的发展奠定了坚实的基础，为更远大的目标打下了坚实的基石。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568"/>
      <w:r>
        <w:rPr>
          <w:rFonts w:ascii="仿宋" w:eastAsia="仿宋" w:hAnsi="仿宋" w:cs="仿宋" w:hint="eastAsia"/>
          <w:sz w:val="28"/>
          <w:lang w:eastAsia="zh-CN"/>
        </w:rPr>
        <w:t>(二)、复合微生物肥料项目目标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keyword》复合微生物肥料项目首要业务目标是在市场中占据有利地位，实现产品/服务的成功推广和销售。通过不断提升产品质量、创新性，复合微生物肥料项目追求成为行业中的领导者，赢得更多客户的青睐。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在科技迅速发展的时代，复合微生物肥料项目着眼于技术创新。通过持续的研发和技术升级，复合微生物肥料项目旨在推出更具创新性的产品或服务，以满足市场对新鲜、先进解决方案的需求。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为了建立可持续的客户关系，复合微生物肥料项目设定了客户满意度目标。通过提供卓越的产品质量和优质的客户服务，复合微生物肥料项目追求赢得客户的信任和忠诚度，确保他们的满意度达到行业领先水平。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复合微生物肥料项目注重社会责任和可持续发展。通过实施环保、社会责任复合微生物肥料项目，复合微生物肥料项目致力于在经济发展的同时保护环境，促进社会公平，实现可持续经营。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复合微生物肥料项目的团队是实现目标的核心驱动力。因此，复合微生物肥料项目设定了团队发展目标，包括提升团队成员的专业技能、培养领导力，以及搭建协同高效的团队工作氛围。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914"/>
      <w:r>
        <w:rPr>
          <w:rFonts w:ascii="仿宋" w:eastAsia="仿宋" w:hAnsi="仿宋" w:cs="仿宋" w:hint="eastAsia"/>
          <w:sz w:val="28"/>
          <w:lang w:eastAsia="zh-CN"/>
        </w:rPr>
        <w:t>(三)、复合微生物肥料项目提出的理由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复合微生物肥料项目提出的理由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提出源于对市场机遇的深刻洞察。当前市场中存在的需求缺口和行业发展趋势表明，有巨大的商业机会等待被开发。通过准确捕捉市场机遇，复合微生物肥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理念基于对技术创新的信仰。通过持续的研发和技术投入，复合微生物肥料项目有望推出更具创新性的产品或服务。在科技飞速发展的当下，复合微生物肥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提出是为了增强企业的行业竞争力。通过提升产品或服务的质量和独特性，复合微生物肥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响应了消费者需求的变化。随着社会和科技的不断发展，消费者对产品和服务的需求也在发生变化。通过深入了解并及时回应消费者的新需求，复合微生物肥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提出是企业战略发展规划的一部分。在面对日益激烈的市场竞争和不断变化的商业环境中，复合微生物肥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提出不仅仅是基于商业考量，还注重社会责任。通过推出环保、社会责任等方面的复合微生物肥料项目，复合微生物肥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复合微生物肥料项目的提出反映了对利益相关者期望的关注。包括客户、员工、投资者等利益相关者在企业发展中都有着各自的期望，复合微生物肥料项目力求在满足这些期望的同时，取得更大的共赢。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46"/>
      <w:r>
        <w:rPr>
          <w:rFonts w:ascii="仿宋" w:eastAsia="仿宋" w:hAnsi="仿宋" w:cs="仿宋" w:hint="eastAsia"/>
          <w:sz w:val="28"/>
          <w:lang w:eastAsia="zh-CN"/>
        </w:rPr>
        <w:t>(四)、复合微生物肥料项目意义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在实施复合微生物肥料项目的过程中，我们不仅仅是在追逐商业成功，更是为企业和社会的多个层面创造了深远的意义。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首要意义在于提升企业的市场竞争力。通过持续的创新和对产品质量的高标准要求，复合微生物肥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合微生物肥料项目的推进将促使行业技术水平的提升。通过引入先进技术和创新性解决方案，复合微生物肥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复合微生物肥料项目不仅创造了大量就业机会，提高了就业水平，还注重社会责任和环保。通过参与社会公益事业和推动环保复合微生物肥料项目，复合微生物肥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综合而言，复合微生物肥料项目意义重大，不仅推动了企业的发展，也为行业和社会的进步贡献了积极力量。这是一个全面而深刻的影响，将在未来产生可持续的正面效应。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789"/>
      <w:r>
        <w:rPr>
          <w:rFonts w:ascii="仿宋" w:eastAsia="仿宋" w:hAnsi="仿宋" w:cs="仿宋" w:hint="eastAsia"/>
          <w:sz w:val="28"/>
          <w:lang w:eastAsia="zh-CN"/>
        </w:rPr>
        <w:t>(五)、复合微生物肥料项目背景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在当今迅猛发展的商业环境中，复合微生物肥料项目的动因根植于对多方面因素的审慎考量。这个复合微生物肥料项目的提出并非孤立的决策，而是对企业所处背景深入思考的产物。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合微生物肥料项目背后的首要原因。科技的迅速发展和全球市场的快速变化使得企业必须灵活应对。复合微生物肥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竞争的激烈程度也是复合微生物肥料项目背景中不可忽视的一环。企业需要在激烈竞争中脱颖而出，为此，复合微生物肥料项目致力于打破常规，提供独特的价值主张，以吸引客户并确保市场份额的增长。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技术的迅速发展为企业带来了机遇与挑战。作为复合微生物肥料项目启动的背景之一，对新兴技术的应用将有助于提升企业的技术水平，使其在不断演进的商业环境中保持竞争优势。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此外，社会对企业责任的期望也在逐渐升高。复合微生物肥料项目充分融入了社会责任的理念，通过可持续经营和社会公益复合微生物肥料项目，企图为社会贡献一份力量，在商业成功的同时关注社会价值。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09"/>
      <w:r>
        <w:rPr>
          <w:rFonts w:ascii="仿宋" w:eastAsia="仿宋" w:hAnsi="仿宋" w:cs="仿宋" w:hint="eastAsia"/>
          <w:sz w:val="28"/>
          <w:lang w:eastAsia="zh-CN"/>
        </w:rPr>
        <w:t>二、复合微生物肥料项目文档管理</w:t>
      </w:r>
      <w:bookmarkEnd w:id="8"/>
    </w:p>
    <w:p>
      <w:pPr>
        <w:pStyle w:val="Heading2"/>
        <w:rPr>
          <w:rFonts w:ascii="仿宋" w:eastAsia="仿宋" w:hAnsi="仿宋" w:cs="仿宋" w:hint="eastAsia"/>
          <w:lang w:eastAsia="zh-CN"/>
        </w:rPr>
      </w:pPr>
      <w:bookmarkStart w:id="9" w:name="_Toc2488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复合微生物肥料项目高度重视文档的质量和准确性，以支持复合微生物肥料项目的各项活动和决策。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文档的编制始于复合微生物肥料项目计划的初期，我们制定了详细的文档编制计划，明确了每个文档的内容、格式和编写责任人。在复合微生物肥料项目启动阶段，我们首先编制了复合微生物肥料项目章程，明确定义了复合微生物肥料项目的目标、范围、风险等关键要素。随后，复合微生物肥料项目团队根据计划陆续编制了需求文档、设计文档、测试文档等各类文档，确保复合微生物肥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复合微生物肥料项目管理中的重要环节，旨在确保复合微生物肥料项目文档符合质量标准和复合微生物肥料项目需求。在复合微生物肥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复合微生物肥料项目相关利益方和专业领域的专家对文档进行独立审查。这有助于获取更全面、客观的反馈，确保复合微生物肥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复合微生物肥料项目在文档编制与审查方面建立了严格的管理机制，通过规范的流程和多维度的审查，确保复合微生物肥料项目文档的质量、准确性和可靠性，为复合微生物肥料项目的顺利推进提供了有力支持。</w:t>
      </w:r>
    </w:p>
    <w:p>
      <w:pPr>
        <w:pStyle w:val="Heading2"/>
        <w:ind w:firstLine="560" w:firstLineChars="200"/>
        <w:rPr>
          <w:rFonts w:ascii="仿宋" w:eastAsia="仿宋" w:hAnsi="仿宋" w:cs="仿宋" w:hint="eastAsia"/>
          <w:sz w:val="28"/>
          <w:lang w:eastAsia="zh-CN"/>
        </w:rPr>
      </w:pPr>
      <w:bookmarkStart w:id="10" w:name="_Toc1152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在复合微生物肥料项目中，我们致力于优化文档发布与分发过程，以确保信息的高效传递和团队间协作的顺畅进行。以下是我们采取的关键优化策略：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我们通过多渠道发布文档，包括电子邮件、复合微生物肥料项目管理平台、内部网站等，以满足不同团队成员的偏好和需求。多渠道发布确保了信息的全面覆盖。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我们采用了精细的权限控制，确保只有授权人员可以访问敏感信息。这种安全措施保护了复合微生物肥料项目文档的机密性，防止了未经授权的信息泄露。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4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复合微生物肥料项目生命周期中一个至关重要的环节，直接关系到复合微生物肥料项目信息的长期保存和历史记录的完整性。在复合微生物肥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871"/>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160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复合微生物肥料项目的技术管理特点体现在其创新导向。通过引入最先进的技术趋势和解决方案，复合微生物肥料项目致力于提升科技含量、提高质量和效率水平。这意味着我们将采用最新的工具和方法，确保复合微生物肥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复合微生物肥料项目技术管理的显著特征。通过整合不同领域的技术资源，我们实现了跨学科的协同工作。这有助于优化技术架构，提高整体效能。此外，整合性策略还促进了不同技术团队之间的紧密沟通和高效合作，确保复合微生物肥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复合微生物肥料项目所采用的技术。通过不断优化技术方案，复合微生物肥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复合微生物肥料项目团队将在复合微生物肥料项目初期识别可能的技术风险，并采取相应的预防和应对措施。通过建立健全的风险评估机制，复合微生物肥料项目能够在实施过程中及时发现并解决潜在的技术问题，保障复合微生物肥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复合微生物肥料项目中，技术将成为复合微生物肥料项目成功的有力支持。这一深度剖析揭示了技术管理在复合微生物肥料项目实施中的关键作用，为复合微生物肥料项目的技术基础奠定了坚实的基础。</w:t>
      </w:r>
    </w:p>
    <w:p>
      <w:pPr>
        <w:pStyle w:val="Heading2"/>
        <w:ind w:firstLine="560" w:firstLineChars="200"/>
        <w:rPr>
          <w:rFonts w:ascii="仿宋" w:eastAsia="仿宋" w:hAnsi="仿宋" w:cs="仿宋" w:hint="eastAsia"/>
          <w:sz w:val="28"/>
          <w:lang w:eastAsia="zh-CN"/>
        </w:rPr>
      </w:pPr>
      <w:bookmarkStart w:id="14" w:name="_Toc17411"/>
      <w:r>
        <w:rPr>
          <w:rFonts w:ascii="仿宋" w:eastAsia="仿宋" w:hAnsi="仿宋" w:cs="仿宋" w:hint="eastAsia"/>
          <w:sz w:val="28"/>
          <w:lang w:eastAsia="zh-CN"/>
        </w:rPr>
        <w:t>(二)、复合微生物肥料项目工艺技术设计方案</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复合微生物肥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复合微生物肥料项目将严格按照相关行业规范要求进行组织。通过有效控制产品质量，复合微生物肥料项目将致力于为顾客提供优质的复合微生物肥料项目产品和良好的服务。这体现了复合微生物肥料项目对于生产活动合规性和质量标准的高度重视，为复合微生物肥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复合微生物肥料项目注重生态效益和清洁生产原则。复合微生物肥料项目建设将紧密结合地方特色经济发展，与社会经济发展规划和区域环境保护规划方案相协调一致。通过与当地区域自然生态系统的结合，复合微生物肥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复合微生物肥料项目产品具有多样化的客户需求和个性化的特点。因此，复合微生物肥料项目产品规格品种多样，且单批生产数量较小。为满足这一特点，复合微生物肥料项目承办单位将建设先进的柔性制造生产线。通过广泛应用柔性制造技术，复合微生物肥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复合微生物肥料项目采用的技术具有较高的技术含量和自动化水平，处于国内先进水平。这一技术选用不仅体现了对生产效率、质量和环境友好性的高标准要求，同时为复合微生物肥料项目的可持续发展奠定了坚实的基础。</w:t>
      </w:r>
    </w:p>
    <w:p>
      <w:pPr>
        <w:pStyle w:val="Heading2"/>
        <w:ind w:firstLine="560" w:firstLineChars="200"/>
        <w:rPr>
          <w:rFonts w:ascii="仿宋" w:eastAsia="仿宋" w:hAnsi="仿宋" w:cs="仿宋" w:hint="eastAsia"/>
          <w:sz w:val="28"/>
          <w:lang w:eastAsia="zh-CN"/>
        </w:rPr>
      </w:pPr>
      <w:bookmarkStart w:id="15" w:name="_Toc1921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为确保复合微生物肥料项目的高效生产和技术实施，我们制定了一套精心设计的设备选型方案，以满足复合微生物肥料项目生产、质量和环保的要求。该方案的主要特点如下：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复合微生物肥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https://d.book118.com/786114145010010102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复合微生物肥料项目规划设计方案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8748CB"/>
    <w:rsid w:val="34874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1414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2024-03-03T17:33:00Z</dcterms:created>
  <dcterms:modified xsi:type="dcterms:W3CDTF">2024-03-03T17:34:02Z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8CAFD09EB3CF41D9829FFDDA1AFAF77D_11</vt:lpwstr>
  </property>
  <property fmtid="{D5CDD505-2E9C-101B-9397-08002B2CF9AE}" pid="3" name="KSOProductBuildVer">
    <vt:lpwstr>2052-12.1.0.16388</vt:lpwstr>
  </property>
</Properties>
</file>